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79B17" w14:textId="5B1287D0" w:rsidR="007E7AB0" w:rsidRPr="00BF0E9D" w:rsidRDefault="007E7AB0" w:rsidP="009566CE">
      <w:pPr>
        <w:tabs>
          <w:tab w:val="left" w:pos="2430"/>
        </w:tabs>
        <w:rPr>
          <w:rFonts w:ascii="Cambria" w:hAnsi="Cambria" w:cs="Arial"/>
          <w:b/>
        </w:rPr>
      </w:pPr>
      <w:r w:rsidRPr="00BF0E9D">
        <w:rPr>
          <w:rFonts w:ascii="Cambria" w:hAnsi="Cambria" w:cs="Arial"/>
          <w:b/>
        </w:rPr>
        <w:t xml:space="preserve">BEFORE THE </w:t>
      </w:r>
      <w:r w:rsidR="00F807C8" w:rsidRPr="00BF0E9D">
        <w:rPr>
          <w:rFonts w:ascii="Cambria" w:hAnsi="Cambria" w:cs="Arial"/>
          <w:b/>
        </w:rPr>
        <w:t>ODISHA</w:t>
      </w:r>
      <w:r w:rsidRPr="00BF0E9D">
        <w:rPr>
          <w:rFonts w:ascii="Cambria" w:hAnsi="Cambria" w:cs="Arial"/>
          <w:b/>
        </w:rPr>
        <w:t xml:space="preserve"> E</w:t>
      </w:r>
      <w:smartTag w:uri="urn:schemas-microsoft-com:office:smarttags" w:element="stockticker">
        <w:r w:rsidRPr="00BF0E9D">
          <w:rPr>
            <w:rFonts w:ascii="Cambria" w:hAnsi="Cambria" w:cs="Arial"/>
            <w:b/>
          </w:rPr>
          <w:t>LECT</w:t>
        </w:r>
      </w:smartTag>
      <w:r w:rsidRPr="00BF0E9D">
        <w:rPr>
          <w:rFonts w:ascii="Cambria" w:hAnsi="Cambria" w:cs="Arial"/>
          <w:b/>
        </w:rPr>
        <w:t>RI</w:t>
      </w:r>
      <w:smartTag w:uri="urn:schemas-microsoft-com:office:smarttags" w:element="stockticker">
        <w:r w:rsidRPr="00BF0E9D">
          <w:rPr>
            <w:rFonts w:ascii="Cambria" w:hAnsi="Cambria" w:cs="Arial"/>
            <w:b/>
          </w:rPr>
          <w:t>CITY</w:t>
        </w:r>
      </w:smartTag>
      <w:r w:rsidRPr="00BF0E9D">
        <w:rPr>
          <w:rFonts w:ascii="Cambria" w:hAnsi="Cambria" w:cs="Arial"/>
          <w:b/>
        </w:rPr>
        <w:t xml:space="preserve"> REGULATORY COMMISSION BHUBANESWAR</w:t>
      </w:r>
    </w:p>
    <w:p w14:paraId="6E8571D5" w14:textId="77777777" w:rsidR="007E7AB0" w:rsidRPr="00BF0E9D" w:rsidRDefault="007E7AB0" w:rsidP="00B91F1C">
      <w:pPr>
        <w:tabs>
          <w:tab w:val="left" w:pos="5580"/>
        </w:tabs>
        <w:autoSpaceDE w:val="0"/>
        <w:autoSpaceDN w:val="0"/>
        <w:adjustRightInd w:val="0"/>
        <w:spacing w:line="360" w:lineRule="auto"/>
        <w:ind w:left="-90"/>
        <w:jc w:val="both"/>
        <w:rPr>
          <w:rFonts w:ascii="Cambria" w:hAnsi="Cambria" w:cs="Arial"/>
          <w:b/>
        </w:rPr>
      </w:pPr>
    </w:p>
    <w:p w14:paraId="106CE63A" w14:textId="77777777" w:rsidR="007E7AB0" w:rsidRPr="00BF0E9D" w:rsidRDefault="007E7AB0" w:rsidP="00B91F1C">
      <w:pPr>
        <w:tabs>
          <w:tab w:val="left" w:pos="5580"/>
        </w:tabs>
        <w:autoSpaceDE w:val="0"/>
        <w:autoSpaceDN w:val="0"/>
        <w:adjustRightInd w:val="0"/>
        <w:spacing w:line="360" w:lineRule="auto"/>
        <w:ind w:left="-90"/>
        <w:jc w:val="both"/>
        <w:rPr>
          <w:rFonts w:ascii="Cambria" w:hAnsi="Cambria" w:cs="Arial"/>
          <w:b/>
        </w:rPr>
      </w:pPr>
      <w:r w:rsidRPr="00BF0E9D">
        <w:rPr>
          <w:rFonts w:ascii="Cambria" w:hAnsi="Cambria" w:cs="Arial"/>
          <w:b/>
        </w:rPr>
        <w:t xml:space="preserve">IN THE MATTER OF </w:t>
      </w:r>
    </w:p>
    <w:p w14:paraId="3CC8FDA3" w14:textId="0DDD6425" w:rsidR="007E7AB0" w:rsidRPr="00BF0E9D" w:rsidRDefault="007E7AB0"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 xml:space="preserve">An Application for approval of </w:t>
      </w:r>
      <w:r w:rsidR="002F7829">
        <w:rPr>
          <w:rFonts w:ascii="Cambria" w:hAnsi="Cambria" w:cs="Arial"/>
          <w:lang w:val="en-GB"/>
        </w:rPr>
        <w:t>Aggregate</w:t>
      </w:r>
      <w:r w:rsidRPr="00BF0E9D">
        <w:rPr>
          <w:rFonts w:ascii="Cambria" w:hAnsi="Cambria" w:cs="Arial"/>
          <w:lang w:val="en-GB"/>
        </w:rPr>
        <w:t xml:space="preserve"> Revenue Requirement and Retail Supply Tariff for the financial year </w:t>
      </w:r>
      <w:r w:rsidR="009A0E63">
        <w:rPr>
          <w:rFonts w:ascii="Cambria" w:hAnsi="Cambria" w:cs="Arial"/>
          <w:lang w:val="en-GB"/>
        </w:rPr>
        <w:t>2026-27</w:t>
      </w:r>
      <w:r w:rsidRPr="00BF0E9D">
        <w:rPr>
          <w:rFonts w:ascii="Cambria" w:hAnsi="Cambria" w:cs="Arial"/>
          <w:lang w:val="en-GB"/>
        </w:rPr>
        <w:t>, under Section 62 and other applicable provisions of the Electricity Act</w:t>
      </w:r>
      <w:r w:rsidR="005F685D">
        <w:rPr>
          <w:rFonts w:ascii="Cambria" w:hAnsi="Cambria" w:cs="Arial"/>
          <w:lang w:val="en-GB"/>
        </w:rPr>
        <w:t>,</w:t>
      </w:r>
      <w:r w:rsidRPr="00BF0E9D">
        <w:rPr>
          <w:rFonts w:ascii="Cambria" w:hAnsi="Cambria" w:cs="Arial"/>
          <w:lang w:val="en-GB"/>
        </w:rPr>
        <w:t xml:space="preserve"> 2003 and in conformity with the provisions </w:t>
      </w:r>
      <w:r w:rsidR="00362222" w:rsidRPr="00BF0E9D">
        <w:rPr>
          <w:rFonts w:ascii="Cambria" w:hAnsi="Cambria" w:cs="Arial"/>
          <w:lang w:val="en-GB"/>
        </w:rPr>
        <w:t>of OERC</w:t>
      </w:r>
      <w:r w:rsidRPr="00BF0E9D">
        <w:rPr>
          <w:rFonts w:ascii="Cambria" w:hAnsi="Cambria" w:cs="Arial"/>
          <w:lang w:val="en-GB"/>
        </w:rPr>
        <w:t xml:space="preserve"> </w:t>
      </w:r>
      <w:r w:rsidR="005553F4">
        <w:t xml:space="preserve">(Terms and Conditions for determination of Wheeling Tariff and Retail Supply Tariff) Regulations, </w:t>
      </w:r>
      <w:r w:rsidR="00362222">
        <w:t xml:space="preserve">2022 </w:t>
      </w:r>
      <w:r w:rsidR="005553F4">
        <w:t>and OERC (Conduct of Business) Regulation 2004.</w:t>
      </w:r>
    </w:p>
    <w:p w14:paraId="05B72365" w14:textId="77777777" w:rsidR="007E7AB0" w:rsidRPr="00BF0E9D" w:rsidRDefault="007E7AB0"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AND</w:t>
      </w:r>
    </w:p>
    <w:p w14:paraId="5DD5909D" w14:textId="77777777" w:rsidR="007E7AB0" w:rsidRPr="00BF0E9D" w:rsidRDefault="007E7AB0" w:rsidP="00B91F1C">
      <w:pPr>
        <w:tabs>
          <w:tab w:val="left" w:pos="5580"/>
        </w:tabs>
        <w:autoSpaceDE w:val="0"/>
        <w:autoSpaceDN w:val="0"/>
        <w:adjustRightInd w:val="0"/>
        <w:spacing w:line="360" w:lineRule="auto"/>
        <w:ind w:left="-90"/>
        <w:jc w:val="both"/>
        <w:rPr>
          <w:rFonts w:ascii="Cambria" w:hAnsi="Cambria" w:cs="Arial"/>
        </w:rPr>
      </w:pPr>
      <w:r w:rsidRPr="00BF0E9D">
        <w:rPr>
          <w:rFonts w:ascii="Cambria" w:hAnsi="Cambria" w:cs="Arial"/>
          <w:b/>
        </w:rPr>
        <w:t xml:space="preserve">IN THE MATTER OF </w:t>
      </w:r>
    </w:p>
    <w:p w14:paraId="6519B658" w14:textId="642536C9" w:rsidR="007E7AB0" w:rsidRDefault="004100F1" w:rsidP="004B6F59">
      <w:pPr>
        <w:autoSpaceDE w:val="0"/>
        <w:autoSpaceDN w:val="0"/>
        <w:adjustRightInd w:val="0"/>
        <w:spacing w:line="360" w:lineRule="auto"/>
        <w:ind w:left="2250"/>
        <w:jc w:val="both"/>
        <w:rPr>
          <w:rFonts w:ascii="Cambria" w:hAnsi="Cambria" w:cs="Arial"/>
          <w:lang w:val="en-GB"/>
        </w:rPr>
      </w:pPr>
      <w:r>
        <w:rPr>
          <w:rFonts w:ascii="Cambria" w:hAnsi="Cambria" w:cs="Arial"/>
          <w:lang w:val="en-GB"/>
        </w:rPr>
        <w:t>TP Western Odisha Distribution Ltd (TPWODL)</w:t>
      </w:r>
    </w:p>
    <w:p w14:paraId="77C9FEC4" w14:textId="7B63EED7" w:rsidR="007E7AB0" w:rsidRPr="00BF0E9D" w:rsidRDefault="004100F1" w:rsidP="00B91F1C">
      <w:pPr>
        <w:autoSpaceDE w:val="0"/>
        <w:autoSpaceDN w:val="0"/>
        <w:adjustRightInd w:val="0"/>
        <w:spacing w:line="360" w:lineRule="auto"/>
        <w:ind w:left="2160"/>
        <w:jc w:val="both"/>
        <w:rPr>
          <w:rFonts w:ascii="Cambria" w:hAnsi="Cambria" w:cs="Arial"/>
        </w:rPr>
      </w:pPr>
      <w:r>
        <w:rPr>
          <w:rFonts w:ascii="Cambria" w:hAnsi="Cambria" w:cs="Arial"/>
          <w:lang w:val="en-GB"/>
        </w:rPr>
        <w:t>Corporate O</w:t>
      </w:r>
      <w:r w:rsidR="005553F4">
        <w:rPr>
          <w:rFonts w:ascii="Cambria" w:hAnsi="Cambria" w:cs="Arial"/>
          <w:lang w:val="en-GB"/>
        </w:rPr>
        <w:t>ffice</w:t>
      </w:r>
      <w:r>
        <w:rPr>
          <w:rFonts w:ascii="Cambria" w:hAnsi="Cambria" w:cs="Arial"/>
          <w:lang w:val="en-GB"/>
        </w:rPr>
        <w:t>,</w:t>
      </w:r>
      <w:r w:rsidR="005553F4">
        <w:rPr>
          <w:rFonts w:ascii="Cambria" w:hAnsi="Cambria" w:cs="Arial"/>
          <w:lang w:val="en-GB"/>
        </w:rPr>
        <w:t xml:space="preserve"> Burla, Sambalpur, Odisha-768017</w:t>
      </w:r>
    </w:p>
    <w:p w14:paraId="1B3F8EC8" w14:textId="06664452" w:rsidR="007E7AB0" w:rsidRPr="00BF0E9D" w:rsidRDefault="007E7AB0" w:rsidP="00B91F1C">
      <w:pPr>
        <w:autoSpaceDE w:val="0"/>
        <w:autoSpaceDN w:val="0"/>
        <w:adjustRightInd w:val="0"/>
        <w:spacing w:line="360" w:lineRule="auto"/>
        <w:ind w:left="-90"/>
        <w:jc w:val="both"/>
        <w:rPr>
          <w:rFonts w:ascii="Cambria" w:hAnsi="Cambria" w:cs="Arial"/>
          <w:b/>
          <w:bCs/>
        </w:rPr>
      </w:pP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bCs/>
        </w:rPr>
        <w:tab/>
      </w:r>
      <w:r w:rsidRPr="00BF0E9D">
        <w:rPr>
          <w:rFonts w:ascii="Cambria" w:hAnsi="Cambria" w:cs="Arial"/>
          <w:b/>
          <w:bCs/>
        </w:rPr>
        <w:tab/>
      </w:r>
      <w:r w:rsidRPr="00BF0E9D">
        <w:rPr>
          <w:rFonts w:ascii="Cambria" w:hAnsi="Cambria" w:cs="Arial"/>
          <w:b/>
          <w:bCs/>
        </w:rPr>
        <w:tab/>
        <w:t>---------</w:t>
      </w:r>
      <w:r w:rsidR="004100F1">
        <w:rPr>
          <w:rFonts w:ascii="Cambria" w:hAnsi="Cambria" w:cs="Arial"/>
          <w:b/>
          <w:bCs/>
        </w:rPr>
        <w:t>TPWODL</w:t>
      </w:r>
    </w:p>
    <w:p w14:paraId="70553F95" w14:textId="77777777"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14:paraId="1175286C" w14:textId="77777777"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14:paraId="569C8349" w14:textId="1CEA67EB" w:rsidR="007E7AB0" w:rsidRPr="00BF0E9D" w:rsidRDefault="007E7AB0" w:rsidP="00B91F1C">
      <w:pPr>
        <w:tabs>
          <w:tab w:val="left" w:pos="5580"/>
        </w:tabs>
        <w:autoSpaceDE w:val="0"/>
        <w:autoSpaceDN w:val="0"/>
        <w:adjustRightInd w:val="0"/>
        <w:spacing w:line="360" w:lineRule="auto"/>
        <w:ind w:left="-90"/>
        <w:rPr>
          <w:rFonts w:ascii="Cambria" w:hAnsi="Cambria" w:cs="Arial"/>
          <w:b/>
        </w:rPr>
      </w:pPr>
      <w:r w:rsidRPr="00BF0E9D">
        <w:rPr>
          <w:rFonts w:ascii="Cambria" w:hAnsi="Cambria" w:cs="Arial"/>
          <w:b/>
        </w:rPr>
        <w:t xml:space="preserve">The </w:t>
      </w:r>
      <w:r w:rsidR="005305E7">
        <w:rPr>
          <w:rFonts w:ascii="Cambria" w:hAnsi="Cambria" w:cs="Arial"/>
          <w:b/>
        </w:rPr>
        <w:t>h</w:t>
      </w:r>
      <w:r w:rsidRPr="00BF0E9D">
        <w:rPr>
          <w:rFonts w:ascii="Cambria" w:hAnsi="Cambria" w:cs="Arial"/>
          <w:b/>
        </w:rPr>
        <w:t xml:space="preserve">umble </w:t>
      </w:r>
      <w:r w:rsidR="005305E7">
        <w:rPr>
          <w:rFonts w:ascii="Cambria" w:hAnsi="Cambria" w:cs="Arial"/>
          <w:b/>
        </w:rPr>
        <w:t>A</w:t>
      </w:r>
      <w:r w:rsidRPr="00BF0E9D">
        <w:rPr>
          <w:rFonts w:ascii="Cambria" w:hAnsi="Cambria" w:cs="Arial"/>
          <w:b/>
        </w:rPr>
        <w:t xml:space="preserve">pplicant above named respectfully </w:t>
      </w:r>
      <w:proofErr w:type="spellStart"/>
      <w:r w:rsidRPr="00BF0E9D">
        <w:rPr>
          <w:rFonts w:ascii="Cambria" w:hAnsi="Cambria" w:cs="Arial"/>
          <w:b/>
        </w:rPr>
        <w:t>sh</w:t>
      </w:r>
      <w:r w:rsidR="00EF3F70" w:rsidRPr="00BF0E9D">
        <w:rPr>
          <w:rFonts w:ascii="Cambria" w:hAnsi="Cambria" w:cs="Arial"/>
          <w:b/>
        </w:rPr>
        <w:t>e</w:t>
      </w:r>
      <w:r w:rsidRPr="00BF0E9D">
        <w:rPr>
          <w:rFonts w:ascii="Cambria" w:hAnsi="Cambria" w:cs="Arial"/>
          <w:b/>
        </w:rPr>
        <w:t>weth</w:t>
      </w:r>
      <w:proofErr w:type="spellEnd"/>
      <w:r w:rsidRPr="00BF0E9D">
        <w:rPr>
          <w:rFonts w:ascii="Cambria" w:hAnsi="Cambria" w:cs="Arial"/>
          <w:b/>
        </w:rPr>
        <w:t>:</w:t>
      </w:r>
    </w:p>
    <w:p w14:paraId="4D656F5F" w14:textId="77777777"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14:paraId="476E5FE9" w14:textId="77777777"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14:paraId="706243A9" w14:textId="77777777"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14:paraId="04CA9851" w14:textId="03C58180" w:rsidR="007E7AB0" w:rsidRPr="00BF0E9D" w:rsidRDefault="00BC4C6E" w:rsidP="005553F4">
      <w:pPr>
        <w:tabs>
          <w:tab w:val="left" w:pos="5580"/>
        </w:tabs>
        <w:autoSpaceDE w:val="0"/>
        <w:autoSpaceDN w:val="0"/>
        <w:adjustRightInd w:val="0"/>
        <w:spacing w:line="360" w:lineRule="auto"/>
        <w:ind w:left="-90"/>
        <w:jc w:val="center"/>
        <w:rPr>
          <w:rFonts w:ascii="Cambria" w:hAnsi="Cambria" w:cs="Arial"/>
          <w:b/>
        </w:rPr>
      </w:pPr>
      <w:r>
        <w:rPr>
          <w:rFonts w:ascii="Cambria" w:hAnsi="Cambria" w:cs="Arial"/>
          <w:b/>
        </w:rPr>
        <w:tab/>
      </w:r>
      <w:r w:rsidR="002B47AC">
        <w:rPr>
          <w:rFonts w:ascii="Cambria" w:hAnsi="Cambria" w:cs="Arial"/>
          <w:b/>
        </w:rPr>
        <w:t>Head</w:t>
      </w:r>
      <w:r>
        <w:rPr>
          <w:rFonts w:ascii="Cambria" w:hAnsi="Cambria" w:cs="Arial"/>
          <w:b/>
        </w:rPr>
        <w:t xml:space="preserve"> (RA &amp; </w:t>
      </w:r>
      <w:r w:rsidR="002B47AC">
        <w:rPr>
          <w:rFonts w:ascii="Cambria" w:hAnsi="Cambria" w:cs="Arial"/>
          <w:b/>
        </w:rPr>
        <w:t>PMAG</w:t>
      </w:r>
      <w:r>
        <w:rPr>
          <w:rFonts w:ascii="Cambria" w:hAnsi="Cambria" w:cs="Arial"/>
          <w:b/>
        </w:rPr>
        <w:t>)</w:t>
      </w:r>
      <w:r w:rsidR="007E7AB0" w:rsidRPr="00BF0E9D">
        <w:rPr>
          <w:rFonts w:ascii="Cambria" w:hAnsi="Cambria" w:cs="Arial"/>
          <w:b/>
        </w:rPr>
        <w:t xml:space="preserve">, </w:t>
      </w:r>
      <w:r w:rsidR="004100F1">
        <w:rPr>
          <w:rFonts w:ascii="Cambria" w:hAnsi="Cambria" w:cs="Arial"/>
          <w:b/>
        </w:rPr>
        <w:t>TPWODL</w:t>
      </w:r>
      <w:r w:rsidR="009D26E7">
        <w:rPr>
          <w:rFonts w:ascii="Cambria" w:hAnsi="Cambria" w:cs="Arial"/>
          <w:b/>
        </w:rPr>
        <w:t xml:space="preserve"> </w:t>
      </w:r>
    </w:p>
    <w:p w14:paraId="6B4220E2" w14:textId="77777777"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14:paraId="62F4668D" w14:textId="77777777"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14:paraId="550F1127" w14:textId="77777777"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14:paraId="3E11EE85" w14:textId="77777777"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14:paraId="50F826A1" w14:textId="7653D4B9" w:rsidR="007E7AB0" w:rsidRDefault="007E7AB0" w:rsidP="00B91F1C">
      <w:pPr>
        <w:tabs>
          <w:tab w:val="left" w:pos="5580"/>
        </w:tabs>
        <w:autoSpaceDE w:val="0"/>
        <w:autoSpaceDN w:val="0"/>
        <w:adjustRightInd w:val="0"/>
        <w:spacing w:line="360" w:lineRule="auto"/>
        <w:ind w:left="-90"/>
        <w:jc w:val="center"/>
        <w:rPr>
          <w:rFonts w:ascii="Cambria" w:hAnsi="Cambria" w:cs="Arial"/>
          <w:b/>
        </w:rPr>
      </w:pPr>
    </w:p>
    <w:p w14:paraId="0914BBB1" w14:textId="77777777" w:rsidR="00F37249" w:rsidRDefault="00F37249" w:rsidP="00B91F1C">
      <w:pPr>
        <w:tabs>
          <w:tab w:val="left" w:pos="5580"/>
        </w:tabs>
        <w:autoSpaceDE w:val="0"/>
        <w:autoSpaceDN w:val="0"/>
        <w:adjustRightInd w:val="0"/>
        <w:spacing w:line="360" w:lineRule="auto"/>
        <w:ind w:left="-90"/>
        <w:jc w:val="center"/>
        <w:rPr>
          <w:rFonts w:ascii="Cambria" w:hAnsi="Cambria" w:cs="Arial"/>
          <w:b/>
        </w:rPr>
      </w:pPr>
    </w:p>
    <w:p w14:paraId="5AEEBECF" w14:textId="0F1C9709" w:rsidR="004F1964" w:rsidRDefault="004F1964" w:rsidP="00B91F1C">
      <w:pPr>
        <w:tabs>
          <w:tab w:val="left" w:pos="5580"/>
        </w:tabs>
        <w:autoSpaceDE w:val="0"/>
        <w:autoSpaceDN w:val="0"/>
        <w:adjustRightInd w:val="0"/>
        <w:spacing w:line="360" w:lineRule="auto"/>
        <w:ind w:left="-90"/>
        <w:jc w:val="center"/>
        <w:rPr>
          <w:rFonts w:ascii="Cambria" w:hAnsi="Cambria" w:cs="Arial"/>
          <w:b/>
        </w:rPr>
      </w:pPr>
    </w:p>
    <w:p w14:paraId="56DAF0BC" w14:textId="28524C8B" w:rsidR="00BC4C6E" w:rsidRDefault="00BC4C6E" w:rsidP="00B91F1C">
      <w:pPr>
        <w:tabs>
          <w:tab w:val="left" w:pos="5580"/>
        </w:tabs>
        <w:autoSpaceDE w:val="0"/>
        <w:autoSpaceDN w:val="0"/>
        <w:adjustRightInd w:val="0"/>
        <w:spacing w:line="360" w:lineRule="auto"/>
        <w:ind w:left="-90"/>
        <w:jc w:val="center"/>
        <w:rPr>
          <w:rFonts w:ascii="Cambria" w:hAnsi="Cambria" w:cs="Arial"/>
          <w:b/>
        </w:rPr>
      </w:pPr>
    </w:p>
    <w:p w14:paraId="784F27B7" w14:textId="0FB392AA" w:rsidR="00BC4C6E" w:rsidRDefault="00BC4C6E" w:rsidP="00B91F1C">
      <w:pPr>
        <w:tabs>
          <w:tab w:val="left" w:pos="5580"/>
        </w:tabs>
        <w:autoSpaceDE w:val="0"/>
        <w:autoSpaceDN w:val="0"/>
        <w:adjustRightInd w:val="0"/>
        <w:spacing w:line="360" w:lineRule="auto"/>
        <w:ind w:left="-90"/>
        <w:jc w:val="center"/>
        <w:rPr>
          <w:rFonts w:ascii="Cambria" w:hAnsi="Cambria" w:cs="Arial"/>
          <w:b/>
        </w:rPr>
      </w:pPr>
    </w:p>
    <w:p w14:paraId="1F418BF4" w14:textId="77777777" w:rsidR="003A6424" w:rsidRDefault="003A6424" w:rsidP="00B91F1C">
      <w:pPr>
        <w:tabs>
          <w:tab w:val="left" w:pos="5580"/>
        </w:tabs>
        <w:autoSpaceDE w:val="0"/>
        <w:autoSpaceDN w:val="0"/>
        <w:adjustRightInd w:val="0"/>
        <w:spacing w:line="360" w:lineRule="auto"/>
        <w:ind w:left="-90"/>
        <w:jc w:val="center"/>
        <w:rPr>
          <w:rFonts w:ascii="Cambria" w:hAnsi="Cambria" w:cs="Arial"/>
          <w:b/>
        </w:rPr>
      </w:pPr>
    </w:p>
    <w:p w14:paraId="6F7783D1" w14:textId="77777777" w:rsidR="003A6424" w:rsidRDefault="003A6424" w:rsidP="00B91F1C">
      <w:pPr>
        <w:tabs>
          <w:tab w:val="left" w:pos="5580"/>
        </w:tabs>
        <w:autoSpaceDE w:val="0"/>
        <w:autoSpaceDN w:val="0"/>
        <w:adjustRightInd w:val="0"/>
        <w:spacing w:line="360" w:lineRule="auto"/>
        <w:ind w:left="-90"/>
        <w:jc w:val="center"/>
        <w:rPr>
          <w:rFonts w:ascii="Cambria" w:hAnsi="Cambria" w:cs="Arial"/>
          <w:b/>
        </w:rPr>
      </w:pPr>
    </w:p>
    <w:p w14:paraId="770E4EE8" w14:textId="77777777" w:rsidR="00BC4C6E" w:rsidRDefault="00BC4C6E" w:rsidP="00B91F1C">
      <w:pPr>
        <w:tabs>
          <w:tab w:val="left" w:pos="5580"/>
        </w:tabs>
        <w:autoSpaceDE w:val="0"/>
        <w:autoSpaceDN w:val="0"/>
        <w:adjustRightInd w:val="0"/>
        <w:spacing w:line="360" w:lineRule="auto"/>
        <w:ind w:left="-90"/>
        <w:jc w:val="center"/>
        <w:rPr>
          <w:rFonts w:ascii="Cambria" w:hAnsi="Cambria" w:cs="Arial"/>
          <w:b/>
        </w:rPr>
      </w:pPr>
    </w:p>
    <w:p w14:paraId="7287EEB8" w14:textId="77777777" w:rsidR="00FB208C" w:rsidRPr="00BF0E9D" w:rsidRDefault="00670C03" w:rsidP="00B91F1C">
      <w:pPr>
        <w:tabs>
          <w:tab w:val="left" w:pos="5580"/>
        </w:tabs>
        <w:autoSpaceDE w:val="0"/>
        <w:autoSpaceDN w:val="0"/>
        <w:adjustRightInd w:val="0"/>
        <w:spacing w:line="360" w:lineRule="auto"/>
        <w:ind w:left="-86"/>
        <w:rPr>
          <w:rFonts w:ascii="Cambria" w:hAnsi="Cambria" w:cs="Arial"/>
          <w:b/>
        </w:rPr>
      </w:pPr>
      <w:r w:rsidRPr="00BF0E9D">
        <w:rPr>
          <w:rFonts w:ascii="Cambria" w:hAnsi="Cambria" w:cs="Arial"/>
          <w:b/>
        </w:rPr>
        <w:lastRenderedPageBreak/>
        <w:t>B</w:t>
      </w:r>
      <w:r w:rsidR="00BF47FD" w:rsidRPr="00BF0E9D">
        <w:rPr>
          <w:rFonts w:ascii="Cambria" w:hAnsi="Cambria" w:cs="Arial"/>
          <w:b/>
        </w:rPr>
        <w:t xml:space="preserve">EFORE THE </w:t>
      </w:r>
      <w:r w:rsidR="00F807C8" w:rsidRPr="00BF0E9D">
        <w:rPr>
          <w:rFonts w:ascii="Cambria" w:hAnsi="Cambria" w:cs="Arial"/>
          <w:b/>
        </w:rPr>
        <w:t>ODISHA</w:t>
      </w:r>
      <w:r w:rsidR="00BF47FD" w:rsidRPr="00BF0E9D">
        <w:rPr>
          <w:rFonts w:ascii="Cambria" w:hAnsi="Cambria" w:cs="Arial"/>
          <w:b/>
        </w:rPr>
        <w:t xml:space="preserve"> E</w:t>
      </w:r>
      <w:smartTag w:uri="urn:schemas-microsoft-com:office:smarttags" w:element="stockticker">
        <w:r w:rsidR="00BF47FD" w:rsidRPr="00BF0E9D">
          <w:rPr>
            <w:rFonts w:ascii="Cambria" w:hAnsi="Cambria" w:cs="Arial"/>
            <w:b/>
          </w:rPr>
          <w:t>LECT</w:t>
        </w:r>
      </w:smartTag>
      <w:r w:rsidR="00BF47FD" w:rsidRPr="00BF0E9D">
        <w:rPr>
          <w:rFonts w:ascii="Cambria" w:hAnsi="Cambria" w:cs="Arial"/>
          <w:b/>
        </w:rPr>
        <w:t>RI</w:t>
      </w:r>
      <w:smartTag w:uri="urn:schemas-microsoft-com:office:smarttags" w:element="stockticker">
        <w:r w:rsidR="00BF47FD" w:rsidRPr="00BF0E9D">
          <w:rPr>
            <w:rFonts w:ascii="Cambria" w:hAnsi="Cambria" w:cs="Arial"/>
            <w:b/>
          </w:rPr>
          <w:t>CITY</w:t>
        </w:r>
      </w:smartTag>
      <w:r w:rsidR="00BF47FD" w:rsidRPr="00BF0E9D">
        <w:rPr>
          <w:rFonts w:ascii="Cambria" w:hAnsi="Cambria" w:cs="Arial"/>
          <w:b/>
        </w:rPr>
        <w:t xml:space="preserve"> REGULATORY COMMISSION BHUBANESWAR</w:t>
      </w:r>
    </w:p>
    <w:p w14:paraId="63DE0F57" w14:textId="77777777" w:rsidR="00BF47FD" w:rsidRPr="00BF0E9D" w:rsidRDefault="00BF47FD" w:rsidP="00B91F1C">
      <w:pPr>
        <w:tabs>
          <w:tab w:val="left" w:pos="5580"/>
        </w:tabs>
        <w:autoSpaceDE w:val="0"/>
        <w:autoSpaceDN w:val="0"/>
        <w:adjustRightInd w:val="0"/>
        <w:spacing w:line="360" w:lineRule="auto"/>
        <w:ind w:left="-90"/>
        <w:jc w:val="both"/>
        <w:rPr>
          <w:rFonts w:ascii="Cambria" w:hAnsi="Cambria" w:cs="Arial"/>
          <w:b/>
        </w:rPr>
      </w:pPr>
      <w:r w:rsidRPr="00BF0E9D">
        <w:rPr>
          <w:rFonts w:ascii="Cambria" w:hAnsi="Cambria" w:cs="Arial"/>
          <w:b/>
        </w:rPr>
        <w:t xml:space="preserve">IN THE MATTER OF </w:t>
      </w:r>
    </w:p>
    <w:p w14:paraId="58FF583E" w14:textId="191EE25D" w:rsidR="005553F4" w:rsidRDefault="00BF47FD" w:rsidP="00B91F1C">
      <w:pPr>
        <w:autoSpaceDE w:val="0"/>
        <w:autoSpaceDN w:val="0"/>
        <w:adjustRightInd w:val="0"/>
        <w:spacing w:line="360" w:lineRule="auto"/>
        <w:ind w:left="2250"/>
        <w:jc w:val="both"/>
      </w:pPr>
      <w:r w:rsidRPr="00BF0E9D">
        <w:rPr>
          <w:rFonts w:ascii="Cambria" w:hAnsi="Cambria" w:cs="Arial"/>
          <w:lang w:val="en-GB"/>
        </w:rPr>
        <w:t xml:space="preserve">An Application for approval of </w:t>
      </w:r>
      <w:r w:rsidR="002F7829">
        <w:rPr>
          <w:rFonts w:ascii="Cambria" w:hAnsi="Cambria" w:cs="Arial"/>
          <w:lang w:val="en-GB"/>
        </w:rPr>
        <w:t>Aggregate</w:t>
      </w:r>
      <w:r w:rsidRPr="00BF0E9D">
        <w:rPr>
          <w:rFonts w:ascii="Cambria" w:hAnsi="Cambria" w:cs="Arial"/>
          <w:lang w:val="en-GB"/>
        </w:rPr>
        <w:t xml:space="preserve"> Revenue Requirement and Retail Supply Tariff for the financial year </w:t>
      </w:r>
      <w:r w:rsidR="009A0E63">
        <w:rPr>
          <w:rFonts w:ascii="Cambria" w:hAnsi="Cambria" w:cs="Arial"/>
          <w:lang w:val="en-GB"/>
        </w:rPr>
        <w:t>2026-27</w:t>
      </w:r>
      <w:r w:rsidRPr="00BF0E9D">
        <w:rPr>
          <w:rFonts w:ascii="Cambria" w:hAnsi="Cambria" w:cs="Arial"/>
          <w:lang w:val="en-GB"/>
        </w:rPr>
        <w:t xml:space="preserve">, under Section 62 and other applicable provisions of the Electricity Act 2003 and in conformity with </w:t>
      </w:r>
      <w:r w:rsidR="004B05DE" w:rsidRPr="00BF0E9D">
        <w:rPr>
          <w:rFonts w:ascii="Cambria" w:hAnsi="Cambria" w:cs="Arial"/>
          <w:lang w:val="en-GB"/>
        </w:rPr>
        <w:t xml:space="preserve">the provisions </w:t>
      </w:r>
      <w:r w:rsidR="00362222" w:rsidRPr="00BF0E9D">
        <w:rPr>
          <w:rFonts w:ascii="Cambria" w:hAnsi="Cambria" w:cs="Arial"/>
          <w:lang w:val="en-GB"/>
        </w:rPr>
        <w:t>of OERC</w:t>
      </w:r>
      <w:r w:rsidR="004B05DE" w:rsidRPr="00BF0E9D">
        <w:rPr>
          <w:rFonts w:ascii="Cambria" w:hAnsi="Cambria" w:cs="Arial"/>
          <w:lang w:val="en-GB"/>
        </w:rPr>
        <w:t xml:space="preserve"> </w:t>
      </w:r>
      <w:r w:rsidR="005553F4">
        <w:t xml:space="preserve">(Terms and Conditions for determination of Wheeling Tariff and Retail Supply Tariff) Regulations, </w:t>
      </w:r>
      <w:r w:rsidR="00362222">
        <w:t xml:space="preserve">2022 </w:t>
      </w:r>
      <w:r w:rsidR="005553F4">
        <w:t>and OERC (Conduct of Business) Regulation 2004.</w:t>
      </w:r>
    </w:p>
    <w:p w14:paraId="56E921FB" w14:textId="77777777" w:rsidR="00BF47FD" w:rsidRPr="00BF0E9D" w:rsidRDefault="00BF47FD"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AND</w:t>
      </w:r>
    </w:p>
    <w:p w14:paraId="48C983C2" w14:textId="77777777" w:rsidR="00BF47FD" w:rsidRPr="00BF0E9D" w:rsidRDefault="00BF47FD" w:rsidP="00B91F1C">
      <w:pPr>
        <w:tabs>
          <w:tab w:val="left" w:pos="5580"/>
        </w:tabs>
        <w:autoSpaceDE w:val="0"/>
        <w:autoSpaceDN w:val="0"/>
        <w:adjustRightInd w:val="0"/>
        <w:spacing w:line="360" w:lineRule="auto"/>
        <w:ind w:left="-90"/>
        <w:jc w:val="both"/>
        <w:rPr>
          <w:rFonts w:ascii="Cambria" w:hAnsi="Cambria" w:cs="Arial"/>
        </w:rPr>
      </w:pPr>
      <w:r w:rsidRPr="00BF0E9D">
        <w:rPr>
          <w:rFonts w:ascii="Cambria" w:hAnsi="Cambria" w:cs="Arial"/>
          <w:b/>
        </w:rPr>
        <w:t xml:space="preserve">IN THE MATTER OF </w:t>
      </w:r>
    </w:p>
    <w:p w14:paraId="2F098049" w14:textId="77777777" w:rsidR="004100F1" w:rsidRDefault="004100F1" w:rsidP="004100F1">
      <w:pPr>
        <w:autoSpaceDE w:val="0"/>
        <w:autoSpaceDN w:val="0"/>
        <w:adjustRightInd w:val="0"/>
        <w:spacing w:line="360" w:lineRule="auto"/>
        <w:ind w:left="2250"/>
        <w:jc w:val="both"/>
        <w:rPr>
          <w:rFonts w:ascii="Cambria" w:hAnsi="Cambria" w:cs="Arial"/>
          <w:lang w:val="en-GB"/>
        </w:rPr>
      </w:pPr>
      <w:r>
        <w:rPr>
          <w:rFonts w:ascii="Cambria" w:hAnsi="Cambria" w:cs="Arial"/>
          <w:lang w:val="en-GB"/>
        </w:rPr>
        <w:t>TP Western Odisha Distribution Ltd (TPWODL)</w:t>
      </w:r>
    </w:p>
    <w:p w14:paraId="1A8B4CE9" w14:textId="77777777" w:rsidR="004100F1" w:rsidRPr="00BF0E9D" w:rsidRDefault="004100F1" w:rsidP="004100F1">
      <w:pPr>
        <w:autoSpaceDE w:val="0"/>
        <w:autoSpaceDN w:val="0"/>
        <w:adjustRightInd w:val="0"/>
        <w:spacing w:line="360" w:lineRule="auto"/>
        <w:ind w:left="2160"/>
        <w:jc w:val="both"/>
        <w:rPr>
          <w:rFonts w:ascii="Cambria" w:hAnsi="Cambria" w:cs="Arial"/>
        </w:rPr>
      </w:pPr>
      <w:r>
        <w:rPr>
          <w:rFonts w:ascii="Cambria" w:hAnsi="Cambria" w:cs="Arial"/>
          <w:lang w:val="en-GB"/>
        </w:rPr>
        <w:t>Corporate Office, Burla, Sambalpur, Odisha-768017</w:t>
      </w:r>
    </w:p>
    <w:p w14:paraId="6D1238B2" w14:textId="77777777" w:rsidR="004100F1" w:rsidRPr="00BF0E9D" w:rsidRDefault="004100F1" w:rsidP="004100F1">
      <w:pPr>
        <w:autoSpaceDE w:val="0"/>
        <w:autoSpaceDN w:val="0"/>
        <w:adjustRightInd w:val="0"/>
        <w:spacing w:line="360" w:lineRule="auto"/>
        <w:ind w:left="-90"/>
        <w:jc w:val="both"/>
        <w:rPr>
          <w:rFonts w:ascii="Cambria" w:hAnsi="Cambria" w:cs="Arial"/>
          <w:b/>
          <w:bCs/>
        </w:rPr>
      </w:pP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bCs/>
        </w:rPr>
        <w:tab/>
      </w:r>
      <w:r w:rsidRPr="00BF0E9D">
        <w:rPr>
          <w:rFonts w:ascii="Cambria" w:hAnsi="Cambria" w:cs="Arial"/>
          <w:b/>
          <w:bCs/>
        </w:rPr>
        <w:tab/>
      </w:r>
      <w:r w:rsidRPr="00BF0E9D">
        <w:rPr>
          <w:rFonts w:ascii="Cambria" w:hAnsi="Cambria" w:cs="Arial"/>
          <w:b/>
          <w:bCs/>
        </w:rPr>
        <w:tab/>
        <w:t>---------</w:t>
      </w:r>
      <w:r>
        <w:rPr>
          <w:rFonts w:ascii="Cambria" w:hAnsi="Cambria" w:cs="Arial"/>
          <w:b/>
          <w:bCs/>
        </w:rPr>
        <w:t>TPWODL</w:t>
      </w:r>
    </w:p>
    <w:p w14:paraId="1E2DFCF5" w14:textId="77777777" w:rsidR="00BF47FD" w:rsidRPr="00BF0E9D" w:rsidRDefault="00BF47FD" w:rsidP="00B91F1C">
      <w:pPr>
        <w:autoSpaceDE w:val="0"/>
        <w:autoSpaceDN w:val="0"/>
        <w:adjustRightInd w:val="0"/>
        <w:spacing w:line="360" w:lineRule="auto"/>
        <w:ind w:left="2160"/>
        <w:jc w:val="both"/>
        <w:rPr>
          <w:rFonts w:ascii="Cambria" w:hAnsi="Cambria" w:cs="Arial"/>
        </w:rPr>
      </w:pPr>
    </w:p>
    <w:p w14:paraId="7F342D77" w14:textId="744DEF7D" w:rsidR="00BF47FD" w:rsidRPr="00BF0E9D" w:rsidRDefault="00BF47FD" w:rsidP="004100F1">
      <w:pPr>
        <w:autoSpaceDE w:val="0"/>
        <w:autoSpaceDN w:val="0"/>
        <w:adjustRightInd w:val="0"/>
        <w:spacing w:line="360" w:lineRule="auto"/>
        <w:ind w:left="-90"/>
        <w:jc w:val="both"/>
        <w:rPr>
          <w:rFonts w:ascii="Cambria" w:hAnsi="Cambria" w:cs="Arial"/>
          <w:b/>
          <w:bCs/>
        </w:rPr>
      </w:pPr>
      <w:r w:rsidRPr="00BF0E9D">
        <w:rPr>
          <w:rFonts w:ascii="Cambria" w:hAnsi="Cambria" w:cs="Arial"/>
          <w:b/>
          <w:bCs/>
        </w:rPr>
        <w:t>Affidavit verifying the application for the</w:t>
      </w:r>
      <w:r w:rsidR="00F0624C">
        <w:rPr>
          <w:rFonts w:ascii="Cambria" w:hAnsi="Cambria" w:cs="Arial"/>
          <w:b/>
          <w:bCs/>
        </w:rPr>
        <w:t xml:space="preserve"> </w:t>
      </w:r>
      <w:r w:rsidR="00DE5E6E">
        <w:rPr>
          <w:rFonts w:ascii="Cambria" w:hAnsi="Cambria" w:cs="Arial"/>
          <w:b/>
          <w:bCs/>
        </w:rPr>
        <w:t>Aggregate</w:t>
      </w:r>
      <w:r w:rsidRPr="00BF0E9D">
        <w:rPr>
          <w:rFonts w:ascii="Cambria" w:hAnsi="Cambria" w:cs="Arial"/>
          <w:b/>
          <w:bCs/>
        </w:rPr>
        <w:t xml:space="preserve"> Revenue Requirement and Tariff Application</w:t>
      </w:r>
    </w:p>
    <w:p w14:paraId="0FC13D1F" w14:textId="77777777" w:rsidR="000A6635" w:rsidRPr="00BF0E9D" w:rsidRDefault="000A6635" w:rsidP="00B91F1C">
      <w:pPr>
        <w:autoSpaceDE w:val="0"/>
        <w:autoSpaceDN w:val="0"/>
        <w:adjustRightInd w:val="0"/>
        <w:spacing w:line="360" w:lineRule="auto"/>
        <w:ind w:left="-90"/>
        <w:jc w:val="both"/>
        <w:rPr>
          <w:rFonts w:ascii="Cambria" w:hAnsi="Cambria" w:cs="Arial"/>
          <w:lang w:val="en-GB"/>
        </w:rPr>
      </w:pPr>
    </w:p>
    <w:p w14:paraId="035290BA" w14:textId="0AD292C5"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 xml:space="preserve">I, </w:t>
      </w:r>
      <w:r w:rsidR="007305D9">
        <w:rPr>
          <w:rFonts w:ascii="Cambria" w:hAnsi="Cambria" w:cs="Arial"/>
          <w:lang w:val="en-GB"/>
        </w:rPr>
        <w:t>Manoj Kumar Panda</w:t>
      </w:r>
      <w:r w:rsidR="00B52A86" w:rsidRPr="004100F1">
        <w:rPr>
          <w:rFonts w:ascii="Cambria" w:hAnsi="Cambria" w:cs="Arial"/>
          <w:lang w:val="en-GB"/>
        </w:rPr>
        <w:t xml:space="preserve">, </w:t>
      </w:r>
      <w:r w:rsidR="003517F9" w:rsidRPr="00861934">
        <w:rPr>
          <w:rFonts w:ascii="Cambria" w:hAnsi="Cambria"/>
        </w:rPr>
        <w:t xml:space="preserve">S/o. </w:t>
      </w:r>
      <w:r w:rsidR="003517F9">
        <w:rPr>
          <w:rFonts w:ascii="Cambria" w:hAnsi="Cambria"/>
        </w:rPr>
        <w:t>Sri Ramesh Chandra Panda</w:t>
      </w:r>
      <w:r w:rsidR="00B52A86" w:rsidRPr="004100F1">
        <w:rPr>
          <w:rFonts w:ascii="Cambria" w:hAnsi="Cambria" w:cs="Arial"/>
          <w:lang w:val="en-GB"/>
        </w:rPr>
        <w:t xml:space="preserve">, aged about </w:t>
      </w:r>
      <w:r w:rsidR="00B52A86" w:rsidRPr="000F221E">
        <w:rPr>
          <w:rFonts w:ascii="Cambria" w:hAnsi="Cambria" w:cs="Arial"/>
          <w:lang w:val="en-GB"/>
        </w:rPr>
        <w:t>5</w:t>
      </w:r>
      <w:r w:rsidR="00926FD2" w:rsidRPr="000F221E">
        <w:rPr>
          <w:rFonts w:ascii="Cambria" w:hAnsi="Cambria" w:cs="Arial"/>
          <w:lang w:val="en-GB"/>
        </w:rPr>
        <w:t>5</w:t>
      </w:r>
      <w:r w:rsidR="00B52A86" w:rsidRPr="004100F1">
        <w:rPr>
          <w:rFonts w:ascii="Cambria" w:hAnsi="Cambria" w:cs="Arial"/>
          <w:lang w:val="en-GB"/>
        </w:rPr>
        <w:t xml:space="preserve"> years</w:t>
      </w:r>
      <w:r w:rsidRPr="00BF0E9D">
        <w:rPr>
          <w:rFonts w:ascii="Cambria" w:hAnsi="Cambria" w:cs="Arial"/>
          <w:lang w:val="en-GB"/>
        </w:rPr>
        <w:t>, residing at</w:t>
      </w:r>
      <w:r w:rsidR="00CA52CC" w:rsidRPr="00BF0E9D">
        <w:rPr>
          <w:rFonts w:ascii="Cambria" w:hAnsi="Cambria" w:cs="Arial"/>
          <w:lang w:val="en-GB"/>
        </w:rPr>
        <w:t>, Sambalpur</w:t>
      </w:r>
      <w:r w:rsidRPr="00BF0E9D">
        <w:rPr>
          <w:rFonts w:ascii="Cambria" w:hAnsi="Cambria" w:cs="Arial"/>
          <w:lang w:val="en-GB"/>
        </w:rPr>
        <w:t xml:space="preserve">, do hereby solemnly affirm and state as </w:t>
      </w:r>
      <w:r w:rsidR="004100F1" w:rsidRPr="00BF0E9D">
        <w:rPr>
          <w:rFonts w:ascii="Cambria" w:hAnsi="Cambria" w:cs="Arial"/>
          <w:lang w:val="en-GB"/>
        </w:rPr>
        <w:t>follows: -</w:t>
      </w:r>
    </w:p>
    <w:p w14:paraId="1186E778" w14:textId="77777777" w:rsidR="00BF47FD" w:rsidRPr="00BF0E9D" w:rsidRDefault="00BF47FD" w:rsidP="00B91F1C">
      <w:pPr>
        <w:autoSpaceDE w:val="0"/>
        <w:autoSpaceDN w:val="0"/>
        <w:adjustRightInd w:val="0"/>
        <w:spacing w:line="360" w:lineRule="auto"/>
        <w:ind w:left="-90"/>
        <w:jc w:val="both"/>
        <w:rPr>
          <w:rFonts w:ascii="Cambria" w:hAnsi="Cambria" w:cs="Arial"/>
          <w:sz w:val="16"/>
          <w:szCs w:val="16"/>
          <w:lang w:val="en-GB"/>
        </w:rPr>
      </w:pPr>
    </w:p>
    <w:p w14:paraId="7F6AAD66" w14:textId="16193299" w:rsidR="00BF47FD" w:rsidRDefault="00926FD2" w:rsidP="00B91F1C">
      <w:pPr>
        <w:autoSpaceDE w:val="0"/>
        <w:autoSpaceDN w:val="0"/>
        <w:adjustRightInd w:val="0"/>
        <w:spacing w:line="360" w:lineRule="auto"/>
        <w:ind w:left="-90"/>
        <w:jc w:val="both"/>
        <w:rPr>
          <w:rFonts w:ascii="Cambria" w:hAnsi="Cambria" w:cs="Arial"/>
          <w:lang w:val="en-GB"/>
        </w:rPr>
      </w:pPr>
      <w:r>
        <w:rPr>
          <w:rFonts w:ascii="Cambria" w:hAnsi="Cambria" w:cs="Arial"/>
          <w:lang w:val="en-GB"/>
        </w:rPr>
        <w:t xml:space="preserve">That, </w:t>
      </w:r>
      <w:r w:rsidR="00BF47FD" w:rsidRPr="00BF0E9D">
        <w:rPr>
          <w:rFonts w:ascii="Cambria" w:hAnsi="Cambria" w:cs="Arial"/>
          <w:lang w:val="en-GB"/>
        </w:rPr>
        <w:t xml:space="preserve">I am the </w:t>
      </w:r>
      <w:r w:rsidR="0066735D">
        <w:rPr>
          <w:rFonts w:ascii="Cambria" w:hAnsi="Cambria" w:cs="Arial"/>
          <w:lang w:val="en-GB"/>
        </w:rPr>
        <w:t>Head</w:t>
      </w:r>
      <w:r w:rsidR="003C6C82">
        <w:rPr>
          <w:rFonts w:ascii="Cambria" w:hAnsi="Cambria" w:cs="Arial"/>
          <w:lang w:val="en-GB"/>
        </w:rPr>
        <w:t xml:space="preserve"> (RA &amp; </w:t>
      </w:r>
      <w:r w:rsidR="0066735D">
        <w:rPr>
          <w:rFonts w:ascii="Cambria" w:hAnsi="Cambria" w:cs="Arial"/>
          <w:lang w:val="en-GB"/>
        </w:rPr>
        <w:t>PMAG</w:t>
      </w:r>
      <w:r w:rsidR="003C6C82">
        <w:rPr>
          <w:rFonts w:ascii="Cambria" w:hAnsi="Cambria" w:cs="Arial"/>
          <w:lang w:val="en-GB"/>
        </w:rPr>
        <w:t>)</w:t>
      </w:r>
      <w:r w:rsidR="00E278DA">
        <w:rPr>
          <w:rFonts w:ascii="Cambria" w:hAnsi="Cambria" w:cs="Arial"/>
          <w:lang w:val="en-GB"/>
        </w:rPr>
        <w:t xml:space="preserve"> of </w:t>
      </w:r>
      <w:r w:rsidR="004100F1">
        <w:rPr>
          <w:rFonts w:ascii="Cambria" w:hAnsi="Cambria" w:cs="Arial"/>
          <w:lang w:val="en-GB"/>
        </w:rPr>
        <w:t>TP Western Odisha Distribution Ltd. (TPWODL)</w:t>
      </w:r>
      <w:r w:rsidR="00BF47FD" w:rsidRPr="00BF0E9D">
        <w:rPr>
          <w:rFonts w:ascii="Cambria" w:hAnsi="Cambria" w:cs="Arial"/>
          <w:lang w:val="en-GB"/>
        </w:rPr>
        <w:t xml:space="preserve">, </w:t>
      </w:r>
      <w:r w:rsidR="004100F1">
        <w:rPr>
          <w:rFonts w:ascii="Cambria" w:hAnsi="Cambria" w:cs="Arial"/>
          <w:lang w:val="en-GB"/>
        </w:rPr>
        <w:t xml:space="preserve">Corporate </w:t>
      </w:r>
      <w:r w:rsidR="00BF47FD" w:rsidRPr="00BF0E9D">
        <w:rPr>
          <w:rFonts w:ascii="Cambria" w:hAnsi="Cambria" w:cs="Arial"/>
          <w:lang w:val="en-GB"/>
        </w:rPr>
        <w:t>Office-</w:t>
      </w:r>
      <w:r w:rsidR="005553F4">
        <w:rPr>
          <w:rFonts w:ascii="Cambria" w:hAnsi="Cambria" w:cs="Arial"/>
          <w:lang w:val="en-GB"/>
        </w:rPr>
        <w:t>Burla</w:t>
      </w:r>
      <w:r w:rsidR="00BF47FD" w:rsidRPr="00BF0E9D">
        <w:rPr>
          <w:rFonts w:ascii="Cambria" w:hAnsi="Cambria" w:cs="Arial"/>
          <w:lang w:val="en-GB"/>
        </w:rPr>
        <w:t xml:space="preserve">, </w:t>
      </w:r>
      <w:r w:rsidR="005553F4">
        <w:rPr>
          <w:rFonts w:ascii="Cambria" w:hAnsi="Cambria" w:cs="Arial"/>
          <w:lang w:val="en-GB"/>
        </w:rPr>
        <w:t>Sambalpur</w:t>
      </w:r>
      <w:r w:rsidR="00912E72" w:rsidRPr="00BF0E9D">
        <w:rPr>
          <w:rFonts w:ascii="Cambria" w:hAnsi="Cambria" w:cs="Arial"/>
          <w:lang w:val="en-GB"/>
        </w:rPr>
        <w:t>,</w:t>
      </w:r>
      <w:r w:rsidR="00BF47FD" w:rsidRPr="00BF0E9D">
        <w:rPr>
          <w:rFonts w:ascii="Cambria" w:hAnsi="Cambria" w:cs="Arial"/>
          <w:lang w:val="en-GB"/>
        </w:rPr>
        <w:t xml:space="preserve"> </w:t>
      </w:r>
      <w:r w:rsidR="005553F4">
        <w:rPr>
          <w:rFonts w:ascii="Cambria" w:hAnsi="Cambria" w:cs="Arial"/>
          <w:lang w:val="en-GB"/>
        </w:rPr>
        <w:t>Odisha</w:t>
      </w:r>
      <w:r w:rsidR="00BF47FD" w:rsidRPr="00BF0E9D">
        <w:rPr>
          <w:rFonts w:ascii="Cambria" w:hAnsi="Cambria" w:cs="Arial"/>
          <w:lang w:val="en-GB"/>
        </w:rPr>
        <w:t>-7</w:t>
      </w:r>
      <w:r w:rsidR="005553F4">
        <w:rPr>
          <w:rFonts w:ascii="Cambria" w:hAnsi="Cambria" w:cs="Arial"/>
          <w:lang w:val="en-GB"/>
        </w:rPr>
        <w:t>68017</w:t>
      </w:r>
      <w:r w:rsidR="00BF47FD" w:rsidRPr="00BF0E9D">
        <w:rPr>
          <w:rFonts w:ascii="Cambria" w:hAnsi="Cambria" w:cs="Arial"/>
          <w:lang w:val="en-GB"/>
        </w:rPr>
        <w:t>.</w:t>
      </w:r>
    </w:p>
    <w:p w14:paraId="16463BE3" w14:textId="77777777" w:rsidR="003C6C82" w:rsidRDefault="003C6C82" w:rsidP="00B91F1C">
      <w:pPr>
        <w:autoSpaceDE w:val="0"/>
        <w:autoSpaceDN w:val="0"/>
        <w:adjustRightInd w:val="0"/>
        <w:spacing w:line="360" w:lineRule="auto"/>
        <w:ind w:left="-90"/>
        <w:jc w:val="both"/>
        <w:rPr>
          <w:rFonts w:ascii="Cambria" w:hAnsi="Cambria" w:cs="Arial"/>
          <w:lang w:val="en-GB"/>
        </w:rPr>
      </w:pPr>
    </w:p>
    <w:p w14:paraId="7FF0BB93" w14:textId="31B0BE60" w:rsidR="003C6C82" w:rsidRPr="00BF0E9D" w:rsidRDefault="003C6C82" w:rsidP="00B91F1C">
      <w:pPr>
        <w:autoSpaceDE w:val="0"/>
        <w:autoSpaceDN w:val="0"/>
        <w:adjustRightInd w:val="0"/>
        <w:spacing w:line="360" w:lineRule="auto"/>
        <w:ind w:left="-90"/>
        <w:jc w:val="both"/>
        <w:rPr>
          <w:rFonts w:ascii="Cambria" w:hAnsi="Cambria" w:cs="Arial"/>
          <w:lang w:val="en-GB"/>
        </w:rPr>
      </w:pPr>
      <w:r w:rsidRPr="003C6C82">
        <w:rPr>
          <w:rFonts w:ascii="Cambria" w:hAnsi="Cambria" w:cs="Arial"/>
          <w:lang w:val="en-GB"/>
        </w:rPr>
        <w:t xml:space="preserve">That, I am authorized representative of TPWODL, the </w:t>
      </w:r>
      <w:r w:rsidR="00CF29B9">
        <w:rPr>
          <w:rFonts w:ascii="Cambria" w:hAnsi="Cambria" w:cs="Arial"/>
          <w:lang w:val="en-GB"/>
        </w:rPr>
        <w:t>A</w:t>
      </w:r>
      <w:r w:rsidRPr="003C6C82">
        <w:rPr>
          <w:rFonts w:ascii="Cambria" w:hAnsi="Cambria" w:cs="Arial"/>
          <w:lang w:val="en-GB"/>
        </w:rPr>
        <w:t xml:space="preserve">pplicant in the instant case and competent to swear this affidavit for and on behalf of the </w:t>
      </w:r>
      <w:r w:rsidR="00CF29B9">
        <w:rPr>
          <w:rFonts w:ascii="Cambria" w:hAnsi="Cambria" w:cs="Arial"/>
          <w:lang w:val="en-GB"/>
        </w:rPr>
        <w:t>L</w:t>
      </w:r>
      <w:r w:rsidRPr="003C6C82">
        <w:rPr>
          <w:rFonts w:ascii="Cambria" w:hAnsi="Cambria" w:cs="Arial"/>
          <w:lang w:val="en-GB"/>
        </w:rPr>
        <w:t>icensee</w:t>
      </w:r>
      <w:r w:rsidR="00CF29B9">
        <w:rPr>
          <w:rFonts w:ascii="Cambria" w:hAnsi="Cambria" w:cs="Arial"/>
          <w:lang w:val="en-GB"/>
        </w:rPr>
        <w:t>.</w:t>
      </w:r>
    </w:p>
    <w:p w14:paraId="3A8B2BD9" w14:textId="77777777" w:rsidR="00BF47FD" w:rsidRPr="00BF0E9D" w:rsidRDefault="00BF47FD" w:rsidP="00B91F1C">
      <w:pPr>
        <w:autoSpaceDE w:val="0"/>
        <w:autoSpaceDN w:val="0"/>
        <w:adjustRightInd w:val="0"/>
        <w:spacing w:line="360" w:lineRule="auto"/>
        <w:ind w:left="-90"/>
        <w:jc w:val="both"/>
        <w:rPr>
          <w:rFonts w:ascii="Cambria" w:hAnsi="Cambria" w:cs="Arial"/>
          <w:sz w:val="16"/>
          <w:szCs w:val="16"/>
          <w:lang w:val="en-GB"/>
        </w:rPr>
      </w:pPr>
    </w:p>
    <w:p w14:paraId="081DFF2C" w14:textId="3D059844"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The statements made above along with the annexures annexed to this</w:t>
      </w:r>
      <w:r w:rsidR="000948BB">
        <w:rPr>
          <w:rFonts w:ascii="Cambria" w:hAnsi="Cambria" w:cs="Arial"/>
          <w:lang w:val="en-GB"/>
        </w:rPr>
        <w:t xml:space="preserve"> </w:t>
      </w:r>
      <w:r w:rsidRPr="00BF0E9D">
        <w:rPr>
          <w:rFonts w:ascii="Cambria" w:hAnsi="Cambria" w:cs="Arial"/>
          <w:lang w:val="en-GB"/>
        </w:rPr>
        <w:t>application are true to the best of my knowledge and the statements made are based on information and records and</w:t>
      </w:r>
      <w:r w:rsidR="00912E72" w:rsidRPr="00BF0E9D">
        <w:rPr>
          <w:rFonts w:ascii="Cambria" w:hAnsi="Cambria" w:cs="Arial"/>
          <w:lang w:val="en-GB"/>
        </w:rPr>
        <w:t xml:space="preserve"> </w:t>
      </w:r>
      <w:r w:rsidRPr="00BF0E9D">
        <w:rPr>
          <w:rFonts w:ascii="Cambria" w:hAnsi="Cambria" w:cs="Arial"/>
          <w:lang w:val="en-GB"/>
        </w:rPr>
        <w:t>I believe them to be true.</w:t>
      </w:r>
    </w:p>
    <w:p w14:paraId="01D2FE93" w14:textId="77777777" w:rsidR="00BF47FD" w:rsidRPr="00BF0E9D" w:rsidRDefault="00BF47FD" w:rsidP="00B91F1C">
      <w:pPr>
        <w:autoSpaceDE w:val="0"/>
        <w:autoSpaceDN w:val="0"/>
        <w:adjustRightInd w:val="0"/>
        <w:spacing w:line="360" w:lineRule="auto"/>
        <w:ind w:left="-90"/>
        <w:jc w:val="both"/>
        <w:rPr>
          <w:rFonts w:ascii="Cambria" w:hAnsi="Cambria" w:cs="Arial"/>
        </w:rPr>
      </w:pPr>
    </w:p>
    <w:p w14:paraId="53ABD404" w14:textId="77777777" w:rsidR="00BF47FD" w:rsidRPr="00BF0E9D" w:rsidRDefault="003B1A30" w:rsidP="00B91F1C">
      <w:pPr>
        <w:autoSpaceDE w:val="0"/>
        <w:autoSpaceDN w:val="0"/>
        <w:adjustRightInd w:val="0"/>
        <w:spacing w:line="360" w:lineRule="auto"/>
        <w:ind w:left="-90"/>
        <w:jc w:val="both"/>
        <w:rPr>
          <w:rFonts w:ascii="Cambria" w:hAnsi="Cambria" w:cs="Arial"/>
        </w:rPr>
      </w:pPr>
      <w:r>
        <w:rPr>
          <w:rFonts w:ascii="Cambria" w:hAnsi="Cambria" w:cs="Arial"/>
        </w:rPr>
        <w:t>Place</w:t>
      </w:r>
    </w:p>
    <w:p w14:paraId="01F18682" w14:textId="700E3CCC" w:rsidR="00912E72" w:rsidRPr="00BF0E9D" w:rsidRDefault="00912E72" w:rsidP="00B91F1C">
      <w:pPr>
        <w:autoSpaceDE w:val="0"/>
        <w:autoSpaceDN w:val="0"/>
        <w:adjustRightInd w:val="0"/>
        <w:spacing w:line="360" w:lineRule="auto"/>
        <w:ind w:left="-90"/>
        <w:jc w:val="both"/>
        <w:rPr>
          <w:rFonts w:ascii="Cambria" w:hAnsi="Cambria" w:cs="Arial"/>
          <w:b/>
        </w:rPr>
      </w:pPr>
      <w:r w:rsidRPr="00BF0E9D">
        <w:rPr>
          <w:rFonts w:ascii="Cambria" w:hAnsi="Cambria" w:cs="Arial"/>
        </w:rPr>
        <w:t xml:space="preserve">Date </w:t>
      </w:r>
      <w:r w:rsidR="00C04372">
        <w:rPr>
          <w:rFonts w:ascii="Cambria" w:hAnsi="Cambria" w:cs="Arial"/>
        </w:rPr>
        <w:tab/>
      </w:r>
      <w:r w:rsidR="00C04372">
        <w:rPr>
          <w:rFonts w:ascii="Cambria" w:hAnsi="Cambria" w:cs="Arial"/>
        </w:rPr>
        <w:tab/>
      </w:r>
      <w:r w:rsidR="00C04372">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rPr>
        <w:t xml:space="preserve"> </w:t>
      </w:r>
      <w:r w:rsidR="000A6635" w:rsidRPr="00BF0E9D">
        <w:rPr>
          <w:rFonts w:ascii="Cambria" w:hAnsi="Cambria" w:cs="Arial"/>
          <w:b/>
        </w:rPr>
        <w:t xml:space="preserve">       </w:t>
      </w:r>
      <w:r w:rsidR="004100F1">
        <w:rPr>
          <w:rFonts w:ascii="Cambria" w:hAnsi="Cambria" w:cs="Arial"/>
          <w:b/>
        </w:rPr>
        <w:tab/>
      </w:r>
      <w:r w:rsidR="00CF29B9">
        <w:rPr>
          <w:rFonts w:ascii="Cambria" w:hAnsi="Cambria" w:cs="Arial"/>
          <w:b/>
        </w:rPr>
        <w:t xml:space="preserve">   </w:t>
      </w:r>
      <w:r w:rsidRPr="00BF0E9D">
        <w:rPr>
          <w:rFonts w:ascii="Cambria" w:hAnsi="Cambria" w:cs="Arial"/>
          <w:b/>
        </w:rPr>
        <w:t>DEPONENT</w:t>
      </w:r>
    </w:p>
    <w:p w14:paraId="53202D67" w14:textId="5024D5AB" w:rsidR="004E79A8" w:rsidRPr="00051738" w:rsidRDefault="004100F1" w:rsidP="00051738">
      <w:pPr>
        <w:tabs>
          <w:tab w:val="left" w:pos="5580"/>
        </w:tabs>
        <w:autoSpaceDE w:val="0"/>
        <w:autoSpaceDN w:val="0"/>
        <w:adjustRightInd w:val="0"/>
        <w:spacing w:line="360" w:lineRule="auto"/>
        <w:ind w:left="-90"/>
        <w:jc w:val="center"/>
        <w:rPr>
          <w:rFonts w:ascii="Cambria" w:hAnsi="Cambria" w:cs="Arial"/>
          <w:b/>
        </w:rPr>
      </w:pPr>
      <w:r>
        <w:rPr>
          <w:rFonts w:ascii="Cambria" w:hAnsi="Cambria" w:cs="Arial"/>
          <w:b/>
        </w:rPr>
        <w:tab/>
      </w:r>
      <w:r w:rsidR="00AC67A3">
        <w:rPr>
          <w:rFonts w:ascii="Cambria" w:hAnsi="Cambria" w:cs="Arial"/>
          <w:b/>
        </w:rPr>
        <w:t>Head</w:t>
      </w:r>
      <w:r w:rsidR="003C6C82">
        <w:rPr>
          <w:rFonts w:ascii="Cambria" w:hAnsi="Cambria" w:cs="Arial"/>
          <w:b/>
        </w:rPr>
        <w:t xml:space="preserve"> (RA &amp; </w:t>
      </w:r>
      <w:r w:rsidR="00AC67A3">
        <w:rPr>
          <w:rFonts w:ascii="Cambria" w:hAnsi="Cambria" w:cs="Arial"/>
          <w:b/>
        </w:rPr>
        <w:t>PMAG</w:t>
      </w:r>
      <w:r w:rsidR="003C6C82">
        <w:rPr>
          <w:rFonts w:ascii="Cambria" w:hAnsi="Cambria" w:cs="Arial"/>
          <w:b/>
        </w:rPr>
        <w:t>)</w:t>
      </w:r>
      <w:r w:rsidRPr="00BF0E9D">
        <w:rPr>
          <w:rFonts w:ascii="Cambria" w:hAnsi="Cambria" w:cs="Arial"/>
          <w:b/>
        </w:rPr>
        <w:t xml:space="preserve">, </w:t>
      </w:r>
      <w:r>
        <w:rPr>
          <w:rFonts w:ascii="Cambria" w:hAnsi="Cambria" w:cs="Arial"/>
          <w:b/>
        </w:rPr>
        <w:t xml:space="preserve">TPWODL </w:t>
      </w:r>
      <w:r w:rsidR="00DE3BDD" w:rsidRPr="00BF0E9D">
        <w:rPr>
          <w:rFonts w:ascii="Cambria" w:hAnsi="Cambria" w:cs="Arial"/>
        </w:rPr>
        <w:br w:type="page"/>
      </w:r>
    </w:p>
    <w:sdt>
      <w:sdtPr>
        <w:rPr>
          <w:rFonts w:ascii="Times New Roman" w:hAnsi="Times New Roman"/>
          <w:b w:val="0"/>
          <w:bCs w:val="0"/>
          <w:color w:val="auto"/>
          <w:sz w:val="24"/>
          <w:szCs w:val="24"/>
        </w:rPr>
        <w:id w:val="-798142460"/>
        <w:docPartObj>
          <w:docPartGallery w:val="Table of Contents"/>
          <w:docPartUnique/>
        </w:docPartObj>
      </w:sdtPr>
      <w:sdtEndPr>
        <w:rPr>
          <w:noProof/>
        </w:rPr>
      </w:sdtEndPr>
      <w:sdtContent>
        <w:p w14:paraId="3260422D" w14:textId="6E5FB1DC" w:rsidR="00051738" w:rsidRDefault="00051738">
          <w:pPr>
            <w:pStyle w:val="TOCHeading"/>
          </w:pPr>
          <w:r>
            <w:t>Table of Contents</w:t>
          </w:r>
        </w:p>
        <w:p w14:paraId="045CB7E8" w14:textId="57641905" w:rsidR="006741B6" w:rsidRDefault="00051738">
          <w:pPr>
            <w:pStyle w:val="TOC1"/>
            <w:tabs>
              <w:tab w:val="left" w:pos="480"/>
              <w:tab w:val="right" w:leader="dot" w:pos="9200"/>
            </w:tabs>
            <w:rPr>
              <w:rFonts w:asciiTheme="minorHAnsi" w:eastAsiaTheme="minorEastAsia" w:hAnsiTheme="minorHAnsi" w:cstheme="minorBidi"/>
              <w:noProof/>
              <w:sz w:val="22"/>
              <w:szCs w:val="22"/>
              <w:lang w:val="en-IN" w:eastAsia="en-IN"/>
            </w:rPr>
          </w:pPr>
          <w:r>
            <w:fldChar w:fldCharType="begin"/>
          </w:r>
          <w:r>
            <w:instrText xml:space="preserve"> TOC \o "1-3" \h \z \u </w:instrText>
          </w:r>
          <w:r>
            <w:fldChar w:fldCharType="separate"/>
          </w:r>
          <w:hyperlink w:anchor="_Toc215250604" w:history="1">
            <w:r w:rsidR="006741B6" w:rsidRPr="007F4554">
              <w:rPr>
                <w:rStyle w:val="Hyperlink"/>
                <w:rFonts w:ascii="Cambria" w:hAnsi="Cambria"/>
                <w:noProof/>
              </w:rPr>
              <w:t>1.</w:t>
            </w:r>
            <w:r w:rsidR="006741B6">
              <w:rPr>
                <w:rFonts w:asciiTheme="minorHAnsi" w:eastAsiaTheme="minorEastAsia" w:hAnsiTheme="minorHAnsi" w:cstheme="minorBidi"/>
                <w:noProof/>
                <w:sz w:val="22"/>
                <w:szCs w:val="22"/>
                <w:lang w:val="en-IN" w:eastAsia="en-IN"/>
              </w:rPr>
              <w:tab/>
            </w:r>
            <w:r w:rsidR="006741B6" w:rsidRPr="007F4554">
              <w:rPr>
                <w:rStyle w:val="Hyperlink"/>
                <w:rFonts w:ascii="Cambria" w:hAnsi="Cambria"/>
                <w:noProof/>
              </w:rPr>
              <w:t>Executive Summary</w:t>
            </w:r>
            <w:r w:rsidR="006741B6">
              <w:rPr>
                <w:noProof/>
                <w:webHidden/>
              </w:rPr>
              <w:tab/>
            </w:r>
            <w:r w:rsidR="006741B6">
              <w:rPr>
                <w:noProof/>
                <w:webHidden/>
              </w:rPr>
              <w:fldChar w:fldCharType="begin"/>
            </w:r>
            <w:r w:rsidR="006741B6">
              <w:rPr>
                <w:noProof/>
                <w:webHidden/>
              </w:rPr>
              <w:instrText xml:space="preserve"> PAGEREF _Toc215250604 \h </w:instrText>
            </w:r>
            <w:r w:rsidR="006741B6">
              <w:rPr>
                <w:noProof/>
                <w:webHidden/>
              </w:rPr>
            </w:r>
            <w:r w:rsidR="006741B6">
              <w:rPr>
                <w:noProof/>
                <w:webHidden/>
              </w:rPr>
              <w:fldChar w:fldCharType="separate"/>
            </w:r>
            <w:r w:rsidR="006741B6">
              <w:rPr>
                <w:noProof/>
                <w:webHidden/>
              </w:rPr>
              <w:t>4</w:t>
            </w:r>
            <w:r w:rsidR="006741B6">
              <w:rPr>
                <w:noProof/>
                <w:webHidden/>
              </w:rPr>
              <w:fldChar w:fldCharType="end"/>
            </w:r>
          </w:hyperlink>
        </w:p>
        <w:p w14:paraId="7407DF6C" w14:textId="761A09C4" w:rsidR="006741B6" w:rsidRDefault="006741B6">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215250605" w:history="1">
            <w:r w:rsidRPr="007F4554">
              <w:rPr>
                <w:rStyle w:val="Hyperlink"/>
                <w:rFonts w:ascii="Cambria" w:hAnsi="Cambria"/>
                <w:noProof/>
              </w:rPr>
              <w:t>2.</w:t>
            </w:r>
            <w:r>
              <w:rPr>
                <w:rFonts w:asciiTheme="minorHAnsi" w:eastAsiaTheme="minorEastAsia" w:hAnsiTheme="minorHAnsi" w:cstheme="minorBidi"/>
                <w:noProof/>
                <w:sz w:val="22"/>
                <w:szCs w:val="22"/>
                <w:lang w:val="en-IN" w:eastAsia="en-IN"/>
              </w:rPr>
              <w:tab/>
            </w:r>
            <w:r w:rsidRPr="007F4554">
              <w:rPr>
                <w:rStyle w:val="Hyperlink"/>
                <w:rFonts w:ascii="Cambria" w:hAnsi="Cambria"/>
                <w:noProof/>
              </w:rPr>
              <w:t>Revenue Requirement for FY 2026-27</w:t>
            </w:r>
            <w:r>
              <w:rPr>
                <w:noProof/>
                <w:webHidden/>
              </w:rPr>
              <w:tab/>
            </w:r>
            <w:r>
              <w:rPr>
                <w:noProof/>
                <w:webHidden/>
              </w:rPr>
              <w:fldChar w:fldCharType="begin"/>
            </w:r>
            <w:r>
              <w:rPr>
                <w:noProof/>
                <w:webHidden/>
              </w:rPr>
              <w:instrText xml:space="preserve"> PAGEREF _Toc215250605 \h </w:instrText>
            </w:r>
            <w:r>
              <w:rPr>
                <w:noProof/>
                <w:webHidden/>
              </w:rPr>
            </w:r>
            <w:r>
              <w:rPr>
                <w:noProof/>
                <w:webHidden/>
              </w:rPr>
              <w:fldChar w:fldCharType="separate"/>
            </w:r>
            <w:r>
              <w:rPr>
                <w:noProof/>
                <w:webHidden/>
              </w:rPr>
              <w:t>15</w:t>
            </w:r>
            <w:r>
              <w:rPr>
                <w:noProof/>
                <w:webHidden/>
              </w:rPr>
              <w:fldChar w:fldCharType="end"/>
            </w:r>
          </w:hyperlink>
        </w:p>
        <w:p w14:paraId="6D132F83" w14:textId="6A16451D" w:rsidR="006741B6" w:rsidRDefault="006741B6">
          <w:pPr>
            <w:pStyle w:val="TOC2"/>
            <w:tabs>
              <w:tab w:val="left" w:pos="880"/>
              <w:tab w:val="right" w:leader="dot" w:pos="9200"/>
            </w:tabs>
            <w:rPr>
              <w:rFonts w:asciiTheme="minorHAnsi" w:eastAsiaTheme="minorEastAsia" w:hAnsiTheme="minorHAnsi" w:cstheme="minorBidi"/>
              <w:noProof/>
              <w:sz w:val="22"/>
              <w:szCs w:val="22"/>
              <w:lang w:val="en-IN" w:eastAsia="en-IN"/>
            </w:rPr>
          </w:pPr>
          <w:hyperlink w:anchor="_Toc215250606" w:history="1">
            <w:r w:rsidRPr="007F4554">
              <w:rPr>
                <w:rStyle w:val="Hyperlink"/>
                <w:rFonts w:asciiTheme="majorHAnsi" w:hAnsiTheme="majorHAnsi"/>
                <w:noProof/>
              </w:rPr>
              <w:t>2.1.</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Data Sources</w:t>
            </w:r>
            <w:r>
              <w:rPr>
                <w:noProof/>
                <w:webHidden/>
              </w:rPr>
              <w:tab/>
            </w:r>
            <w:r>
              <w:rPr>
                <w:noProof/>
                <w:webHidden/>
              </w:rPr>
              <w:fldChar w:fldCharType="begin"/>
            </w:r>
            <w:r>
              <w:rPr>
                <w:noProof/>
                <w:webHidden/>
              </w:rPr>
              <w:instrText xml:space="preserve"> PAGEREF _Toc215250606 \h </w:instrText>
            </w:r>
            <w:r>
              <w:rPr>
                <w:noProof/>
                <w:webHidden/>
              </w:rPr>
            </w:r>
            <w:r>
              <w:rPr>
                <w:noProof/>
                <w:webHidden/>
              </w:rPr>
              <w:fldChar w:fldCharType="separate"/>
            </w:r>
            <w:r>
              <w:rPr>
                <w:noProof/>
                <w:webHidden/>
              </w:rPr>
              <w:t>17</w:t>
            </w:r>
            <w:r>
              <w:rPr>
                <w:noProof/>
                <w:webHidden/>
              </w:rPr>
              <w:fldChar w:fldCharType="end"/>
            </w:r>
          </w:hyperlink>
        </w:p>
        <w:p w14:paraId="1412A968" w14:textId="39FEF453" w:rsidR="006741B6" w:rsidRDefault="006741B6">
          <w:pPr>
            <w:pStyle w:val="TOC2"/>
            <w:tabs>
              <w:tab w:val="left" w:pos="880"/>
              <w:tab w:val="right" w:leader="dot" w:pos="9200"/>
            </w:tabs>
            <w:rPr>
              <w:rFonts w:asciiTheme="minorHAnsi" w:eastAsiaTheme="minorEastAsia" w:hAnsiTheme="minorHAnsi" w:cstheme="minorBidi"/>
              <w:noProof/>
              <w:sz w:val="22"/>
              <w:szCs w:val="22"/>
              <w:lang w:val="en-IN" w:eastAsia="en-IN"/>
            </w:rPr>
          </w:pPr>
          <w:hyperlink w:anchor="_Toc215250607" w:history="1">
            <w:r w:rsidRPr="007F4554">
              <w:rPr>
                <w:rStyle w:val="Hyperlink"/>
                <w:rFonts w:asciiTheme="majorHAnsi" w:hAnsiTheme="majorHAnsi"/>
                <w:noProof/>
              </w:rPr>
              <w:t>2.2.</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Sales Projection</w:t>
            </w:r>
            <w:r>
              <w:rPr>
                <w:noProof/>
                <w:webHidden/>
              </w:rPr>
              <w:tab/>
            </w:r>
            <w:r>
              <w:rPr>
                <w:noProof/>
                <w:webHidden/>
              </w:rPr>
              <w:fldChar w:fldCharType="begin"/>
            </w:r>
            <w:r>
              <w:rPr>
                <w:noProof/>
                <w:webHidden/>
              </w:rPr>
              <w:instrText xml:space="preserve"> PAGEREF _Toc215250607 \h </w:instrText>
            </w:r>
            <w:r>
              <w:rPr>
                <w:noProof/>
                <w:webHidden/>
              </w:rPr>
            </w:r>
            <w:r>
              <w:rPr>
                <w:noProof/>
                <w:webHidden/>
              </w:rPr>
              <w:fldChar w:fldCharType="separate"/>
            </w:r>
            <w:r>
              <w:rPr>
                <w:noProof/>
                <w:webHidden/>
              </w:rPr>
              <w:t>18</w:t>
            </w:r>
            <w:r>
              <w:rPr>
                <w:noProof/>
                <w:webHidden/>
              </w:rPr>
              <w:fldChar w:fldCharType="end"/>
            </w:r>
          </w:hyperlink>
        </w:p>
        <w:p w14:paraId="2AF9B527" w14:textId="043C32EE" w:rsidR="006741B6" w:rsidRDefault="006741B6">
          <w:pPr>
            <w:pStyle w:val="TOC2"/>
            <w:tabs>
              <w:tab w:val="left" w:pos="880"/>
              <w:tab w:val="right" w:leader="dot" w:pos="9200"/>
            </w:tabs>
            <w:rPr>
              <w:rFonts w:asciiTheme="minorHAnsi" w:eastAsiaTheme="minorEastAsia" w:hAnsiTheme="minorHAnsi" w:cstheme="minorBidi"/>
              <w:noProof/>
              <w:sz w:val="22"/>
              <w:szCs w:val="22"/>
              <w:lang w:val="en-IN" w:eastAsia="en-IN"/>
            </w:rPr>
          </w:pPr>
          <w:hyperlink w:anchor="_Toc215250608" w:history="1">
            <w:r w:rsidRPr="007F4554">
              <w:rPr>
                <w:rStyle w:val="Hyperlink"/>
                <w:rFonts w:asciiTheme="majorHAnsi" w:hAnsiTheme="majorHAnsi"/>
                <w:noProof/>
              </w:rPr>
              <w:t>2.3.</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Power Purchase Expenses &amp; SMD Projection</w:t>
            </w:r>
            <w:r>
              <w:rPr>
                <w:noProof/>
                <w:webHidden/>
              </w:rPr>
              <w:tab/>
            </w:r>
            <w:r>
              <w:rPr>
                <w:noProof/>
                <w:webHidden/>
              </w:rPr>
              <w:fldChar w:fldCharType="begin"/>
            </w:r>
            <w:r>
              <w:rPr>
                <w:noProof/>
                <w:webHidden/>
              </w:rPr>
              <w:instrText xml:space="preserve"> PAGEREF _Toc215250608 \h </w:instrText>
            </w:r>
            <w:r>
              <w:rPr>
                <w:noProof/>
                <w:webHidden/>
              </w:rPr>
            </w:r>
            <w:r>
              <w:rPr>
                <w:noProof/>
                <w:webHidden/>
              </w:rPr>
              <w:fldChar w:fldCharType="separate"/>
            </w:r>
            <w:r>
              <w:rPr>
                <w:noProof/>
                <w:webHidden/>
              </w:rPr>
              <w:t>27</w:t>
            </w:r>
            <w:r>
              <w:rPr>
                <w:noProof/>
                <w:webHidden/>
              </w:rPr>
              <w:fldChar w:fldCharType="end"/>
            </w:r>
          </w:hyperlink>
        </w:p>
        <w:p w14:paraId="48A75FC0" w14:textId="3DA0BE22" w:rsidR="006741B6" w:rsidRDefault="006741B6">
          <w:pPr>
            <w:pStyle w:val="TOC2"/>
            <w:tabs>
              <w:tab w:val="left" w:pos="880"/>
              <w:tab w:val="right" w:leader="dot" w:pos="9200"/>
            </w:tabs>
            <w:rPr>
              <w:rFonts w:asciiTheme="minorHAnsi" w:eastAsiaTheme="minorEastAsia" w:hAnsiTheme="minorHAnsi" w:cstheme="minorBidi"/>
              <w:noProof/>
              <w:sz w:val="22"/>
              <w:szCs w:val="22"/>
              <w:lang w:val="en-IN" w:eastAsia="en-IN"/>
            </w:rPr>
          </w:pPr>
          <w:hyperlink w:anchor="_Toc215250609" w:history="1">
            <w:r w:rsidRPr="007F4554">
              <w:rPr>
                <w:rStyle w:val="Hyperlink"/>
                <w:rFonts w:asciiTheme="majorHAnsi" w:hAnsiTheme="majorHAnsi"/>
                <w:noProof/>
              </w:rPr>
              <w:t>2.4.</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Employees Expenses</w:t>
            </w:r>
            <w:r>
              <w:rPr>
                <w:noProof/>
                <w:webHidden/>
              </w:rPr>
              <w:tab/>
            </w:r>
            <w:r>
              <w:rPr>
                <w:noProof/>
                <w:webHidden/>
              </w:rPr>
              <w:fldChar w:fldCharType="begin"/>
            </w:r>
            <w:r>
              <w:rPr>
                <w:noProof/>
                <w:webHidden/>
              </w:rPr>
              <w:instrText xml:space="preserve"> PAGEREF _Toc215250609 \h </w:instrText>
            </w:r>
            <w:r>
              <w:rPr>
                <w:noProof/>
                <w:webHidden/>
              </w:rPr>
            </w:r>
            <w:r>
              <w:rPr>
                <w:noProof/>
                <w:webHidden/>
              </w:rPr>
              <w:fldChar w:fldCharType="separate"/>
            </w:r>
            <w:r>
              <w:rPr>
                <w:noProof/>
                <w:webHidden/>
              </w:rPr>
              <w:t>30</w:t>
            </w:r>
            <w:r>
              <w:rPr>
                <w:noProof/>
                <w:webHidden/>
              </w:rPr>
              <w:fldChar w:fldCharType="end"/>
            </w:r>
          </w:hyperlink>
        </w:p>
        <w:p w14:paraId="581126A2" w14:textId="6BAA055A" w:rsidR="006741B6" w:rsidRDefault="006741B6">
          <w:pPr>
            <w:pStyle w:val="TOC2"/>
            <w:tabs>
              <w:tab w:val="left" w:pos="880"/>
              <w:tab w:val="right" w:leader="dot" w:pos="9200"/>
            </w:tabs>
            <w:rPr>
              <w:rFonts w:asciiTheme="minorHAnsi" w:eastAsiaTheme="minorEastAsia" w:hAnsiTheme="minorHAnsi" w:cstheme="minorBidi"/>
              <w:noProof/>
              <w:sz w:val="22"/>
              <w:szCs w:val="22"/>
              <w:lang w:val="en-IN" w:eastAsia="en-IN"/>
            </w:rPr>
          </w:pPr>
          <w:hyperlink w:anchor="_Toc215250610" w:history="1">
            <w:r w:rsidRPr="007F4554">
              <w:rPr>
                <w:rStyle w:val="Hyperlink"/>
                <w:rFonts w:asciiTheme="majorHAnsi" w:hAnsiTheme="majorHAnsi"/>
                <w:noProof/>
              </w:rPr>
              <w:t>2.5.</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Administrative and General Expenses</w:t>
            </w:r>
            <w:r>
              <w:rPr>
                <w:noProof/>
                <w:webHidden/>
              </w:rPr>
              <w:tab/>
            </w:r>
            <w:r>
              <w:rPr>
                <w:noProof/>
                <w:webHidden/>
              </w:rPr>
              <w:fldChar w:fldCharType="begin"/>
            </w:r>
            <w:r>
              <w:rPr>
                <w:noProof/>
                <w:webHidden/>
              </w:rPr>
              <w:instrText xml:space="preserve"> PAGEREF _Toc215250610 \h </w:instrText>
            </w:r>
            <w:r>
              <w:rPr>
                <w:noProof/>
                <w:webHidden/>
              </w:rPr>
            </w:r>
            <w:r>
              <w:rPr>
                <w:noProof/>
                <w:webHidden/>
              </w:rPr>
              <w:fldChar w:fldCharType="separate"/>
            </w:r>
            <w:r>
              <w:rPr>
                <w:noProof/>
                <w:webHidden/>
              </w:rPr>
              <w:t>42</w:t>
            </w:r>
            <w:r>
              <w:rPr>
                <w:noProof/>
                <w:webHidden/>
              </w:rPr>
              <w:fldChar w:fldCharType="end"/>
            </w:r>
          </w:hyperlink>
        </w:p>
        <w:p w14:paraId="2504058C" w14:textId="26DBF68D" w:rsidR="006741B6" w:rsidRDefault="006741B6">
          <w:pPr>
            <w:pStyle w:val="TOC3"/>
            <w:tabs>
              <w:tab w:val="left" w:pos="1320"/>
              <w:tab w:val="right" w:leader="dot" w:pos="9200"/>
            </w:tabs>
            <w:rPr>
              <w:rFonts w:asciiTheme="minorHAnsi" w:eastAsiaTheme="minorEastAsia" w:hAnsiTheme="minorHAnsi" w:cstheme="minorBidi"/>
              <w:noProof/>
              <w:sz w:val="22"/>
              <w:szCs w:val="22"/>
              <w:lang w:val="en-IN" w:eastAsia="en-IN"/>
            </w:rPr>
          </w:pPr>
          <w:hyperlink w:anchor="_Toc215250611" w:history="1">
            <w:r w:rsidRPr="007F4554">
              <w:rPr>
                <w:rStyle w:val="Hyperlink"/>
                <w:rFonts w:asciiTheme="majorHAnsi" w:hAnsiTheme="majorHAnsi"/>
                <w:noProof/>
              </w:rPr>
              <w:t>2.5.1.</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Energy Audit</w:t>
            </w:r>
            <w:r>
              <w:rPr>
                <w:noProof/>
                <w:webHidden/>
              </w:rPr>
              <w:tab/>
            </w:r>
            <w:r>
              <w:rPr>
                <w:noProof/>
                <w:webHidden/>
              </w:rPr>
              <w:fldChar w:fldCharType="begin"/>
            </w:r>
            <w:r>
              <w:rPr>
                <w:noProof/>
                <w:webHidden/>
              </w:rPr>
              <w:instrText xml:space="preserve"> PAGEREF _Toc215250611 \h </w:instrText>
            </w:r>
            <w:r>
              <w:rPr>
                <w:noProof/>
                <w:webHidden/>
              </w:rPr>
            </w:r>
            <w:r>
              <w:rPr>
                <w:noProof/>
                <w:webHidden/>
              </w:rPr>
              <w:fldChar w:fldCharType="separate"/>
            </w:r>
            <w:r>
              <w:rPr>
                <w:noProof/>
                <w:webHidden/>
              </w:rPr>
              <w:t>48</w:t>
            </w:r>
            <w:r>
              <w:rPr>
                <w:noProof/>
                <w:webHidden/>
              </w:rPr>
              <w:fldChar w:fldCharType="end"/>
            </w:r>
          </w:hyperlink>
        </w:p>
        <w:p w14:paraId="26558688" w14:textId="708328EF" w:rsidR="006741B6" w:rsidRDefault="006741B6">
          <w:pPr>
            <w:pStyle w:val="TOC3"/>
            <w:tabs>
              <w:tab w:val="left" w:pos="1320"/>
              <w:tab w:val="right" w:leader="dot" w:pos="9200"/>
            </w:tabs>
            <w:rPr>
              <w:rFonts w:asciiTheme="minorHAnsi" w:eastAsiaTheme="minorEastAsia" w:hAnsiTheme="minorHAnsi" w:cstheme="minorBidi"/>
              <w:noProof/>
              <w:sz w:val="22"/>
              <w:szCs w:val="22"/>
              <w:lang w:val="en-IN" w:eastAsia="en-IN"/>
            </w:rPr>
          </w:pPr>
          <w:hyperlink w:anchor="_Toc215250612" w:history="1">
            <w:r w:rsidRPr="007F4554">
              <w:rPr>
                <w:rStyle w:val="Hyperlink"/>
                <w:rFonts w:asciiTheme="majorHAnsi" w:hAnsiTheme="majorHAnsi"/>
                <w:noProof/>
              </w:rPr>
              <w:t>2.5.2.</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Customer Care &amp; Call Centre</w:t>
            </w:r>
            <w:r>
              <w:rPr>
                <w:noProof/>
                <w:webHidden/>
              </w:rPr>
              <w:tab/>
            </w:r>
            <w:r>
              <w:rPr>
                <w:noProof/>
                <w:webHidden/>
              </w:rPr>
              <w:fldChar w:fldCharType="begin"/>
            </w:r>
            <w:r>
              <w:rPr>
                <w:noProof/>
                <w:webHidden/>
              </w:rPr>
              <w:instrText xml:space="preserve"> PAGEREF _Toc215250612 \h </w:instrText>
            </w:r>
            <w:r>
              <w:rPr>
                <w:noProof/>
                <w:webHidden/>
              </w:rPr>
            </w:r>
            <w:r>
              <w:rPr>
                <w:noProof/>
                <w:webHidden/>
              </w:rPr>
              <w:fldChar w:fldCharType="separate"/>
            </w:r>
            <w:r>
              <w:rPr>
                <w:noProof/>
                <w:webHidden/>
              </w:rPr>
              <w:t>53</w:t>
            </w:r>
            <w:r>
              <w:rPr>
                <w:noProof/>
                <w:webHidden/>
              </w:rPr>
              <w:fldChar w:fldCharType="end"/>
            </w:r>
          </w:hyperlink>
        </w:p>
        <w:p w14:paraId="3A16CB80" w14:textId="3C248C61" w:rsidR="006741B6" w:rsidRDefault="006741B6">
          <w:pPr>
            <w:pStyle w:val="TOC3"/>
            <w:tabs>
              <w:tab w:val="left" w:pos="1320"/>
              <w:tab w:val="right" w:leader="dot" w:pos="9200"/>
            </w:tabs>
            <w:rPr>
              <w:rFonts w:asciiTheme="minorHAnsi" w:eastAsiaTheme="minorEastAsia" w:hAnsiTheme="minorHAnsi" w:cstheme="minorBidi"/>
              <w:noProof/>
              <w:sz w:val="22"/>
              <w:szCs w:val="22"/>
              <w:lang w:val="en-IN" w:eastAsia="en-IN"/>
            </w:rPr>
          </w:pPr>
          <w:hyperlink w:anchor="_Toc215250613" w:history="1">
            <w:r w:rsidRPr="007F4554">
              <w:rPr>
                <w:rStyle w:val="Hyperlink"/>
                <w:rFonts w:asciiTheme="majorHAnsi" w:hAnsiTheme="majorHAnsi"/>
                <w:noProof/>
              </w:rPr>
              <w:t>2.5.3.</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Loss Reduction</w:t>
            </w:r>
            <w:r>
              <w:rPr>
                <w:noProof/>
                <w:webHidden/>
              </w:rPr>
              <w:tab/>
            </w:r>
            <w:r>
              <w:rPr>
                <w:noProof/>
                <w:webHidden/>
              </w:rPr>
              <w:fldChar w:fldCharType="begin"/>
            </w:r>
            <w:r>
              <w:rPr>
                <w:noProof/>
                <w:webHidden/>
              </w:rPr>
              <w:instrText xml:space="preserve"> PAGEREF _Toc215250613 \h </w:instrText>
            </w:r>
            <w:r>
              <w:rPr>
                <w:noProof/>
                <w:webHidden/>
              </w:rPr>
            </w:r>
            <w:r>
              <w:rPr>
                <w:noProof/>
                <w:webHidden/>
              </w:rPr>
              <w:fldChar w:fldCharType="separate"/>
            </w:r>
            <w:r>
              <w:rPr>
                <w:noProof/>
                <w:webHidden/>
              </w:rPr>
              <w:t>57</w:t>
            </w:r>
            <w:r>
              <w:rPr>
                <w:noProof/>
                <w:webHidden/>
              </w:rPr>
              <w:fldChar w:fldCharType="end"/>
            </w:r>
          </w:hyperlink>
        </w:p>
        <w:p w14:paraId="1789BAE7" w14:textId="2CD3F32A" w:rsidR="006741B6" w:rsidRDefault="006741B6">
          <w:pPr>
            <w:pStyle w:val="TOC3"/>
            <w:tabs>
              <w:tab w:val="left" w:pos="1320"/>
              <w:tab w:val="right" w:leader="dot" w:pos="9200"/>
            </w:tabs>
            <w:rPr>
              <w:rFonts w:asciiTheme="minorHAnsi" w:eastAsiaTheme="minorEastAsia" w:hAnsiTheme="minorHAnsi" w:cstheme="minorBidi"/>
              <w:noProof/>
              <w:sz w:val="22"/>
              <w:szCs w:val="22"/>
              <w:lang w:val="en-IN" w:eastAsia="en-IN"/>
            </w:rPr>
          </w:pPr>
          <w:hyperlink w:anchor="_Toc215250614" w:history="1">
            <w:r w:rsidRPr="007F4554">
              <w:rPr>
                <w:rStyle w:val="Hyperlink"/>
                <w:rFonts w:asciiTheme="majorHAnsi" w:hAnsiTheme="majorHAnsi"/>
                <w:noProof/>
              </w:rPr>
              <w:t>2.5.4.</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Meter Reading, Billing &amp; Collection (MBC)</w:t>
            </w:r>
            <w:r>
              <w:rPr>
                <w:noProof/>
                <w:webHidden/>
              </w:rPr>
              <w:tab/>
            </w:r>
            <w:r>
              <w:rPr>
                <w:noProof/>
                <w:webHidden/>
              </w:rPr>
              <w:fldChar w:fldCharType="begin"/>
            </w:r>
            <w:r>
              <w:rPr>
                <w:noProof/>
                <w:webHidden/>
              </w:rPr>
              <w:instrText xml:space="preserve"> PAGEREF _Toc215250614 \h </w:instrText>
            </w:r>
            <w:r>
              <w:rPr>
                <w:noProof/>
                <w:webHidden/>
              </w:rPr>
            </w:r>
            <w:r>
              <w:rPr>
                <w:noProof/>
                <w:webHidden/>
              </w:rPr>
              <w:fldChar w:fldCharType="separate"/>
            </w:r>
            <w:r>
              <w:rPr>
                <w:noProof/>
                <w:webHidden/>
              </w:rPr>
              <w:t>63</w:t>
            </w:r>
            <w:r>
              <w:rPr>
                <w:noProof/>
                <w:webHidden/>
              </w:rPr>
              <w:fldChar w:fldCharType="end"/>
            </w:r>
          </w:hyperlink>
        </w:p>
        <w:p w14:paraId="19D3FBC0" w14:textId="3E8DF835" w:rsidR="006741B6" w:rsidRDefault="006741B6">
          <w:pPr>
            <w:pStyle w:val="TOC3"/>
            <w:tabs>
              <w:tab w:val="left" w:pos="1320"/>
              <w:tab w:val="right" w:leader="dot" w:pos="9200"/>
            </w:tabs>
            <w:rPr>
              <w:rFonts w:asciiTheme="minorHAnsi" w:eastAsiaTheme="minorEastAsia" w:hAnsiTheme="minorHAnsi" w:cstheme="minorBidi"/>
              <w:noProof/>
              <w:sz w:val="22"/>
              <w:szCs w:val="22"/>
              <w:lang w:val="en-IN" w:eastAsia="en-IN"/>
            </w:rPr>
          </w:pPr>
          <w:hyperlink w:anchor="_Toc215250615" w:history="1">
            <w:r w:rsidRPr="007F4554">
              <w:rPr>
                <w:rStyle w:val="Hyperlink"/>
                <w:rFonts w:asciiTheme="majorHAnsi" w:hAnsiTheme="majorHAnsi"/>
                <w:noProof/>
              </w:rPr>
              <w:t>2.5.5.</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Vigilance &amp; Enforcement Activity</w:t>
            </w:r>
            <w:r>
              <w:rPr>
                <w:noProof/>
                <w:webHidden/>
              </w:rPr>
              <w:tab/>
            </w:r>
            <w:r>
              <w:rPr>
                <w:noProof/>
                <w:webHidden/>
              </w:rPr>
              <w:fldChar w:fldCharType="begin"/>
            </w:r>
            <w:r>
              <w:rPr>
                <w:noProof/>
                <w:webHidden/>
              </w:rPr>
              <w:instrText xml:space="preserve"> PAGEREF _Toc215250615 \h </w:instrText>
            </w:r>
            <w:r>
              <w:rPr>
                <w:noProof/>
                <w:webHidden/>
              </w:rPr>
            </w:r>
            <w:r>
              <w:rPr>
                <w:noProof/>
                <w:webHidden/>
              </w:rPr>
              <w:fldChar w:fldCharType="separate"/>
            </w:r>
            <w:r>
              <w:rPr>
                <w:noProof/>
                <w:webHidden/>
              </w:rPr>
              <w:t>71</w:t>
            </w:r>
            <w:r>
              <w:rPr>
                <w:noProof/>
                <w:webHidden/>
              </w:rPr>
              <w:fldChar w:fldCharType="end"/>
            </w:r>
          </w:hyperlink>
        </w:p>
        <w:p w14:paraId="746DA154" w14:textId="7DC89BF5" w:rsidR="006741B6" w:rsidRDefault="006741B6">
          <w:pPr>
            <w:pStyle w:val="TOC3"/>
            <w:tabs>
              <w:tab w:val="left" w:pos="1320"/>
              <w:tab w:val="right" w:leader="dot" w:pos="9200"/>
            </w:tabs>
            <w:rPr>
              <w:rFonts w:asciiTheme="minorHAnsi" w:eastAsiaTheme="minorEastAsia" w:hAnsiTheme="minorHAnsi" w:cstheme="minorBidi"/>
              <w:noProof/>
              <w:sz w:val="22"/>
              <w:szCs w:val="22"/>
              <w:lang w:val="en-IN" w:eastAsia="en-IN"/>
            </w:rPr>
          </w:pPr>
          <w:hyperlink w:anchor="_Toc215250616" w:history="1">
            <w:r w:rsidRPr="007F4554">
              <w:rPr>
                <w:rStyle w:val="Hyperlink"/>
                <w:rFonts w:asciiTheme="majorHAnsi" w:hAnsiTheme="majorHAnsi"/>
                <w:noProof/>
              </w:rPr>
              <w:t>2.5.6.</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OT Initiatives for improvement of Reliability, SCADA/GIS etc</w:t>
            </w:r>
            <w:r>
              <w:rPr>
                <w:noProof/>
                <w:webHidden/>
              </w:rPr>
              <w:tab/>
            </w:r>
            <w:r>
              <w:rPr>
                <w:noProof/>
                <w:webHidden/>
              </w:rPr>
              <w:fldChar w:fldCharType="begin"/>
            </w:r>
            <w:r>
              <w:rPr>
                <w:noProof/>
                <w:webHidden/>
              </w:rPr>
              <w:instrText xml:space="preserve"> PAGEREF _Toc215250616 \h </w:instrText>
            </w:r>
            <w:r>
              <w:rPr>
                <w:noProof/>
                <w:webHidden/>
              </w:rPr>
            </w:r>
            <w:r>
              <w:rPr>
                <w:noProof/>
                <w:webHidden/>
              </w:rPr>
              <w:fldChar w:fldCharType="separate"/>
            </w:r>
            <w:r>
              <w:rPr>
                <w:noProof/>
                <w:webHidden/>
              </w:rPr>
              <w:t>73</w:t>
            </w:r>
            <w:r>
              <w:rPr>
                <w:noProof/>
                <w:webHidden/>
              </w:rPr>
              <w:fldChar w:fldCharType="end"/>
            </w:r>
          </w:hyperlink>
        </w:p>
        <w:p w14:paraId="2CD316A4" w14:textId="5C3C93A9" w:rsidR="006741B6" w:rsidRDefault="006741B6">
          <w:pPr>
            <w:pStyle w:val="TOC3"/>
            <w:tabs>
              <w:tab w:val="left" w:pos="1320"/>
              <w:tab w:val="right" w:leader="dot" w:pos="9200"/>
            </w:tabs>
            <w:rPr>
              <w:rFonts w:asciiTheme="minorHAnsi" w:eastAsiaTheme="minorEastAsia" w:hAnsiTheme="minorHAnsi" w:cstheme="minorBidi"/>
              <w:noProof/>
              <w:sz w:val="22"/>
              <w:szCs w:val="22"/>
              <w:lang w:val="en-IN" w:eastAsia="en-IN"/>
            </w:rPr>
          </w:pPr>
          <w:hyperlink w:anchor="_Toc215250617" w:history="1">
            <w:r w:rsidRPr="007F4554">
              <w:rPr>
                <w:rStyle w:val="Hyperlink"/>
                <w:rFonts w:asciiTheme="majorHAnsi" w:hAnsiTheme="majorHAnsi"/>
                <w:noProof/>
              </w:rPr>
              <w:t>2.5.7.</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IT Expenses:</w:t>
            </w:r>
            <w:r>
              <w:rPr>
                <w:noProof/>
                <w:webHidden/>
              </w:rPr>
              <w:tab/>
            </w:r>
            <w:r>
              <w:rPr>
                <w:noProof/>
                <w:webHidden/>
              </w:rPr>
              <w:fldChar w:fldCharType="begin"/>
            </w:r>
            <w:r>
              <w:rPr>
                <w:noProof/>
                <w:webHidden/>
              </w:rPr>
              <w:instrText xml:space="preserve"> PAGEREF _Toc215250617 \h </w:instrText>
            </w:r>
            <w:r>
              <w:rPr>
                <w:noProof/>
                <w:webHidden/>
              </w:rPr>
            </w:r>
            <w:r>
              <w:rPr>
                <w:noProof/>
                <w:webHidden/>
              </w:rPr>
              <w:fldChar w:fldCharType="separate"/>
            </w:r>
            <w:r>
              <w:rPr>
                <w:noProof/>
                <w:webHidden/>
              </w:rPr>
              <w:t>79</w:t>
            </w:r>
            <w:r>
              <w:rPr>
                <w:noProof/>
                <w:webHidden/>
              </w:rPr>
              <w:fldChar w:fldCharType="end"/>
            </w:r>
          </w:hyperlink>
        </w:p>
        <w:p w14:paraId="3918669F" w14:textId="737C362F" w:rsidR="006741B6" w:rsidRDefault="006741B6">
          <w:pPr>
            <w:pStyle w:val="TOC2"/>
            <w:tabs>
              <w:tab w:val="left" w:pos="880"/>
              <w:tab w:val="right" w:leader="dot" w:pos="9200"/>
            </w:tabs>
            <w:rPr>
              <w:rFonts w:asciiTheme="minorHAnsi" w:eastAsiaTheme="minorEastAsia" w:hAnsiTheme="minorHAnsi" w:cstheme="minorBidi"/>
              <w:noProof/>
              <w:sz w:val="22"/>
              <w:szCs w:val="22"/>
              <w:lang w:val="en-IN" w:eastAsia="en-IN"/>
            </w:rPr>
          </w:pPr>
          <w:hyperlink w:anchor="_Toc215250618" w:history="1">
            <w:r w:rsidRPr="007F4554">
              <w:rPr>
                <w:rStyle w:val="Hyperlink"/>
                <w:rFonts w:asciiTheme="majorHAnsi" w:hAnsiTheme="majorHAnsi"/>
                <w:noProof/>
              </w:rPr>
              <w:t>2.6.</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Repair &amp; Maintenance Expenses</w:t>
            </w:r>
            <w:r>
              <w:rPr>
                <w:noProof/>
                <w:webHidden/>
              </w:rPr>
              <w:tab/>
            </w:r>
            <w:r>
              <w:rPr>
                <w:noProof/>
                <w:webHidden/>
              </w:rPr>
              <w:fldChar w:fldCharType="begin"/>
            </w:r>
            <w:r>
              <w:rPr>
                <w:noProof/>
                <w:webHidden/>
              </w:rPr>
              <w:instrText xml:space="preserve"> PAGEREF _Toc215250618 \h </w:instrText>
            </w:r>
            <w:r>
              <w:rPr>
                <w:noProof/>
                <w:webHidden/>
              </w:rPr>
            </w:r>
            <w:r>
              <w:rPr>
                <w:noProof/>
                <w:webHidden/>
              </w:rPr>
              <w:fldChar w:fldCharType="separate"/>
            </w:r>
            <w:r>
              <w:rPr>
                <w:noProof/>
                <w:webHidden/>
              </w:rPr>
              <w:t>88</w:t>
            </w:r>
            <w:r>
              <w:rPr>
                <w:noProof/>
                <w:webHidden/>
              </w:rPr>
              <w:fldChar w:fldCharType="end"/>
            </w:r>
          </w:hyperlink>
        </w:p>
        <w:p w14:paraId="7825C1D1" w14:textId="110D6C84" w:rsidR="006741B6" w:rsidRDefault="006741B6">
          <w:pPr>
            <w:pStyle w:val="TOC2"/>
            <w:tabs>
              <w:tab w:val="left" w:pos="880"/>
              <w:tab w:val="right" w:leader="dot" w:pos="9200"/>
            </w:tabs>
            <w:rPr>
              <w:rFonts w:asciiTheme="minorHAnsi" w:eastAsiaTheme="minorEastAsia" w:hAnsiTheme="minorHAnsi" w:cstheme="minorBidi"/>
              <w:noProof/>
              <w:sz w:val="22"/>
              <w:szCs w:val="22"/>
              <w:lang w:val="en-IN" w:eastAsia="en-IN"/>
            </w:rPr>
          </w:pPr>
          <w:hyperlink w:anchor="_Toc215250619" w:history="1">
            <w:r w:rsidRPr="007F4554">
              <w:rPr>
                <w:rStyle w:val="Hyperlink"/>
                <w:rFonts w:asciiTheme="majorHAnsi" w:hAnsiTheme="majorHAnsi"/>
                <w:noProof/>
              </w:rPr>
              <w:t>2.7.</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Provision for Bad and Doubtful Debts</w:t>
            </w:r>
            <w:r>
              <w:rPr>
                <w:noProof/>
                <w:webHidden/>
              </w:rPr>
              <w:tab/>
            </w:r>
            <w:r>
              <w:rPr>
                <w:noProof/>
                <w:webHidden/>
              </w:rPr>
              <w:fldChar w:fldCharType="begin"/>
            </w:r>
            <w:r>
              <w:rPr>
                <w:noProof/>
                <w:webHidden/>
              </w:rPr>
              <w:instrText xml:space="preserve"> PAGEREF _Toc215250619 \h </w:instrText>
            </w:r>
            <w:r>
              <w:rPr>
                <w:noProof/>
                <w:webHidden/>
              </w:rPr>
            </w:r>
            <w:r>
              <w:rPr>
                <w:noProof/>
                <w:webHidden/>
              </w:rPr>
              <w:fldChar w:fldCharType="separate"/>
            </w:r>
            <w:r>
              <w:rPr>
                <w:noProof/>
                <w:webHidden/>
              </w:rPr>
              <w:t>106</w:t>
            </w:r>
            <w:r>
              <w:rPr>
                <w:noProof/>
                <w:webHidden/>
              </w:rPr>
              <w:fldChar w:fldCharType="end"/>
            </w:r>
          </w:hyperlink>
        </w:p>
        <w:p w14:paraId="5B8969E2" w14:textId="2BADA363" w:rsidR="006741B6" w:rsidRDefault="006741B6">
          <w:pPr>
            <w:pStyle w:val="TOC2"/>
            <w:tabs>
              <w:tab w:val="left" w:pos="880"/>
              <w:tab w:val="right" w:leader="dot" w:pos="9200"/>
            </w:tabs>
            <w:rPr>
              <w:rFonts w:asciiTheme="minorHAnsi" w:eastAsiaTheme="minorEastAsia" w:hAnsiTheme="minorHAnsi" w:cstheme="minorBidi"/>
              <w:noProof/>
              <w:sz w:val="22"/>
              <w:szCs w:val="22"/>
              <w:lang w:val="en-IN" w:eastAsia="en-IN"/>
            </w:rPr>
          </w:pPr>
          <w:hyperlink w:anchor="_Toc215250620" w:history="1">
            <w:r w:rsidRPr="007F4554">
              <w:rPr>
                <w:rStyle w:val="Hyperlink"/>
                <w:rFonts w:asciiTheme="majorHAnsi" w:hAnsiTheme="majorHAnsi"/>
                <w:noProof/>
              </w:rPr>
              <w:t>2.8.</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Depreciation</w:t>
            </w:r>
            <w:r>
              <w:rPr>
                <w:noProof/>
                <w:webHidden/>
              </w:rPr>
              <w:tab/>
            </w:r>
            <w:r>
              <w:rPr>
                <w:noProof/>
                <w:webHidden/>
              </w:rPr>
              <w:fldChar w:fldCharType="begin"/>
            </w:r>
            <w:r>
              <w:rPr>
                <w:noProof/>
                <w:webHidden/>
              </w:rPr>
              <w:instrText xml:space="preserve"> PAGEREF _Toc215250620 \h </w:instrText>
            </w:r>
            <w:r>
              <w:rPr>
                <w:noProof/>
                <w:webHidden/>
              </w:rPr>
            </w:r>
            <w:r>
              <w:rPr>
                <w:noProof/>
                <w:webHidden/>
              </w:rPr>
              <w:fldChar w:fldCharType="separate"/>
            </w:r>
            <w:r>
              <w:rPr>
                <w:noProof/>
                <w:webHidden/>
              </w:rPr>
              <w:t>106</w:t>
            </w:r>
            <w:r>
              <w:rPr>
                <w:noProof/>
                <w:webHidden/>
              </w:rPr>
              <w:fldChar w:fldCharType="end"/>
            </w:r>
          </w:hyperlink>
        </w:p>
        <w:p w14:paraId="41AFDFCA" w14:textId="2A2AFB26" w:rsidR="006741B6" w:rsidRDefault="006741B6">
          <w:pPr>
            <w:pStyle w:val="TOC2"/>
            <w:tabs>
              <w:tab w:val="left" w:pos="880"/>
              <w:tab w:val="right" w:leader="dot" w:pos="9200"/>
            </w:tabs>
            <w:rPr>
              <w:rFonts w:asciiTheme="minorHAnsi" w:eastAsiaTheme="minorEastAsia" w:hAnsiTheme="minorHAnsi" w:cstheme="minorBidi"/>
              <w:noProof/>
              <w:sz w:val="22"/>
              <w:szCs w:val="22"/>
              <w:lang w:val="en-IN" w:eastAsia="en-IN"/>
            </w:rPr>
          </w:pPr>
          <w:hyperlink w:anchor="_Toc215250621" w:history="1">
            <w:r w:rsidRPr="007F4554">
              <w:rPr>
                <w:rStyle w:val="Hyperlink"/>
                <w:rFonts w:asciiTheme="majorHAnsi" w:hAnsiTheme="majorHAnsi"/>
                <w:noProof/>
              </w:rPr>
              <w:t>2.9.</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Interest Expenses</w:t>
            </w:r>
            <w:r>
              <w:rPr>
                <w:noProof/>
                <w:webHidden/>
              </w:rPr>
              <w:tab/>
            </w:r>
            <w:r>
              <w:rPr>
                <w:noProof/>
                <w:webHidden/>
              </w:rPr>
              <w:fldChar w:fldCharType="begin"/>
            </w:r>
            <w:r>
              <w:rPr>
                <w:noProof/>
                <w:webHidden/>
              </w:rPr>
              <w:instrText xml:space="preserve"> PAGEREF _Toc215250621 \h </w:instrText>
            </w:r>
            <w:r>
              <w:rPr>
                <w:noProof/>
                <w:webHidden/>
              </w:rPr>
            </w:r>
            <w:r>
              <w:rPr>
                <w:noProof/>
                <w:webHidden/>
              </w:rPr>
              <w:fldChar w:fldCharType="separate"/>
            </w:r>
            <w:r>
              <w:rPr>
                <w:noProof/>
                <w:webHidden/>
              </w:rPr>
              <w:t>108</w:t>
            </w:r>
            <w:r>
              <w:rPr>
                <w:noProof/>
                <w:webHidden/>
              </w:rPr>
              <w:fldChar w:fldCharType="end"/>
            </w:r>
          </w:hyperlink>
        </w:p>
        <w:p w14:paraId="13291650" w14:textId="48F1D2E5" w:rsidR="006741B6" w:rsidRDefault="006741B6">
          <w:pPr>
            <w:pStyle w:val="TOC3"/>
            <w:tabs>
              <w:tab w:val="left" w:pos="1320"/>
              <w:tab w:val="right" w:leader="dot" w:pos="9200"/>
            </w:tabs>
            <w:rPr>
              <w:rFonts w:asciiTheme="minorHAnsi" w:eastAsiaTheme="minorEastAsia" w:hAnsiTheme="minorHAnsi" w:cstheme="minorBidi"/>
              <w:noProof/>
              <w:sz w:val="22"/>
              <w:szCs w:val="22"/>
              <w:lang w:val="en-IN" w:eastAsia="en-IN"/>
            </w:rPr>
          </w:pPr>
          <w:hyperlink w:anchor="_Toc215250622" w:history="1">
            <w:r w:rsidRPr="007F4554">
              <w:rPr>
                <w:rStyle w:val="Hyperlink"/>
                <w:rFonts w:asciiTheme="majorHAnsi" w:hAnsiTheme="majorHAnsi"/>
                <w:noProof/>
              </w:rPr>
              <w:t>2.9.1.</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Interest on Loan for Capex</w:t>
            </w:r>
            <w:r>
              <w:rPr>
                <w:noProof/>
                <w:webHidden/>
              </w:rPr>
              <w:tab/>
            </w:r>
            <w:r>
              <w:rPr>
                <w:noProof/>
                <w:webHidden/>
              </w:rPr>
              <w:fldChar w:fldCharType="begin"/>
            </w:r>
            <w:r>
              <w:rPr>
                <w:noProof/>
                <w:webHidden/>
              </w:rPr>
              <w:instrText xml:space="preserve"> PAGEREF _Toc215250622 \h </w:instrText>
            </w:r>
            <w:r>
              <w:rPr>
                <w:noProof/>
                <w:webHidden/>
              </w:rPr>
            </w:r>
            <w:r>
              <w:rPr>
                <w:noProof/>
                <w:webHidden/>
              </w:rPr>
              <w:fldChar w:fldCharType="separate"/>
            </w:r>
            <w:r>
              <w:rPr>
                <w:noProof/>
                <w:webHidden/>
              </w:rPr>
              <w:t>108</w:t>
            </w:r>
            <w:r>
              <w:rPr>
                <w:noProof/>
                <w:webHidden/>
              </w:rPr>
              <w:fldChar w:fldCharType="end"/>
            </w:r>
          </w:hyperlink>
        </w:p>
        <w:p w14:paraId="2A49AAF1" w14:textId="78E4B548" w:rsidR="006741B6" w:rsidRDefault="006741B6">
          <w:pPr>
            <w:pStyle w:val="TOC3"/>
            <w:tabs>
              <w:tab w:val="left" w:pos="1320"/>
              <w:tab w:val="right" w:leader="dot" w:pos="9200"/>
            </w:tabs>
            <w:rPr>
              <w:rFonts w:asciiTheme="minorHAnsi" w:eastAsiaTheme="minorEastAsia" w:hAnsiTheme="minorHAnsi" w:cstheme="minorBidi"/>
              <w:noProof/>
              <w:sz w:val="22"/>
              <w:szCs w:val="22"/>
              <w:lang w:val="en-IN" w:eastAsia="en-IN"/>
            </w:rPr>
          </w:pPr>
          <w:hyperlink w:anchor="_Toc215250623" w:history="1">
            <w:r w:rsidRPr="007F4554">
              <w:rPr>
                <w:rStyle w:val="Hyperlink"/>
                <w:rFonts w:asciiTheme="majorHAnsi" w:hAnsiTheme="majorHAnsi"/>
                <w:noProof/>
              </w:rPr>
              <w:t>2.9.2.</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Interest on Working capital Loan</w:t>
            </w:r>
            <w:r>
              <w:rPr>
                <w:noProof/>
                <w:webHidden/>
              </w:rPr>
              <w:tab/>
            </w:r>
            <w:r>
              <w:rPr>
                <w:noProof/>
                <w:webHidden/>
              </w:rPr>
              <w:fldChar w:fldCharType="begin"/>
            </w:r>
            <w:r>
              <w:rPr>
                <w:noProof/>
                <w:webHidden/>
              </w:rPr>
              <w:instrText xml:space="preserve"> PAGEREF _Toc215250623 \h </w:instrText>
            </w:r>
            <w:r>
              <w:rPr>
                <w:noProof/>
                <w:webHidden/>
              </w:rPr>
            </w:r>
            <w:r>
              <w:rPr>
                <w:noProof/>
                <w:webHidden/>
              </w:rPr>
              <w:fldChar w:fldCharType="separate"/>
            </w:r>
            <w:r>
              <w:rPr>
                <w:noProof/>
                <w:webHidden/>
              </w:rPr>
              <w:t>110</w:t>
            </w:r>
            <w:r>
              <w:rPr>
                <w:noProof/>
                <w:webHidden/>
              </w:rPr>
              <w:fldChar w:fldCharType="end"/>
            </w:r>
          </w:hyperlink>
        </w:p>
        <w:p w14:paraId="672FBC03" w14:textId="47C94CC4" w:rsidR="006741B6" w:rsidRDefault="006741B6">
          <w:pPr>
            <w:pStyle w:val="TOC3"/>
            <w:tabs>
              <w:tab w:val="left" w:pos="1320"/>
              <w:tab w:val="right" w:leader="dot" w:pos="9200"/>
            </w:tabs>
            <w:rPr>
              <w:rFonts w:asciiTheme="minorHAnsi" w:eastAsiaTheme="minorEastAsia" w:hAnsiTheme="minorHAnsi" w:cstheme="minorBidi"/>
              <w:noProof/>
              <w:sz w:val="22"/>
              <w:szCs w:val="22"/>
              <w:lang w:val="en-IN" w:eastAsia="en-IN"/>
            </w:rPr>
          </w:pPr>
          <w:hyperlink w:anchor="_Toc215250624" w:history="1">
            <w:r w:rsidRPr="007F4554">
              <w:rPr>
                <w:rStyle w:val="Hyperlink"/>
                <w:rFonts w:asciiTheme="majorHAnsi" w:hAnsiTheme="majorHAnsi"/>
                <w:noProof/>
              </w:rPr>
              <w:t>2.9.3.</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Interest on Security Deposit</w:t>
            </w:r>
            <w:r>
              <w:rPr>
                <w:noProof/>
                <w:webHidden/>
              </w:rPr>
              <w:tab/>
            </w:r>
            <w:r>
              <w:rPr>
                <w:noProof/>
                <w:webHidden/>
              </w:rPr>
              <w:fldChar w:fldCharType="begin"/>
            </w:r>
            <w:r>
              <w:rPr>
                <w:noProof/>
                <w:webHidden/>
              </w:rPr>
              <w:instrText xml:space="preserve"> PAGEREF _Toc215250624 \h </w:instrText>
            </w:r>
            <w:r>
              <w:rPr>
                <w:noProof/>
                <w:webHidden/>
              </w:rPr>
            </w:r>
            <w:r>
              <w:rPr>
                <w:noProof/>
                <w:webHidden/>
              </w:rPr>
              <w:fldChar w:fldCharType="separate"/>
            </w:r>
            <w:r>
              <w:rPr>
                <w:noProof/>
                <w:webHidden/>
              </w:rPr>
              <w:t>111</w:t>
            </w:r>
            <w:r>
              <w:rPr>
                <w:noProof/>
                <w:webHidden/>
              </w:rPr>
              <w:fldChar w:fldCharType="end"/>
            </w:r>
          </w:hyperlink>
        </w:p>
        <w:p w14:paraId="2D4C9E7A" w14:textId="6CBBD064" w:rsidR="006741B6" w:rsidRDefault="006741B6">
          <w:pPr>
            <w:pStyle w:val="TOC3"/>
            <w:tabs>
              <w:tab w:val="left" w:pos="1320"/>
              <w:tab w:val="right" w:leader="dot" w:pos="9200"/>
            </w:tabs>
            <w:rPr>
              <w:rFonts w:asciiTheme="minorHAnsi" w:eastAsiaTheme="minorEastAsia" w:hAnsiTheme="minorHAnsi" w:cstheme="minorBidi"/>
              <w:noProof/>
              <w:sz w:val="22"/>
              <w:szCs w:val="22"/>
              <w:lang w:val="en-IN" w:eastAsia="en-IN"/>
            </w:rPr>
          </w:pPr>
          <w:hyperlink w:anchor="_Toc215250625" w:history="1">
            <w:r w:rsidRPr="007F4554">
              <w:rPr>
                <w:rStyle w:val="Hyperlink"/>
                <w:rFonts w:asciiTheme="majorHAnsi" w:hAnsiTheme="majorHAnsi"/>
                <w:noProof/>
              </w:rPr>
              <w:t>2.9.4.</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Total Interest for Financial Year FY 26-27</w:t>
            </w:r>
            <w:r>
              <w:rPr>
                <w:noProof/>
                <w:webHidden/>
              </w:rPr>
              <w:tab/>
            </w:r>
            <w:r>
              <w:rPr>
                <w:noProof/>
                <w:webHidden/>
              </w:rPr>
              <w:fldChar w:fldCharType="begin"/>
            </w:r>
            <w:r>
              <w:rPr>
                <w:noProof/>
                <w:webHidden/>
              </w:rPr>
              <w:instrText xml:space="preserve"> PAGEREF _Toc215250625 \h </w:instrText>
            </w:r>
            <w:r>
              <w:rPr>
                <w:noProof/>
                <w:webHidden/>
              </w:rPr>
            </w:r>
            <w:r>
              <w:rPr>
                <w:noProof/>
                <w:webHidden/>
              </w:rPr>
              <w:fldChar w:fldCharType="separate"/>
            </w:r>
            <w:r>
              <w:rPr>
                <w:noProof/>
                <w:webHidden/>
              </w:rPr>
              <w:t>111</w:t>
            </w:r>
            <w:r>
              <w:rPr>
                <w:noProof/>
                <w:webHidden/>
              </w:rPr>
              <w:fldChar w:fldCharType="end"/>
            </w:r>
          </w:hyperlink>
        </w:p>
        <w:p w14:paraId="6F686A8F" w14:textId="4EA109DE" w:rsidR="006741B6" w:rsidRDefault="006741B6">
          <w:pPr>
            <w:pStyle w:val="TOC2"/>
            <w:tabs>
              <w:tab w:val="left" w:pos="1100"/>
              <w:tab w:val="right" w:leader="dot" w:pos="9200"/>
            </w:tabs>
            <w:rPr>
              <w:rFonts w:asciiTheme="minorHAnsi" w:eastAsiaTheme="minorEastAsia" w:hAnsiTheme="minorHAnsi" w:cstheme="minorBidi"/>
              <w:noProof/>
              <w:sz w:val="22"/>
              <w:szCs w:val="22"/>
              <w:lang w:val="en-IN" w:eastAsia="en-IN"/>
            </w:rPr>
          </w:pPr>
          <w:hyperlink w:anchor="_Toc215250626" w:history="1">
            <w:r w:rsidRPr="007F4554">
              <w:rPr>
                <w:rStyle w:val="Hyperlink"/>
                <w:rFonts w:asciiTheme="majorHAnsi" w:hAnsiTheme="majorHAnsi"/>
                <w:noProof/>
              </w:rPr>
              <w:t>2.10.</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Return on Equity</w:t>
            </w:r>
            <w:r>
              <w:rPr>
                <w:noProof/>
                <w:webHidden/>
              </w:rPr>
              <w:tab/>
            </w:r>
            <w:r>
              <w:rPr>
                <w:noProof/>
                <w:webHidden/>
              </w:rPr>
              <w:fldChar w:fldCharType="begin"/>
            </w:r>
            <w:r>
              <w:rPr>
                <w:noProof/>
                <w:webHidden/>
              </w:rPr>
              <w:instrText xml:space="preserve"> PAGEREF _Toc215250626 \h </w:instrText>
            </w:r>
            <w:r>
              <w:rPr>
                <w:noProof/>
                <w:webHidden/>
              </w:rPr>
            </w:r>
            <w:r>
              <w:rPr>
                <w:noProof/>
                <w:webHidden/>
              </w:rPr>
              <w:fldChar w:fldCharType="separate"/>
            </w:r>
            <w:r>
              <w:rPr>
                <w:noProof/>
                <w:webHidden/>
              </w:rPr>
              <w:t>112</w:t>
            </w:r>
            <w:r>
              <w:rPr>
                <w:noProof/>
                <w:webHidden/>
              </w:rPr>
              <w:fldChar w:fldCharType="end"/>
            </w:r>
          </w:hyperlink>
        </w:p>
        <w:p w14:paraId="13CCF1A7" w14:textId="2A1347F7" w:rsidR="006741B6" w:rsidRDefault="006741B6">
          <w:pPr>
            <w:pStyle w:val="TOC2"/>
            <w:tabs>
              <w:tab w:val="left" w:pos="1100"/>
              <w:tab w:val="right" w:leader="dot" w:pos="9200"/>
            </w:tabs>
            <w:rPr>
              <w:rFonts w:asciiTheme="minorHAnsi" w:eastAsiaTheme="minorEastAsia" w:hAnsiTheme="minorHAnsi" w:cstheme="minorBidi"/>
              <w:noProof/>
              <w:sz w:val="22"/>
              <w:szCs w:val="22"/>
              <w:lang w:val="en-IN" w:eastAsia="en-IN"/>
            </w:rPr>
          </w:pPr>
          <w:hyperlink w:anchor="_Toc215250627" w:history="1">
            <w:r w:rsidRPr="007F4554">
              <w:rPr>
                <w:rStyle w:val="Hyperlink"/>
                <w:rFonts w:asciiTheme="majorHAnsi" w:hAnsiTheme="majorHAnsi"/>
                <w:noProof/>
              </w:rPr>
              <w:t>2.11.</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Carrying Cost on ASL</w:t>
            </w:r>
            <w:r>
              <w:rPr>
                <w:noProof/>
                <w:webHidden/>
              </w:rPr>
              <w:tab/>
            </w:r>
            <w:r>
              <w:rPr>
                <w:noProof/>
                <w:webHidden/>
              </w:rPr>
              <w:fldChar w:fldCharType="begin"/>
            </w:r>
            <w:r>
              <w:rPr>
                <w:noProof/>
                <w:webHidden/>
              </w:rPr>
              <w:instrText xml:space="preserve"> PAGEREF _Toc215250627 \h </w:instrText>
            </w:r>
            <w:r>
              <w:rPr>
                <w:noProof/>
                <w:webHidden/>
              </w:rPr>
            </w:r>
            <w:r>
              <w:rPr>
                <w:noProof/>
                <w:webHidden/>
              </w:rPr>
              <w:fldChar w:fldCharType="separate"/>
            </w:r>
            <w:r>
              <w:rPr>
                <w:noProof/>
                <w:webHidden/>
              </w:rPr>
              <w:t>112</w:t>
            </w:r>
            <w:r>
              <w:rPr>
                <w:noProof/>
                <w:webHidden/>
              </w:rPr>
              <w:fldChar w:fldCharType="end"/>
            </w:r>
          </w:hyperlink>
        </w:p>
        <w:p w14:paraId="385F5754" w14:textId="1C126EF6" w:rsidR="006741B6" w:rsidRDefault="006741B6">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215250628" w:history="1">
            <w:r w:rsidRPr="007F4554">
              <w:rPr>
                <w:rStyle w:val="Hyperlink"/>
                <w:rFonts w:ascii="Cambria" w:hAnsi="Cambria"/>
                <w:noProof/>
              </w:rPr>
              <w:t>3.</w:t>
            </w:r>
            <w:r>
              <w:rPr>
                <w:rFonts w:asciiTheme="minorHAnsi" w:eastAsiaTheme="minorEastAsia" w:hAnsiTheme="minorHAnsi" w:cstheme="minorBidi"/>
                <w:noProof/>
                <w:sz w:val="22"/>
                <w:szCs w:val="22"/>
                <w:lang w:val="en-IN" w:eastAsia="en-IN"/>
              </w:rPr>
              <w:tab/>
            </w:r>
            <w:r w:rsidRPr="007F4554">
              <w:rPr>
                <w:rStyle w:val="Hyperlink"/>
                <w:rFonts w:ascii="Cambria" w:hAnsi="Cambria"/>
                <w:noProof/>
              </w:rPr>
              <w:t>Capital Expenditure Program</w:t>
            </w:r>
            <w:r>
              <w:rPr>
                <w:noProof/>
                <w:webHidden/>
              </w:rPr>
              <w:tab/>
            </w:r>
            <w:r>
              <w:rPr>
                <w:noProof/>
                <w:webHidden/>
              </w:rPr>
              <w:fldChar w:fldCharType="begin"/>
            </w:r>
            <w:r>
              <w:rPr>
                <w:noProof/>
                <w:webHidden/>
              </w:rPr>
              <w:instrText xml:space="preserve"> PAGEREF _Toc215250628 \h </w:instrText>
            </w:r>
            <w:r>
              <w:rPr>
                <w:noProof/>
                <w:webHidden/>
              </w:rPr>
            </w:r>
            <w:r>
              <w:rPr>
                <w:noProof/>
                <w:webHidden/>
              </w:rPr>
              <w:fldChar w:fldCharType="separate"/>
            </w:r>
            <w:r>
              <w:rPr>
                <w:noProof/>
                <w:webHidden/>
              </w:rPr>
              <w:t>113</w:t>
            </w:r>
            <w:r>
              <w:rPr>
                <w:noProof/>
                <w:webHidden/>
              </w:rPr>
              <w:fldChar w:fldCharType="end"/>
            </w:r>
          </w:hyperlink>
        </w:p>
        <w:p w14:paraId="3CA60C2E" w14:textId="1176048A" w:rsidR="006741B6" w:rsidRDefault="006741B6">
          <w:pPr>
            <w:pStyle w:val="TOC2"/>
            <w:tabs>
              <w:tab w:val="left" w:pos="880"/>
              <w:tab w:val="right" w:leader="dot" w:pos="9200"/>
            </w:tabs>
            <w:rPr>
              <w:rFonts w:asciiTheme="minorHAnsi" w:eastAsiaTheme="minorEastAsia" w:hAnsiTheme="minorHAnsi" w:cstheme="minorBidi"/>
              <w:noProof/>
              <w:sz w:val="22"/>
              <w:szCs w:val="22"/>
              <w:lang w:val="en-IN" w:eastAsia="en-IN"/>
            </w:rPr>
          </w:pPr>
          <w:hyperlink w:anchor="_Toc215250629" w:history="1">
            <w:r w:rsidRPr="007F4554">
              <w:rPr>
                <w:rStyle w:val="Hyperlink"/>
                <w:rFonts w:asciiTheme="majorHAnsi" w:hAnsiTheme="majorHAnsi"/>
                <w:noProof/>
              </w:rPr>
              <w:t>3.1.</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CAPEX for current year</w:t>
            </w:r>
            <w:r>
              <w:rPr>
                <w:noProof/>
                <w:webHidden/>
              </w:rPr>
              <w:tab/>
            </w:r>
            <w:r>
              <w:rPr>
                <w:noProof/>
                <w:webHidden/>
              </w:rPr>
              <w:fldChar w:fldCharType="begin"/>
            </w:r>
            <w:r>
              <w:rPr>
                <w:noProof/>
                <w:webHidden/>
              </w:rPr>
              <w:instrText xml:space="preserve"> PAGEREF _Toc215250629 \h </w:instrText>
            </w:r>
            <w:r>
              <w:rPr>
                <w:noProof/>
                <w:webHidden/>
              </w:rPr>
            </w:r>
            <w:r>
              <w:rPr>
                <w:noProof/>
                <w:webHidden/>
              </w:rPr>
              <w:fldChar w:fldCharType="separate"/>
            </w:r>
            <w:r>
              <w:rPr>
                <w:noProof/>
                <w:webHidden/>
              </w:rPr>
              <w:t>113</w:t>
            </w:r>
            <w:r>
              <w:rPr>
                <w:noProof/>
                <w:webHidden/>
              </w:rPr>
              <w:fldChar w:fldCharType="end"/>
            </w:r>
          </w:hyperlink>
        </w:p>
        <w:p w14:paraId="492E124F" w14:textId="3BA9A5F8" w:rsidR="006741B6" w:rsidRDefault="006741B6">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215250630" w:history="1">
            <w:r w:rsidRPr="007F4554">
              <w:rPr>
                <w:rStyle w:val="Hyperlink"/>
                <w:rFonts w:ascii="Cambria" w:hAnsi="Cambria"/>
                <w:noProof/>
              </w:rPr>
              <w:t>4.</w:t>
            </w:r>
            <w:r>
              <w:rPr>
                <w:rFonts w:asciiTheme="minorHAnsi" w:eastAsiaTheme="minorEastAsia" w:hAnsiTheme="minorHAnsi" w:cstheme="minorBidi"/>
                <w:noProof/>
                <w:sz w:val="22"/>
                <w:szCs w:val="22"/>
                <w:lang w:val="en-IN" w:eastAsia="en-IN"/>
              </w:rPr>
              <w:tab/>
            </w:r>
            <w:r w:rsidRPr="007F4554">
              <w:rPr>
                <w:rStyle w:val="Hyperlink"/>
                <w:rFonts w:ascii="Cambria" w:hAnsi="Cambria"/>
                <w:noProof/>
              </w:rPr>
              <w:t>Revenue and Current year GAP</w:t>
            </w:r>
            <w:r>
              <w:rPr>
                <w:noProof/>
                <w:webHidden/>
              </w:rPr>
              <w:tab/>
            </w:r>
            <w:r>
              <w:rPr>
                <w:noProof/>
                <w:webHidden/>
              </w:rPr>
              <w:fldChar w:fldCharType="begin"/>
            </w:r>
            <w:r>
              <w:rPr>
                <w:noProof/>
                <w:webHidden/>
              </w:rPr>
              <w:instrText xml:space="preserve"> PAGEREF _Toc215250630 \h </w:instrText>
            </w:r>
            <w:r>
              <w:rPr>
                <w:noProof/>
                <w:webHidden/>
              </w:rPr>
            </w:r>
            <w:r>
              <w:rPr>
                <w:noProof/>
                <w:webHidden/>
              </w:rPr>
              <w:fldChar w:fldCharType="separate"/>
            </w:r>
            <w:r>
              <w:rPr>
                <w:noProof/>
                <w:webHidden/>
              </w:rPr>
              <w:t>123</w:t>
            </w:r>
            <w:r>
              <w:rPr>
                <w:noProof/>
                <w:webHidden/>
              </w:rPr>
              <w:fldChar w:fldCharType="end"/>
            </w:r>
          </w:hyperlink>
        </w:p>
        <w:p w14:paraId="07813320" w14:textId="17B7EA31" w:rsidR="006741B6" w:rsidRDefault="006741B6">
          <w:pPr>
            <w:pStyle w:val="TOC2"/>
            <w:tabs>
              <w:tab w:val="left" w:pos="880"/>
              <w:tab w:val="right" w:leader="dot" w:pos="9200"/>
            </w:tabs>
            <w:rPr>
              <w:rFonts w:asciiTheme="minorHAnsi" w:eastAsiaTheme="minorEastAsia" w:hAnsiTheme="minorHAnsi" w:cstheme="minorBidi"/>
              <w:noProof/>
              <w:sz w:val="22"/>
              <w:szCs w:val="22"/>
              <w:lang w:val="en-IN" w:eastAsia="en-IN"/>
            </w:rPr>
          </w:pPr>
          <w:hyperlink w:anchor="_Toc215250631" w:history="1">
            <w:r w:rsidRPr="007F4554">
              <w:rPr>
                <w:rStyle w:val="Hyperlink"/>
                <w:rFonts w:asciiTheme="majorHAnsi" w:hAnsiTheme="majorHAnsi"/>
                <w:noProof/>
              </w:rPr>
              <w:t>4.1.</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Non-Tariff Income</w:t>
            </w:r>
            <w:r>
              <w:rPr>
                <w:noProof/>
                <w:webHidden/>
              </w:rPr>
              <w:tab/>
            </w:r>
            <w:r>
              <w:rPr>
                <w:noProof/>
                <w:webHidden/>
              </w:rPr>
              <w:fldChar w:fldCharType="begin"/>
            </w:r>
            <w:r>
              <w:rPr>
                <w:noProof/>
                <w:webHidden/>
              </w:rPr>
              <w:instrText xml:space="preserve"> PAGEREF _Toc215250631 \h </w:instrText>
            </w:r>
            <w:r>
              <w:rPr>
                <w:noProof/>
                <w:webHidden/>
              </w:rPr>
            </w:r>
            <w:r>
              <w:rPr>
                <w:noProof/>
                <w:webHidden/>
              </w:rPr>
              <w:fldChar w:fldCharType="separate"/>
            </w:r>
            <w:r>
              <w:rPr>
                <w:noProof/>
                <w:webHidden/>
              </w:rPr>
              <w:t>123</w:t>
            </w:r>
            <w:r>
              <w:rPr>
                <w:noProof/>
                <w:webHidden/>
              </w:rPr>
              <w:fldChar w:fldCharType="end"/>
            </w:r>
          </w:hyperlink>
        </w:p>
        <w:p w14:paraId="0292FE9D" w14:textId="6BD9040B" w:rsidR="006741B6" w:rsidRDefault="006741B6">
          <w:pPr>
            <w:pStyle w:val="TOC2"/>
            <w:tabs>
              <w:tab w:val="left" w:pos="880"/>
              <w:tab w:val="right" w:leader="dot" w:pos="9200"/>
            </w:tabs>
            <w:rPr>
              <w:rFonts w:asciiTheme="minorHAnsi" w:eastAsiaTheme="minorEastAsia" w:hAnsiTheme="minorHAnsi" w:cstheme="minorBidi"/>
              <w:noProof/>
              <w:sz w:val="22"/>
              <w:szCs w:val="22"/>
              <w:lang w:val="en-IN" w:eastAsia="en-IN"/>
            </w:rPr>
          </w:pPr>
          <w:hyperlink w:anchor="_Toc215250632" w:history="1">
            <w:r w:rsidRPr="007F4554">
              <w:rPr>
                <w:rStyle w:val="Hyperlink"/>
                <w:rFonts w:asciiTheme="majorHAnsi" w:hAnsiTheme="majorHAnsi"/>
                <w:noProof/>
              </w:rPr>
              <w:t>4.2.</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Current year FY 2025-26 (Gap)/Surplus</w:t>
            </w:r>
            <w:r>
              <w:rPr>
                <w:noProof/>
                <w:webHidden/>
              </w:rPr>
              <w:tab/>
            </w:r>
            <w:r>
              <w:rPr>
                <w:noProof/>
                <w:webHidden/>
              </w:rPr>
              <w:fldChar w:fldCharType="begin"/>
            </w:r>
            <w:r>
              <w:rPr>
                <w:noProof/>
                <w:webHidden/>
              </w:rPr>
              <w:instrText xml:space="preserve"> PAGEREF _Toc215250632 \h </w:instrText>
            </w:r>
            <w:r>
              <w:rPr>
                <w:noProof/>
                <w:webHidden/>
              </w:rPr>
            </w:r>
            <w:r>
              <w:rPr>
                <w:noProof/>
                <w:webHidden/>
              </w:rPr>
              <w:fldChar w:fldCharType="separate"/>
            </w:r>
            <w:r>
              <w:rPr>
                <w:noProof/>
                <w:webHidden/>
              </w:rPr>
              <w:t>123</w:t>
            </w:r>
            <w:r>
              <w:rPr>
                <w:noProof/>
                <w:webHidden/>
              </w:rPr>
              <w:fldChar w:fldCharType="end"/>
            </w:r>
          </w:hyperlink>
        </w:p>
        <w:p w14:paraId="5C3E720C" w14:textId="7BF8B891" w:rsidR="006741B6" w:rsidRDefault="006741B6">
          <w:pPr>
            <w:pStyle w:val="TOC2"/>
            <w:tabs>
              <w:tab w:val="left" w:pos="880"/>
              <w:tab w:val="right" w:leader="dot" w:pos="9200"/>
            </w:tabs>
            <w:rPr>
              <w:rFonts w:asciiTheme="minorHAnsi" w:eastAsiaTheme="minorEastAsia" w:hAnsiTheme="minorHAnsi" w:cstheme="minorBidi"/>
              <w:noProof/>
              <w:sz w:val="22"/>
              <w:szCs w:val="22"/>
              <w:lang w:val="en-IN" w:eastAsia="en-IN"/>
            </w:rPr>
          </w:pPr>
          <w:hyperlink w:anchor="_Toc215250633" w:history="1">
            <w:r w:rsidRPr="007F4554">
              <w:rPr>
                <w:rStyle w:val="Hyperlink"/>
                <w:rFonts w:asciiTheme="majorHAnsi" w:hAnsiTheme="majorHAnsi"/>
                <w:noProof/>
              </w:rPr>
              <w:t>4.3.</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Revenue at Existing Tariffs</w:t>
            </w:r>
            <w:r>
              <w:rPr>
                <w:noProof/>
                <w:webHidden/>
              </w:rPr>
              <w:tab/>
            </w:r>
            <w:r>
              <w:rPr>
                <w:noProof/>
                <w:webHidden/>
              </w:rPr>
              <w:fldChar w:fldCharType="begin"/>
            </w:r>
            <w:r>
              <w:rPr>
                <w:noProof/>
                <w:webHidden/>
              </w:rPr>
              <w:instrText xml:space="preserve"> PAGEREF _Toc215250633 \h </w:instrText>
            </w:r>
            <w:r>
              <w:rPr>
                <w:noProof/>
                <w:webHidden/>
              </w:rPr>
            </w:r>
            <w:r>
              <w:rPr>
                <w:noProof/>
                <w:webHidden/>
              </w:rPr>
              <w:fldChar w:fldCharType="separate"/>
            </w:r>
            <w:r>
              <w:rPr>
                <w:noProof/>
                <w:webHidden/>
              </w:rPr>
              <w:t>124</w:t>
            </w:r>
            <w:r>
              <w:rPr>
                <w:noProof/>
                <w:webHidden/>
              </w:rPr>
              <w:fldChar w:fldCharType="end"/>
            </w:r>
          </w:hyperlink>
        </w:p>
        <w:p w14:paraId="62AA2C39" w14:textId="5AD966E2" w:rsidR="006741B6" w:rsidRDefault="006741B6">
          <w:pPr>
            <w:pStyle w:val="TOC2"/>
            <w:tabs>
              <w:tab w:val="left" w:pos="880"/>
              <w:tab w:val="right" w:leader="dot" w:pos="9200"/>
            </w:tabs>
            <w:rPr>
              <w:rFonts w:asciiTheme="minorHAnsi" w:eastAsiaTheme="minorEastAsia" w:hAnsiTheme="minorHAnsi" w:cstheme="minorBidi"/>
              <w:noProof/>
              <w:sz w:val="22"/>
              <w:szCs w:val="22"/>
              <w:lang w:val="en-IN" w:eastAsia="en-IN"/>
            </w:rPr>
          </w:pPr>
          <w:hyperlink w:anchor="_Toc215250634" w:history="1">
            <w:r w:rsidRPr="007F4554">
              <w:rPr>
                <w:rStyle w:val="Hyperlink"/>
                <w:rFonts w:asciiTheme="majorHAnsi" w:hAnsiTheme="majorHAnsi"/>
                <w:noProof/>
              </w:rPr>
              <w:t>4.4.</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Summary of Annual Revenue Requirement and Revenue Gap (-)/Surplus (+)</w:t>
            </w:r>
            <w:r>
              <w:rPr>
                <w:noProof/>
                <w:webHidden/>
              </w:rPr>
              <w:tab/>
            </w:r>
            <w:r>
              <w:rPr>
                <w:noProof/>
                <w:webHidden/>
              </w:rPr>
              <w:fldChar w:fldCharType="begin"/>
            </w:r>
            <w:r>
              <w:rPr>
                <w:noProof/>
                <w:webHidden/>
              </w:rPr>
              <w:instrText xml:space="preserve"> PAGEREF _Toc215250634 \h </w:instrText>
            </w:r>
            <w:r>
              <w:rPr>
                <w:noProof/>
                <w:webHidden/>
              </w:rPr>
            </w:r>
            <w:r>
              <w:rPr>
                <w:noProof/>
                <w:webHidden/>
              </w:rPr>
              <w:fldChar w:fldCharType="separate"/>
            </w:r>
            <w:r>
              <w:rPr>
                <w:noProof/>
                <w:webHidden/>
              </w:rPr>
              <w:t>124</w:t>
            </w:r>
            <w:r>
              <w:rPr>
                <w:noProof/>
                <w:webHidden/>
              </w:rPr>
              <w:fldChar w:fldCharType="end"/>
            </w:r>
          </w:hyperlink>
        </w:p>
        <w:p w14:paraId="356F6CD6" w14:textId="5AF34D78" w:rsidR="006741B6" w:rsidRDefault="006741B6">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215250635" w:history="1">
            <w:r w:rsidRPr="007F4554">
              <w:rPr>
                <w:rStyle w:val="Hyperlink"/>
                <w:rFonts w:ascii="Cambria" w:hAnsi="Cambria" w:cs="Calibri"/>
                <w:noProof/>
              </w:rPr>
              <w:t>5.</w:t>
            </w:r>
            <w:r>
              <w:rPr>
                <w:rFonts w:asciiTheme="minorHAnsi" w:eastAsiaTheme="minorEastAsia" w:hAnsiTheme="minorHAnsi" w:cstheme="minorBidi"/>
                <w:noProof/>
                <w:sz w:val="22"/>
                <w:szCs w:val="22"/>
                <w:lang w:val="en-IN" w:eastAsia="en-IN"/>
              </w:rPr>
              <w:tab/>
            </w:r>
            <w:r w:rsidRPr="007F4554">
              <w:rPr>
                <w:rStyle w:val="Hyperlink"/>
                <w:rFonts w:ascii="Cambria" w:hAnsi="Cambria" w:cs="Calibri"/>
                <w:noProof/>
              </w:rPr>
              <w:t>Compliance to Directives of Hon’ble Commission</w:t>
            </w:r>
            <w:r>
              <w:rPr>
                <w:noProof/>
                <w:webHidden/>
              </w:rPr>
              <w:tab/>
            </w:r>
            <w:r>
              <w:rPr>
                <w:noProof/>
                <w:webHidden/>
              </w:rPr>
              <w:fldChar w:fldCharType="begin"/>
            </w:r>
            <w:r>
              <w:rPr>
                <w:noProof/>
                <w:webHidden/>
              </w:rPr>
              <w:instrText xml:space="preserve"> PAGEREF _Toc215250635 \h </w:instrText>
            </w:r>
            <w:r>
              <w:rPr>
                <w:noProof/>
                <w:webHidden/>
              </w:rPr>
            </w:r>
            <w:r>
              <w:rPr>
                <w:noProof/>
                <w:webHidden/>
              </w:rPr>
              <w:fldChar w:fldCharType="separate"/>
            </w:r>
            <w:r>
              <w:rPr>
                <w:noProof/>
                <w:webHidden/>
              </w:rPr>
              <w:t>126</w:t>
            </w:r>
            <w:r>
              <w:rPr>
                <w:noProof/>
                <w:webHidden/>
              </w:rPr>
              <w:fldChar w:fldCharType="end"/>
            </w:r>
          </w:hyperlink>
        </w:p>
        <w:p w14:paraId="0EAF1753" w14:textId="072DCEB6" w:rsidR="006741B6" w:rsidRDefault="006741B6">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15250637" w:history="1">
            <w:r w:rsidRPr="007F4554">
              <w:rPr>
                <w:rStyle w:val="Hyperlink"/>
                <w:rFonts w:ascii="Cambria" w:hAnsi="Cambria"/>
                <w:noProof/>
              </w:rPr>
              <w:t>5.1</w:t>
            </w:r>
            <w:r>
              <w:rPr>
                <w:rFonts w:asciiTheme="minorHAnsi" w:eastAsiaTheme="minorEastAsia" w:hAnsiTheme="minorHAnsi" w:cstheme="minorBidi"/>
                <w:noProof/>
                <w:sz w:val="22"/>
                <w:szCs w:val="22"/>
                <w:lang w:val="en-IN" w:eastAsia="en-IN"/>
              </w:rPr>
              <w:tab/>
            </w:r>
            <w:r w:rsidRPr="007F4554">
              <w:rPr>
                <w:rStyle w:val="Hyperlink"/>
                <w:rFonts w:ascii="Cambria" w:hAnsi="Cambria"/>
                <w:noProof/>
              </w:rPr>
              <w:t>Compliance to the directions under RST Order FY 25-26:</w:t>
            </w:r>
            <w:r>
              <w:rPr>
                <w:noProof/>
                <w:webHidden/>
              </w:rPr>
              <w:tab/>
            </w:r>
            <w:r>
              <w:rPr>
                <w:noProof/>
                <w:webHidden/>
              </w:rPr>
              <w:fldChar w:fldCharType="begin"/>
            </w:r>
            <w:r>
              <w:rPr>
                <w:noProof/>
                <w:webHidden/>
              </w:rPr>
              <w:instrText xml:space="preserve"> PAGEREF _Toc215250637 \h </w:instrText>
            </w:r>
            <w:r>
              <w:rPr>
                <w:noProof/>
                <w:webHidden/>
              </w:rPr>
            </w:r>
            <w:r>
              <w:rPr>
                <w:noProof/>
                <w:webHidden/>
              </w:rPr>
              <w:fldChar w:fldCharType="separate"/>
            </w:r>
            <w:r>
              <w:rPr>
                <w:noProof/>
                <w:webHidden/>
              </w:rPr>
              <w:t>126</w:t>
            </w:r>
            <w:r>
              <w:rPr>
                <w:noProof/>
                <w:webHidden/>
              </w:rPr>
              <w:fldChar w:fldCharType="end"/>
            </w:r>
          </w:hyperlink>
        </w:p>
        <w:p w14:paraId="6E1E8CDD" w14:textId="0F86168E" w:rsidR="006741B6" w:rsidRDefault="006741B6">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15250638" w:history="1">
            <w:r w:rsidRPr="007F4554">
              <w:rPr>
                <w:rStyle w:val="Hyperlink"/>
                <w:rFonts w:ascii="Cambria" w:hAnsi="Cambria"/>
                <w:noProof/>
              </w:rPr>
              <w:t>5.2</w:t>
            </w:r>
            <w:r>
              <w:rPr>
                <w:rFonts w:asciiTheme="minorHAnsi" w:eastAsiaTheme="minorEastAsia" w:hAnsiTheme="minorHAnsi" w:cstheme="minorBidi"/>
                <w:noProof/>
                <w:sz w:val="22"/>
                <w:szCs w:val="22"/>
                <w:lang w:val="en-IN" w:eastAsia="en-IN"/>
              </w:rPr>
              <w:tab/>
            </w:r>
            <w:r w:rsidRPr="007F4554">
              <w:rPr>
                <w:rStyle w:val="Hyperlink"/>
                <w:rFonts w:ascii="Cambria" w:hAnsi="Cambria"/>
                <w:noProof/>
              </w:rPr>
              <w:t>Vesting order Compliances:</w:t>
            </w:r>
            <w:r>
              <w:rPr>
                <w:noProof/>
                <w:webHidden/>
              </w:rPr>
              <w:tab/>
            </w:r>
            <w:r>
              <w:rPr>
                <w:noProof/>
                <w:webHidden/>
              </w:rPr>
              <w:fldChar w:fldCharType="begin"/>
            </w:r>
            <w:r>
              <w:rPr>
                <w:noProof/>
                <w:webHidden/>
              </w:rPr>
              <w:instrText xml:space="preserve"> PAGEREF _Toc215250638 \h </w:instrText>
            </w:r>
            <w:r>
              <w:rPr>
                <w:noProof/>
                <w:webHidden/>
              </w:rPr>
            </w:r>
            <w:r>
              <w:rPr>
                <w:noProof/>
                <w:webHidden/>
              </w:rPr>
              <w:fldChar w:fldCharType="separate"/>
            </w:r>
            <w:r>
              <w:rPr>
                <w:noProof/>
                <w:webHidden/>
              </w:rPr>
              <w:t>146</w:t>
            </w:r>
            <w:r>
              <w:rPr>
                <w:noProof/>
                <w:webHidden/>
              </w:rPr>
              <w:fldChar w:fldCharType="end"/>
            </w:r>
          </w:hyperlink>
        </w:p>
        <w:p w14:paraId="250EDF97" w14:textId="1BB2BB07" w:rsidR="006741B6" w:rsidRDefault="006741B6">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15250639" w:history="1">
            <w:r w:rsidRPr="007F4554">
              <w:rPr>
                <w:rStyle w:val="Hyperlink"/>
                <w:rFonts w:ascii="Cambria" w:eastAsia="Calibri" w:hAnsi="Cambria"/>
                <w:noProof/>
                <w:lang w:val="en-IN"/>
              </w:rPr>
              <w:t>5.3</w:t>
            </w:r>
            <w:r>
              <w:rPr>
                <w:rFonts w:asciiTheme="minorHAnsi" w:eastAsiaTheme="minorEastAsia" w:hAnsiTheme="minorHAnsi" w:cstheme="minorBidi"/>
                <w:noProof/>
                <w:sz w:val="22"/>
                <w:szCs w:val="22"/>
                <w:lang w:val="en-IN" w:eastAsia="en-IN"/>
              </w:rPr>
              <w:tab/>
            </w:r>
            <w:r w:rsidRPr="007F4554">
              <w:rPr>
                <w:rStyle w:val="Hyperlink"/>
                <w:rFonts w:ascii="Cambria" w:hAnsi="Cambria"/>
                <w:noProof/>
              </w:rPr>
              <w:t>Segregation/ Carve out order compliance:</w:t>
            </w:r>
            <w:r>
              <w:rPr>
                <w:noProof/>
                <w:webHidden/>
              </w:rPr>
              <w:tab/>
            </w:r>
            <w:r>
              <w:rPr>
                <w:noProof/>
                <w:webHidden/>
              </w:rPr>
              <w:fldChar w:fldCharType="begin"/>
            </w:r>
            <w:r>
              <w:rPr>
                <w:noProof/>
                <w:webHidden/>
              </w:rPr>
              <w:instrText xml:space="preserve"> PAGEREF _Toc215250639 \h </w:instrText>
            </w:r>
            <w:r>
              <w:rPr>
                <w:noProof/>
                <w:webHidden/>
              </w:rPr>
            </w:r>
            <w:r>
              <w:rPr>
                <w:noProof/>
                <w:webHidden/>
              </w:rPr>
              <w:fldChar w:fldCharType="separate"/>
            </w:r>
            <w:r>
              <w:rPr>
                <w:noProof/>
                <w:webHidden/>
              </w:rPr>
              <w:t>147</w:t>
            </w:r>
            <w:r>
              <w:rPr>
                <w:noProof/>
                <w:webHidden/>
              </w:rPr>
              <w:fldChar w:fldCharType="end"/>
            </w:r>
          </w:hyperlink>
        </w:p>
        <w:p w14:paraId="46A46D83" w14:textId="34BBE44A" w:rsidR="006741B6" w:rsidRDefault="006741B6">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215250640" w:history="1">
            <w:r w:rsidRPr="007F4554">
              <w:rPr>
                <w:rStyle w:val="Hyperlink"/>
                <w:rFonts w:ascii="Cambria" w:hAnsi="Cambria"/>
                <w:noProof/>
              </w:rPr>
              <w:t>6.</w:t>
            </w:r>
            <w:r>
              <w:rPr>
                <w:rFonts w:asciiTheme="minorHAnsi" w:eastAsiaTheme="minorEastAsia" w:hAnsiTheme="minorHAnsi" w:cstheme="minorBidi"/>
                <w:noProof/>
                <w:sz w:val="22"/>
                <w:szCs w:val="22"/>
                <w:lang w:val="en-IN" w:eastAsia="en-IN"/>
              </w:rPr>
              <w:tab/>
            </w:r>
            <w:r w:rsidRPr="007F4554">
              <w:rPr>
                <w:rStyle w:val="Hyperlink"/>
                <w:rFonts w:ascii="Cambria" w:hAnsi="Cambria"/>
                <w:noProof/>
              </w:rPr>
              <w:t>Allocation of Wheeling and Retail supply cost</w:t>
            </w:r>
            <w:r>
              <w:rPr>
                <w:noProof/>
                <w:webHidden/>
              </w:rPr>
              <w:tab/>
            </w:r>
            <w:r>
              <w:rPr>
                <w:noProof/>
                <w:webHidden/>
              </w:rPr>
              <w:fldChar w:fldCharType="begin"/>
            </w:r>
            <w:r>
              <w:rPr>
                <w:noProof/>
                <w:webHidden/>
              </w:rPr>
              <w:instrText xml:space="preserve"> PAGEREF _Toc215250640 \h </w:instrText>
            </w:r>
            <w:r>
              <w:rPr>
                <w:noProof/>
                <w:webHidden/>
              </w:rPr>
            </w:r>
            <w:r>
              <w:rPr>
                <w:noProof/>
                <w:webHidden/>
              </w:rPr>
              <w:fldChar w:fldCharType="separate"/>
            </w:r>
            <w:r>
              <w:rPr>
                <w:noProof/>
                <w:webHidden/>
              </w:rPr>
              <w:t>150</w:t>
            </w:r>
            <w:r>
              <w:rPr>
                <w:noProof/>
                <w:webHidden/>
              </w:rPr>
              <w:fldChar w:fldCharType="end"/>
            </w:r>
          </w:hyperlink>
        </w:p>
        <w:p w14:paraId="2D0A0346" w14:textId="36F69130" w:rsidR="006741B6" w:rsidRDefault="006741B6">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215250641" w:history="1">
            <w:r w:rsidRPr="007F4554">
              <w:rPr>
                <w:rStyle w:val="Hyperlink"/>
                <w:rFonts w:ascii="Cambria" w:hAnsi="Cambria"/>
                <w:noProof/>
              </w:rPr>
              <w:t>7.</w:t>
            </w:r>
            <w:r>
              <w:rPr>
                <w:rFonts w:asciiTheme="minorHAnsi" w:eastAsiaTheme="minorEastAsia" w:hAnsiTheme="minorHAnsi" w:cstheme="minorBidi"/>
                <w:noProof/>
                <w:sz w:val="22"/>
                <w:szCs w:val="22"/>
                <w:lang w:val="en-IN" w:eastAsia="en-IN"/>
              </w:rPr>
              <w:tab/>
            </w:r>
            <w:r w:rsidRPr="007F4554">
              <w:rPr>
                <w:rStyle w:val="Hyperlink"/>
                <w:rFonts w:ascii="Cambria" w:hAnsi="Cambria"/>
                <w:noProof/>
              </w:rPr>
              <w:t>Truing Up of FY 23-24 (Revised Submission) &amp; Truing Up for FY 24-25</w:t>
            </w:r>
            <w:r>
              <w:rPr>
                <w:noProof/>
                <w:webHidden/>
              </w:rPr>
              <w:tab/>
            </w:r>
            <w:r>
              <w:rPr>
                <w:noProof/>
                <w:webHidden/>
              </w:rPr>
              <w:fldChar w:fldCharType="begin"/>
            </w:r>
            <w:r>
              <w:rPr>
                <w:noProof/>
                <w:webHidden/>
              </w:rPr>
              <w:instrText xml:space="preserve"> PAGEREF _Toc215250641 \h </w:instrText>
            </w:r>
            <w:r>
              <w:rPr>
                <w:noProof/>
                <w:webHidden/>
              </w:rPr>
            </w:r>
            <w:r>
              <w:rPr>
                <w:noProof/>
                <w:webHidden/>
              </w:rPr>
              <w:fldChar w:fldCharType="separate"/>
            </w:r>
            <w:r>
              <w:rPr>
                <w:noProof/>
                <w:webHidden/>
              </w:rPr>
              <w:t>152</w:t>
            </w:r>
            <w:r>
              <w:rPr>
                <w:noProof/>
                <w:webHidden/>
              </w:rPr>
              <w:fldChar w:fldCharType="end"/>
            </w:r>
          </w:hyperlink>
        </w:p>
        <w:p w14:paraId="742C4F3F" w14:textId="495BBC56" w:rsidR="006741B6" w:rsidRDefault="006741B6">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215250642" w:history="1">
            <w:r w:rsidRPr="007F4554">
              <w:rPr>
                <w:rStyle w:val="Hyperlink"/>
                <w:rFonts w:ascii="Cambria" w:hAnsi="Cambria"/>
                <w:noProof/>
              </w:rPr>
              <w:t>8.</w:t>
            </w:r>
            <w:r>
              <w:rPr>
                <w:rFonts w:asciiTheme="minorHAnsi" w:eastAsiaTheme="minorEastAsia" w:hAnsiTheme="minorHAnsi" w:cstheme="minorBidi"/>
                <w:noProof/>
                <w:sz w:val="22"/>
                <w:szCs w:val="22"/>
                <w:lang w:val="en-IN" w:eastAsia="en-IN"/>
              </w:rPr>
              <w:tab/>
            </w:r>
            <w:r w:rsidRPr="007F4554">
              <w:rPr>
                <w:rStyle w:val="Hyperlink"/>
                <w:rFonts w:ascii="Cambria" w:hAnsi="Cambria"/>
                <w:noProof/>
              </w:rPr>
              <w:t>Tariff Proposals and Rationalization Measures</w:t>
            </w:r>
            <w:r>
              <w:rPr>
                <w:noProof/>
                <w:webHidden/>
              </w:rPr>
              <w:tab/>
            </w:r>
            <w:r>
              <w:rPr>
                <w:noProof/>
                <w:webHidden/>
              </w:rPr>
              <w:fldChar w:fldCharType="begin"/>
            </w:r>
            <w:r>
              <w:rPr>
                <w:noProof/>
                <w:webHidden/>
              </w:rPr>
              <w:instrText xml:space="preserve"> PAGEREF _Toc215250642 \h </w:instrText>
            </w:r>
            <w:r>
              <w:rPr>
                <w:noProof/>
                <w:webHidden/>
              </w:rPr>
            </w:r>
            <w:r>
              <w:rPr>
                <w:noProof/>
                <w:webHidden/>
              </w:rPr>
              <w:fldChar w:fldCharType="separate"/>
            </w:r>
            <w:r>
              <w:rPr>
                <w:noProof/>
                <w:webHidden/>
              </w:rPr>
              <w:t>155</w:t>
            </w:r>
            <w:r>
              <w:rPr>
                <w:noProof/>
                <w:webHidden/>
              </w:rPr>
              <w:fldChar w:fldCharType="end"/>
            </w:r>
          </w:hyperlink>
        </w:p>
        <w:p w14:paraId="62E91447" w14:textId="5E4145AB" w:rsidR="006741B6" w:rsidRDefault="006741B6">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215250647" w:history="1">
            <w:r w:rsidRPr="007F4554">
              <w:rPr>
                <w:rStyle w:val="Hyperlink"/>
                <w:rFonts w:ascii="Cambria" w:hAnsi="Cambria"/>
                <w:noProof/>
              </w:rPr>
              <w:t>9.</w:t>
            </w:r>
            <w:r>
              <w:rPr>
                <w:rFonts w:asciiTheme="minorHAnsi" w:eastAsiaTheme="minorEastAsia" w:hAnsiTheme="minorHAnsi" w:cstheme="minorBidi"/>
                <w:noProof/>
                <w:sz w:val="22"/>
                <w:szCs w:val="22"/>
                <w:lang w:val="en-IN" w:eastAsia="en-IN"/>
              </w:rPr>
              <w:tab/>
            </w:r>
            <w:r w:rsidRPr="007F4554">
              <w:rPr>
                <w:rStyle w:val="Hyperlink"/>
                <w:rFonts w:ascii="Cambria" w:hAnsi="Cambria"/>
                <w:noProof/>
              </w:rPr>
              <w:t>Formats</w:t>
            </w:r>
            <w:r>
              <w:rPr>
                <w:noProof/>
                <w:webHidden/>
              </w:rPr>
              <w:tab/>
            </w:r>
            <w:r>
              <w:rPr>
                <w:noProof/>
                <w:webHidden/>
              </w:rPr>
              <w:fldChar w:fldCharType="begin"/>
            </w:r>
            <w:r>
              <w:rPr>
                <w:noProof/>
                <w:webHidden/>
              </w:rPr>
              <w:instrText xml:space="preserve"> PAGEREF _Toc215250647 \h </w:instrText>
            </w:r>
            <w:r>
              <w:rPr>
                <w:noProof/>
                <w:webHidden/>
              </w:rPr>
            </w:r>
            <w:r>
              <w:rPr>
                <w:noProof/>
                <w:webHidden/>
              </w:rPr>
              <w:fldChar w:fldCharType="separate"/>
            </w:r>
            <w:r>
              <w:rPr>
                <w:noProof/>
                <w:webHidden/>
              </w:rPr>
              <w:t>178</w:t>
            </w:r>
            <w:r>
              <w:rPr>
                <w:noProof/>
                <w:webHidden/>
              </w:rPr>
              <w:fldChar w:fldCharType="end"/>
            </w:r>
          </w:hyperlink>
        </w:p>
        <w:p w14:paraId="22BBD351" w14:textId="5B68A47E" w:rsidR="006741B6" w:rsidRDefault="006741B6">
          <w:pPr>
            <w:pStyle w:val="TOC2"/>
            <w:tabs>
              <w:tab w:val="left" w:pos="880"/>
              <w:tab w:val="right" w:leader="dot" w:pos="9200"/>
            </w:tabs>
            <w:rPr>
              <w:rFonts w:asciiTheme="minorHAnsi" w:eastAsiaTheme="minorEastAsia" w:hAnsiTheme="minorHAnsi" w:cstheme="minorBidi"/>
              <w:noProof/>
              <w:sz w:val="22"/>
              <w:szCs w:val="22"/>
              <w:lang w:val="en-IN" w:eastAsia="en-IN"/>
            </w:rPr>
          </w:pPr>
          <w:hyperlink w:anchor="_Toc215250653" w:history="1">
            <w:r w:rsidRPr="007F4554">
              <w:rPr>
                <w:rStyle w:val="Hyperlink"/>
                <w:rFonts w:asciiTheme="majorHAnsi" w:hAnsiTheme="majorHAnsi"/>
                <w:noProof/>
              </w:rPr>
              <w:t>9.1.</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Commercial/Technical Formats T1-T9</w:t>
            </w:r>
            <w:r>
              <w:rPr>
                <w:noProof/>
                <w:webHidden/>
              </w:rPr>
              <w:tab/>
            </w:r>
            <w:r>
              <w:rPr>
                <w:noProof/>
                <w:webHidden/>
              </w:rPr>
              <w:fldChar w:fldCharType="begin"/>
            </w:r>
            <w:r>
              <w:rPr>
                <w:noProof/>
                <w:webHidden/>
              </w:rPr>
              <w:instrText xml:space="preserve"> PAGEREF _Toc215250653 \h </w:instrText>
            </w:r>
            <w:r>
              <w:rPr>
                <w:noProof/>
                <w:webHidden/>
              </w:rPr>
            </w:r>
            <w:r>
              <w:rPr>
                <w:noProof/>
                <w:webHidden/>
              </w:rPr>
              <w:fldChar w:fldCharType="separate"/>
            </w:r>
            <w:r>
              <w:rPr>
                <w:noProof/>
                <w:webHidden/>
              </w:rPr>
              <w:t>178</w:t>
            </w:r>
            <w:r>
              <w:rPr>
                <w:noProof/>
                <w:webHidden/>
              </w:rPr>
              <w:fldChar w:fldCharType="end"/>
            </w:r>
          </w:hyperlink>
        </w:p>
        <w:p w14:paraId="1AA69701" w14:textId="10EE8614" w:rsidR="006741B6" w:rsidRDefault="006741B6">
          <w:pPr>
            <w:pStyle w:val="TOC2"/>
            <w:tabs>
              <w:tab w:val="left" w:pos="880"/>
              <w:tab w:val="right" w:leader="dot" w:pos="9200"/>
            </w:tabs>
            <w:rPr>
              <w:rFonts w:asciiTheme="minorHAnsi" w:eastAsiaTheme="minorEastAsia" w:hAnsiTheme="minorHAnsi" w:cstheme="minorBidi"/>
              <w:noProof/>
              <w:sz w:val="22"/>
              <w:szCs w:val="22"/>
              <w:lang w:val="en-IN" w:eastAsia="en-IN"/>
            </w:rPr>
          </w:pPr>
          <w:hyperlink w:anchor="_Toc215250654" w:history="1">
            <w:r w:rsidRPr="007F4554">
              <w:rPr>
                <w:rStyle w:val="Hyperlink"/>
                <w:rFonts w:asciiTheme="majorHAnsi" w:hAnsiTheme="majorHAnsi"/>
                <w:noProof/>
              </w:rPr>
              <w:t>9.2.</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Financial Formats F1-F27</w:t>
            </w:r>
            <w:r>
              <w:rPr>
                <w:noProof/>
                <w:webHidden/>
              </w:rPr>
              <w:tab/>
            </w:r>
            <w:r>
              <w:rPr>
                <w:noProof/>
                <w:webHidden/>
              </w:rPr>
              <w:fldChar w:fldCharType="begin"/>
            </w:r>
            <w:r>
              <w:rPr>
                <w:noProof/>
                <w:webHidden/>
              </w:rPr>
              <w:instrText xml:space="preserve"> PAGEREF _Toc215250654 \h </w:instrText>
            </w:r>
            <w:r>
              <w:rPr>
                <w:noProof/>
                <w:webHidden/>
              </w:rPr>
            </w:r>
            <w:r>
              <w:rPr>
                <w:noProof/>
                <w:webHidden/>
              </w:rPr>
              <w:fldChar w:fldCharType="separate"/>
            </w:r>
            <w:r>
              <w:rPr>
                <w:noProof/>
                <w:webHidden/>
              </w:rPr>
              <w:t>178</w:t>
            </w:r>
            <w:r>
              <w:rPr>
                <w:noProof/>
                <w:webHidden/>
              </w:rPr>
              <w:fldChar w:fldCharType="end"/>
            </w:r>
          </w:hyperlink>
        </w:p>
        <w:p w14:paraId="03FBCD45" w14:textId="20EE9CAC" w:rsidR="006741B6" w:rsidRDefault="006741B6">
          <w:pPr>
            <w:pStyle w:val="TOC2"/>
            <w:tabs>
              <w:tab w:val="left" w:pos="880"/>
              <w:tab w:val="right" w:leader="dot" w:pos="9200"/>
            </w:tabs>
            <w:rPr>
              <w:rFonts w:asciiTheme="minorHAnsi" w:eastAsiaTheme="minorEastAsia" w:hAnsiTheme="minorHAnsi" w:cstheme="minorBidi"/>
              <w:noProof/>
              <w:sz w:val="22"/>
              <w:szCs w:val="22"/>
              <w:lang w:val="en-IN" w:eastAsia="en-IN"/>
            </w:rPr>
          </w:pPr>
          <w:hyperlink w:anchor="_Toc215250655" w:history="1">
            <w:r w:rsidRPr="007F4554">
              <w:rPr>
                <w:rStyle w:val="Hyperlink"/>
                <w:rFonts w:asciiTheme="majorHAnsi" w:hAnsiTheme="majorHAnsi"/>
                <w:noProof/>
              </w:rPr>
              <w:t>9.3.</w:t>
            </w:r>
            <w:r>
              <w:rPr>
                <w:rFonts w:asciiTheme="minorHAnsi" w:eastAsiaTheme="minorEastAsia" w:hAnsiTheme="minorHAnsi" w:cstheme="minorBidi"/>
                <w:noProof/>
                <w:sz w:val="22"/>
                <w:szCs w:val="22"/>
                <w:lang w:val="en-IN" w:eastAsia="en-IN"/>
              </w:rPr>
              <w:tab/>
            </w:r>
            <w:r w:rsidRPr="007F4554">
              <w:rPr>
                <w:rStyle w:val="Hyperlink"/>
                <w:rFonts w:asciiTheme="majorHAnsi" w:hAnsiTheme="majorHAnsi"/>
                <w:noProof/>
              </w:rPr>
              <w:t>Details Performance Formats (P1-P17) in Vol- II</w:t>
            </w:r>
            <w:r>
              <w:rPr>
                <w:noProof/>
                <w:webHidden/>
              </w:rPr>
              <w:tab/>
            </w:r>
            <w:r>
              <w:rPr>
                <w:noProof/>
                <w:webHidden/>
              </w:rPr>
              <w:fldChar w:fldCharType="begin"/>
            </w:r>
            <w:r>
              <w:rPr>
                <w:noProof/>
                <w:webHidden/>
              </w:rPr>
              <w:instrText xml:space="preserve"> PAGEREF _Toc215250655 \h </w:instrText>
            </w:r>
            <w:r>
              <w:rPr>
                <w:noProof/>
                <w:webHidden/>
              </w:rPr>
            </w:r>
            <w:r>
              <w:rPr>
                <w:noProof/>
                <w:webHidden/>
              </w:rPr>
              <w:fldChar w:fldCharType="separate"/>
            </w:r>
            <w:r>
              <w:rPr>
                <w:noProof/>
                <w:webHidden/>
              </w:rPr>
              <w:t>178</w:t>
            </w:r>
            <w:r>
              <w:rPr>
                <w:noProof/>
                <w:webHidden/>
              </w:rPr>
              <w:fldChar w:fldCharType="end"/>
            </w:r>
          </w:hyperlink>
        </w:p>
        <w:p w14:paraId="6DFE839D" w14:textId="1BF00321" w:rsidR="006741B6" w:rsidRDefault="006741B6">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15250656" w:history="1">
            <w:r w:rsidRPr="007F4554">
              <w:rPr>
                <w:rStyle w:val="Hyperlink"/>
                <w:rFonts w:ascii="Cambria" w:hAnsi="Cambria"/>
                <w:noProof/>
              </w:rPr>
              <w:t>10.</w:t>
            </w:r>
            <w:r>
              <w:rPr>
                <w:rFonts w:asciiTheme="minorHAnsi" w:eastAsiaTheme="minorEastAsia" w:hAnsiTheme="minorHAnsi" w:cstheme="minorBidi"/>
                <w:noProof/>
                <w:sz w:val="22"/>
                <w:szCs w:val="22"/>
                <w:lang w:val="en-IN" w:eastAsia="en-IN"/>
              </w:rPr>
              <w:tab/>
            </w:r>
            <w:r w:rsidRPr="007F4554">
              <w:rPr>
                <w:rStyle w:val="Hyperlink"/>
                <w:rFonts w:ascii="Cambria" w:hAnsi="Cambria"/>
                <w:noProof/>
              </w:rPr>
              <w:t>Prayer</w:t>
            </w:r>
            <w:r>
              <w:rPr>
                <w:noProof/>
                <w:webHidden/>
              </w:rPr>
              <w:tab/>
            </w:r>
            <w:r>
              <w:rPr>
                <w:noProof/>
                <w:webHidden/>
              </w:rPr>
              <w:fldChar w:fldCharType="begin"/>
            </w:r>
            <w:r>
              <w:rPr>
                <w:noProof/>
                <w:webHidden/>
              </w:rPr>
              <w:instrText xml:space="preserve"> PAGEREF _Toc215250656 \h </w:instrText>
            </w:r>
            <w:r>
              <w:rPr>
                <w:noProof/>
                <w:webHidden/>
              </w:rPr>
            </w:r>
            <w:r>
              <w:rPr>
                <w:noProof/>
                <w:webHidden/>
              </w:rPr>
              <w:fldChar w:fldCharType="separate"/>
            </w:r>
            <w:r>
              <w:rPr>
                <w:noProof/>
                <w:webHidden/>
              </w:rPr>
              <w:t>178</w:t>
            </w:r>
            <w:r>
              <w:rPr>
                <w:noProof/>
                <w:webHidden/>
              </w:rPr>
              <w:fldChar w:fldCharType="end"/>
            </w:r>
          </w:hyperlink>
        </w:p>
        <w:p w14:paraId="31D7805B" w14:textId="20CA1A39" w:rsidR="00051738" w:rsidRDefault="00051738">
          <w:r>
            <w:rPr>
              <w:b/>
              <w:bCs/>
              <w:noProof/>
            </w:rPr>
            <w:fldChar w:fldCharType="end"/>
          </w:r>
        </w:p>
      </w:sdtContent>
    </w:sdt>
    <w:p w14:paraId="1D707068" w14:textId="65B6D00F" w:rsidR="004E79A8" w:rsidRPr="004E79A8" w:rsidRDefault="004E79A8" w:rsidP="004E79A8">
      <w:pPr>
        <w:tabs>
          <w:tab w:val="left" w:pos="1940"/>
        </w:tabs>
        <w:rPr>
          <w:rFonts w:ascii="Cambria" w:hAnsi="Cambria" w:cs="Arial"/>
        </w:rPr>
      </w:pPr>
    </w:p>
    <w:p w14:paraId="752C7EDE" w14:textId="4D58088A" w:rsidR="004E79A8" w:rsidRPr="004E79A8" w:rsidRDefault="004E79A8" w:rsidP="004E79A8">
      <w:pPr>
        <w:tabs>
          <w:tab w:val="left" w:pos="1940"/>
        </w:tabs>
        <w:rPr>
          <w:rFonts w:ascii="Cambria" w:hAnsi="Cambria" w:cs="Arial"/>
        </w:rPr>
        <w:sectPr w:rsidR="004E79A8" w:rsidRPr="004E79A8" w:rsidSect="005305E7">
          <w:headerReference w:type="default" r:id="rId11"/>
          <w:footerReference w:type="default" r:id="rId12"/>
          <w:pgSz w:w="11909" w:h="16834" w:code="9"/>
          <w:pgMar w:top="1560" w:right="1077" w:bottom="1440" w:left="1622" w:header="720" w:footer="720" w:gutter="0"/>
          <w:cols w:space="720"/>
          <w:docGrid w:linePitch="360"/>
        </w:sectPr>
      </w:pPr>
      <w:r>
        <w:rPr>
          <w:rFonts w:ascii="Cambria" w:hAnsi="Cambria" w:cs="Arial"/>
        </w:rPr>
        <w:tab/>
      </w:r>
    </w:p>
    <w:p w14:paraId="35EEDDDE" w14:textId="77777777" w:rsidR="00037AF8" w:rsidRPr="00FF40AD" w:rsidRDefault="00037AF8" w:rsidP="006F65A6">
      <w:pPr>
        <w:pStyle w:val="Heading1"/>
        <w:numPr>
          <w:ilvl w:val="0"/>
          <w:numId w:val="1"/>
        </w:numPr>
        <w:shd w:val="clear" w:color="auto" w:fill="002060"/>
        <w:spacing w:line="360" w:lineRule="auto"/>
        <w:jc w:val="both"/>
        <w:rPr>
          <w:rFonts w:ascii="Cambria" w:hAnsi="Cambria"/>
          <w:sz w:val="28"/>
          <w:szCs w:val="28"/>
        </w:rPr>
      </w:pPr>
      <w:bookmarkStart w:id="0" w:name="_Toc152180060"/>
      <w:bookmarkStart w:id="1" w:name="_Toc183204679"/>
      <w:bookmarkStart w:id="2" w:name="_Toc215250604"/>
      <w:r w:rsidRPr="00FF40AD">
        <w:rPr>
          <w:rFonts w:ascii="Cambria" w:hAnsi="Cambria"/>
          <w:sz w:val="28"/>
          <w:szCs w:val="28"/>
        </w:rPr>
        <w:lastRenderedPageBreak/>
        <w:t>Executive Summary</w:t>
      </w:r>
      <w:bookmarkEnd w:id="0"/>
      <w:bookmarkEnd w:id="1"/>
      <w:bookmarkEnd w:id="2"/>
      <w:r w:rsidRPr="00FF40AD">
        <w:rPr>
          <w:rFonts w:ascii="Cambria" w:hAnsi="Cambria"/>
          <w:sz w:val="28"/>
          <w:szCs w:val="28"/>
        </w:rPr>
        <w:t xml:space="preserve"> </w:t>
      </w:r>
    </w:p>
    <w:p w14:paraId="45120E7A" w14:textId="4CC5CB9F" w:rsidR="000A6C45" w:rsidRPr="00DF24C5" w:rsidRDefault="000A6C45" w:rsidP="000F221E">
      <w:pPr>
        <w:pStyle w:val="ARR-normalbody"/>
        <w:ind w:left="360"/>
      </w:pPr>
      <w:r w:rsidRPr="00DF24C5">
        <w:t>TP Western Odisha Distribution Ltd. (TPWODL), Burla, Sambalpur, Odisha-768017 is the holder of the Distribution and Retail Supply License</w:t>
      </w:r>
      <w:r w:rsidR="00443C2F" w:rsidRPr="00DF24C5">
        <w:t xml:space="preserve"> w</w:t>
      </w:r>
      <w:r w:rsidR="0030267F" w:rsidRPr="00DF24C5">
        <w:t>.</w:t>
      </w:r>
      <w:r w:rsidR="00443C2F" w:rsidRPr="00DF24C5">
        <w:t>e.f</w:t>
      </w:r>
      <w:r w:rsidR="003911BE" w:rsidRPr="00DF24C5">
        <w:t>.</w:t>
      </w:r>
      <w:r w:rsidR="00443C2F" w:rsidRPr="00DF24C5">
        <w:t xml:space="preserve"> 01.01.2021</w:t>
      </w:r>
      <w:r w:rsidRPr="00DF24C5">
        <w:t xml:space="preserve">, as per </w:t>
      </w:r>
      <w:r w:rsidR="00443C2F" w:rsidRPr="00DF24C5">
        <w:t xml:space="preserve">order of </w:t>
      </w:r>
      <w:r w:rsidR="00067331">
        <w:t xml:space="preserve">the </w:t>
      </w:r>
      <w:r w:rsidRPr="00DF24C5">
        <w:t>Hon’ble Commission</w:t>
      </w:r>
      <w:r w:rsidR="00443C2F" w:rsidRPr="00DF24C5">
        <w:t>’</w:t>
      </w:r>
      <w:r w:rsidRPr="00DF24C5">
        <w:t xml:space="preserve">s </w:t>
      </w:r>
      <w:r w:rsidR="00443C2F" w:rsidRPr="00DF24C5">
        <w:t xml:space="preserve">vide </w:t>
      </w:r>
      <w:r w:rsidRPr="00DF24C5">
        <w:t>License No</w:t>
      </w:r>
      <w:r w:rsidR="003911BE" w:rsidRPr="00DF24C5">
        <w:t>.</w:t>
      </w:r>
      <w:r w:rsidRPr="00DF24C5">
        <w:t xml:space="preserve"> OERC/</w:t>
      </w:r>
      <w:proofErr w:type="spellStart"/>
      <w:r w:rsidRPr="00DF24C5">
        <w:t>Engg</w:t>
      </w:r>
      <w:proofErr w:type="spellEnd"/>
      <w:r w:rsidRPr="00DF24C5">
        <w:t>./2/2021/409 dt.26.03.2021</w:t>
      </w:r>
      <w:r w:rsidR="00443C2F" w:rsidRPr="00DF24C5">
        <w:t xml:space="preserve"> </w:t>
      </w:r>
      <w:r w:rsidRPr="00DF24C5">
        <w:t xml:space="preserve">and has been carrying out the business of distribution and retail supply of electricity in nine districts of Odisha namely Sambalpur, Sundargarh, Bolangir, Bargarh, </w:t>
      </w:r>
      <w:proofErr w:type="spellStart"/>
      <w:r w:rsidRPr="00DF24C5">
        <w:t>Deogarh</w:t>
      </w:r>
      <w:proofErr w:type="spellEnd"/>
      <w:r w:rsidRPr="00DF24C5">
        <w:t xml:space="preserve">, </w:t>
      </w:r>
      <w:proofErr w:type="spellStart"/>
      <w:r w:rsidRPr="00DF24C5">
        <w:t>Nuapa</w:t>
      </w:r>
      <w:r w:rsidR="00032715">
        <w:t>d</w:t>
      </w:r>
      <w:r w:rsidRPr="00DF24C5">
        <w:t>a</w:t>
      </w:r>
      <w:proofErr w:type="spellEnd"/>
      <w:r w:rsidRPr="00DF24C5">
        <w:t xml:space="preserve">, Kalahandi, </w:t>
      </w:r>
      <w:proofErr w:type="spellStart"/>
      <w:r w:rsidRPr="00DF24C5">
        <w:t>Sonepur</w:t>
      </w:r>
      <w:proofErr w:type="spellEnd"/>
      <w:r w:rsidRPr="00DF24C5">
        <w:t xml:space="preserve"> and Jharsuguda. </w:t>
      </w:r>
    </w:p>
    <w:p w14:paraId="1FECAFEC" w14:textId="20284C4D" w:rsidR="000A6C45" w:rsidRPr="0069576C" w:rsidRDefault="00E34762" w:rsidP="000F221E">
      <w:pPr>
        <w:pStyle w:val="ARR-normalbody"/>
        <w:ind w:left="360"/>
      </w:pPr>
      <w:r w:rsidRPr="000B7D3A">
        <w:t xml:space="preserve">That, </w:t>
      </w:r>
      <w:r w:rsidR="00067331">
        <w:t xml:space="preserve">the </w:t>
      </w:r>
      <w:r w:rsidRPr="000B7D3A">
        <w:t xml:space="preserve">Hon’ble Commission in </w:t>
      </w:r>
      <w:r w:rsidR="00067331">
        <w:t>its</w:t>
      </w:r>
      <w:r w:rsidRPr="000B7D3A">
        <w:t xml:space="preserve"> Order dated 04.03.2015 in Case No. 55/2013 have revoked the Licences of NESCO, WESCO and SOUTHCO (Distribution Companies) under Section 19 of the Electricity Act, 2003</w:t>
      </w:r>
      <w:r w:rsidR="0084123C">
        <w:t>(hereinafter referred to as “Act”)</w:t>
      </w:r>
      <w:r w:rsidRPr="000B7D3A">
        <w:t>.</w:t>
      </w:r>
      <w:r>
        <w:t xml:space="preserve"> </w:t>
      </w:r>
      <w:r w:rsidR="000A6C45" w:rsidRPr="0069576C">
        <w:t>Post revocation</w:t>
      </w:r>
      <w:r w:rsidR="0069576C" w:rsidRPr="0069576C">
        <w:t xml:space="preserve"> license of W</w:t>
      </w:r>
      <w:r w:rsidR="00351210" w:rsidRPr="0069576C">
        <w:t>ESCO</w:t>
      </w:r>
      <w:r w:rsidR="0069576C" w:rsidRPr="0069576C">
        <w:t xml:space="preserve"> Ltd</w:t>
      </w:r>
      <w:r w:rsidR="00351210">
        <w:t>.</w:t>
      </w:r>
      <w:r w:rsidR="000A6C45" w:rsidRPr="0069576C">
        <w:t xml:space="preserve">, </w:t>
      </w:r>
      <w:r w:rsidR="00351210">
        <w:t xml:space="preserve">the </w:t>
      </w:r>
      <w:r w:rsidR="0069576C" w:rsidRPr="0069576C">
        <w:t xml:space="preserve">Hon’ble </w:t>
      </w:r>
      <w:r w:rsidR="000A6C45" w:rsidRPr="0069576C">
        <w:t>Commission appointed Chairman-cum-Managing Director, GRIDCO as the Administrator of WESCO utility u/s 20(1)(d) of the Act vide order dated 04.03.2015. Thereafter, in terms of Section 20 of the Act</w:t>
      </w:r>
      <w:r w:rsidR="000C4CF7">
        <w:t>, the</w:t>
      </w:r>
      <w:r w:rsidR="000A6C45" w:rsidRPr="0069576C">
        <w:t xml:space="preserve"> </w:t>
      </w:r>
      <w:r w:rsidR="0069576C" w:rsidRPr="0069576C">
        <w:t xml:space="preserve">Hon’ble </w:t>
      </w:r>
      <w:r w:rsidR="000A6C45" w:rsidRPr="0069576C">
        <w:t xml:space="preserve">Commission initiated </w:t>
      </w:r>
      <w:r w:rsidR="0069576C" w:rsidRPr="0069576C">
        <w:t xml:space="preserve">action </w:t>
      </w:r>
      <w:r w:rsidR="000A6C45" w:rsidRPr="0069576C">
        <w:t xml:space="preserve">for sale of utility of WESCO and Tata Power Company Limited (TPCL) was </w:t>
      </w:r>
      <w:r w:rsidR="0069576C" w:rsidRPr="0069576C">
        <w:t>selected through bidding process un</w:t>
      </w:r>
      <w:r w:rsidR="000A6C45" w:rsidRPr="0069576C">
        <w:t xml:space="preserve">der Section 20 (1)(a) of the Act. </w:t>
      </w:r>
    </w:p>
    <w:p w14:paraId="6756C019" w14:textId="5188F666" w:rsidR="00037AF8" w:rsidRDefault="15CB4E85" w:rsidP="000F221E">
      <w:pPr>
        <w:pStyle w:val="ARR-normalbody"/>
        <w:ind w:left="360"/>
        <w:rPr>
          <w:color w:val="000000"/>
        </w:rPr>
      </w:pPr>
      <w:r w:rsidRPr="15CB4E85">
        <w:t xml:space="preserve">As per direction of </w:t>
      </w:r>
      <w:r w:rsidR="00D5550A">
        <w:t xml:space="preserve">the </w:t>
      </w:r>
      <w:r w:rsidRPr="15CB4E85">
        <w:t xml:space="preserve">Hon’ble Commission vide letter no. OERC/RA/SALE OF WESCO-27/2019 (Vol.-III)/1394 dated 04.12.2020, GRIDCO incorporated the Operating Company namely TP Western Odisha Distribution Limited (TPWODL) to which the utility of WESCO has been vested and license of WESCO utility is transferred. Accordingly, TPWODL is the wholly owned subsidiary of GRIDCO with an authorized share capital of </w:t>
      </w:r>
      <w:r w:rsidR="000F221E">
        <w:t xml:space="preserve">Rs. </w:t>
      </w:r>
      <w:r w:rsidRPr="15CB4E85">
        <w:t>1000 crore (Indian Rupee One Thousand Crore) only and paid-up capital of Rs. 5 lakh</w:t>
      </w:r>
      <w:r w:rsidR="000F221E">
        <w:t>s</w:t>
      </w:r>
      <w:r w:rsidRPr="15CB4E85">
        <w:t xml:space="preserve"> (Indian Rupee Five lakh) only. TPWODL is the Operating Company in which TPCL and GRIDCO hold 51% and 49% equity shares respectively after the completion of sale.</w:t>
      </w:r>
    </w:p>
    <w:p w14:paraId="575F850A" w14:textId="127CF363" w:rsidR="00E34762" w:rsidRPr="00B32110" w:rsidRDefault="007549F6" w:rsidP="00713B6D">
      <w:pPr>
        <w:spacing w:beforeLines="100" w:before="240" w:afterLines="100" w:after="240" w:line="360" w:lineRule="auto"/>
        <w:ind w:left="360"/>
        <w:jc w:val="both"/>
        <w:rPr>
          <w:rFonts w:asciiTheme="majorHAnsi" w:hAnsiTheme="majorHAnsi"/>
        </w:rPr>
      </w:pPr>
      <w:r w:rsidRPr="00B32110">
        <w:rPr>
          <w:rFonts w:asciiTheme="majorHAnsi" w:hAnsiTheme="majorHAnsi"/>
        </w:rPr>
        <w:t>As per terms of RFP</w:t>
      </w:r>
      <w:r w:rsidR="0030267F" w:rsidRPr="00B32110">
        <w:rPr>
          <w:rFonts w:asciiTheme="majorHAnsi" w:hAnsiTheme="majorHAnsi"/>
        </w:rPr>
        <w:t>,</w:t>
      </w:r>
      <w:r w:rsidRPr="00B32110">
        <w:rPr>
          <w:rFonts w:asciiTheme="majorHAnsi" w:hAnsiTheme="majorHAnsi"/>
        </w:rPr>
        <w:t xml:space="preserve"> reserved </w:t>
      </w:r>
      <w:r w:rsidR="00E34762" w:rsidRPr="00B32110">
        <w:rPr>
          <w:rFonts w:asciiTheme="majorHAnsi" w:hAnsiTheme="majorHAnsi"/>
        </w:rPr>
        <w:t xml:space="preserve">capital of TPWODL </w:t>
      </w:r>
      <w:r w:rsidR="0030267F" w:rsidRPr="00B32110">
        <w:rPr>
          <w:rFonts w:asciiTheme="majorHAnsi" w:hAnsiTheme="majorHAnsi"/>
        </w:rPr>
        <w:t>i</w:t>
      </w:r>
      <w:r w:rsidR="00E34762" w:rsidRPr="00B32110">
        <w:rPr>
          <w:rFonts w:asciiTheme="majorHAnsi" w:hAnsiTheme="majorHAnsi"/>
        </w:rPr>
        <w:t xml:space="preserve">s </w:t>
      </w:r>
      <w:r w:rsidR="000F221E">
        <w:rPr>
          <w:rFonts w:asciiTheme="majorHAnsi" w:hAnsiTheme="majorHAnsi"/>
        </w:rPr>
        <w:t xml:space="preserve">Rs. </w:t>
      </w:r>
      <w:r w:rsidR="00E34762" w:rsidRPr="00B32110">
        <w:rPr>
          <w:rFonts w:asciiTheme="majorHAnsi" w:hAnsiTheme="majorHAnsi"/>
        </w:rPr>
        <w:t xml:space="preserve">300 </w:t>
      </w:r>
      <w:r w:rsidR="00B3332E">
        <w:rPr>
          <w:rFonts w:asciiTheme="majorHAnsi" w:hAnsiTheme="majorHAnsi"/>
        </w:rPr>
        <w:t>C</w:t>
      </w:r>
      <w:r w:rsidR="00E34762" w:rsidRPr="00B32110">
        <w:rPr>
          <w:rFonts w:asciiTheme="majorHAnsi" w:hAnsiTheme="majorHAnsi"/>
        </w:rPr>
        <w:t>rore (Indian Rupee Three Hundred Crore) only</w:t>
      </w:r>
      <w:r w:rsidRPr="00B32110">
        <w:rPr>
          <w:rFonts w:asciiTheme="majorHAnsi" w:hAnsiTheme="majorHAnsi"/>
        </w:rPr>
        <w:t xml:space="preserve"> upon execution of </w:t>
      </w:r>
      <w:r w:rsidR="00E34762" w:rsidRPr="00B32110">
        <w:rPr>
          <w:rFonts w:asciiTheme="majorHAnsi" w:hAnsiTheme="majorHAnsi"/>
        </w:rPr>
        <w:t>Share Acquisition Agreement, TPCL acquire</w:t>
      </w:r>
      <w:r w:rsidRPr="00B32110">
        <w:rPr>
          <w:rFonts w:asciiTheme="majorHAnsi" w:hAnsiTheme="majorHAnsi"/>
        </w:rPr>
        <w:t>s</w:t>
      </w:r>
      <w:r w:rsidR="00E34762" w:rsidRPr="00B32110">
        <w:rPr>
          <w:rFonts w:asciiTheme="majorHAnsi" w:hAnsiTheme="majorHAnsi"/>
        </w:rPr>
        <w:t xml:space="preserve"> 51% of the equity shares of TPWODL. </w:t>
      </w:r>
      <w:r w:rsidR="0030267F" w:rsidRPr="00B32110">
        <w:rPr>
          <w:rFonts w:asciiTheme="majorHAnsi" w:hAnsiTheme="majorHAnsi"/>
        </w:rPr>
        <w:t xml:space="preserve">Accordingly, shareholding pattern with effect from 01.01.2021 continues </w:t>
      </w:r>
      <w:r w:rsidR="00E34762" w:rsidRPr="00B32110">
        <w:rPr>
          <w:rFonts w:asciiTheme="majorHAnsi" w:hAnsiTheme="majorHAnsi"/>
        </w:rPr>
        <w:t xml:space="preserve">51% and 49% </w:t>
      </w:r>
      <w:r w:rsidR="0030267F" w:rsidRPr="00B32110">
        <w:rPr>
          <w:rFonts w:asciiTheme="majorHAnsi" w:hAnsiTheme="majorHAnsi"/>
        </w:rPr>
        <w:t>between TPCL &amp; GRIDCO respectively</w:t>
      </w:r>
      <w:r w:rsidR="00E34762" w:rsidRPr="00B32110">
        <w:rPr>
          <w:rFonts w:asciiTheme="majorHAnsi" w:hAnsiTheme="majorHAnsi"/>
        </w:rPr>
        <w:t xml:space="preserve">. </w:t>
      </w:r>
    </w:p>
    <w:p w14:paraId="3684255C" w14:textId="77777777" w:rsidR="00A46C62" w:rsidRDefault="00A46C62" w:rsidP="00713B6D">
      <w:pPr>
        <w:spacing w:beforeLines="100" w:before="240" w:afterLines="100" w:after="240" w:line="360" w:lineRule="auto"/>
        <w:ind w:left="360"/>
        <w:jc w:val="both"/>
        <w:rPr>
          <w:rFonts w:asciiTheme="majorHAnsi" w:hAnsiTheme="majorHAnsi"/>
        </w:rPr>
      </w:pPr>
    </w:p>
    <w:p w14:paraId="7B875B86" w14:textId="37AEDAFA" w:rsidR="006C38E9" w:rsidRPr="00B32110" w:rsidRDefault="007549F6" w:rsidP="00713B6D">
      <w:pPr>
        <w:spacing w:beforeLines="100" w:before="240" w:afterLines="100" w:after="240" w:line="360" w:lineRule="auto"/>
        <w:ind w:left="360"/>
        <w:jc w:val="both"/>
        <w:rPr>
          <w:rFonts w:asciiTheme="majorHAnsi" w:hAnsiTheme="majorHAnsi"/>
        </w:rPr>
      </w:pPr>
      <w:r w:rsidRPr="00B32110">
        <w:rPr>
          <w:rFonts w:asciiTheme="majorHAnsi" w:hAnsiTheme="majorHAnsi"/>
        </w:rPr>
        <w:lastRenderedPageBreak/>
        <w:t>This</w:t>
      </w:r>
      <w:r w:rsidR="00DF24C5" w:rsidRPr="00B32110">
        <w:rPr>
          <w:rFonts w:asciiTheme="majorHAnsi" w:hAnsiTheme="majorHAnsi"/>
        </w:rPr>
        <w:t xml:space="preserve"> </w:t>
      </w:r>
      <w:r w:rsidRPr="00B32110">
        <w:rPr>
          <w:rFonts w:asciiTheme="majorHAnsi" w:hAnsiTheme="majorHAnsi"/>
        </w:rPr>
        <w:t xml:space="preserve">submission is made by the </w:t>
      </w:r>
      <w:r w:rsidR="003220A9" w:rsidRPr="00B32110">
        <w:rPr>
          <w:rFonts w:asciiTheme="majorHAnsi" w:hAnsiTheme="majorHAnsi"/>
        </w:rPr>
        <w:t xml:space="preserve">Licensee </w:t>
      </w:r>
      <w:r w:rsidRPr="00B32110">
        <w:rPr>
          <w:rFonts w:asciiTheme="majorHAnsi" w:hAnsiTheme="majorHAnsi"/>
        </w:rPr>
        <w:t>before the Hon</w:t>
      </w:r>
      <w:r w:rsidR="003220A9" w:rsidRPr="00B32110">
        <w:rPr>
          <w:rFonts w:asciiTheme="majorHAnsi" w:hAnsiTheme="majorHAnsi"/>
        </w:rPr>
        <w:t>’</w:t>
      </w:r>
      <w:r w:rsidRPr="00B32110">
        <w:rPr>
          <w:rFonts w:asciiTheme="majorHAnsi" w:hAnsiTheme="majorHAnsi"/>
        </w:rPr>
        <w:t xml:space="preserve">ble Commission for the determination of Aggregate Revenue Requirement and Retail Supply Tariffs for the Financial Year </w:t>
      </w:r>
      <w:r w:rsidR="009A0E63">
        <w:rPr>
          <w:rFonts w:asciiTheme="majorHAnsi" w:hAnsiTheme="majorHAnsi"/>
        </w:rPr>
        <w:t>2026-27</w:t>
      </w:r>
      <w:r w:rsidR="006C38E9" w:rsidRPr="00B32110">
        <w:rPr>
          <w:rFonts w:asciiTheme="majorHAnsi" w:hAnsiTheme="majorHAnsi"/>
        </w:rPr>
        <w:t>.</w:t>
      </w:r>
    </w:p>
    <w:p w14:paraId="66EA320D" w14:textId="23CD150F" w:rsidR="00C616C2" w:rsidRDefault="000B03D5" w:rsidP="00713B6D">
      <w:pPr>
        <w:spacing w:beforeLines="100" w:before="240" w:afterLines="100" w:after="240" w:line="360" w:lineRule="auto"/>
        <w:ind w:left="360"/>
        <w:jc w:val="both"/>
        <w:rPr>
          <w:rFonts w:ascii="Cambria" w:hAnsi="Cambria"/>
        </w:rPr>
      </w:pPr>
      <w:r>
        <w:rPr>
          <w:rFonts w:ascii="Cambria" w:hAnsi="Cambria"/>
        </w:rPr>
        <w:t>Since the takeover, the Licensee has showcased remarkable achievements across various commitments as per vesting order and carve out</w:t>
      </w:r>
      <w:r w:rsidR="002029C1">
        <w:rPr>
          <w:rFonts w:ascii="Cambria" w:hAnsi="Cambria"/>
        </w:rPr>
        <w:t>/ segregation</w:t>
      </w:r>
      <w:r>
        <w:rPr>
          <w:rFonts w:ascii="Cambria" w:hAnsi="Cambria"/>
        </w:rPr>
        <w:t xml:space="preserve"> order, reflecting a robust and transformative trajectory. Capitalization of assets has been a significant milestone, with strategic investments and financial management leading to </w:t>
      </w:r>
      <w:r w:rsidRPr="008E7072">
        <w:rPr>
          <w:rFonts w:ascii="Cambria" w:hAnsi="Cambria"/>
        </w:rPr>
        <w:t>a substantial increase in the overall value of the company’s assets</w:t>
      </w:r>
      <w:r w:rsidR="002029C1" w:rsidRPr="008E7072">
        <w:rPr>
          <w:rFonts w:ascii="Cambria" w:hAnsi="Cambria"/>
        </w:rPr>
        <w:t xml:space="preserve">. During a span of </w:t>
      </w:r>
      <w:r w:rsidR="0015643C" w:rsidRPr="008E7072">
        <w:rPr>
          <w:rFonts w:ascii="Cambria" w:hAnsi="Cambria"/>
        </w:rPr>
        <w:t xml:space="preserve">5 </w:t>
      </w:r>
      <w:r w:rsidR="002029C1">
        <w:rPr>
          <w:rFonts w:ascii="Cambria" w:hAnsi="Cambria"/>
        </w:rPr>
        <w:t xml:space="preserve">years of operation, the Company has added </w:t>
      </w:r>
      <w:r w:rsidR="002029C1" w:rsidRPr="008E7072">
        <w:rPr>
          <w:rFonts w:ascii="Cambria" w:hAnsi="Cambria"/>
        </w:rPr>
        <w:t xml:space="preserve">around Rs. </w:t>
      </w:r>
      <w:r w:rsidR="008E7072" w:rsidRPr="008E7072">
        <w:rPr>
          <w:rFonts w:ascii="Cambria" w:hAnsi="Cambria"/>
        </w:rPr>
        <w:t>3</w:t>
      </w:r>
      <w:r w:rsidR="002029C1" w:rsidRPr="008E7072">
        <w:rPr>
          <w:rFonts w:ascii="Cambria" w:hAnsi="Cambria"/>
        </w:rPr>
        <w:t>000 Cr. of capital assets (Transferred assets was Rs. 1963.3</w:t>
      </w:r>
      <w:r w:rsidR="008E7072" w:rsidRPr="008E7072">
        <w:rPr>
          <w:rFonts w:ascii="Cambria" w:hAnsi="Cambria"/>
        </w:rPr>
        <w:t>1</w:t>
      </w:r>
      <w:r w:rsidR="002029C1" w:rsidRPr="008E7072">
        <w:rPr>
          <w:rFonts w:ascii="Cambria" w:hAnsi="Cambria"/>
        </w:rPr>
        <w:t xml:space="preserve"> Cr. whereas the present position as on 31</w:t>
      </w:r>
      <w:r w:rsidR="002029C1" w:rsidRPr="008E7072">
        <w:rPr>
          <w:rFonts w:ascii="Cambria" w:hAnsi="Cambria"/>
          <w:vertAlign w:val="superscript"/>
        </w:rPr>
        <w:t>st</w:t>
      </w:r>
      <w:r w:rsidR="002029C1" w:rsidRPr="008E7072">
        <w:rPr>
          <w:rFonts w:ascii="Cambria" w:hAnsi="Cambria"/>
        </w:rPr>
        <w:t xml:space="preserve"> March 202</w:t>
      </w:r>
      <w:r w:rsidR="00DA792E" w:rsidRPr="008E7072">
        <w:rPr>
          <w:rFonts w:ascii="Cambria" w:hAnsi="Cambria"/>
        </w:rPr>
        <w:t>5</w:t>
      </w:r>
      <w:r w:rsidR="002029C1" w:rsidRPr="008E7072">
        <w:rPr>
          <w:rFonts w:ascii="Cambria" w:hAnsi="Cambria"/>
        </w:rPr>
        <w:t xml:space="preserve"> is Rs. </w:t>
      </w:r>
      <w:r w:rsidR="008E7072" w:rsidRPr="008E7072">
        <w:rPr>
          <w:rFonts w:ascii="Cambria" w:hAnsi="Cambria"/>
        </w:rPr>
        <w:t>54</w:t>
      </w:r>
      <w:r w:rsidR="006741B6">
        <w:rPr>
          <w:rFonts w:ascii="Cambria" w:hAnsi="Cambria"/>
        </w:rPr>
        <w:t>24.89</w:t>
      </w:r>
      <w:bookmarkStart w:id="3" w:name="_GoBack"/>
      <w:bookmarkEnd w:id="3"/>
      <w:r w:rsidR="002029C1" w:rsidRPr="008E7072">
        <w:rPr>
          <w:rFonts w:ascii="Cambria" w:hAnsi="Cambria"/>
        </w:rPr>
        <w:t xml:space="preserve"> Cr.). </w:t>
      </w:r>
      <w:r w:rsidR="008E7072">
        <w:rPr>
          <w:rFonts w:ascii="Cambria" w:hAnsi="Cambria"/>
        </w:rPr>
        <w:t>During the</w:t>
      </w:r>
      <w:r w:rsidR="002029C1" w:rsidRPr="008E7072">
        <w:rPr>
          <w:rFonts w:ascii="Cambria" w:hAnsi="Cambria"/>
        </w:rPr>
        <w:t xml:space="preserve"> </w:t>
      </w:r>
      <w:r w:rsidR="009D52E5" w:rsidRPr="008E7072">
        <w:rPr>
          <w:rFonts w:ascii="Cambria" w:hAnsi="Cambria"/>
        </w:rPr>
        <w:t>post vesting period</w:t>
      </w:r>
      <w:r w:rsidR="002029C1">
        <w:rPr>
          <w:rFonts w:ascii="Cambria" w:hAnsi="Cambria"/>
        </w:rPr>
        <w:t xml:space="preserve">, assets </w:t>
      </w:r>
      <w:r w:rsidR="009D52E5">
        <w:rPr>
          <w:rFonts w:ascii="Cambria" w:hAnsi="Cambria"/>
        </w:rPr>
        <w:t xml:space="preserve">created through </w:t>
      </w:r>
      <w:r w:rsidR="002029C1">
        <w:rPr>
          <w:rFonts w:ascii="Cambria" w:hAnsi="Cambria"/>
        </w:rPr>
        <w:t xml:space="preserve">approved budget is </w:t>
      </w:r>
      <w:r w:rsidR="002029C1" w:rsidRPr="002D13D7">
        <w:rPr>
          <w:rFonts w:ascii="Cambria" w:hAnsi="Cambria"/>
        </w:rPr>
        <w:t xml:space="preserve">Rs. </w:t>
      </w:r>
      <w:r w:rsidR="0056168C" w:rsidRPr="002D13D7">
        <w:rPr>
          <w:rFonts w:ascii="Cambria" w:hAnsi="Cambria"/>
        </w:rPr>
        <w:t>1576</w:t>
      </w:r>
      <w:r w:rsidR="007017D6" w:rsidRPr="002D13D7">
        <w:rPr>
          <w:rFonts w:ascii="Cambria" w:hAnsi="Cambria"/>
        </w:rPr>
        <w:t>.36</w:t>
      </w:r>
      <w:r w:rsidR="009D52E5">
        <w:rPr>
          <w:rFonts w:ascii="Cambria" w:hAnsi="Cambria"/>
        </w:rPr>
        <w:t xml:space="preserve"> Cr. </w:t>
      </w:r>
      <w:r w:rsidR="009D52E5" w:rsidRPr="009D52E5">
        <w:rPr>
          <w:rFonts w:ascii="Cambria" w:hAnsi="Cambria"/>
        </w:rPr>
        <w:t>t</w:t>
      </w:r>
      <w:r w:rsidRPr="009D52E5">
        <w:rPr>
          <w:rFonts w:ascii="Cambria" w:hAnsi="Cambria"/>
        </w:rPr>
        <w:t>ill Q2-FY-2</w:t>
      </w:r>
      <w:r w:rsidR="00BC3D39">
        <w:rPr>
          <w:rFonts w:ascii="Cambria" w:hAnsi="Cambria"/>
        </w:rPr>
        <w:t>6</w:t>
      </w:r>
      <w:r>
        <w:rPr>
          <w:rFonts w:ascii="Cambria" w:hAnsi="Cambria"/>
        </w:rPr>
        <w:t xml:space="preserve">. The reduction of AT&amp;C Losses to an impressive </w:t>
      </w:r>
      <w:r w:rsidR="007B2874">
        <w:rPr>
          <w:rFonts w:ascii="Cambria" w:hAnsi="Cambria"/>
        </w:rPr>
        <w:t>16.23</w:t>
      </w:r>
      <w:r>
        <w:rPr>
          <w:rFonts w:ascii="Cambria" w:hAnsi="Cambria"/>
        </w:rPr>
        <w:t>% in FY 2</w:t>
      </w:r>
      <w:r w:rsidR="007B2874">
        <w:rPr>
          <w:rFonts w:ascii="Cambria" w:hAnsi="Cambria"/>
        </w:rPr>
        <w:t>4-25</w:t>
      </w:r>
      <w:r>
        <w:rPr>
          <w:rFonts w:ascii="Cambria" w:hAnsi="Cambria"/>
        </w:rPr>
        <w:t xml:space="preserve"> from 32.20% in FY 20-21 (around </w:t>
      </w:r>
      <w:r w:rsidR="008E7072">
        <w:rPr>
          <w:rFonts w:ascii="Cambria" w:hAnsi="Cambria"/>
        </w:rPr>
        <w:t>16</w:t>
      </w:r>
      <w:r>
        <w:rPr>
          <w:rFonts w:ascii="Cambria" w:hAnsi="Cambria"/>
        </w:rPr>
        <w:t xml:space="preserve">% reduction) is a testament to the implementation of efficient operational practices and cutting-edge technologies. Furthermore, the successful recovery of past arrears </w:t>
      </w:r>
      <w:r w:rsidR="008E7072">
        <w:rPr>
          <w:rFonts w:ascii="Cambria" w:hAnsi="Cambria"/>
        </w:rPr>
        <w:t>of around</w:t>
      </w:r>
      <w:r>
        <w:rPr>
          <w:rFonts w:ascii="Cambria" w:hAnsi="Cambria"/>
        </w:rPr>
        <w:t xml:space="preserve"> Rs. </w:t>
      </w:r>
      <w:r w:rsidR="008E7072">
        <w:rPr>
          <w:rFonts w:ascii="Cambria" w:hAnsi="Cambria"/>
        </w:rPr>
        <w:t>472.58</w:t>
      </w:r>
      <w:r>
        <w:rPr>
          <w:rFonts w:ascii="Cambria" w:hAnsi="Cambria"/>
        </w:rPr>
        <w:t xml:space="preserve"> Cr</w:t>
      </w:r>
      <w:r w:rsidR="00E83C1F">
        <w:rPr>
          <w:rFonts w:ascii="Cambria" w:hAnsi="Cambria"/>
        </w:rPr>
        <w:t>.</w:t>
      </w:r>
      <w:r>
        <w:rPr>
          <w:rFonts w:ascii="Cambria" w:hAnsi="Cambria"/>
        </w:rPr>
        <w:t xml:space="preserve"> has not only bolstered the financial health of the DISCOM but has also paved the way for sustained growth.</w:t>
      </w:r>
    </w:p>
    <w:p w14:paraId="0B3351A2" w14:textId="7B14FC72" w:rsidR="000B03D5" w:rsidRDefault="00773D8F" w:rsidP="00713B6D">
      <w:pPr>
        <w:spacing w:beforeLines="100" w:before="240" w:afterLines="100" w:after="240" w:line="360" w:lineRule="auto"/>
        <w:ind w:left="360"/>
        <w:jc w:val="both"/>
        <w:rPr>
          <w:rFonts w:ascii="Cambria" w:hAnsi="Cambria"/>
        </w:rPr>
      </w:pPr>
      <w:r>
        <w:rPr>
          <w:rFonts w:ascii="Cambria" w:hAnsi="Cambria"/>
        </w:rPr>
        <w:t xml:space="preserve">The increase in the consumer base </w:t>
      </w:r>
      <w:r w:rsidRPr="008E7072">
        <w:rPr>
          <w:rFonts w:ascii="Cambria" w:hAnsi="Cambria"/>
        </w:rPr>
        <w:t xml:space="preserve">(total </w:t>
      </w:r>
      <w:r w:rsidR="001C7545" w:rsidRPr="008E7072">
        <w:rPr>
          <w:rFonts w:ascii="Cambria" w:hAnsi="Cambria"/>
        </w:rPr>
        <w:t>11</w:t>
      </w:r>
      <w:r w:rsidR="008E7072" w:rsidRPr="008E7072">
        <w:rPr>
          <w:rFonts w:ascii="Cambria" w:hAnsi="Cambria"/>
        </w:rPr>
        <w:t>62</w:t>
      </w:r>
      <w:r w:rsidRPr="008E7072">
        <w:rPr>
          <w:rFonts w:ascii="Cambria" w:hAnsi="Cambria"/>
        </w:rPr>
        <w:t xml:space="preserve"> MVA load added &amp; </w:t>
      </w:r>
      <w:r w:rsidR="001C7545" w:rsidRPr="008E7072">
        <w:rPr>
          <w:rFonts w:ascii="Cambria" w:hAnsi="Cambria"/>
        </w:rPr>
        <w:t>2</w:t>
      </w:r>
      <w:r w:rsidR="008E7072" w:rsidRPr="008E7072">
        <w:rPr>
          <w:rFonts w:ascii="Cambria" w:hAnsi="Cambria"/>
        </w:rPr>
        <w:t>864122</w:t>
      </w:r>
      <w:r w:rsidRPr="008E7072">
        <w:rPr>
          <w:rFonts w:ascii="Cambria" w:hAnsi="Cambria"/>
        </w:rPr>
        <w:t xml:space="preserve"> nos. of consumers</w:t>
      </w:r>
      <w:r w:rsidR="001C7545" w:rsidRPr="008E7072">
        <w:rPr>
          <w:rFonts w:ascii="Cambria" w:hAnsi="Cambria"/>
        </w:rPr>
        <w:t xml:space="preserve"> – incl. TD &amp; PD</w:t>
      </w:r>
      <w:r w:rsidRPr="008E7072">
        <w:rPr>
          <w:rFonts w:ascii="Cambria" w:hAnsi="Cambria"/>
        </w:rPr>
        <w:t xml:space="preserve"> </w:t>
      </w:r>
      <w:r w:rsidR="008E7072" w:rsidRPr="008E7072">
        <w:rPr>
          <w:rFonts w:ascii="Cambria" w:hAnsi="Cambria"/>
        </w:rPr>
        <w:t>existing as of</w:t>
      </w:r>
      <w:r w:rsidRPr="008E7072">
        <w:rPr>
          <w:rFonts w:ascii="Cambria" w:hAnsi="Cambria"/>
        </w:rPr>
        <w:t xml:space="preserve"> Mar-2</w:t>
      </w:r>
      <w:r w:rsidR="008E7072" w:rsidRPr="008E7072">
        <w:rPr>
          <w:rFonts w:ascii="Cambria" w:hAnsi="Cambria"/>
        </w:rPr>
        <w:t>5</w:t>
      </w:r>
      <w:r w:rsidRPr="008E7072">
        <w:rPr>
          <w:rFonts w:ascii="Cambria" w:hAnsi="Cambria"/>
        </w:rPr>
        <w:t xml:space="preserve">) reflects a successful outreach and engagement strategy, fostering a connection between the DISCOMs and the consumers they serve. </w:t>
      </w:r>
      <w:r w:rsidR="00E07BC7" w:rsidRPr="008E7072">
        <w:rPr>
          <w:rFonts w:ascii="Cambria" w:hAnsi="Cambria"/>
        </w:rPr>
        <w:t>As regards to collection of arrears, the Company has collected an amount of Rs. 4</w:t>
      </w:r>
      <w:r w:rsidR="00AF5EFD" w:rsidRPr="008E7072">
        <w:rPr>
          <w:rFonts w:ascii="Cambria" w:hAnsi="Cambria"/>
        </w:rPr>
        <w:t>7</w:t>
      </w:r>
      <w:r w:rsidR="008E7072" w:rsidRPr="008E7072">
        <w:rPr>
          <w:rFonts w:ascii="Cambria" w:hAnsi="Cambria"/>
        </w:rPr>
        <w:t>2</w:t>
      </w:r>
      <w:r w:rsidR="00AF5EFD" w:rsidRPr="008E7072">
        <w:rPr>
          <w:rFonts w:ascii="Cambria" w:hAnsi="Cambria"/>
        </w:rPr>
        <w:t>.</w:t>
      </w:r>
      <w:r w:rsidR="008E7072" w:rsidRPr="008E7072">
        <w:rPr>
          <w:rFonts w:ascii="Cambria" w:hAnsi="Cambria"/>
        </w:rPr>
        <w:t>58</w:t>
      </w:r>
      <w:r w:rsidR="00E07BC7" w:rsidRPr="008E7072">
        <w:rPr>
          <w:rFonts w:ascii="Cambria" w:hAnsi="Cambria"/>
        </w:rPr>
        <w:t xml:space="preserve"> Cr.</w:t>
      </w:r>
      <w:r w:rsidR="00E07BC7">
        <w:rPr>
          <w:rFonts w:ascii="Cambria" w:hAnsi="Cambria"/>
        </w:rPr>
        <w:t xml:space="preserve"> up to September 202</w:t>
      </w:r>
      <w:r w:rsidR="00586BEE">
        <w:rPr>
          <w:rFonts w:ascii="Cambria" w:hAnsi="Cambria"/>
        </w:rPr>
        <w:t>5</w:t>
      </w:r>
      <w:r w:rsidR="00E07BC7">
        <w:rPr>
          <w:rFonts w:ascii="Cambria" w:hAnsi="Cambria"/>
        </w:rPr>
        <w:t xml:space="preserve"> against a target of Rs. 300 Cr., as per Vesting Order commitment. </w:t>
      </w:r>
      <w:r w:rsidR="009F6211">
        <w:rPr>
          <w:rFonts w:ascii="Cambria" w:hAnsi="Cambria"/>
        </w:rPr>
        <w:t>Overachievement of target was</w:t>
      </w:r>
      <w:r w:rsidR="00E07BC7">
        <w:rPr>
          <w:rFonts w:ascii="Cambria" w:hAnsi="Cambria"/>
        </w:rPr>
        <w:t xml:space="preserve"> possible </w:t>
      </w:r>
      <w:r w:rsidR="009F6211">
        <w:rPr>
          <w:rFonts w:ascii="Cambria" w:hAnsi="Cambria"/>
        </w:rPr>
        <w:t xml:space="preserve">mainly </w:t>
      </w:r>
      <w:r w:rsidR="00E07BC7">
        <w:rPr>
          <w:rFonts w:ascii="Cambria" w:hAnsi="Cambria"/>
        </w:rPr>
        <w:t xml:space="preserve">due to approval of </w:t>
      </w:r>
      <w:r>
        <w:rPr>
          <w:rFonts w:ascii="Cambria" w:hAnsi="Cambria"/>
        </w:rPr>
        <w:t xml:space="preserve">One-Time Settlement (OTS) Scheme </w:t>
      </w:r>
      <w:r w:rsidR="009F6211">
        <w:rPr>
          <w:rFonts w:ascii="Cambria" w:hAnsi="Cambria"/>
        </w:rPr>
        <w:t xml:space="preserve">by the Hon’ble Commission which contributed in collecting around Rs. </w:t>
      </w:r>
      <w:r w:rsidR="002C77B9">
        <w:rPr>
          <w:rFonts w:ascii="Cambria" w:hAnsi="Cambria"/>
        </w:rPr>
        <w:t>130</w:t>
      </w:r>
      <w:r w:rsidR="009F6211">
        <w:rPr>
          <w:rFonts w:ascii="Cambria" w:hAnsi="Cambria"/>
        </w:rPr>
        <w:t xml:space="preserve"> </w:t>
      </w:r>
      <w:r>
        <w:rPr>
          <w:rFonts w:ascii="Cambria" w:hAnsi="Cambria"/>
        </w:rPr>
        <w:t xml:space="preserve">Cr. </w:t>
      </w:r>
      <w:r w:rsidR="002C77B9">
        <w:rPr>
          <w:rFonts w:ascii="Cambria" w:hAnsi="Cambria"/>
        </w:rPr>
        <w:t xml:space="preserve">(during the scheme period) </w:t>
      </w:r>
      <w:r w:rsidR="009F6211">
        <w:rPr>
          <w:rFonts w:ascii="Cambria" w:hAnsi="Cambria"/>
        </w:rPr>
        <w:t>and became the</w:t>
      </w:r>
      <w:r>
        <w:rPr>
          <w:rFonts w:ascii="Cambria" w:hAnsi="Cambria"/>
        </w:rPr>
        <w:t xml:space="preserve"> game changer in resolving outstanding dues, offering consumers a viable approach to settle their past period bills. Around 80,000 customers ha</w:t>
      </w:r>
      <w:r w:rsidR="002C77B9">
        <w:rPr>
          <w:rFonts w:ascii="Cambria" w:hAnsi="Cambria"/>
        </w:rPr>
        <w:t>ve</w:t>
      </w:r>
      <w:r>
        <w:rPr>
          <w:rFonts w:ascii="Cambria" w:hAnsi="Cambria"/>
        </w:rPr>
        <w:t xml:space="preserve"> availed this benefit.</w:t>
      </w:r>
      <w:r w:rsidR="009F6211">
        <w:rPr>
          <w:rFonts w:ascii="Cambria" w:hAnsi="Cambria"/>
        </w:rPr>
        <w:t xml:space="preserve"> The Company expects similar kind of revolutionary thought </w:t>
      </w:r>
      <w:r w:rsidR="002C77B9">
        <w:rPr>
          <w:rFonts w:ascii="Cambria" w:hAnsi="Cambria"/>
        </w:rPr>
        <w:t xml:space="preserve">in this ARR </w:t>
      </w:r>
      <w:r w:rsidR="009F6211">
        <w:rPr>
          <w:rFonts w:ascii="Cambria" w:hAnsi="Cambria"/>
        </w:rPr>
        <w:t xml:space="preserve">and approval </w:t>
      </w:r>
      <w:r w:rsidR="002C77B9">
        <w:rPr>
          <w:rFonts w:ascii="Cambria" w:hAnsi="Cambria"/>
        </w:rPr>
        <w:t>thereof</w:t>
      </w:r>
      <w:r w:rsidR="007B2874">
        <w:rPr>
          <w:rFonts w:ascii="Cambria" w:hAnsi="Cambria"/>
        </w:rPr>
        <w:t xml:space="preserve"> from</w:t>
      </w:r>
      <w:r w:rsidR="009F6211">
        <w:rPr>
          <w:rFonts w:ascii="Cambria" w:hAnsi="Cambria"/>
        </w:rPr>
        <w:t xml:space="preserve"> Hon’ble Commission for increasing collection out of pre-vesting arrear.</w:t>
      </w:r>
    </w:p>
    <w:p w14:paraId="0FE849E2" w14:textId="28C56CFD" w:rsidR="00773D8F" w:rsidRDefault="00773D8F" w:rsidP="00713B6D">
      <w:pPr>
        <w:spacing w:beforeLines="100" w:before="240" w:afterLines="100" w:after="240" w:line="360" w:lineRule="auto"/>
        <w:ind w:left="360"/>
        <w:jc w:val="both"/>
        <w:rPr>
          <w:rFonts w:ascii="Cambria" w:hAnsi="Cambria"/>
        </w:rPr>
      </w:pPr>
      <w:r>
        <w:rPr>
          <w:rFonts w:ascii="Cambria" w:hAnsi="Cambria"/>
        </w:rPr>
        <w:t xml:space="preserve">As per segregation order, clearance of past period liabilities with permission from Hon’ble Commission was mandated. The Licensee, has cleared substantial amount during the span of </w:t>
      </w:r>
      <w:r w:rsidR="007B2874">
        <w:rPr>
          <w:rFonts w:ascii="Cambria" w:hAnsi="Cambria"/>
        </w:rPr>
        <w:t>5</w:t>
      </w:r>
      <w:r>
        <w:rPr>
          <w:rFonts w:ascii="Cambria" w:hAnsi="Cambria"/>
        </w:rPr>
        <w:t xml:space="preserve"> </w:t>
      </w:r>
      <w:r w:rsidR="007B2874">
        <w:rPr>
          <w:rFonts w:ascii="Cambria" w:hAnsi="Cambria"/>
        </w:rPr>
        <w:t>years</w:t>
      </w:r>
      <w:r w:rsidR="002C77B9">
        <w:rPr>
          <w:rFonts w:ascii="Cambria" w:hAnsi="Cambria"/>
        </w:rPr>
        <w:t xml:space="preserve"> since takeover</w:t>
      </w:r>
      <w:r>
        <w:rPr>
          <w:rFonts w:ascii="Cambria" w:hAnsi="Cambria"/>
        </w:rPr>
        <w:t>. Power availability from the time of pre-</w:t>
      </w:r>
      <w:r>
        <w:rPr>
          <w:rFonts w:ascii="Cambria" w:hAnsi="Cambria"/>
        </w:rPr>
        <w:lastRenderedPageBreak/>
        <w:t xml:space="preserve">vesting has improved </w:t>
      </w:r>
      <w:r w:rsidRPr="008E7072">
        <w:rPr>
          <w:rFonts w:ascii="Cambria" w:hAnsi="Cambria"/>
        </w:rPr>
        <w:t>considerably (SAIDI – 424 Hr</w:t>
      </w:r>
      <w:r w:rsidR="00E83C1F" w:rsidRPr="008E7072">
        <w:rPr>
          <w:rFonts w:ascii="Cambria" w:hAnsi="Cambria"/>
        </w:rPr>
        <w:t>.</w:t>
      </w:r>
      <w:r w:rsidRPr="008E7072">
        <w:rPr>
          <w:rFonts w:ascii="Cambria" w:hAnsi="Cambria"/>
        </w:rPr>
        <w:t xml:space="preserve"> in FY-22 to 3</w:t>
      </w:r>
      <w:r w:rsidR="00A77487" w:rsidRPr="008E7072">
        <w:rPr>
          <w:rFonts w:ascii="Cambria" w:hAnsi="Cambria"/>
        </w:rPr>
        <w:t>0</w:t>
      </w:r>
      <w:r w:rsidR="008735A0">
        <w:rPr>
          <w:rFonts w:ascii="Cambria" w:hAnsi="Cambria"/>
        </w:rPr>
        <w:t>8</w:t>
      </w:r>
      <w:r w:rsidRPr="008E7072">
        <w:rPr>
          <w:rFonts w:ascii="Cambria" w:hAnsi="Cambria"/>
        </w:rPr>
        <w:t xml:space="preserve"> Hr</w:t>
      </w:r>
      <w:r w:rsidR="00E83C1F" w:rsidRPr="008E7072">
        <w:rPr>
          <w:rFonts w:ascii="Cambria" w:hAnsi="Cambria"/>
        </w:rPr>
        <w:t>.</w:t>
      </w:r>
      <w:r w:rsidRPr="008E7072">
        <w:rPr>
          <w:rFonts w:ascii="Cambria" w:hAnsi="Cambria"/>
        </w:rPr>
        <w:t xml:space="preserve"> in FY-2</w:t>
      </w:r>
      <w:r w:rsidR="008E7072" w:rsidRPr="008E7072">
        <w:rPr>
          <w:rFonts w:ascii="Cambria" w:hAnsi="Cambria"/>
        </w:rPr>
        <w:t>5</w:t>
      </w:r>
      <w:r w:rsidRPr="008E7072">
        <w:rPr>
          <w:rFonts w:ascii="Cambria" w:hAnsi="Cambria"/>
        </w:rPr>
        <w:t xml:space="preserve">, SAIFI – 600 in FY-22 to </w:t>
      </w:r>
      <w:r w:rsidR="008735A0">
        <w:rPr>
          <w:rFonts w:ascii="Cambria" w:hAnsi="Cambria"/>
        </w:rPr>
        <w:t>377</w:t>
      </w:r>
      <w:r w:rsidRPr="008E7072">
        <w:rPr>
          <w:rFonts w:ascii="Cambria" w:hAnsi="Cambria"/>
        </w:rPr>
        <w:t xml:space="preserve"> in FY-2</w:t>
      </w:r>
      <w:r w:rsidR="008E7072" w:rsidRPr="008E7072">
        <w:rPr>
          <w:rFonts w:ascii="Cambria" w:hAnsi="Cambria"/>
        </w:rPr>
        <w:t>5</w:t>
      </w:r>
      <w:r w:rsidR="00AF43AB" w:rsidRPr="008E7072">
        <w:rPr>
          <w:rFonts w:ascii="Cambria" w:hAnsi="Cambria"/>
        </w:rPr>
        <w:t>) with a</w:t>
      </w:r>
      <w:r w:rsidR="00AF43AB" w:rsidRPr="00744FB8">
        <w:rPr>
          <w:rFonts w:ascii="Cambria" w:hAnsi="Cambria"/>
        </w:rPr>
        <w:t xml:space="preserve">n average duration of supply (HH:MM) – 23:21 in FY-22 </w:t>
      </w:r>
      <w:r w:rsidR="00AF43AB" w:rsidRPr="008735A0">
        <w:rPr>
          <w:rFonts w:ascii="Cambria" w:hAnsi="Cambria"/>
        </w:rPr>
        <w:t>to 23:</w:t>
      </w:r>
      <w:r w:rsidR="00FB019E" w:rsidRPr="008735A0">
        <w:rPr>
          <w:rFonts w:ascii="Cambria" w:hAnsi="Cambria"/>
        </w:rPr>
        <w:t>18</w:t>
      </w:r>
      <w:r w:rsidR="00AF43AB" w:rsidRPr="008735A0">
        <w:rPr>
          <w:rFonts w:ascii="Cambria" w:hAnsi="Cambria"/>
        </w:rPr>
        <w:t xml:space="preserve"> in FY-2</w:t>
      </w:r>
      <w:r w:rsidR="008E7072" w:rsidRPr="008735A0">
        <w:rPr>
          <w:rFonts w:ascii="Cambria" w:hAnsi="Cambria"/>
        </w:rPr>
        <w:t>5</w:t>
      </w:r>
      <w:r w:rsidR="00AF43AB" w:rsidRPr="008735A0">
        <w:rPr>
          <w:rFonts w:ascii="Cambria" w:hAnsi="Cambria"/>
        </w:rPr>
        <w:t>.</w:t>
      </w:r>
      <w:r w:rsidR="00AF43AB" w:rsidRPr="00744FB8">
        <w:rPr>
          <w:rFonts w:ascii="Cambria" w:hAnsi="Cambria"/>
        </w:rPr>
        <w:t xml:space="preserve"> Still </w:t>
      </w:r>
      <w:r w:rsidR="008A4CBF">
        <w:rPr>
          <w:rFonts w:ascii="Cambria" w:hAnsi="Cambria"/>
        </w:rPr>
        <w:t xml:space="preserve">there is a </w:t>
      </w:r>
      <w:r w:rsidR="00AF43AB" w:rsidRPr="00744FB8">
        <w:rPr>
          <w:rFonts w:ascii="Cambria" w:hAnsi="Cambria"/>
        </w:rPr>
        <w:t>long</w:t>
      </w:r>
      <w:r w:rsidR="00AF43AB">
        <w:rPr>
          <w:rFonts w:ascii="Cambria" w:hAnsi="Cambria"/>
        </w:rPr>
        <w:t xml:space="preserve"> way to go and </w:t>
      </w:r>
      <w:r w:rsidR="00AF5E1F">
        <w:rPr>
          <w:rFonts w:ascii="Cambria" w:hAnsi="Cambria"/>
        </w:rPr>
        <w:t>t</w:t>
      </w:r>
      <w:r w:rsidR="00AF43AB">
        <w:rPr>
          <w:rFonts w:ascii="Cambria" w:hAnsi="Cambria"/>
        </w:rPr>
        <w:t xml:space="preserve">he Licensee is committed to </w:t>
      </w:r>
      <w:r w:rsidR="00FB31BE">
        <w:rPr>
          <w:rFonts w:ascii="Cambria" w:hAnsi="Cambria"/>
        </w:rPr>
        <w:t xml:space="preserve">reach </w:t>
      </w:r>
      <w:r w:rsidR="00AF43AB">
        <w:rPr>
          <w:rFonts w:ascii="Cambria" w:hAnsi="Cambria"/>
        </w:rPr>
        <w:t>the national level index in the coming years.</w:t>
      </w:r>
    </w:p>
    <w:p w14:paraId="5ECB09D7" w14:textId="318588D1" w:rsidR="00D158A3" w:rsidRDefault="00AF43AB" w:rsidP="00713B6D">
      <w:pPr>
        <w:spacing w:beforeLines="100" w:before="240" w:afterLines="100" w:after="240" w:line="360" w:lineRule="auto"/>
        <w:ind w:left="360"/>
        <w:jc w:val="both"/>
        <w:rPr>
          <w:rFonts w:ascii="Cambria" w:hAnsi="Cambria"/>
        </w:rPr>
      </w:pPr>
      <w:r>
        <w:rPr>
          <w:rFonts w:ascii="Cambria" w:hAnsi="Cambria"/>
        </w:rPr>
        <w:t xml:space="preserve">The Licensee took many revenue </w:t>
      </w:r>
      <w:r w:rsidR="00171835">
        <w:rPr>
          <w:rFonts w:ascii="Cambria" w:hAnsi="Cambria"/>
        </w:rPr>
        <w:t xml:space="preserve">improvement </w:t>
      </w:r>
      <w:r>
        <w:rPr>
          <w:rFonts w:ascii="Cambria" w:hAnsi="Cambria"/>
        </w:rPr>
        <w:t>initiatives with support of all stakeholders and approval of Hon’ble Commission through which the revenue has increased from Rs. 4000 Cr. (FY-21) to more than Rs</w:t>
      </w:r>
      <w:r w:rsidRPr="008735A0">
        <w:rPr>
          <w:rFonts w:ascii="Cambria" w:hAnsi="Cambria"/>
        </w:rPr>
        <w:t xml:space="preserve">. </w:t>
      </w:r>
      <w:r w:rsidR="008735A0">
        <w:rPr>
          <w:rFonts w:ascii="Cambria" w:hAnsi="Cambria"/>
        </w:rPr>
        <w:t>5</w:t>
      </w:r>
      <w:r w:rsidRPr="008735A0">
        <w:rPr>
          <w:rFonts w:ascii="Cambria" w:hAnsi="Cambria"/>
        </w:rPr>
        <w:t>000 Cr. (FY-2</w:t>
      </w:r>
      <w:r w:rsidR="0092784A" w:rsidRPr="008735A0">
        <w:rPr>
          <w:rFonts w:ascii="Cambria" w:hAnsi="Cambria"/>
        </w:rPr>
        <w:t>5</w:t>
      </w:r>
      <w:r w:rsidRPr="008735A0">
        <w:rPr>
          <w:rFonts w:ascii="Cambria" w:hAnsi="Cambria"/>
        </w:rPr>
        <w:t>).</w:t>
      </w:r>
      <w:r>
        <w:rPr>
          <w:rFonts w:ascii="Cambria" w:hAnsi="Cambria"/>
        </w:rPr>
        <w:t xml:space="preserve"> </w:t>
      </w:r>
    </w:p>
    <w:p w14:paraId="3B346745" w14:textId="77777777" w:rsidR="008735A0" w:rsidRDefault="00D158A3" w:rsidP="00713B6D">
      <w:pPr>
        <w:spacing w:beforeLines="100" w:before="240" w:afterLines="100" w:after="240" w:line="360" w:lineRule="auto"/>
        <w:ind w:left="360"/>
        <w:jc w:val="both"/>
        <w:rPr>
          <w:rFonts w:ascii="Cambria" w:hAnsi="Cambria"/>
        </w:rPr>
      </w:pPr>
      <w:r w:rsidRPr="00836699">
        <w:rPr>
          <w:rFonts w:ascii="Cambria" w:hAnsi="Cambria"/>
        </w:rPr>
        <w:t xml:space="preserve">Government of India has approved the PM Surya </w:t>
      </w:r>
      <w:proofErr w:type="spellStart"/>
      <w:r w:rsidRPr="00836699">
        <w:rPr>
          <w:rFonts w:ascii="Cambria" w:hAnsi="Cambria"/>
        </w:rPr>
        <w:t>Ghar</w:t>
      </w:r>
      <w:proofErr w:type="spellEnd"/>
      <w:r w:rsidRPr="00836699">
        <w:rPr>
          <w:rFonts w:ascii="Cambria" w:hAnsi="Cambria"/>
        </w:rPr>
        <w:t xml:space="preserve">: </w:t>
      </w:r>
      <w:proofErr w:type="spellStart"/>
      <w:r w:rsidRPr="00836699">
        <w:rPr>
          <w:rFonts w:ascii="Cambria" w:hAnsi="Cambria"/>
        </w:rPr>
        <w:t>Muft</w:t>
      </w:r>
      <w:proofErr w:type="spellEnd"/>
      <w:r w:rsidRPr="00836699">
        <w:rPr>
          <w:rFonts w:ascii="Cambria" w:hAnsi="Cambria"/>
        </w:rPr>
        <w:t xml:space="preserve"> Bijli Yojana on 29</w:t>
      </w:r>
      <w:r w:rsidRPr="00836699">
        <w:rPr>
          <w:rFonts w:ascii="Cambria" w:hAnsi="Cambria"/>
          <w:vertAlign w:val="superscript"/>
        </w:rPr>
        <w:t>th</w:t>
      </w:r>
      <w:r w:rsidRPr="00836699">
        <w:rPr>
          <w:rFonts w:ascii="Cambria" w:hAnsi="Cambria"/>
        </w:rPr>
        <w:t xml:space="preserve"> February 2024 to increase the share of solar rooftop capacity and empower residential households to generate their own electricity. The scheme has an outlay of Rs 75,021 crore and is to be implemented till FY 26-27.</w:t>
      </w:r>
      <w:r>
        <w:rPr>
          <w:rFonts w:ascii="Cambria" w:hAnsi="Cambria"/>
        </w:rPr>
        <w:t xml:space="preserve"> All Odisha DISCOMs have taken a target of 3,00,000 households, out of which the incumbent Licensee took a share of 65,000 households in its licensee area.</w:t>
      </w:r>
    </w:p>
    <w:p w14:paraId="68CE93AC" w14:textId="0E4A1854" w:rsidR="00E43D5F" w:rsidRDefault="008735A0" w:rsidP="00713B6D">
      <w:pPr>
        <w:spacing w:beforeLines="100" w:before="240" w:afterLines="100" w:after="240" w:line="360" w:lineRule="auto"/>
        <w:ind w:left="360"/>
        <w:jc w:val="both"/>
        <w:rPr>
          <w:rFonts w:ascii="Cambria" w:hAnsi="Cambria"/>
        </w:rPr>
      </w:pPr>
      <w:r w:rsidRPr="008735A0">
        <w:rPr>
          <w:rFonts w:ascii="Cambria" w:hAnsi="Cambria"/>
        </w:rPr>
        <w:t xml:space="preserve">The Government of Odisha has extended strong support by approving an enhanced State Financial Assistance (SFA)—the highest per household in the country—for the installation of Rooftop Solar (RTS) systems. Furthermore, the approval of the Utility-Led Aggregation (ULA) model under the PM Surya </w:t>
      </w:r>
      <w:proofErr w:type="spellStart"/>
      <w:r w:rsidRPr="008735A0">
        <w:rPr>
          <w:rFonts w:ascii="Cambria" w:hAnsi="Cambria"/>
        </w:rPr>
        <w:t>Ghar</w:t>
      </w:r>
      <w:proofErr w:type="spellEnd"/>
      <w:r w:rsidRPr="008735A0">
        <w:rPr>
          <w:rFonts w:ascii="Cambria" w:hAnsi="Cambria"/>
        </w:rPr>
        <w:t xml:space="preserve">: </w:t>
      </w:r>
      <w:proofErr w:type="spellStart"/>
      <w:r w:rsidRPr="008735A0">
        <w:rPr>
          <w:rFonts w:ascii="Cambria" w:hAnsi="Cambria"/>
        </w:rPr>
        <w:t>Muft</w:t>
      </w:r>
      <w:proofErr w:type="spellEnd"/>
      <w:r w:rsidRPr="008735A0">
        <w:rPr>
          <w:rFonts w:ascii="Cambria" w:hAnsi="Cambria"/>
        </w:rPr>
        <w:t xml:space="preserve"> Bijli Yojana (PMSGMBY) represents a transformative step in scaling up rooftop solar adoption across the State. These measures are expected to significantly boost Distributed Renewable Energy (DRE) deployment and play a pivotal role in meeting the State’s Renewable Consumption Obligation (RCO) targets.</w:t>
      </w:r>
      <w:r w:rsidR="007E5679">
        <w:rPr>
          <w:rFonts w:ascii="Cambria" w:hAnsi="Cambria"/>
        </w:rPr>
        <w:t xml:space="preserve"> </w:t>
      </w:r>
    </w:p>
    <w:p w14:paraId="55F80272" w14:textId="033032C3" w:rsidR="00547032" w:rsidRPr="00547032" w:rsidRDefault="00547032" w:rsidP="00713B6D">
      <w:pPr>
        <w:spacing w:beforeLines="100" w:before="240" w:afterLines="100" w:after="240" w:line="360" w:lineRule="auto"/>
        <w:ind w:left="360"/>
        <w:jc w:val="both"/>
        <w:rPr>
          <w:rFonts w:ascii="Cambria" w:hAnsi="Cambria"/>
        </w:rPr>
      </w:pPr>
      <w:r w:rsidRPr="00547032">
        <w:rPr>
          <w:rFonts w:ascii="Cambria" w:hAnsi="Cambria"/>
        </w:rPr>
        <w:t xml:space="preserve">Furthermore, the Hon’ble Commission has accorded approval for implementation of the PM-KUSUM Scheme through Component-A and Component-C, with a levelized feed-in tariff framework. As a result, approximately </w:t>
      </w:r>
      <w:r w:rsidR="008735A0">
        <w:rPr>
          <w:rFonts w:ascii="Cambria" w:hAnsi="Cambria"/>
        </w:rPr>
        <w:t>3</w:t>
      </w:r>
      <w:r w:rsidRPr="008735A0">
        <w:rPr>
          <w:rFonts w:ascii="Cambria" w:hAnsi="Cambria"/>
        </w:rPr>
        <w:t>0 MW capacity under Component C</w:t>
      </w:r>
      <w:r w:rsidR="008735A0">
        <w:rPr>
          <w:rFonts w:ascii="Cambria" w:hAnsi="Cambria"/>
        </w:rPr>
        <w:t>2</w:t>
      </w:r>
      <w:r w:rsidRPr="008735A0">
        <w:rPr>
          <w:rFonts w:ascii="Cambria" w:hAnsi="Cambria"/>
        </w:rPr>
        <w:t xml:space="preserve"> has been awarded</w:t>
      </w:r>
      <w:r w:rsidR="00C61EDB" w:rsidRPr="008735A0">
        <w:rPr>
          <w:rFonts w:ascii="Cambria" w:hAnsi="Cambria"/>
        </w:rPr>
        <w:t xml:space="preserve"> under TPWODL</w:t>
      </w:r>
      <w:r w:rsidRPr="008735A0">
        <w:rPr>
          <w:rFonts w:ascii="Cambria" w:hAnsi="Cambria"/>
        </w:rPr>
        <w:t>, for which Tripartite Power Purchase Agreements (TPPAs) have already been</w:t>
      </w:r>
      <w:r w:rsidRPr="00547032">
        <w:rPr>
          <w:rFonts w:ascii="Cambria" w:hAnsi="Cambria"/>
        </w:rPr>
        <w:t xml:space="preserve"> executed</w:t>
      </w:r>
      <w:r w:rsidR="008735A0">
        <w:rPr>
          <w:rFonts w:ascii="Cambria" w:hAnsi="Cambria"/>
        </w:rPr>
        <w:t xml:space="preserve"> </w:t>
      </w:r>
      <w:r w:rsidRPr="00547032">
        <w:rPr>
          <w:rFonts w:ascii="Cambria" w:hAnsi="Cambria"/>
        </w:rPr>
        <w:t>and the projects are presently under implementation.</w:t>
      </w:r>
    </w:p>
    <w:p w14:paraId="6A6B2255" w14:textId="4A747C14" w:rsidR="00836699" w:rsidRPr="008735A0" w:rsidRDefault="00E15F88" w:rsidP="00713B6D">
      <w:pPr>
        <w:spacing w:beforeLines="100" w:before="240" w:afterLines="100" w:after="240" w:line="360" w:lineRule="auto"/>
        <w:ind w:left="360"/>
        <w:jc w:val="both"/>
        <w:rPr>
          <w:rFonts w:ascii="Cambria" w:hAnsi="Cambria"/>
        </w:rPr>
      </w:pPr>
      <w:r w:rsidRPr="00E15F88">
        <w:rPr>
          <w:rFonts w:ascii="Cambria" w:hAnsi="Cambria"/>
        </w:rPr>
        <w:t>In addition, the Hon’ble Commission has approved the gross metering mechanism under PM-KUSUM Component-C, with the objective of enhancing farmers’ income and thereby contributing to the overall growth of the State as well as the nation</w:t>
      </w:r>
      <w:r w:rsidR="00667ED5">
        <w:rPr>
          <w:rFonts w:ascii="Cambria" w:hAnsi="Cambria"/>
        </w:rPr>
        <w:t>al</w:t>
      </w:r>
      <w:r w:rsidRPr="00E15F88">
        <w:rPr>
          <w:rFonts w:ascii="Cambria" w:hAnsi="Cambria"/>
        </w:rPr>
        <w:t xml:space="preserve"> Gross </w:t>
      </w:r>
      <w:r w:rsidRPr="00E15F88">
        <w:rPr>
          <w:rFonts w:ascii="Cambria" w:hAnsi="Cambria"/>
        </w:rPr>
        <w:lastRenderedPageBreak/>
        <w:t>Domestic Product (GDP)</w:t>
      </w:r>
      <w:r w:rsidR="00F631D0">
        <w:rPr>
          <w:rFonts w:ascii="Cambria" w:hAnsi="Cambria"/>
        </w:rPr>
        <w:t>.</w:t>
      </w:r>
      <w:r w:rsidR="006C6980">
        <w:rPr>
          <w:rFonts w:ascii="Cambria" w:hAnsi="Cambria"/>
        </w:rPr>
        <w:t xml:space="preserve"> </w:t>
      </w:r>
      <w:r w:rsidR="00836699" w:rsidRPr="00836699">
        <w:rPr>
          <w:rFonts w:ascii="Cambria" w:hAnsi="Cambria"/>
        </w:rPr>
        <w:t xml:space="preserve">Although the </w:t>
      </w:r>
      <w:r w:rsidR="00836699">
        <w:rPr>
          <w:rFonts w:ascii="Cambria" w:hAnsi="Cambria"/>
        </w:rPr>
        <w:t xml:space="preserve">Hon’ble </w:t>
      </w:r>
      <w:r w:rsidR="00836699" w:rsidRPr="00836699">
        <w:rPr>
          <w:rFonts w:ascii="Cambria" w:hAnsi="Cambria"/>
        </w:rPr>
        <w:t xml:space="preserve">Commission has approved an effective mechanism under gross metering, progress remains </w:t>
      </w:r>
      <w:r w:rsidR="00171835">
        <w:rPr>
          <w:rFonts w:ascii="Cambria" w:hAnsi="Cambria"/>
        </w:rPr>
        <w:t>stagnant</w:t>
      </w:r>
      <w:r w:rsidR="00836699" w:rsidRPr="00836699">
        <w:rPr>
          <w:rFonts w:ascii="Cambria" w:hAnsi="Cambria"/>
        </w:rPr>
        <w:t xml:space="preserve"> due to </w:t>
      </w:r>
      <w:r w:rsidR="00171835">
        <w:rPr>
          <w:rFonts w:ascii="Cambria" w:hAnsi="Cambria"/>
        </w:rPr>
        <w:t>non-</w:t>
      </w:r>
      <w:r w:rsidR="00836699" w:rsidRPr="00836699">
        <w:rPr>
          <w:rFonts w:ascii="Cambria" w:hAnsi="Cambria"/>
        </w:rPr>
        <w:t>participation from agricultural farmers</w:t>
      </w:r>
      <w:r w:rsidR="00171835">
        <w:rPr>
          <w:rFonts w:ascii="Cambria" w:hAnsi="Cambria"/>
        </w:rPr>
        <w:t xml:space="preserve"> because they are unable to contribute their share of </w:t>
      </w:r>
      <w:r w:rsidR="00171835" w:rsidRPr="008735A0">
        <w:rPr>
          <w:rFonts w:ascii="Cambria" w:hAnsi="Cambria"/>
        </w:rPr>
        <w:t>contribution i.e. 40%, which is substantial.</w:t>
      </w:r>
    </w:p>
    <w:p w14:paraId="4A030D58" w14:textId="71595858" w:rsidR="008735A0" w:rsidRDefault="008735A0" w:rsidP="00713B6D">
      <w:pPr>
        <w:spacing w:beforeLines="100" w:before="240" w:afterLines="100" w:after="240" w:line="360" w:lineRule="auto"/>
        <w:ind w:left="360"/>
        <w:jc w:val="both"/>
        <w:rPr>
          <w:rFonts w:ascii="Cambria" w:hAnsi="Cambria"/>
          <w:highlight w:val="yellow"/>
        </w:rPr>
      </w:pPr>
      <w:r w:rsidRPr="008735A0">
        <w:rPr>
          <w:rFonts w:ascii="Cambria" w:hAnsi="Cambria"/>
        </w:rPr>
        <w:t xml:space="preserve">It is worthwhile to mention that, </w:t>
      </w:r>
      <w:r w:rsidR="003C5D98" w:rsidRPr="008735A0">
        <w:rPr>
          <w:rFonts w:ascii="Cambria" w:hAnsi="Cambria"/>
        </w:rPr>
        <w:t>Ministry of Power (</w:t>
      </w:r>
      <w:proofErr w:type="spellStart"/>
      <w:r w:rsidR="003C5D98" w:rsidRPr="008735A0">
        <w:rPr>
          <w:rFonts w:ascii="Cambria" w:hAnsi="Cambria"/>
        </w:rPr>
        <w:t>GoI</w:t>
      </w:r>
      <w:proofErr w:type="spellEnd"/>
      <w:r w:rsidR="003C5D98" w:rsidRPr="008735A0">
        <w:rPr>
          <w:rFonts w:ascii="Cambria" w:hAnsi="Cambria"/>
        </w:rPr>
        <w:t>) has recognized TPWODL with</w:t>
      </w:r>
      <w:r w:rsidR="003C5D98" w:rsidRPr="008735A0">
        <w:rPr>
          <w:rFonts w:ascii="Cambria" w:hAnsi="Cambria"/>
          <w:shd w:val="clear" w:color="auto" w:fill="C00000"/>
        </w:rPr>
        <w:t xml:space="preserve"> </w:t>
      </w:r>
      <w:r w:rsidR="003C5D98" w:rsidRPr="008735A0">
        <w:rPr>
          <w:rFonts w:ascii="Cambria" w:hAnsi="Cambria"/>
        </w:rPr>
        <w:t>A+ rating in 11th</w:t>
      </w:r>
      <w:r w:rsidRPr="008735A0">
        <w:rPr>
          <w:rFonts w:ascii="Cambria" w:hAnsi="Cambria"/>
        </w:rPr>
        <w:t>,</w:t>
      </w:r>
      <w:r w:rsidR="00BE6C1F">
        <w:rPr>
          <w:rFonts w:ascii="Cambria" w:hAnsi="Cambria"/>
        </w:rPr>
        <w:t xml:space="preserve"> </w:t>
      </w:r>
      <w:r w:rsidRPr="008735A0">
        <w:rPr>
          <w:rFonts w:ascii="Cambria" w:hAnsi="Cambria"/>
        </w:rPr>
        <w:t xml:space="preserve">12th &amp; 13th </w:t>
      </w:r>
      <w:r w:rsidR="003C5D98" w:rsidRPr="008735A0">
        <w:rPr>
          <w:rFonts w:ascii="Cambria" w:hAnsi="Cambria"/>
        </w:rPr>
        <w:t xml:space="preserve">Annual Integrated Rating </w:t>
      </w:r>
      <w:r w:rsidR="00E54BC6" w:rsidRPr="008735A0">
        <w:rPr>
          <w:rFonts w:ascii="Cambria" w:hAnsi="Cambria"/>
        </w:rPr>
        <w:t xml:space="preserve">for continuously </w:t>
      </w:r>
      <w:r w:rsidRPr="008735A0">
        <w:rPr>
          <w:rFonts w:ascii="Cambria" w:hAnsi="Cambria"/>
        </w:rPr>
        <w:t>3</w:t>
      </w:r>
      <w:r w:rsidR="00E54BC6" w:rsidRPr="008735A0">
        <w:rPr>
          <w:rFonts w:ascii="Cambria" w:hAnsi="Cambria"/>
        </w:rPr>
        <w:t xml:space="preserve"> years in a row.</w:t>
      </w:r>
      <w:r w:rsidR="003C5D98" w:rsidRPr="008735A0">
        <w:rPr>
          <w:rFonts w:ascii="Cambria" w:hAnsi="Cambria"/>
        </w:rPr>
        <w:t xml:space="preserve"> </w:t>
      </w:r>
    </w:p>
    <w:p w14:paraId="7C03B3CD" w14:textId="266B179D" w:rsidR="008255AD" w:rsidRPr="00BE6C1F" w:rsidRDefault="00440CF5" w:rsidP="00713B6D">
      <w:pPr>
        <w:spacing w:beforeLines="100" w:before="240" w:afterLines="100" w:after="240" w:line="360" w:lineRule="auto"/>
        <w:ind w:left="360"/>
        <w:jc w:val="both"/>
        <w:rPr>
          <w:rFonts w:ascii="Cambria" w:hAnsi="Cambria"/>
        </w:rPr>
      </w:pPr>
      <w:r w:rsidRPr="00BE6C1F">
        <w:rPr>
          <w:rFonts w:ascii="Cambria" w:hAnsi="Cambria"/>
        </w:rPr>
        <w:t xml:space="preserve">Under the </w:t>
      </w:r>
      <w:proofErr w:type="spellStart"/>
      <w:r w:rsidRPr="00BE6C1F">
        <w:rPr>
          <w:rFonts w:ascii="Cambria" w:hAnsi="Cambria"/>
        </w:rPr>
        <w:t>Viksit</w:t>
      </w:r>
      <w:proofErr w:type="spellEnd"/>
      <w:r w:rsidRPr="00BE6C1F">
        <w:rPr>
          <w:rFonts w:ascii="Cambria" w:hAnsi="Cambria"/>
        </w:rPr>
        <w:t xml:space="preserve"> Odisha roadmap, the State has envisioned </w:t>
      </w:r>
      <w:r w:rsidR="00BE6C1F" w:rsidRPr="00BE6C1F">
        <w:rPr>
          <w:rFonts w:ascii="Cambria" w:hAnsi="Cambria"/>
        </w:rPr>
        <w:t xml:space="preserve">of becoming a </w:t>
      </w:r>
      <w:r w:rsidRPr="00BE6C1F">
        <w:rPr>
          <w:rFonts w:ascii="Cambria" w:hAnsi="Cambria"/>
        </w:rPr>
        <w:t>$500 billion economy by 2036 and a $1.5 trillion economy by 2047, emerging as a developed state and a major economic powerhouse. The power sector is poised to play a crucial enabling role in this transformat</w:t>
      </w:r>
      <w:r w:rsidR="00BE6C1F" w:rsidRPr="00BE6C1F">
        <w:rPr>
          <w:rFonts w:ascii="Cambria" w:hAnsi="Cambria"/>
        </w:rPr>
        <w:t>ive journey</w:t>
      </w:r>
      <w:r w:rsidRPr="00BE6C1F">
        <w:rPr>
          <w:rFonts w:ascii="Cambria" w:hAnsi="Cambria"/>
        </w:rPr>
        <w:t xml:space="preserve"> by ensuring reliable, affordable and sustainable energy access for all segments of </w:t>
      </w:r>
      <w:r w:rsidR="00BE6C1F" w:rsidRPr="00BE6C1F">
        <w:rPr>
          <w:rFonts w:ascii="Cambria" w:hAnsi="Cambria"/>
        </w:rPr>
        <w:t xml:space="preserve">the </w:t>
      </w:r>
      <w:r w:rsidRPr="00BE6C1F">
        <w:rPr>
          <w:rFonts w:ascii="Cambria" w:hAnsi="Cambria"/>
        </w:rPr>
        <w:t>society.</w:t>
      </w:r>
    </w:p>
    <w:p w14:paraId="3E2922E8" w14:textId="6327AAD6" w:rsidR="00AC2227" w:rsidRPr="00BE6C1F" w:rsidRDefault="00BE6C1F" w:rsidP="00713B6D">
      <w:pPr>
        <w:spacing w:beforeLines="100" w:before="240" w:afterLines="100" w:after="240" w:line="360" w:lineRule="auto"/>
        <w:ind w:left="360"/>
        <w:jc w:val="both"/>
        <w:rPr>
          <w:rFonts w:ascii="Cambria" w:hAnsi="Cambria"/>
        </w:rPr>
      </w:pPr>
      <w:r w:rsidRPr="00BE6C1F">
        <w:rPr>
          <w:rFonts w:ascii="Cambria" w:hAnsi="Cambria"/>
        </w:rPr>
        <w:t xml:space="preserve">Nationally, </w:t>
      </w:r>
      <w:r w:rsidR="00AC2227" w:rsidRPr="00BE6C1F">
        <w:rPr>
          <w:rFonts w:ascii="Cambria" w:hAnsi="Cambria"/>
        </w:rPr>
        <w:t>Odisha stands out for offering one of the lowest electricity tariffs</w:t>
      </w:r>
      <w:r>
        <w:rPr>
          <w:rFonts w:ascii="Cambria" w:hAnsi="Cambria"/>
        </w:rPr>
        <w:t xml:space="preserve"> to the consumer mix it caters</w:t>
      </w:r>
      <w:r w:rsidRPr="00BE6C1F">
        <w:rPr>
          <w:rFonts w:ascii="Cambria" w:hAnsi="Cambria"/>
        </w:rPr>
        <w:t xml:space="preserve">. </w:t>
      </w:r>
      <w:r w:rsidR="00AC2227" w:rsidRPr="00BE6C1F">
        <w:rPr>
          <w:rFonts w:ascii="Cambria" w:hAnsi="Cambria"/>
        </w:rPr>
        <w:t>The domestic category enjoys highly affordable power, while the industrial segment benefits from competitive tariffs that foster</w:t>
      </w:r>
      <w:r w:rsidRPr="00BE6C1F">
        <w:rPr>
          <w:rFonts w:ascii="Cambria" w:hAnsi="Cambria"/>
        </w:rPr>
        <w:t>s</w:t>
      </w:r>
      <w:r w:rsidR="00AC2227" w:rsidRPr="00BE6C1F">
        <w:rPr>
          <w:rFonts w:ascii="Cambria" w:hAnsi="Cambria"/>
        </w:rPr>
        <w:t xml:space="preserve"> industrial growth and create</w:t>
      </w:r>
      <w:r w:rsidR="00F05AA0">
        <w:rPr>
          <w:rFonts w:ascii="Cambria" w:hAnsi="Cambria"/>
        </w:rPr>
        <w:t>s</w:t>
      </w:r>
      <w:r w:rsidR="00AC2227" w:rsidRPr="00BE6C1F">
        <w:rPr>
          <w:rFonts w:ascii="Cambria" w:hAnsi="Cambria"/>
        </w:rPr>
        <w:t xml:space="preserve"> an industry-friendly ecosystem. This synergy between affordable energy and industrial competitiveness has enabled inclusive and sustainable development across the State.</w:t>
      </w:r>
    </w:p>
    <w:p w14:paraId="53558574" w14:textId="4D0CD6EA" w:rsidR="00AC2227" w:rsidRPr="00BE6C1F" w:rsidRDefault="007738EC" w:rsidP="00713B6D">
      <w:pPr>
        <w:spacing w:beforeLines="100" w:before="240" w:afterLines="100" w:after="240" w:line="360" w:lineRule="auto"/>
        <w:ind w:left="360"/>
        <w:jc w:val="both"/>
        <w:rPr>
          <w:rFonts w:ascii="Cambria" w:hAnsi="Cambria"/>
        </w:rPr>
      </w:pPr>
      <w:r w:rsidRPr="00BE6C1F">
        <w:rPr>
          <w:rFonts w:ascii="Cambria" w:hAnsi="Cambria"/>
        </w:rPr>
        <w:t xml:space="preserve">Such achievements have been made possible through the proactive policy support and visionary leadership of the Government of Odisha </w:t>
      </w:r>
      <w:r w:rsidR="00BE6C1F">
        <w:rPr>
          <w:rFonts w:ascii="Cambria" w:hAnsi="Cambria"/>
        </w:rPr>
        <w:t>along with</w:t>
      </w:r>
      <w:r w:rsidRPr="00BE6C1F">
        <w:rPr>
          <w:rFonts w:ascii="Cambria" w:hAnsi="Cambria"/>
        </w:rPr>
        <w:t xml:space="preserve"> </w:t>
      </w:r>
      <w:r w:rsidR="00BE6C1F">
        <w:rPr>
          <w:rFonts w:ascii="Cambria" w:hAnsi="Cambria"/>
        </w:rPr>
        <w:t xml:space="preserve">active/ timely regulatory intervention of </w:t>
      </w:r>
      <w:r w:rsidRPr="00BE6C1F">
        <w:rPr>
          <w:rFonts w:ascii="Cambria" w:hAnsi="Cambria"/>
        </w:rPr>
        <w:t>the Hon’ble Commission.</w:t>
      </w:r>
    </w:p>
    <w:p w14:paraId="2DFBD5EC" w14:textId="28194565" w:rsidR="007738EC" w:rsidRPr="00E35AED" w:rsidRDefault="007738EC" w:rsidP="007738EC">
      <w:pPr>
        <w:spacing w:beforeLines="100" w:before="240" w:afterLines="100" w:after="240" w:line="360" w:lineRule="auto"/>
        <w:ind w:left="360"/>
        <w:jc w:val="both"/>
        <w:rPr>
          <w:rFonts w:ascii="Cambria" w:hAnsi="Cambria"/>
        </w:rPr>
      </w:pPr>
      <w:r w:rsidRPr="00E35AED">
        <w:rPr>
          <w:rFonts w:ascii="Cambria" w:hAnsi="Cambria"/>
        </w:rPr>
        <w:t xml:space="preserve">One of Odisha’s key strategic strength lies in </w:t>
      </w:r>
      <w:proofErr w:type="spellStart"/>
      <w:r w:rsidRPr="00E35AED">
        <w:rPr>
          <w:rFonts w:ascii="Cambria" w:hAnsi="Cambria"/>
        </w:rPr>
        <w:t>it</w:t>
      </w:r>
      <w:r w:rsidR="00BE6C1F" w:rsidRPr="00E35AED">
        <w:rPr>
          <w:rFonts w:ascii="Cambria" w:hAnsi="Cambria"/>
        </w:rPr>
        <w:t>’</w:t>
      </w:r>
      <w:r w:rsidRPr="00E35AED">
        <w:rPr>
          <w:rFonts w:ascii="Cambria" w:hAnsi="Cambria"/>
        </w:rPr>
        <w:t>s</w:t>
      </w:r>
      <w:proofErr w:type="spellEnd"/>
      <w:r w:rsidRPr="00E35AED">
        <w:rPr>
          <w:rFonts w:ascii="Cambria" w:hAnsi="Cambria"/>
        </w:rPr>
        <w:t xml:space="preserve"> natural resource</w:t>
      </w:r>
      <w:r w:rsidR="00BE6C1F" w:rsidRPr="00E35AED">
        <w:rPr>
          <w:rFonts w:ascii="Cambria" w:hAnsi="Cambria"/>
        </w:rPr>
        <w:t>s</w:t>
      </w:r>
      <w:r w:rsidRPr="00E35AED">
        <w:rPr>
          <w:rFonts w:ascii="Cambria" w:hAnsi="Cambria"/>
        </w:rPr>
        <w:t xml:space="preserve"> and energy leadership</w:t>
      </w:r>
      <w:r w:rsidR="00F80F7D">
        <w:rPr>
          <w:rFonts w:ascii="Cambria" w:hAnsi="Cambria"/>
        </w:rPr>
        <w:t>.</w:t>
      </w:r>
      <w:r w:rsidR="00BE6C1F" w:rsidRPr="00E35AED">
        <w:rPr>
          <w:rFonts w:ascii="Cambria" w:hAnsi="Cambria"/>
        </w:rPr>
        <w:t xml:space="preserve"> </w:t>
      </w:r>
      <w:r w:rsidR="00F80F7D">
        <w:rPr>
          <w:rFonts w:ascii="Cambria" w:hAnsi="Cambria"/>
        </w:rPr>
        <w:t>T</w:t>
      </w:r>
      <w:r w:rsidRPr="00E35AED">
        <w:rPr>
          <w:rFonts w:ascii="Cambria" w:hAnsi="Cambria"/>
        </w:rPr>
        <w:t>he State con</w:t>
      </w:r>
      <w:r w:rsidR="00BE6C1F" w:rsidRPr="00E35AED">
        <w:rPr>
          <w:rFonts w:ascii="Cambria" w:hAnsi="Cambria"/>
        </w:rPr>
        <w:t>tain</w:t>
      </w:r>
      <w:r w:rsidRPr="00E35AED">
        <w:rPr>
          <w:rFonts w:ascii="Cambria" w:hAnsi="Cambria"/>
        </w:rPr>
        <w:t>s nearly 55% of India’s iron ore, 100% of chromite and 73% of bauxite</w:t>
      </w:r>
      <w:r w:rsidR="00BE6C1F" w:rsidRPr="00E35AED">
        <w:rPr>
          <w:rFonts w:ascii="Cambria" w:hAnsi="Cambria"/>
        </w:rPr>
        <w:t xml:space="preserve"> reserve</w:t>
      </w:r>
      <w:r w:rsidRPr="00E35AED">
        <w:rPr>
          <w:rFonts w:ascii="Cambria" w:hAnsi="Cambria"/>
        </w:rPr>
        <w:t>, positioning it as a c</w:t>
      </w:r>
      <w:r w:rsidR="00E35AED">
        <w:rPr>
          <w:rFonts w:ascii="Cambria" w:hAnsi="Cambria"/>
        </w:rPr>
        <w:t xml:space="preserve">atalyst towards </w:t>
      </w:r>
      <w:r w:rsidRPr="00E35AED">
        <w:rPr>
          <w:rFonts w:ascii="Cambria" w:hAnsi="Cambria"/>
        </w:rPr>
        <w:t xml:space="preserve">the nation’s industrial growth. With a surplus </w:t>
      </w:r>
      <w:r w:rsidR="00CC129A" w:rsidRPr="00E35AED">
        <w:rPr>
          <w:rFonts w:ascii="Cambria" w:hAnsi="Cambria"/>
        </w:rPr>
        <w:t xml:space="preserve">power </w:t>
      </w:r>
      <w:r w:rsidRPr="00E35AED">
        <w:rPr>
          <w:rFonts w:ascii="Cambria" w:hAnsi="Cambria"/>
        </w:rPr>
        <w:t>of around 10,000 MW, Odisha is well</w:t>
      </w:r>
      <w:r w:rsidR="00310A9F" w:rsidRPr="00E35AED">
        <w:rPr>
          <w:rFonts w:ascii="Cambria" w:hAnsi="Cambria"/>
        </w:rPr>
        <w:t>-</w:t>
      </w:r>
      <w:r w:rsidRPr="00E35AED">
        <w:rPr>
          <w:rFonts w:ascii="Cambria" w:hAnsi="Cambria"/>
        </w:rPr>
        <w:t xml:space="preserve">equipped to fuel </w:t>
      </w:r>
      <w:proofErr w:type="spellStart"/>
      <w:r w:rsidRPr="00E35AED">
        <w:rPr>
          <w:rFonts w:ascii="Cambria" w:hAnsi="Cambria"/>
        </w:rPr>
        <w:t>it</w:t>
      </w:r>
      <w:r w:rsidR="00E35AED">
        <w:rPr>
          <w:rFonts w:ascii="Cambria" w:hAnsi="Cambria"/>
        </w:rPr>
        <w:t>’</w:t>
      </w:r>
      <w:r w:rsidRPr="00E35AED">
        <w:rPr>
          <w:rFonts w:ascii="Cambria" w:hAnsi="Cambria"/>
        </w:rPr>
        <w:t>s</w:t>
      </w:r>
      <w:proofErr w:type="spellEnd"/>
      <w:r w:rsidRPr="00E35AED">
        <w:rPr>
          <w:rFonts w:ascii="Cambria" w:hAnsi="Cambria"/>
        </w:rPr>
        <w:t xml:space="preserve"> next phase of economic expansion.</w:t>
      </w:r>
    </w:p>
    <w:p w14:paraId="3F80EBD5" w14:textId="17FCEB00" w:rsidR="007738EC" w:rsidRPr="00E35AED" w:rsidRDefault="007738EC" w:rsidP="007738EC">
      <w:pPr>
        <w:spacing w:beforeLines="100" w:before="240" w:afterLines="100" w:after="240" w:line="360" w:lineRule="auto"/>
        <w:ind w:left="360"/>
        <w:jc w:val="both"/>
        <w:rPr>
          <w:rFonts w:ascii="Cambria" w:hAnsi="Cambria"/>
        </w:rPr>
      </w:pPr>
      <w:r w:rsidRPr="00E35AED">
        <w:rPr>
          <w:rFonts w:ascii="Cambria" w:hAnsi="Cambria"/>
        </w:rPr>
        <w:t xml:space="preserve">However, the journey ahead requires balancing growth with sustainability. Over-dependence on extractive industries without adequate environmental safeguards could affect long-term resilience. Hence, the State’s future growth must continue to be guided </w:t>
      </w:r>
      <w:r w:rsidRPr="00E35AED">
        <w:rPr>
          <w:rFonts w:ascii="Cambria" w:hAnsi="Cambria"/>
        </w:rPr>
        <w:lastRenderedPageBreak/>
        <w:t>by green energy transition, efficiency and sustainable industrialization to secure prosperity for generations to come.</w:t>
      </w:r>
    </w:p>
    <w:p w14:paraId="210FDFFA" w14:textId="2560E36B" w:rsidR="000001C2" w:rsidRPr="00E35AED" w:rsidRDefault="000001C2" w:rsidP="007738EC">
      <w:pPr>
        <w:spacing w:beforeLines="100" w:before="240" w:afterLines="100" w:after="240" w:line="360" w:lineRule="auto"/>
        <w:ind w:left="360"/>
        <w:jc w:val="both"/>
        <w:rPr>
          <w:rFonts w:ascii="Cambria" w:hAnsi="Cambria"/>
        </w:rPr>
      </w:pPr>
      <w:r>
        <w:rPr>
          <w:rFonts w:ascii="Cambria" w:hAnsi="Cambria"/>
        </w:rPr>
        <w:t xml:space="preserve">The Licensee operates in Western part of Odisha consisting of 9 revenue districts with area of 48373 sq. km. As per legacy, the business of the licensee is dominated by HT &amp; EHT consumption. However, due to </w:t>
      </w:r>
      <w:r w:rsidR="00866CE4">
        <w:rPr>
          <w:rFonts w:ascii="Cambria" w:hAnsi="Cambria"/>
        </w:rPr>
        <w:t xml:space="preserve">various </w:t>
      </w:r>
      <w:r>
        <w:rPr>
          <w:rFonts w:ascii="Cambria" w:hAnsi="Cambria"/>
        </w:rPr>
        <w:t>reasons/factors and creation of their own generation affecting the other segment</w:t>
      </w:r>
      <w:r w:rsidR="008A391C">
        <w:rPr>
          <w:rFonts w:ascii="Cambria" w:hAnsi="Cambria"/>
        </w:rPr>
        <w:t>s</w:t>
      </w:r>
      <w:r>
        <w:rPr>
          <w:rFonts w:ascii="Cambria" w:hAnsi="Cambria"/>
        </w:rPr>
        <w:t xml:space="preserve"> like LT who are in turn cross-subsidized category. </w:t>
      </w:r>
      <w:r w:rsidRPr="00E35AED">
        <w:rPr>
          <w:rFonts w:ascii="Cambria" w:hAnsi="Cambria"/>
        </w:rPr>
        <w:t xml:space="preserve">It can be seen from the consumption trends of TPWODL that, in FY 2024-25 EHT segment there is a </w:t>
      </w:r>
      <w:r w:rsidR="008A391C">
        <w:rPr>
          <w:rFonts w:ascii="Cambria" w:hAnsi="Cambria"/>
        </w:rPr>
        <w:t>sharp</w:t>
      </w:r>
      <w:r w:rsidRPr="00E35AED">
        <w:rPr>
          <w:rFonts w:ascii="Cambria" w:hAnsi="Cambria"/>
        </w:rPr>
        <w:t xml:space="preserve"> drop in sales (-20% YoY), in HT segment there is marginal growth (around 0.07%), but in LT segment there is significant growth of around 1</w:t>
      </w:r>
      <w:r w:rsidR="00E35AED">
        <w:rPr>
          <w:rFonts w:ascii="Cambria" w:hAnsi="Cambria"/>
        </w:rPr>
        <w:t>6</w:t>
      </w:r>
      <w:r w:rsidRPr="00E35AED">
        <w:rPr>
          <w:rFonts w:ascii="Cambria" w:hAnsi="Cambria"/>
        </w:rPr>
        <w:t xml:space="preserve">%. There is decrease in the overall sales </w:t>
      </w:r>
      <w:r w:rsidR="00906CD9">
        <w:rPr>
          <w:rFonts w:ascii="Cambria" w:hAnsi="Cambria"/>
        </w:rPr>
        <w:t xml:space="preserve">mix </w:t>
      </w:r>
      <w:r w:rsidRPr="00E35AED">
        <w:rPr>
          <w:rFonts w:ascii="Cambria" w:hAnsi="Cambria"/>
        </w:rPr>
        <w:t>of the licensee, which is 9911.73 MU</w:t>
      </w:r>
      <w:r w:rsidR="00E35AED" w:rsidRPr="00E35AED">
        <w:rPr>
          <w:rFonts w:ascii="Cambria" w:hAnsi="Cambria"/>
        </w:rPr>
        <w:t xml:space="preserve"> in FY 24-25</w:t>
      </w:r>
      <w:r w:rsidRPr="00E35AED">
        <w:rPr>
          <w:rFonts w:ascii="Cambria" w:hAnsi="Cambria"/>
        </w:rPr>
        <w:t xml:space="preserve"> as </w:t>
      </w:r>
      <w:r w:rsidR="00016FB8" w:rsidRPr="00E35AED">
        <w:rPr>
          <w:rFonts w:ascii="Cambria" w:hAnsi="Cambria"/>
        </w:rPr>
        <w:t>compared</w:t>
      </w:r>
      <w:r w:rsidRPr="00E35AED">
        <w:rPr>
          <w:rFonts w:ascii="Cambria" w:hAnsi="Cambria"/>
        </w:rPr>
        <w:t xml:space="preserve"> to the total sales of 10643.73 in the FY 2023-24.</w:t>
      </w:r>
    </w:p>
    <w:p w14:paraId="4121FC81" w14:textId="5CC00FA9" w:rsidR="00833B86" w:rsidRDefault="006755C0" w:rsidP="00713B6D">
      <w:pPr>
        <w:spacing w:beforeLines="100" w:before="240" w:afterLines="100" w:after="240" w:line="360" w:lineRule="auto"/>
        <w:ind w:left="360"/>
        <w:jc w:val="both"/>
        <w:rPr>
          <w:rFonts w:ascii="Cambria" w:hAnsi="Cambria"/>
        </w:rPr>
      </w:pPr>
      <w:r w:rsidRPr="00A54B8F">
        <w:rPr>
          <w:rFonts w:ascii="Cambria" w:hAnsi="Cambria"/>
        </w:rPr>
        <w:t>To protect the business and insulate GRIDCO through higher BSP</w:t>
      </w:r>
      <w:r w:rsidR="00E35AED" w:rsidRPr="00A54B8F">
        <w:rPr>
          <w:rFonts w:ascii="Cambria" w:hAnsi="Cambria"/>
        </w:rPr>
        <w:t>,</w:t>
      </w:r>
      <w:r w:rsidRPr="00A54B8F">
        <w:rPr>
          <w:rFonts w:ascii="Cambria" w:hAnsi="Cambria"/>
        </w:rPr>
        <w:t xml:space="preserve"> initiatives taken through TPA (Tri-partite Agreement) sale was really beneficial for the </w:t>
      </w:r>
      <w:r w:rsidR="00E54BC6" w:rsidRPr="00A54B8F">
        <w:rPr>
          <w:rFonts w:ascii="Cambria" w:hAnsi="Cambria"/>
        </w:rPr>
        <w:t xml:space="preserve">first couple of years </w:t>
      </w:r>
      <w:proofErr w:type="spellStart"/>
      <w:r w:rsidR="00E54BC6" w:rsidRPr="00A54B8F">
        <w:rPr>
          <w:rFonts w:ascii="Cambria" w:hAnsi="Cambria"/>
        </w:rPr>
        <w:t>i.e</w:t>
      </w:r>
      <w:proofErr w:type="spellEnd"/>
      <w:r w:rsidR="00E54BC6" w:rsidRPr="00A54B8F">
        <w:rPr>
          <w:rFonts w:ascii="Cambria" w:hAnsi="Cambria"/>
        </w:rPr>
        <w:t xml:space="preserve"> FY 22-23 &amp; FY 23-24</w:t>
      </w:r>
      <w:r w:rsidRPr="00A54B8F">
        <w:rPr>
          <w:rFonts w:ascii="Cambria" w:hAnsi="Cambria"/>
        </w:rPr>
        <w:t xml:space="preserve">. </w:t>
      </w:r>
      <w:r w:rsidR="0052408E" w:rsidRPr="00A54B8F">
        <w:rPr>
          <w:rFonts w:ascii="Cambria" w:hAnsi="Cambria"/>
        </w:rPr>
        <w:t xml:space="preserve">However, </w:t>
      </w:r>
      <w:r w:rsidR="00E35AED" w:rsidRPr="00A54B8F">
        <w:rPr>
          <w:rFonts w:ascii="Cambria" w:hAnsi="Cambria"/>
        </w:rPr>
        <w:t>in</w:t>
      </w:r>
      <w:r w:rsidR="0052408E" w:rsidRPr="00A54B8F">
        <w:rPr>
          <w:rFonts w:ascii="Cambria" w:hAnsi="Cambria"/>
        </w:rPr>
        <w:t xml:space="preserve"> the current year, </w:t>
      </w:r>
      <w:r w:rsidR="009962F0" w:rsidRPr="00A54B8F">
        <w:rPr>
          <w:rFonts w:ascii="Cambria" w:hAnsi="Cambria"/>
        </w:rPr>
        <w:t xml:space="preserve">during </w:t>
      </w:r>
      <w:r w:rsidR="00E35AED" w:rsidRPr="00A54B8F">
        <w:rPr>
          <w:rFonts w:ascii="Cambria" w:hAnsi="Cambria"/>
        </w:rPr>
        <w:t xml:space="preserve">first </w:t>
      </w:r>
      <w:r w:rsidR="00542B9D" w:rsidRPr="00A54B8F">
        <w:rPr>
          <w:rFonts w:ascii="Cambria" w:hAnsi="Cambria"/>
        </w:rPr>
        <w:t xml:space="preserve">Quarter there was no enthusiasm among industries to offtake power under TPA mechanism. After </w:t>
      </w:r>
      <w:r w:rsidR="002B391C" w:rsidRPr="00A54B8F">
        <w:rPr>
          <w:rFonts w:ascii="Cambria" w:hAnsi="Cambria"/>
        </w:rPr>
        <w:t>thorough consultation with industries and stakeholder</w:t>
      </w:r>
      <w:r w:rsidR="00F31FEF">
        <w:rPr>
          <w:rFonts w:ascii="Cambria" w:hAnsi="Cambria"/>
        </w:rPr>
        <w:t>s</w:t>
      </w:r>
      <w:r w:rsidR="002337C9" w:rsidRPr="00A54B8F">
        <w:rPr>
          <w:rFonts w:ascii="Cambria" w:hAnsi="Cambria"/>
        </w:rPr>
        <w:t xml:space="preserve"> a</w:t>
      </w:r>
      <w:r w:rsidR="00E35AED" w:rsidRPr="00A54B8F">
        <w:rPr>
          <w:rFonts w:ascii="Cambria" w:hAnsi="Cambria"/>
        </w:rPr>
        <w:t xml:space="preserve"> </w:t>
      </w:r>
      <w:r w:rsidR="002337C9" w:rsidRPr="00A54B8F">
        <w:rPr>
          <w:rFonts w:ascii="Cambria" w:hAnsi="Cambria"/>
        </w:rPr>
        <w:t xml:space="preserve">joint petition was filed by GRIDCO &amp; DISCOMs seeking certain alteration </w:t>
      </w:r>
      <w:r w:rsidR="003E4785" w:rsidRPr="00A54B8F">
        <w:rPr>
          <w:rFonts w:ascii="Cambria" w:hAnsi="Cambria"/>
        </w:rPr>
        <w:t>/modification in the TPA scheme</w:t>
      </w:r>
      <w:r w:rsidR="00A91605">
        <w:rPr>
          <w:rFonts w:ascii="Cambria" w:hAnsi="Cambria"/>
        </w:rPr>
        <w:t xml:space="preserve"> and the</w:t>
      </w:r>
      <w:r w:rsidR="003E4785" w:rsidRPr="00A54B8F">
        <w:rPr>
          <w:rFonts w:ascii="Cambria" w:hAnsi="Cambria"/>
        </w:rPr>
        <w:t xml:space="preserve"> Hon’ble Commission was kind enough to </w:t>
      </w:r>
      <w:r w:rsidR="00BC32DF" w:rsidRPr="00A54B8F">
        <w:rPr>
          <w:rFonts w:ascii="Cambria" w:hAnsi="Cambria"/>
        </w:rPr>
        <w:t>approve</w:t>
      </w:r>
      <w:r w:rsidR="003E4785" w:rsidRPr="00A54B8F">
        <w:rPr>
          <w:rFonts w:ascii="Cambria" w:hAnsi="Cambria"/>
        </w:rPr>
        <w:t xml:space="preserve"> the </w:t>
      </w:r>
      <w:r w:rsidR="007E353C">
        <w:rPr>
          <w:rFonts w:ascii="Cambria" w:hAnsi="Cambria"/>
        </w:rPr>
        <w:t>suggested</w:t>
      </w:r>
      <w:r w:rsidR="003E4785" w:rsidRPr="00A54B8F">
        <w:rPr>
          <w:rFonts w:ascii="Cambria" w:hAnsi="Cambria"/>
        </w:rPr>
        <w:t xml:space="preserve"> pr</w:t>
      </w:r>
      <w:r w:rsidR="0022545A" w:rsidRPr="00A54B8F">
        <w:rPr>
          <w:rFonts w:ascii="Cambria" w:hAnsi="Cambria"/>
        </w:rPr>
        <w:t>oposition of the DISCOM</w:t>
      </w:r>
      <w:r w:rsidR="00184E34">
        <w:rPr>
          <w:rFonts w:ascii="Cambria" w:hAnsi="Cambria"/>
        </w:rPr>
        <w:t>s</w:t>
      </w:r>
      <w:r w:rsidR="0022545A" w:rsidRPr="00A54B8F">
        <w:rPr>
          <w:rFonts w:ascii="Cambria" w:hAnsi="Cambria"/>
        </w:rPr>
        <w:t xml:space="preserve"> &amp; GRIDCO</w:t>
      </w:r>
      <w:r w:rsidR="00A20854">
        <w:rPr>
          <w:rFonts w:ascii="Cambria" w:hAnsi="Cambria"/>
        </w:rPr>
        <w:t>. E</w:t>
      </w:r>
      <w:r w:rsidR="0052408E" w:rsidRPr="00A54B8F">
        <w:rPr>
          <w:rFonts w:ascii="Cambria" w:hAnsi="Cambria"/>
        </w:rPr>
        <w:t xml:space="preserve">ven though the Hon’ble Commission has approved </w:t>
      </w:r>
      <w:r w:rsidR="00184E34">
        <w:rPr>
          <w:rFonts w:ascii="Cambria" w:hAnsi="Cambria"/>
        </w:rPr>
        <w:t xml:space="preserve">TPA sale of </w:t>
      </w:r>
      <w:r w:rsidR="0052408E" w:rsidRPr="00A54B8F">
        <w:rPr>
          <w:rFonts w:ascii="Cambria" w:hAnsi="Cambria"/>
        </w:rPr>
        <w:t>1</w:t>
      </w:r>
      <w:r w:rsidR="00A54B8F" w:rsidRPr="00A54B8F">
        <w:rPr>
          <w:rFonts w:ascii="Cambria" w:hAnsi="Cambria"/>
        </w:rPr>
        <w:t>90</w:t>
      </w:r>
      <w:r w:rsidR="0052408E" w:rsidRPr="00A54B8F">
        <w:rPr>
          <w:rFonts w:ascii="Cambria" w:hAnsi="Cambria"/>
        </w:rPr>
        <w:t>0 M</w:t>
      </w:r>
      <w:r w:rsidR="003F5E43" w:rsidRPr="00A54B8F">
        <w:rPr>
          <w:rFonts w:ascii="Cambria" w:hAnsi="Cambria"/>
        </w:rPr>
        <w:t>u</w:t>
      </w:r>
      <w:r w:rsidR="0052408E" w:rsidRPr="00A54B8F">
        <w:rPr>
          <w:rFonts w:ascii="Cambria" w:hAnsi="Cambria"/>
        </w:rPr>
        <w:t>s</w:t>
      </w:r>
      <w:r w:rsidR="003F5E43">
        <w:rPr>
          <w:rFonts w:ascii="Cambria" w:hAnsi="Cambria"/>
        </w:rPr>
        <w:t xml:space="preserve"> for TPWODL</w:t>
      </w:r>
      <w:r w:rsidR="0052408E" w:rsidRPr="00A54B8F">
        <w:rPr>
          <w:rFonts w:ascii="Cambria" w:hAnsi="Cambria"/>
        </w:rPr>
        <w:t xml:space="preserve">, </w:t>
      </w:r>
      <w:r w:rsidR="0022545A" w:rsidRPr="00A54B8F">
        <w:rPr>
          <w:rFonts w:ascii="Cambria" w:hAnsi="Cambria"/>
        </w:rPr>
        <w:t xml:space="preserve">vide RST order FY </w:t>
      </w:r>
      <w:r w:rsidR="007507C7" w:rsidRPr="00A54B8F">
        <w:rPr>
          <w:rFonts w:ascii="Cambria" w:hAnsi="Cambria"/>
        </w:rPr>
        <w:t>2</w:t>
      </w:r>
      <w:r w:rsidR="00E35AED" w:rsidRPr="00A54B8F">
        <w:rPr>
          <w:rFonts w:ascii="Cambria" w:hAnsi="Cambria"/>
        </w:rPr>
        <w:t>5</w:t>
      </w:r>
      <w:r w:rsidR="007507C7" w:rsidRPr="00A54B8F">
        <w:rPr>
          <w:rFonts w:ascii="Cambria" w:hAnsi="Cambria"/>
        </w:rPr>
        <w:t>-2</w:t>
      </w:r>
      <w:r w:rsidR="00E35AED" w:rsidRPr="00A54B8F">
        <w:rPr>
          <w:rFonts w:ascii="Cambria" w:hAnsi="Cambria"/>
        </w:rPr>
        <w:t>6</w:t>
      </w:r>
      <w:r w:rsidR="0022545A" w:rsidRPr="00A54B8F">
        <w:rPr>
          <w:rFonts w:ascii="Cambria" w:hAnsi="Cambria"/>
        </w:rPr>
        <w:t xml:space="preserve"> dated 24.</w:t>
      </w:r>
      <w:r w:rsidR="00E35AED" w:rsidRPr="00A54B8F">
        <w:rPr>
          <w:rFonts w:ascii="Cambria" w:hAnsi="Cambria"/>
        </w:rPr>
        <w:t>03</w:t>
      </w:r>
      <w:r w:rsidR="0022545A" w:rsidRPr="00A54B8F">
        <w:rPr>
          <w:rFonts w:ascii="Cambria" w:hAnsi="Cambria"/>
        </w:rPr>
        <w:t>.202</w:t>
      </w:r>
      <w:r w:rsidR="00E35AED" w:rsidRPr="00A54B8F">
        <w:rPr>
          <w:rFonts w:ascii="Cambria" w:hAnsi="Cambria"/>
        </w:rPr>
        <w:t xml:space="preserve">5. </w:t>
      </w:r>
      <w:r w:rsidR="00A20854">
        <w:rPr>
          <w:rFonts w:ascii="Cambria" w:hAnsi="Cambria"/>
        </w:rPr>
        <w:t>T</w:t>
      </w:r>
      <w:r w:rsidR="0052408E" w:rsidRPr="00A54B8F">
        <w:rPr>
          <w:rFonts w:ascii="Cambria" w:hAnsi="Cambria"/>
        </w:rPr>
        <w:t>he actual</w:t>
      </w:r>
      <w:r w:rsidR="00E35AED" w:rsidRPr="00A54B8F">
        <w:rPr>
          <w:rFonts w:ascii="Cambria" w:hAnsi="Cambria"/>
        </w:rPr>
        <w:t xml:space="preserve"> TPA</w:t>
      </w:r>
      <w:r w:rsidR="0052408E" w:rsidRPr="00A54B8F">
        <w:rPr>
          <w:rFonts w:ascii="Cambria" w:hAnsi="Cambria"/>
        </w:rPr>
        <w:t xml:space="preserve"> sale till October 202</w:t>
      </w:r>
      <w:r w:rsidR="00E35AED" w:rsidRPr="00A54B8F">
        <w:rPr>
          <w:rFonts w:ascii="Cambria" w:hAnsi="Cambria"/>
        </w:rPr>
        <w:t>5</w:t>
      </w:r>
      <w:r w:rsidR="0052408E" w:rsidRPr="00A54B8F">
        <w:rPr>
          <w:rFonts w:ascii="Cambria" w:hAnsi="Cambria"/>
        </w:rPr>
        <w:t xml:space="preserve"> is only </w:t>
      </w:r>
      <w:r w:rsidR="00E127CE" w:rsidRPr="00A54B8F">
        <w:rPr>
          <w:rFonts w:ascii="Cambria" w:hAnsi="Cambria"/>
        </w:rPr>
        <w:t>135</w:t>
      </w:r>
      <w:r w:rsidR="0052408E" w:rsidRPr="00A54B8F">
        <w:rPr>
          <w:rFonts w:ascii="Cambria" w:hAnsi="Cambria"/>
        </w:rPr>
        <w:t xml:space="preserve"> MU.</w:t>
      </w:r>
      <w:r w:rsidR="00E127CE" w:rsidRPr="00A54B8F">
        <w:rPr>
          <w:rFonts w:ascii="Cambria" w:hAnsi="Cambria"/>
        </w:rPr>
        <w:t xml:space="preserve"> </w:t>
      </w:r>
      <w:r w:rsidR="00086FD1" w:rsidRPr="00A54B8F">
        <w:rPr>
          <w:rFonts w:ascii="Cambria" w:hAnsi="Cambria"/>
        </w:rPr>
        <w:t xml:space="preserve">TPA was </w:t>
      </w:r>
      <w:r w:rsidR="00E35AED" w:rsidRPr="00A54B8F">
        <w:rPr>
          <w:rFonts w:ascii="Cambria" w:hAnsi="Cambria"/>
        </w:rPr>
        <w:t>in force</w:t>
      </w:r>
      <w:r w:rsidR="00086FD1" w:rsidRPr="00A54B8F">
        <w:rPr>
          <w:rFonts w:ascii="Cambria" w:hAnsi="Cambria"/>
        </w:rPr>
        <w:t xml:space="preserve"> only for</w:t>
      </w:r>
      <w:r w:rsidR="00A85E18" w:rsidRPr="00A54B8F">
        <w:rPr>
          <w:rFonts w:ascii="Cambria" w:hAnsi="Cambria"/>
        </w:rPr>
        <w:t xml:space="preserve"> 2</w:t>
      </w:r>
      <w:r w:rsidR="00E35AED" w:rsidRPr="00A54B8F">
        <w:rPr>
          <w:rFonts w:ascii="Cambria" w:hAnsi="Cambria"/>
        </w:rPr>
        <w:t xml:space="preserve"> </w:t>
      </w:r>
      <w:r w:rsidR="00A85E18" w:rsidRPr="00A54B8F">
        <w:rPr>
          <w:rFonts w:ascii="Cambria" w:hAnsi="Cambria"/>
        </w:rPr>
        <w:t>months</w:t>
      </w:r>
      <w:r w:rsidR="00E35AED" w:rsidRPr="00A54B8F">
        <w:rPr>
          <w:rFonts w:ascii="Cambria" w:hAnsi="Cambria"/>
        </w:rPr>
        <w:t xml:space="preserve"> period where M/s. Vedanta has availed the TPA from </w:t>
      </w:r>
      <w:r w:rsidR="00A54B8F" w:rsidRPr="00A54B8F">
        <w:rPr>
          <w:rFonts w:ascii="Cambria" w:hAnsi="Cambria"/>
        </w:rPr>
        <w:t>26-</w:t>
      </w:r>
      <w:r w:rsidR="00E35AED" w:rsidRPr="00A54B8F">
        <w:rPr>
          <w:rFonts w:ascii="Cambria" w:hAnsi="Cambria"/>
        </w:rPr>
        <w:t xml:space="preserve">July-25 till </w:t>
      </w:r>
      <w:r w:rsidR="00A54B8F" w:rsidRPr="00A54B8F">
        <w:rPr>
          <w:rFonts w:ascii="Cambria" w:hAnsi="Cambria"/>
        </w:rPr>
        <w:t>25-</w:t>
      </w:r>
      <w:r w:rsidR="00E35AED" w:rsidRPr="00A54B8F">
        <w:rPr>
          <w:rFonts w:ascii="Cambria" w:hAnsi="Cambria"/>
        </w:rPr>
        <w:t xml:space="preserve">Aug-25. </w:t>
      </w:r>
      <w:r w:rsidR="00086FD1" w:rsidRPr="00A54B8F">
        <w:rPr>
          <w:rFonts w:ascii="Cambria" w:hAnsi="Cambria"/>
        </w:rPr>
        <w:t xml:space="preserve"> </w:t>
      </w:r>
      <w:r w:rsidR="0052408E" w:rsidRPr="00A54B8F">
        <w:rPr>
          <w:rFonts w:ascii="Cambria" w:hAnsi="Cambria"/>
        </w:rPr>
        <w:t xml:space="preserve"> Further, continuance of TPA </w:t>
      </w:r>
      <w:r w:rsidR="00423F91">
        <w:rPr>
          <w:rFonts w:ascii="Cambria" w:hAnsi="Cambria"/>
        </w:rPr>
        <w:t xml:space="preserve">offtake </w:t>
      </w:r>
      <w:r w:rsidR="0052408E" w:rsidRPr="00A54B8F">
        <w:rPr>
          <w:rFonts w:ascii="Cambria" w:hAnsi="Cambria"/>
        </w:rPr>
        <w:t>during the balance period of the current year has a remote chance</w:t>
      </w:r>
      <w:r w:rsidR="009207ED" w:rsidRPr="00A54B8F">
        <w:rPr>
          <w:rFonts w:ascii="Cambria" w:hAnsi="Cambria"/>
        </w:rPr>
        <w:t xml:space="preserve"> </w:t>
      </w:r>
      <w:r w:rsidR="00A54B8F">
        <w:rPr>
          <w:rFonts w:ascii="Cambria" w:hAnsi="Cambria"/>
        </w:rPr>
        <w:t>owing</w:t>
      </w:r>
      <w:r w:rsidR="0052408E" w:rsidRPr="00A54B8F">
        <w:rPr>
          <w:rFonts w:ascii="Cambria" w:hAnsi="Cambria"/>
        </w:rPr>
        <w:t xml:space="preserve"> to challenges </w:t>
      </w:r>
      <w:r w:rsidR="00A54B8F">
        <w:rPr>
          <w:rFonts w:ascii="Cambria" w:hAnsi="Cambria"/>
        </w:rPr>
        <w:t>primari</w:t>
      </w:r>
      <w:r w:rsidR="002B5AEA" w:rsidRPr="00A54B8F">
        <w:rPr>
          <w:rFonts w:ascii="Cambria" w:hAnsi="Cambria"/>
        </w:rPr>
        <w:t>ly attribut</w:t>
      </w:r>
      <w:r w:rsidR="00A54B8F">
        <w:rPr>
          <w:rFonts w:ascii="Cambria" w:hAnsi="Cambria"/>
        </w:rPr>
        <w:t>able to non-</w:t>
      </w:r>
      <w:r w:rsidR="0052408E" w:rsidRPr="00A54B8F">
        <w:rPr>
          <w:rFonts w:ascii="Cambria" w:hAnsi="Cambria"/>
        </w:rPr>
        <w:t>allocation of green power</w:t>
      </w:r>
      <w:r w:rsidR="002B5AEA" w:rsidRPr="00A54B8F">
        <w:rPr>
          <w:rFonts w:ascii="Cambria" w:hAnsi="Cambria"/>
        </w:rPr>
        <w:t xml:space="preserve"> for RPO </w:t>
      </w:r>
      <w:r w:rsidR="00B500DA">
        <w:rPr>
          <w:rFonts w:ascii="Cambria" w:hAnsi="Cambria"/>
        </w:rPr>
        <w:t xml:space="preserve">Obligation </w:t>
      </w:r>
      <w:r w:rsidR="00A54B8F">
        <w:rPr>
          <w:rFonts w:ascii="Cambria" w:hAnsi="Cambria"/>
        </w:rPr>
        <w:t xml:space="preserve">under the scheme </w:t>
      </w:r>
      <w:r w:rsidR="002B5AEA" w:rsidRPr="00A54B8F">
        <w:rPr>
          <w:rFonts w:ascii="Cambria" w:hAnsi="Cambria"/>
        </w:rPr>
        <w:t xml:space="preserve">and </w:t>
      </w:r>
      <w:r w:rsidR="00A54B8F">
        <w:rPr>
          <w:rFonts w:ascii="Cambria" w:hAnsi="Cambria"/>
        </w:rPr>
        <w:t>also availability of low-cost power in open</w:t>
      </w:r>
      <w:r w:rsidR="007C01F1" w:rsidRPr="00A54B8F">
        <w:rPr>
          <w:rFonts w:ascii="Cambria" w:hAnsi="Cambria"/>
        </w:rPr>
        <w:t xml:space="preserve"> market</w:t>
      </w:r>
      <w:r w:rsidR="0052408E" w:rsidRPr="00A54B8F">
        <w:rPr>
          <w:rFonts w:ascii="Cambria" w:hAnsi="Cambria"/>
        </w:rPr>
        <w:t xml:space="preserve">. </w:t>
      </w:r>
      <w:r w:rsidRPr="00A54B8F">
        <w:rPr>
          <w:rFonts w:ascii="Cambria" w:hAnsi="Cambria"/>
        </w:rPr>
        <w:t xml:space="preserve">Therefore, the licensee while projecting the </w:t>
      </w:r>
      <w:r w:rsidR="00A54B8F">
        <w:rPr>
          <w:rFonts w:ascii="Cambria" w:hAnsi="Cambria"/>
        </w:rPr>
        <w:t>sales</w:t>
      </w:r>
      <w:r w:rsidRPr="00A54B8F">
        <w:rPr>
          <w:rFonts w:ascii="Cambria" w:hAnsi="Cambria"/>
        </w:rPr>
        <w:t xml:space="preserve"> has not considered TPA sale in FY </w:t>
      </w:r>
      <w:r w:rsidR="007507C7" w:rsidRPr="00A54B8F">
        <w:rPr>
          <w:rFonts w:ascii="Cambria" w:hAnsi="Cambria"/>
        </w:rPr>
        <w:t>26-27</w:t>
      </w:r>
      <w:r w:rsidRPr="00A54B8F">
        <w:rPr>
          <w:rFonts w:ascii="Cambria" w:hAnsi="Cambria"/>
        </w:rPr>
        <w:t xml:space="preserve">. </w:t>
      </w:r>
      <w:r w:rsidR="00A54B8F">
        <w:rPr>
          <w:rFonts w:ascii="Cambria" w:hAnsi="Cambria"/>
        </w:rPr>
        <w:t>Given the circumstances, the Licensee is optimistic of meeting the</w:t>
      </w:r>
      <w:r w:rsidR="0052408E" w:rsidRPr="00A54B8F">
        <w:rPr>
          <w:rFonts w:ascii="Cambria" w:hAnsi="Cambria"/>
        </w:rPr>
        <w:t xml:space="preserve"> AT&amp;C loss </w:t>
      </w:r>
      <w:r w:rsidR="00A54B8F">
        <w:rPr>
          <w:rFonts w:ascii="Cambria" w:hAnsi="Cambria"/>
        </w:rPr>
        <w:t>target of FY 26-27, considering the proposed tariff rationalization scheme approval by the Hon’ble Commission.</w:t>
      </w:r>
      <w:r w:rsidR="0052408E">
        <w:rPr>
          <w:rFonts w:ascii="Cambria" w:hAnsi="Cambria"/>
        </w:rPr>
        <w:t xml:space="preserve"> </w:t>
      </w:r>
      <w:r w:rsidR="00A54B8F">
        <w:rPr>
          <w:rFonts w:ascii="Cambria" w:hAnsi="Cambria"/>
        </w:rPr>
        <w:t>The AT&amp;C Loss trajectory specified by the Hon’ble Commission for the subsequent years will be a tough ask without supportive regulatory interventions.</w:t>
      </w:r>
    </w:p>
    <w:p w14:paraId="3D2A2B68" w14:textId="37EC4D72" w:rsidR="00002A42" w:rsidRDefault="00E11A7D" w:rsidP="00E11A7D">
      <w:pPr>
        <w:spacing w:beforeLines="100" w:before="240" w:afterLines="100" w:after="240" w:line="360" w:lineRule="auto"/>
        <w:ind w:left="360"/>
        <w:jc w:val="both"/>
        <w:rPr>
          <w:rFonts w:ascii="Cambria" w:hAnsi="Cambria"/>
        </w:rPr>
      </w:pPr>
      <w:r w:rsidRPr="0009747B">
        <w:rPr>
          <w:rFonts w:ascii="Cambria" w:hAnsi="Cambria"/>
        </w:rPr>
        <w:t>The deviation observed in the</w:t>
      </w:r>
      <w:r w:rsidRPr="00A54B8F">
        <w:rPr>
          <w:rFonts w:ascii="Cambria" w:hAnsi="Cambria"/>
        </w:rPr>
        <w:t xml:space="preserve"> current year is primarily attributable to multiple challenges. There has been a continued declin</w:t>
      </w:r>
      <w:r w:rsidR="00863916">
        <w:rPr>
          <w:rFonts w:ascii="Cambria" w:hAnsi="Cambria"/>
        </w:rPr>
        <w:t>e in</w:t>
      </w:r>
      <w:r w:rsidRPr="00A54B8F">
        <w:rPr>
          <w:rFonts w:ascii="Cambria" w:hAnsi="Cambria"/>
        </w:rPr>
        <w:t xml:space="preserve"> EHT consumption, while HT </w:t>
      </w:r>
      <w:r w:rsidRPr="00A54B8F">
        <w:rPr>
          <w:rFonts w:ascii="Cambria" w:hAnsi="Cambria"/>
        </w:rPr>
        <w:lastRenderedPageBreak/>
        <w:t>consumption has remained largely stagnant without any significant improvement. Additionally, there has been no notable progress in the payment behavior of agricultural consumers, even after the installation of smart meters, as many consumers continue to operate under the perception of free electricity.</w:t>
      </w:r>
      <w:r w:rsidR="0020130D" w:rsidRPr="00A54B8F">
        <w:rPr>
          <w:rFonts w:ascii="Cambria" w:hAnsi="Cambria"/>
        </w:rPr>
        <w:t xml:space="preserve"> </w:t>
      </w:r>
      <w:r w:rsidRPr="00A54B8F">
        <w:rPr>
          <w:rFonts w:ascii="Cambria" w:hAnsi="Cambria"/>
        </w:rPr>
        <w:t>Furthermore, the non-continuance of the Tripartite Agreement (TPA) during the current financial year has also contributed to this deviation.</w:t>
      </w:r>
    </w:p>
    <w:p w14:paraId="49E9CA8A" w14:textId="0A6EC0C1" w:rsidR="001E72C2" w:rsidRDefault="001E72C2" w:rsidP="00713B6D">
      <w:pPr>
        <w:spacing w:beforeLines="100" w:before="240" w:afterLines="100" w:after="240" w:line="360" w:lineRule="auto"/>
        <w:ind w:left="360"/>
        <w:jc w:val="both"/>
        <w:rPr>
          <w:rFonts w:ascii="Cambria" w:hAnsi="Cambria"/>
        </w:rPr>
      </w:pPr>
      <w:r w:rsidRPr="001E72C2">
        <w:rPr>
          <w:rFonts w:ascii="Cambria" w:hAnsi="Cambria"/>
        </w:rPr>
        <w:t xml:space="preserve">While Odisha is a mineral-rich state with a significant contribution to national and international mineral production, its major exports continue to be iron, steel, </w:t>
      </w:r>
      <w:proofErr w:type="spellStart"/>
      <w:r w:rsidR="001F21DF" w:rsidRPr="001E72C2">
        <w:rPr>
          <w:rFonts w:ascii="Cambria" w:hAnsi="Cambria"/>
        </w:rPr>
        <w:t>alumin</w:t>
      </w:r>
      <w:r w:rsidR="001F21DF">
        <w:rPr>
          <w:rFonts w:ascii="Cambria" w:hAnsi="Cambria"/>
        </w:rPr>
        <w:t>i</w:t>
      </w:r>
      <w:r w:rsidR="001F21DF" w:rsidRPr="001E72C2">
        <w:rPr>
          <w:rFonts w:ascii="Cambria" w:hAnsi="Cambria"/>
        </w:rPr>
        <w:t>um</w:t>
      </w:r>
      <w:proofErr w:type="spellEnd"/>
      <w:r w:rsidRPr="001E72C2">
        <w:rPr>
          <w:rFonts w:ascii="Cambria" w:hAnsi="Cambria"/>
        </w:rPr>
        <w:t xml:space="preserve"> and petroleum products. These power-intensive industries form the backbone of the state’s manufacturing sector, and the Government is taking steps to support their growth. However, despite this support, these industries continue to face challenges at times due to volatile market conditions and at other times due to unforeseen external factors impacting their overall operations and power demand.</w:t>
      </w:r>
    </w:p>
    <w:p w14:paraId="14A227AC" w14:textId="7B646D33" w:rsidR="00671077" w:rsidRDefault="00671077" w:rsidP="00713B6D">
      <w:pPr>
        <w:spacing w:beforeLines="100" w:before="240" w:afterLines="100" w:after="240" w:line="360" w:lineRule="auto"/>
        <w:ind w:left="360"/>
        <w:jc w:val="both"/>
        <w:rPr>
          <w:rFonts w:ascii="Cambria" w:hAnsi="Cambria"/>
        </w:rPr>
      </w:pPr>
      <w:r>
        <w:rPr>
          <w:rFonts w:ascii="Cambria" w:hAnsi="Cambria"/>
        </w:rPr>
        <w:t xml:space="preserve">Looking into the above aspects and helping the industrial sector to grow further, TPWODL humbly requests the Hon’ble Commission for continuity of special schemes and concessional tariffs already in place for industries in the ensuing year </w:t>
      </w:r>
      <w:r w:rsidR="00241625">
        <w:rPr>
          <w:rFonts w:ascii="Cambria" w:hAnsi="Cambria"/>
        </w:rPr>
        <w:t xml:space="preserve">in addition to other new proposals </w:t>
      </w:r>
      <w:r>
        <w:rPr>
          <w:rFonts w:ascii="Cambria" w:hAnsi="Cambria"/>
        </w:rPr>
        <w:t xml:space="preserve">in order to </w:t>
      </w:r>
      <w:r w:rsidR="00241625">
        <w:rPr>
          <w:rFonts w:ascii="Cambria" w:hAnsi="Cambria"/>
        </w:rPr>
        <w:t>increase revenue</w:t>
      </w:r>
      <w:r w:rsidRPr="00A60BEE">
        <w:rPr>
          <w:rFonts w:ascii="Cambria" w:hAnsi="Cambria"/>
        </w:rPr>
        <w:t xml:space="preserve"> </w:t>
      </w:r>
      <w:r>
        <w:rPr>
          <w:rFonts w:ascii="Cambria" w:hAnsi="Cambria"/>
        </w:rPr>
        <w:t xml:space="preserve">of the state </w:t>
      </w:r>
      <w:r w:rsidR="00241625">
        <w:rPr>
          <w:rFonts w:ascii="Cambria" w:hAnsi="Cambria"/>
        </w:rPr>
        <w:t xml:space="preserve">and </w:t>
      </w:r>
      <w:r>
        <w:rPr>
          <w:rFonts w:ascii="Cambria" w:hAnsi="Cambria"/>
        </w:rPr>
        <w:t>retaining the industries</w:t>
      </w:r>
      <w:r w:rsidR="000F761D">
        <w:rPr>
          <w:rFonts w:ascii="Cambria" w:hAnsi="Cambria"/>
        </w:rPr>
        <w:t xml:space="preserve"> in a sustainable manner</w:t>
      </w:r>
      <w:r w:rsidRPr="00A60BEE">
        <w:rPr>
          <w:rFonts w:ascii="Cambria" w:hAnsi="Cambria"/>
        </w:rPr>
        <w:t>.</w:t>
      </w:r>
    </w:p>
    <w:p w14:paraId="12CF29E1" w14:textId="1DFD3992" w:rsidR="00CB6978" w:rsidRPr="00180D33" w:rsidRDefault="00180D33" w:rsidP="00DE2036">
      <w:pPr>
        <w:autoSpaceDE w:val="0"/>
        <w:autoSpaceDN w:val="0"/>
        <w:adjustRightInd w:val="0"/>
        <w:spacing w:after="240" w:line="360" w:lineRule="auto"/>
        <w:ind w:left="360"/>
        <w:rPr>
          <w:rFonts w:ascii="Cambria" w:hAnsi="Cambria" w:cs="Arial"/>
          <w:b/>
          <w:color w:val="000000"/>
          <w:lang w:val="en-GB"/>
        </w:rPr>
      </w:pPr>
      <w:r w:rsidRPr="00180D33">
        <w:rPr>
          <w:rFonts w:ascii="Cambria" w:hAnsi="Cambria" w:cs="Arial"/>
          <w:b/>
          <w:color w:val="000000"/>
          <w:lang w:val="en-GB"/>
        </w:rPr>
        <w:t xml:space="preserve">Filing of </w:t>
      </w:r>
      <w:r w:rsidR="009D26E7">
        <w:rPr>
          <w:rFonts w:ascii="Cambria" w:hAnsi="Cambria" w:cs="Arial"/>
          <w:b/>
          <w:color w:val="000000"/>
          <w:lang w:val="en-GB"/>
        </w:rPr>
        <w:t>ARR Application</w:t>
      </w:r>
    </w:p>
    <w:p w14:paraId="3EB160EB" w14:textId="0B799154" w:rsidR="00AF26AE" w:rsidRDefault="0001323E" w:rsidP="00713B6D">
      <w:pPr>
        <w:autoSpaceDE w:val="0"/>
        <w:autoSpaceDN w:val="0"/>
        <w:adjustRightInd w:val="0"/>
        <w:spacing w:beforeLines="100" w:before="240" w:afterLines="100" w:after="240" w:line="360" w:lineRule="auto"/>
        <w:ind w:left="357"/>
        <w:jc w:val="both"/>
        <w:rPr>
          <w:rFonts w:ascii="Cambria" w:hAnsi="Cambria" w:cs="Arial"/>
          <w:color w:val="000000"/>
          <w:lang w:val="en-GB"/>
        </w:rPr>
      </w:pPr>
      <w:r>
        <w:rPr>
          <w:rFonts w:ascii="Cambria" w:hAnsi="Cambria" w:cs="Arial"/>
          <w:color w:val="000000"/>
          <w:lang w:val="en-GB"/>
        </w:rPr>
        <w:t>T</w:t>
      </w:r>
      <w:r w:rsidR="00E42F79">
        <w:rPr>
          <w:rFonts w:ascii="Cambria" w:hAnsi="Cambria" w:cs="Arial"/>
          <w:color w:val="000000"/>
          <w:lang w:val="en-GB"/>
        </w:rPr>
        <w:t>he</w:t>
      </w:r>
      <w:r w:rsidR="00AF26AE">
        <w:rPr>
          <w:rFonts w:ascii="Cambria" w:hAnsi="Cambria" w:cs="Arial"/>
          <w:color w:val="000000"/>
          <w:lang w:val="en-GB"/>
        </w:rPr>
        <w:t xml:space="preserve"> Hon’ble Commission vide its Notification No. 1472-OERC/RA/RST.REGU.-36/2021 dated 20.12.2022 </w:t>
      </w:r>
      <w:r w:rsidR="009A6870">
        <w:rPr>
          <w:rFonts w:ascii="Cambria" w:hAnsi="Cambria" w:cs="Arial"/>
          <w:color w:val="000000"/>
          <w:lang w:val="en-GB"/>
        </w:rPr>
        <w:t xml:space="preserve">had brought out its New Regulation i.e. </w:t>
      </w:r>
      <w:r w:rsidR="009A6870" w:rsidRPr="009A6870">
        <w:rPr>
          <w:rFonts w:ascii="Cambria" w:hAnsi="Cambria" w:cs="Arial"/>
          <w:color w:val="000000"/>
          <w:lang w:val="en-GB"/>
        </w:rPr>
        <w:t>Odisha Electricity Regulatory Commission (Terms and Conditions for Determination of Wheeling Tariff and Retail Supply Tariff) Regulations, 2022</w:t>
      </w:r>
      <w:r w:rsidR="009A6870">
        <w:rPr>
          <w:rFonts w:ascii="Cambria" w:hAnsi="Cambria" w:cs="Arial"/>
          <w:color w:val="000000"/>
          <w:lang w:val="en-GB"/>
        </w:rPr>
        <w:t xml:space="preserve"> superseding </w:t>
      </w:r>
      <w:r w:rsidR="009A6870" w:rsidRPr="009A6870">
        <w:rPr>
          <w:rFonts w:ascii="Cambria" w:hAnsi="Cambria" w:cs="Arial"/>
          <w:color w:val="000000"/>
          <w:lang w:val="en-GB"/>
        </w:rPr>
        <w:t xml:space="preserve">the </w:t>
      </w:r>
      <w:r w:rsidR="009A6870">
        <w:rPr>
          <w:rFonts w:ascii="Cambria" w:hAnsi="Cambria" w:cs="Arial"/>
          <w:color w:val="000000"/>
          <w:lang w:val="en-GB"/>
        </w:rPr>
        <w:t>old</w:t>
      </w:r>
      <w:r w:rsidR="009A6870" w:rsidRPr="009A6870">
        <w:rPr>
          <w:rFonts w:ascii="Cambria" w:hAnsi="Cambria" w:cs="Arial"/>
          <w:color w:val="000000"/>
          <w:lang w:val="en-GB"/>
        </w:rPr>
        <w:t xml:space="preserve"> </w:t>
      </w:r>
      <w:r w:rsidR="00610827">
        <w:rPr>
          <w:rFonts w:ascii="Cambria" w:hAnsi="Cambria" w:cs="Arial"/>
          <w:color w:val="000000"/>
          <w:lang w:val="en-GB"/>
        </w:rPr>
        <w:t xml:space="preserve">Tariff </w:t>
      </w:r>
      <w:r w:rsidR="009A6870" w:rsidRPr="009A6870">
        <w:rPr>
          <w:rFonts w:ascii="Cambria" w:hAnsi="Cambria" w:cs="Arial"/>
          <w:color w:val="000000"/>
          <w:lang w:val="en-GB"/>
        </w:rPr>
        <w:t>Regulation</w:t>
      </w:r>
      <w:r w:rsidR="009A6870">
        <w:rPr>
          <w:rFonts w:ascii="Cambria" w:hAnsi="Cambria" w:cs="Arial"/>
          <w:color w:val="000000"/>
          <w:lang w:val="en-GB"/>
        </w:rPr>
        <w:t xml:space="preserve"> of</w:t>
      </w:r>
      <w:r w:rsidR="009A6870" w:rsidRPr="009A6870">
        <w:rPr>
          <w:rFonts w:ascii="Cambria" w:hAnsi="Cambria" w:cs="Arial"/>
          <w:color w:val="000000"/>
          <w:lang w:val="en-GB"/>
        </w:rPr>
        <w:t xml:space="preserve"> 2014</w:t>
      </w:r>
      <w:r w:rsidR="009A6870">
        <w:rPr>
          <w:rFonts w:ascii="Cambria" w:hAnsi="Cambria" w:cs="Arial"/>
          <w:color w:val="000000"/>
          <w:lang w:val="en-GB"/>
        </w:rPr>
        <w:t xml:space="preserve"> coming into effect from the date of their publication in the Official Gazette i.e. 23.12.2022 </w:t>
      </w:r>
      <w:r w:rsidR="009A6870" w:rsidRPr="009A6870">
        <w:rPr>
          <w:rFonts w:ascii="Cambria" w:hAnsi="Cambria" w:cs="Arial"/>
          <w:color w:val="000000"/>
          <w:lang w:val="en-GB"/>
        </w:rPr>
        <w:t xml:space="preserve">and </w:t>
      </w:r>
      <w:r>
        <w:rPr>
          <w:rFonts w:ascii="Cambria" w:hAnsi="Cambria" w:cs="Arial"/>
          <w:color w:val="000000"/>
          <w:lang w:val="en-GB"/>
        </w:rPr>
        <w:t>to</w:t>
      </w:r>
      <w:r w:rsidR="009A6870" w:rsidRPr="009A6870">
        <w:rPr>
          <w:rFonts w:ascii="Cambria" w:hAnsi="Cambria" w:cs="Arial"/>
          <w:color w:val="000000"/>
          <w:lang w:val="en-GB"/>
        </w:rPr>
        <w:t xml:space="preserve"> remain in force till </w:t>
      </w:r>
      <w:r w:rsidR="009A6870">
        <w:rPr>
          <w:rFonts w:ascii="Cambria" w:hAnsi="Cambria" w:cs="Arial"/>
          <w:color w:val="000000"/>
          <w:lang w:val="en-GB"/>
        </w:rPr>
        <w:t>31.03.</w:t>
      </w:r>
      <w:r w:rsidR="009A6870" w:rsidRPr="009A6870">
        <w:rPr>
          <w:rFonts w:ascii="Cambria" w:hAnsi="Cambria" w:cs="Arial"/>
          <w:color w:val="000000"/>
          <w:lang w:val="en-GB"/>
        </w:rPr>
        <w:t>2028</w:t>
      </w:r>
      <w:r w:rsidR="005C086F">
        <w:rPr>
          <w:rFonts w:ascii="Cambria" w:hAnsi="Cambria" w:cs="Arial"/>
          <w:color w:val="000000"/>
          <w:lang w:val="en-GB"/>
        </w:rPr>
        <w:t>, unless otherwise reviewed/extended by the Commission</w:t>
      </w:r>
      <w:r w:rsidR="009A6870">
        <w:rPr>
          <w:rFonts w:ascii="Cambria" w:hAnsi="Cambria" w:cs="Arial"/>
          <w:color w:val="000000"/>
          <w:lang w:val="en-GB"/>
        </w:rPr>
        <w:t>.</w:t>
      </w:r>
    </w:p>
    <w:p w14:paraId="289A3F3F" w14:textId="55F45E70" w:rsidR="006E27E0" w:rsidRDefault="006E27E0" w:rsidP="00713B6D">
      <w:pPr>
        <w:autoSpaceDE w:val="0"/>
        <w:autoSpaceDN w:val="0"/>
        <w:adjustRightInd w:val="0"/>
        <w:spacing w:beforeLines="100" w:before="240" w:afterLines="100" w:after="240" w:line="360" w:lineRule="auto"/>
        <w:ind w:left="357"/>
        <w:jc w:val="both"/>
        <w:rPr>
          <w:rFonts w:ascii="Cambria" w:hAnsi="Cambria" w:cs="Arial"/>
          <w:color w:val="000000"/>
          <w:lang w:val="en-GB"/>
        </w:rPr>
      </w:pPr>
      <w:r>
        <w:rPr>
          <w:rFonts w:ascii="Cambria" w:hAnsi="Cambria" w:cs="Arial"/>
          <w:color w:val="000000"/>
          <w:lang w:val="en-GB"/>
        </w:rPr>
        <w:t xml:space="preserve">As per the said Regulation, the Licensee has to file the ARR application as well as CAPEX plan &amp; Truing up application of previous years as per the specified timelines before the Hon’ble Commission. It is worth mentioning that the CAPEX plan for FY 24-25 &amp; FY </w:t>
      </w:r>
      <w:r w:rsidR="007507C7">
        <w:rPr>
          <w:rFonts w:ascii="Cambria" w:hAnsi="Cambria" w:cs="Arial"/>
          <w:color w:val="000000"/>
          <w:lang w:val="en-GB"/>
        </w:rPr>
        <w:t>2</w:t>
      </w:r>
      <w:r w:rsidR="00833BE4">
        <w:rPr>
          <w:rFonts w:ascii="Cambria" w:hAnsi="Cambria" w:cs="Arial"/>
          <w:color w:val="000000"/>
          <w:lang w:val="en-GB"/>
        </w:rPr>
        <w:t>5</w:t>
      </w:r>
      <w:r w:rsidR="007507C7">
        <w:rPr>
          <w:rFonts w:ascii="Cambria" w:hAnsi="Cambria" w:cs="Arial"/>
          <w:color w:val="000000"/>
          <w:lang w:val="en-GB"/>
        </w:rPr>
        <w:t>-2</w:t>
      </w:r>
      <w:r w:rsidR="00833BE4">
        <w:rPr>
          <w:rFonts w:ascii="Cambria" w:hAnsi="Cambria" w:cs="Arial"/>
          <w:color w:val="000000"/>
          <w:lang w:val="en-GB"/>
        </w:rPr>
        <w:t>6</w:t>
      </w:r>
      <w:r>
        <w:rPr>
          <w:rFonts w:ascii="Cambria" w:hAnsi="Cambria" w:cs="Arial"/>
          <w:color w:val="000000"/>
          <w:lang w:val="en-GB"/>
        </w:rPr>
        <w:t xml:space="preserve"> has already been approved by the Hon’ble Commission vide Order dated 12.12.2023 </w:t>
      </w:r>
      <w:r w:rsidR="003733F4">
        <w:rPr>
          <w:rFonts w:ascii="Cambria" w:hAnsi="Cambria" w:cs="Arial"/>
          <w:color w:val="000000"/>
          <w:lang w:val="en-GB"/>
        </w:rPr>
        <w:lastRenderedPageBreak/>
        <w:t xml:space="preserve">&amp; 24.03.2025 in </w:t>
      </w:r>
      <w:r w:rsidR="00C54956">
        <w:rPr>
          <w:rFonts w:ascii="Cambria" w:hAnsi="Cambria" w:cs="Arial"/>
          <w:color w:val="000000"/>
          <w:lang w:val="en-GB"/>
        </w:rPr>
        <w:t xml:space="preserve">case no </w:t>
      </w:r>
      <w:r w:rsidR="00DE7A30">
        <w:rPr>
          <w:rFonts w:ascii="Cambria" w:hAnsi="Cambria" w:cs="Arial"/>
          <w:color w:val="000000"/>
          <w:lang w:val="en-GB"/>
        </w:rPr>
        <w:t xml:space="preserve">101 of </w:t>
      </w:r>
      <w:r w:rsidR="002F3AAB">
        <w:rPr>
          <w:rFonts w:ascii="Cambria" w:hAnsi="Cambria" w:cs="Arial"/>
          <w:color w:val="000000"/>
          <w:lang w:val="en-GB"/>
        </w:rPr>
        <w:t>2023</w:t>
      </w:r>
      <w:r w:rsidR="003733F4">
        <w:rPr>
          <w:rFonts w:ascii="Cambria" w:hAnsi="Cambria" w:cs="Arial"/>
          <w:color w:val="000000"/>
          <w:lang w:val="en-GB"/>
        </w:rPr>
        <w:t xml:space="preserve"> </w:t>
      </w:r>
      <w:r>
        <w:rPr>
          <w:rFonts w:ascii="Cambria" w:hAnsi="Cambria" w:cs="Arial"/>
          <w:color w:val="000000"/>
          <w:lang w:val="en-GB"/>
        </w:rPr>
        <w:t>a</w:t>
      </w:r>
      <w:r w:rsidR="003733F4">
        <w:rPr>
          <w:rFonts w:ascii="Cambria" w:hAnsi="Cambria" w:cs="Arial"/>
          <w:color w:val="000000"/>
          <w:lang w:val="en-GB"/>
        </w:rPr>
        <w:t>nd</w:t>
      </w:r>
      <w:r>
        <w:rPr>
          <w:rFonts w:ascii="Cambria" w:hAnsi="Cambria" w:cs="Arial"/>
          <w:color w:val="000000"/>
          <w:lang w:val="en-GB"/>
        </w:rPr>
        <w:t xml:space="preserve"> Case. No. 50 of 2024</w:t>
      </w:r>
      <w:r w:rsidR="005817DE">
        <w:rPr>
          <w:rFonts w:ascii="Cambria" w:hAnsi="Cambria" w:cs="Arial"/>
          <w:color w:val="000000"/>
          <w:lang w:val="en-GB"/>
        </w:rPr>
        <w:t xml:space="preserve"> respectively</w:t>
      </w:r>
      <w:r>
        <w:rPr>
          <w:rFonts w:ascii="Cambria" w:hAnsi="Cambria" w:cs="Arial"/>
          <w:color w:val="000000"/>
          <w:lang w:val="en-GB"/>
        </w:rPr>
        <w:t xml:space="preserve">. </w:t>
      </w:r>
      <w:r w:rsidR="004454CD">
        <w:rPr>
          <w:rFonts w:ascii="Cambria" w:hAnsi="Cambria" w:cs="Arial"/>
          <w:color w:val="000000"/>
          <w:lang w:val="en-GB"/>
        </w:rPr>
        <w:t>As regard to CAPEX plan for FY 2</w:t>
      </w:r>
      <w:r w:rsidR="0015090B">
        <w:rPr>
          <w:rFonts w:ascii="Cambria" w:hAnsi="Cambria" w:cs="Arial"/>
          <w:color w:val="000000"/>
          <w:lang w:val="en-GB"/>
        </w:rPr>
        <w:t>6</w:t>
      </w:r>
      <w:r w:rsidR="004454CD">
        <w:rPr>
          <w:rFonts w:ascii="Cambria" w:hAnsi="Cambria" w:cs="Arial"/>
          <w:color w:val="000000"/>
          <w:lang w:val="en-GB"/>
        </w:rPr>
        <w:t>-2</w:t>
      </w:r>
      <w:r w:rsidR="0015090B">
        <w:rPr>
          <w:rFonts w:ascii="Cambria" w:hAnsi="Cambria" w:cs="Arial"/>
          <w:color w:val="000000"/>
          <w:lang w:val="en-GB"/>
        </w:rPr>
        <w:t>7</w:t>
      </w:r>
      <w:r w:rsidR="004454CD">
        <w:rPr>
          <w:rFonts w:ascii="Cambria" w:hAnsi="Cambria" w:cs="Arial"/>
          <w:color w:val="000000"/>
          <w:lang w:val="en-GB"/>
        </w:rPr>
        <w:t xml:space="preserve"> </w:t>
      </w:r>
      <w:r w:rsidR="0097634B">
        <w:rPr>
          <w:rFonts w:ascii="Cambria" w:hAnsi="Cambria" w:cs="Arial"/>
          <w:color w:val="000000"/>
          <w:lang w:val="en-GB"/>
        </w:rPr>
        <w:t>the Licensee h</w:t>
      </w:r>
      <w:r w:rsidR="00535B20">
        <w:rPr>
          <w:rFonts w:ascii="Cambria" w:hAnsi="Cambria" w:cs="Arial"/>
          <w:color w:val="000000"/>
          <w:lang w:val="en-GB"/>
        </w:rPr>
        <w:t>as</w:t>
      </w:r>
      <w:r w:rsidR="00FA3A56">
        <w:rPr>
          <w:rFonts w:ascii="Cambria" w:hAnsi="Cambria" w:cs="Arial"/>
          <w:color w:val="000000"/>
          <w:lang w:val="en-GB"/>
        </w:rPr>
        <w:t xml:space="preserve"> </w:t>
      </w:r>
      <w:r w:rsidR="00A66B05">
        <w:rPr>
          <w:rFonts w:ascii="Cambria" w:hAnsi="Cambria" w:cs="Arial"/>
          <w:color w:val="000000"/>
          <w:lang w:val="en-GB"/>
        </w:rPr>
        <w:t>already</w:t>
      </w:r>
      <w:r w:rsidR="00FA3A56">
        <w:rPr>
          <w:rFonts w:ascii="Cambria" w:hAnsi="Cambria" w:cs="Arial"/>
          <w:color w:val="000000"/>
          <w:lang w:val="en-GB"/>
        </w:rPr>
        <w:t xml:space="preserve"> </w:t>
      </w:r>
      <w:r w:rsidR="0097634B">
        <w:rPr>
          <w:rFonts w:ascii="Cambria" w:hAnsi="Cambria" w:cs="Arial"/>
          <w:color w:val="000000"/>
          <w:lang w:val="en-GB"/>
        </w:rPr>
        <w:t xml:space="preserve">filed </w:t>
      </w:r>
      <w:r w:rsidR="00B93D70">
        <w:rPr>
          <w:rFonts w:ascii="Cambria" w:hAnsi="Cambria" w:cs="Arial"/>
          <w:color w:val="000000"/>
          <w:lang w:val="en-GB"/>
        </w:rPr>
        <w:t xml:space="preserve">the application </w:t>
      </w:r>
      <w:r w:rsidR="0097634B">
        <w:rPr>
          <w:rFonts w:ascii="Cambria" w:hAnsi="Cambria" w:cs="Arial"/>
          <w:color w:val="000000"/>
          <w:lang w:val="en-GB"/>
        </w:rPr>
        <w:t xml:space="preserve">vide affidavit dated </w:t>
      </w:r>
      <w:r w:rsidR="00CC02AD">
        <w:rPr>
          <w:rFonts w:ascii="Cambria" w:hAnsi="Cambria" w:cs="Arial"/>
          <w:color w:val="000000"/>
          <w:lang w:val="en-GB"/>
        </w:rPr>
        <w:t>10.09.2025.</w:t>
      </w:r>
      <w:r w:rsidR="00BD3C96">
        <w:rPr>
          <w:rFonts w:ascii="Cambria" w:hAnsi="Cambria" w:cs="Arial"/>
          <w:color w:val="000000"/>
          <w:lang w:val="en-GB"/>
        </w:rPr>
        <w:t xml:space="preserve"> </w:t>
      </w:r>
      <w:r w:rsidR="00CC02AD">
        <w:rPr>
          <w:rFonts w:ascii="Cambria" w:hAnsi="Cambria" w:cs="Arial"/>
          <w:color w:val="000000"/>
          <w:lang w:val="en-GB"/>
        </w:rPr>
        <w:t>Furthe</w:t>
      </w:r>
      <w:r w:rsidR="00E32178">
        <w:rPr>
          <w:rFonts w:ascii="Cambria" w:hAnsi="Cambria" w:cs="Arial"/>
          <w:color w:val="000000"/>
          <w:lang w:val="en-GB"/>
        </w:rPr>
        <w:t>r</w:t>
      </w:r>
      <w:r w:rsidR="007F6C09">
        <w:rPr>
          <w:rFonts w:ascii="Cambria" w:hAnsi="Cambria" w:cs="Arial"/>
          <w:color w:val="000000"/>
          <w:lang w:val="en-GB"/>
        </w:rPr>
        <w:t>,</w:t>
      </w:r>
      <w:r w:rsidR="00E32178">
        <w:rPr>
          <w:rFonts w:ascii="Cambria" w:hAnsi="Cambria" w:cs="Arial"/>
          <w:color w:val="000000"/>
          <w:lang w:val="en-GB"/>
        </w:rPr>
        <w:t xml:space="preserve"> </w:t>
      </w:r>
      <w:r w:rsidR="00F356F7">
        <w:rPr>
          <w:rFonts w:asciiTheme="majorHAnsi" w:hAnsiTheme="majorHAnsi" w:cs="Arial"/>
          <w:lang w:eastAsia="en-IN"/>
        </w:rPr>
        <w:t>the Hon’ble Commission vide it’s letter no. DIR(T)</w:t>
      </w:r>
      <w:r w:rsidR="00F356F7">
        <w:rPr>
          <w:rFonts w:asciiTheme="majorHAnsi" w:hAnsiTheme="majorHAnsi" w:cs="Arial"/>
          <w:lang w:val="en-IN" w:eastAsia="en-IN"/>
        </w:rPr>
        <w:t xml:space="preserve">-319/08/580 dated 08.05.2025 </w:t>
      </w:r>
      <w:r w:rsidR="003829A1">
        <w:rPr>
          <w:rFonts w:asciiTheme="majorHAnsi" w:hAnsiTheme="majorHAnsi" w:cs="Arial"/>
          <w:lang w:val="en-IN" w:eastAsia="en-IN"/>
        </w:rPr>
        <w:t xml:space="preserve">has circulated the </w:t>
      </w:r>
      <w:r w:rsidR="00480F20">
        <w:rPr>
          <w:rFonts w:asciiTheme="majorHAnsi" w:hAnsiTheme="majorHAnsi" w:cs="Arial"/>
          <w:lang w:val="en-IN" w:eastAsia="en-IN"/>
        </w:rPr>
        <w:t xml:space="preserve">MoM </w:t>
      </w:r>
      <w:r w:rsidR="00694253">
        <w:rPr>
          <w:rFonts w:asciiTheme="majorHAnsi" w:hAnsiTheme="majorHAnsi" w:cs="Arial"/>
          <w:lang w:val="en-IN" w:eastAsia="en-IN"/>
        </w:rPr>
        <w:t>(</w:t>
      </w:r>
      <w:r w:rsidR="00480F20">
        <w:rPr>
          <w:rFonts w:asciiTheme="majorHAnsi" w:hAnsiTheme="majorHAnsi" w:cs="Arial"/>
          <w:lang w:val="en-IN" w:eastAsia="en-IN"/>
        </w:rPr>
        <w:t>M</w:t>
      </w:r>
      <w:r w:rsidR="0017494F">
        <w:rPr>
          <w:rFonts w:asciiTheme="majorHAnsi" w:hAnsiTheme="majorHAnsi" w:cs="Arial"/>
          <w:lang w:val="en-IN" w:eastAsia="en-IN"/>
        </w:rPr>
        <w:t>eeting among the stakeholders</w:t>
      </w:r>
      <w:r w:rsidR="00F356F7">
        <w:rPr>
          <w:rFonts w:asciiTheme="majorHAnsi" w:hAnsiTheme="majorHAnsi" w:cs="Arial"/>
          <w:lang w:val="en-IN" w:eastAsia="en-IN"/>
        </w:rPr>
        <w:t xml:space="preserve"> </w:t>
      </w:r>
      <w:r w:rsidR="00046E01">
        <w:rPr>
          <w:rFonts w:asciiTheme="majorHAnsi" w:hAnsiTheme="majorHAnsi" w:cs="Arial"/>
          <w:lang w:val="en-IN" w:eastAsia="en-IN"/>
        </w:rPr>
        <w:t xml:space="preserve">held at OERC office </w:t>
      </w:r>
      <w:r w:rsidR="0038247C">
        <w:rPr>
          <w:rFonts w:asciiTheme="majorHAnsi" w:hAnsiTheme="majorHAnsi" w:cs="Arial"/>
          <w:lang w:val="en-IN" w:eastAsia="en-IN"/>
        </w:rPr>
        <w:t xml:space="preserve">on 28.04.2025 </w:t>
      </w:r>
      <w:r w:rsidR="00046E01">
        <w:rPr>
          <w:rFonts w:asciiTheme="majorHAnsi" w:hAnsiTheme="majorHAnsi" w:cs="Arial"/>
          <w:lang w:val="en-IN" w:eastAsia="en-IN"/>
        </w:rPr>
        <w:t>regarding</w:t>
      </w:r>
      <w:r w:rsidR="00F356F7">
        <w:rPr>
          <w:rFonts w:asciiTheme="majorHAnsi" w:hAnsiTheme="majorHAnsi" w:cs="Arial"/>
          <w:lang w:val="en-IN" w:eastAsia="en-IN"/>
        </w:rPr>
        <w:t xml:space="preserve"> the Safety Aspect of the Power Sector in Odisha</w:t>
      </w:r>
      <w:r w:rsidR="00694253">
        <w:rPr>
          <w:rFonts w:asciiTheme="majorHAnsi" w:hAnsiTheme="majorHAnsi" w:cs="Arial"/>
          <w:lang w:val="en-IN" w:eastAsia="en-IN"/>
        </w:rPr>
        <w:t>)</w:t>
      </w:r>
      <w:r w:rsidR="004722AF">
        <w:rPr>
          <w:rFonts w:asciiTheme="majorHAnsi" w:hAnsiTheme="majorHAnsi" w:cs="Arial"/>
          <w:lang w:val="en-IN" w:eastAsia="en-IN"/>
        </w:rPr>
        <w:t xml:space="preserve">, wherein </w:t>
      </w:r>
      <w:r w:rsidR="00702487">
        <w:rPr>
          <w:rFonts w:asciiTheme="majorHAnsi" w:hAnsiTheme="majorHAnsi" w:cs="Arial"/>
          <w:lang w:val="en-IN" w:eastAsia="en-IN"/>
        </w:rPr>
        <w:t>the Licensee</w:t>
      </w:r>
      <w:r w:rsidR="004722AF">
        <w:rPr>
          <w:rFonts w:asciiTheme="majorHAnsi" w:hAnsiTheme="majorHAnsi" w:cs="Arial"/>
          <w:lang w:val="en-IN" w:eastAsia="en-IN"/>
        </w:rPr>
        <w:t xml:space="preserve"> was asked to submit </w:t>
      </w:r>
      <w:r w:rsidR="00777DA4">
        <w:rPr>
          <w:rFonts w:asciiTheme="majorHAnsi" w:hAnsiTheme="majorHAnsi" w:cs="Arial"/>
          <w:lang w:val="en-IN" w:eastAsia="en-IN"/>
        </w:rPr>
        <w:t xml:space="preserve">the </w:t>
      </w:r>
      <w:r w:rsidR="00F859F3">
        <w:rPr>
          <w:rFonts w:asciiTheme="majorHAnsi" w:hAnsiTheme="majorHAnsi" w:cs="Arial"/>
          <w:lang w:val="en-IN" w:eastAsia="en-IN"/>
        </w:rPr>
        <w:t>lis</w:t>
      </w:r>
      <w:r w:rsidR="006E7857">
        <w:rPr>
          <w:rFonts w:asciiTheme="majorHAnsi" w:hAnsiTheme="majorHAnsi" w:cs="Arial"/>
          <w:lang w:val="en-IN" w:eastAsia="en-IN"/>
        </w:rPr>
        <w:t xml:space="preserve">t of actionable points with respect to safety </w:t>
      </w:r>
      <w:r w:rsidR="00F356F7">
        <w:rPr>
          <w:rFonts w:asciiTheme="majorHAnsi" w:hAnsiTheme="majorHAnsi" w:cs="Arial"/>
          <w:lang w:val="en-IN" w:eastAsia="en-IN"/>
        </w:rPr>
        <w:t xml:space="preserve">aspects of human being, animals and electrical installation of the power system in the </w:t>
      </w:r>
      <w:r w:rsidR="004D11A9">
        <w:rPr>
          <w:rFonts w:asciiTheme="majorHAnsi" w:hAnsiTheme="majorHAnsi" w:cs="Arial"/>
          <w:lang w:val="en-IN" w:eastAsia="en-IN"/>
        </w:rPr>
        <w:t>operating area</w:t>
      </w:r>
      <w:r w:rsidR="00F356F7">
        <w:rPr>
          <w:rFonts w:asciiTheme="majorHAnsi" w:hAnsiTheme="majorHAnsi" w:cs="Arial"/>
          <w:lang w:val="en-IN" w:eastAsia="en-IN"/>
        </w:rPr>
        <w:t>.</w:t>
      </w:r>
      <w:r w:rsidR="008A353A">
        <w:rPr>
          <w:rFonts w:asciiTheme="majorHAnsi" w:hAnsiTheme="majorHAnsi" w:cs="Arial"/>
          <w:lang w:val="en-IN" w:eastAsia="en-IN"/>
        </w:rPr>
        <w:t xml:space="preserve"> </w:t>
      </w:r>
      <w:r w:rsidR="003F2362">
        <w:rPr>
          <w:rFonts w:asciiTheme="majorHAnsi" w:hAnsiTheme="majorHAnsi" w:cs="Arial"/>
          <w:lang w:val="en-IN" w:eastAsia="en-IN"/>
        </w:rPr>
        <w:t>Accordingly,</w:t>
      </w:r>
      <w:r w:rsidR="00E00252">
        <w:rPr>
          <w:rFonts w:asciiTheme="majorHAnsi" w:hAnsiTheme="majorHAnsi" w:cs="Arial"/>
          <w:lang w:val="en-IN" w:eastAsia="en-IN"/>
        </w:rPr>
        <w:t xml:space="preserve"> </w:t>
      </w:r>
      <w:r w:rsidR="00E1481E">
        <w:rPr>
          <w:rFonts w:asciiTheme="majorHAnsi" w:hAnsiTheme="majorHAnsi" w:cs="Arial"/>
          <w:lang w:val="en-IN" w:eastAsia="en-IN"/>
        </w:rPr>
        <w:t>a</w:t>
      </w:r>
      <w:r w:rsidR="00E00252">
        <w:rPr>
          <w:rFonts w:asciiTheme="majorHAnsi" w:hAnsiTheme="majorHAnsi" w:cs="Arial"/>
          <w:lang w:val="en-IN" w:eastAsia="en-IN"/>
        </w:rPr>
        <w:t xml:space="preserve"> </w:t>
      </w:r>
      <w:r w:rsidR="003F2362">
        <w:rPr>
          <w:rFonts w:asciiTheme="majorHAnsi" w:hAnsiTheme="majorHAnsi" w:cs="Arial"/>
          <w:lang w:val="en-IN" w:eastAsia="en-IN"/>
        </w:rPr>
        <w:t>Safety CAPEX plan ha</w:t>
      </w:r>
      <w:r w:rsidR="00610827">
        <w:rPr>
          <w:rFonts w:asciiTheme="majorHAnsi" w:hAnsiTheme="majorHAnsi" w:cs="Arial"/>
          <w:lang w:val="en-IN" w:eastAsia="en-IN"/>
        </w:rPr>
        <w:t>d</w:t>
      </w:r>
      <w:r w:rsidR="003F2362">
        <w:rPr>
          <w:rFonts w:asciiTheme="majorHAnsi" w:hAnsiTheme="majorHAnsi" w:cs="Arial"/>
          <w:lang w:val="en-IN" w:eastAsia="en-IN"/>
        </w:rPr>
        <w:t xml:space="preserve"> </w:t>
      </w:r>
      <w:r w:rsidR="00BC7B50">
        <w:rPr>
          <w:rFonts w:asciiTheme="majorHAnsi" w:hAnsiTheme="majorHAnsi" w:cs="Arial"/>
          <w:lang w:val="en-IN" w:eastAsia="en-IN"/>
        </w:rPr>
        <w:t xml:space="preserve">also </w:t>
      </w:r>
      <w:r w:rsidR="003F2362">
        <w:rPr>
          <w:rFonts w:asciiTheme="majorHAnsi" w:hAnsiTheme="majorHAnsi" w:cs="Arial"/>
          <w:lang w:val="en-IN" w:eastAsia="en-IN"/>
        </w:rPr>
        <w:t xml:space="preserve">been filed by </w:t>
      </w:r>
      <w:r w:rsidR="003576FD">
        <w:rPr>
          <w:rFonts w:asciiTheme="majorHAnsi" w:hAnsiTheme="majorHAnsi" w:cs="Arial"/>
          <w:lang w:eastAsia="en-IN"/>
        </w:rPr>
        <w:t xml:space="preserve">TPWODL </w:t>
      </w:r>
      <w:r w:rsidR="003F2362">
        <w:rPr>
          <w:rFonts w:asciiTheme="majorHAnsi" w:hAnsiTheme="majorHAnsi" w:cs="Arial"/>
          <w:lang w:eastAsia="en-IN"/>
        </w:rPr>
        <w:t xml:space="preserve">which </w:t>
      </w:r>
      <w:r w:rsidR="003576FD">
        <w:rPr>
          <w:rFonts w:asciiTheme="majorHAnsi" w:hAnsiTheme="majorHAnsi" w:cs="Arial"/>
          <w:lang w:eastAsia="en-IN"/>
        </w:rPr>
        <w:t>has</w:t>
      </w:r>
      <w:r w:rsidR="003F2362">
        <w:rPr>
          <w:rFonts w:asciiTheme="majorHAnsi" w:hAnsiTheme="majorHAnsi" w:cs="Arial"/>
          <w:lang w:eastAsia="en-IN"/>
        </w:rPr>
        <w:t xml:space="preserve"> be</w:t>
      </w:r>
      <w:r w:rsidR="00F73DC8">
        <w:rPr>
          <w:rFonts w:asciiTheme="majorHAnsi" w:hAnsiTheme="majorHAnsi" w:cs="Arial"/>
          <w:lang w:eastAsia="en-IN"/>
        </w:rPr>
        <w:t>en</w:t>
      </w:r>
      <w:r w:rsidR="003F2362">
        <w:rPr>
          <w:rFonts w:asciiTheme="majorHAnsi" w:hAnsiTheme="majorHAnsi" w:cs="Arial"/>
          <w:lang w:eastAsia="en-IN"/>
        </w:rPr>
        <w:t xml:space="preserve"> registered as Case no </w:t>
      </w:r>
      <w:r w:rsidR="002168EC">
        <w:rPr>
          <w:rFonts w:asciiTheme="majorHAnsi" w:hAnsiTheme="majorHAnsi" w:cs="Arial"/>
          <w:lang w:eastAsia="en-IN"/>
        </w:rPr>
        <w:t>48 of 2025</w:t>
      </w:r>
      <w:r w:rsidR="00E1481E">
        <w:rPr>
          <w:rFonts w:asciiTheme="majorHAnsi" w:hAnsiTheme="majorHAnsi" w:cs="Arial"/>
          <w:lang w:eastAsia="en-IN"/>
        </w:rPr>
        <w:t xml:space="preserve"> </w:t>
      </w:r>
      <w:r w:rsidR="00DC562C">
        <w:rPr>
          <w:rFonts w:asciiTheme="majorHAnsi" w:hAnsiTheme="majorHAnsi" w:cs="Arial"/>
          <w:lang w:eastAsia="en-IN"/>
        </w:rPr>
        <w:t>for which hearing is concluded an</w:t>
      </w:r>
      <w:r w:rsidR="00E1481E">
        <w:rPr>
          <w:rFonts w:asciiTheme="majorHAnsi" w:hAnsiTheme="majorHAnsi" w:cs="Arial"/>
          <w:lang w:eastAsia="en-IN"/>
        </w:rPr>
        <w:t xml:space="preserve">d </w:t>
      </w:r>
      <w:r w:rsidR="00DC562C">
        <w:rPr>
          <w:rFonts w:asciiTheme="majorHAnsi" w:hAnsiTheme="majorHAnsi" w:cs="Arial"/>
          <w:lang w:eastAsia="en-IN"/>
        </w:rPr>
        <w:t xml:space="preserve">the order is </w:t>
      </w:r>
      <w:r w:rsidR="00E1481E">
        <w:rPr>
          <w:rFonts w:asciiTheme="majorHAnsi" w:hAnsiTheme="majorHAnsi" w:cs="Arial"/>
          <w:lang w:eastAsia="en-IN"/>
        </w:rPr>
        <w:t>reserved</w:t>
      </w:r>
      <w:r w:rsidR="002168EC">
        <w:rPr>
          <w:rFonts w:asciiTheme="majorHAnsi" w:hAnsiTheme="majorHAnsi" w:cs="Arial"/>
          <w:lang w:eastAsia="en-IN"/>
        </w:rPr>
        <w:t>.</w:t>
      </w:r>
      <w:r w:rsidR="00EF3E96">
        <w:rPr>
          <w:rFonts w:asciiTheme="majorHAnsi" w:hAnsiTheme="majorHAnsi" w:cs="Arial"/>
          <w:lang w:eastAsia="en-IN"/>
        </w:rPr>
        <w:t xml:space="preserve"> </w:t>
      </w:r>
    </w:p>
    <w:p w14:paraId="136EC8E0" w14:textId="0792E4DC" w:rsidR="00192A72" w:rsidRDefault="00192A72" w:rsidP="00481DC1">
      <w:pPr>
        <w:autoSpaceDE w:val="0"/>
        <w:autoSpaceDN w:val="0"/>
        <w:adjustRightInd w:val="0"/>
        <w:spacing w:beforeLines="100" w:before="240" w:afterLines="100" w:after="240" w:line="360" w:lineRule="auto"/>
        <w:ind w:left="357"/>
        <w:jc w:val="both"/>
        <w:rPr>
          <w:rFonts w:ascii="Cambria" w:hAnsi="Cambria" w:cs="Arial"/>
          <w:color w:val="000000"/>
          <w:lang w:val="en-GB"/>
        </w:rPr>
      </w:pPr>
      <w:r w:rsidRPr="00481DC1">
        <w:rPr>
          <w:rFonts w:ascii="Cambria" w:hAnsi="Cambria" w:cs="Arial"/>
          <w:color w:val="000000"/>
          <w:lang w:val="en-GB"/>
        </w:rPr>
        <w:t xml:space="preserve">Similarly, the Licensee is mandated to file the truing up application of previous years before the Hon’ble Commission for consideration and approval. Hon’ble Commission vide Order dated </w:t>
      </w:r>
      <w:r w:rsidR="00481DC1">
        <w:rPr>
          <w:rFonts w:ascii="Cambria" w:hAnsi="Cambria" w:cs="Arial"/>
          <w:color w:val="000000"/>
          <w:lang w:val="en-GB"/>
        </w:rPr>
        <w:t>24</w:t>
      </w:r>
      <w:r w:rsidRPr="00481DC1">
        <w:rPr>
          <w:rFonts w:ascii="Cambria" w:hAnsi="Cambria" w:cs="Arial"/>
          <w:color w:val="000000"/>
          <w:lang w:val="en-GB"/>
        </w:rPr>
        <w:t>.0</w:t>
      </w:r>
      <w:r w:rsidR="00481DC1">
        <w:rPr>
          <w:rFonts w:ascii="Cambria" w:hAnsi="Cambria" w:cs="Arial"/>
          <w:color w:val="000000"/>
          <w:lang w:val="en-GB"/>
        </w:rPr>
        <w:t>3</w:t>
      </w:r>
      <w:r w:rsidRPr="00481DC1">
        <w:rPr>
          <w:rFonts w:ascii="Cambria" w:hAnsi="Cambria" w:cs="Arial"/>
          <w:color w:val="000000"/>
          <w:lang w:val="en-GB"/>
        </w:rPr>
        <w:t>.202</w:t>
      </w:r>
      <w:r w:rsidR="00481DC1">
        <w:rPr>
          <w:rFonts w:ascii="Cambria" w:hAnsi="Cambria" w:cs="Arial"/>
          <w:color w:val="000000"/>
          <w:lang w:val="en-GB"/>
        </w:rPr>
        <w:t>5</w:t>
      </w:r>
      <w:r w:rsidRPr="00481DC1">
        <w:rPr>
          <w:rFonts w:ascii="Cambria" w:hAnsi="Cambria" w:cs="Arial"/>
          <w:color w:val="000000"/>
          <w:lang w:val="en-GB"/>
        </w:rPr>
        <w:t xml:space="preserve"> has already finalized the truing up for FY 2</w:t>
      </w:r>
      <w:r w:rsidR="00481DC1">
        <w:rPr>
          <w:rFonts w:ascii="Cambria" w:hAnsi="Cambria" w:cs="Arial"/>
          <w:color w:val="000000"/>
          <w:lang w:val="en-GB"/>
        </w:rPr>
        <w:t>2</w:t>
      </w:r>
      <w:r w:rsidRPr="00481DC1">
        <w:rPr>
          <w:rFonts w:ascii="Cambria" w:hAnsi="Cambria" w:cs="Arial"/>
          <w:color w:val="000000"/>
          <w:lang w:val="en-GB"/>
        </w:rPr>
        <w:t>-2</w:t>
      </w:r>
      <w:r w:rsidR="00481DC1">
        <w:rPr>
          <w:rFonts w:ascii="Cambria" w:hAnsi="Cambria" w:cs="Arial"/>
          <w:color w:val="000000"/>
          <w:lang w:val="en-GB"/>
        </w:rPr>
        <w:t>3</w:t>
      </w:r>
      <w:r w:rsidRPr="00481DC1">
        <w:rPr>
          <w:rFonts w:ascii="Cambria" w:hAnsi="Cambria" w:cs="Arial"/>
          <w:color w:val="000000"/>
          <w:lang w:val="en-GB"/>
        </w:rPr>
        <w:t>. Regarding, truing up of FY 2</w:t>
      </w:r>
      <w:r w:rsidR="00481DC1">
        <w:rPr>
          <w:rFonts w:ascii="Cambria" w:hAnsi="Cambria" w:cs="Arial"/>
          <w:color w:val="000000"/>
          <w:lang w:val="en-GB"/>
        </w:rPr>
        <w:t>3</w:t>
      </w:r>
      <w:r w:rsidRPr="00481DC1">
        <w:rPr>
          <w:rFonts w:ascii="Cambria" w:hAnsi="Cambria" w:cs="Arial"/>
          <w:color w:val="000000"/>
          <w:lang w:val="en-GB"/>
        </w:rPr>
        <w:t>-2</w:t>
      </w:r>
      <w:r w:rsidR="00481DC1">
        <w:rPr>
          <w:rFonts w:ascii="Cambria" w:hAnsi="Cambria" w:cs="Arial"/>
          <w:color w:val="000000"/>
          <w:lang w:val="en-GB"/>
        </w:rPr>
        <w:t>4 &amp; FY 24-25</w:t>
      </w:r>
      <w:r w:rsidRPr="00481DC1">
        <w:rPr>
          <w:rFonts w:ascii="Cambria" w:hAnsi="Cambria" w:cs="Arial"/>
          <w:color w:val="000000"/>
          <w:lang w:val="en-GB"/>
        </w:rPr>
        <w:t xml:space="preserve">, </w:t>
      </w:r>
      <w:r w:rsidR="00481DC1">
        <w:rPr>
          <w:rFonts w:ascii="Cambria" w:hAnsi="Cambria" w:cs="Arial"/>
          <w:color w:val="000000"/>
          <w:lang w:val="en-GB"/>
        </w:rPr>
        <w:t xml:space="preserve">the </w:t>
      </w:r>
      <w:r w:rsidRPr="00481DC1">
        <w:rPr>
          <w:rFonts w:ascii="Cambria" w:hAnsi="Cambria" w:cs="Arial"/>
          <w:color w:val="000000"/>
          <w:lang w:val="en-GB"/>
        </w:rPr>
        <w:t xml:space="preserve">Licensee, through a separate application, is </w:t>
      </w:r>
      <w:r w:rsidR="00481DC1">
        <w:rPr>
          <w:rFonts w:ascii="Cambria" w:hAnsi="Cambria" w:cs="Arial"/>
          <w:color w:val="000000"/>
          <w:lang w:val="en-GB"/>
        </w:rPr>
        <w:t xml:space="preserve">now </w:t>
      </w:r>
      <w:r w:rsidRPr="00481DC1">
        <w:rPr>
          <w:rFonts w:ascii="Cambria" w:hAnsi="Cambria" w:cs="Arial"/>
          <w:color w:val="000000"/>
          <w:lang w:val="en-GB"/>
        </w:rPr>
        <w:t>submitting herewith the revised truing up of FY 2</w:t>
      </w:r>
      <w:r w:rsidR="00481DC1">
        <w:rPr>
          <w:rFonts w:ascii="Cambria" w:hAnsi="Cambria" w:cs="Arial"/>
          <w:color w:val="000000"/>
          <w:lang w:val="en-GB"/>
        </w:rPr>
        <w:t>3</w:t>
      </w:r>
      <w:r w:rsidRPr="00481DC1">
        <w:rPr>
          <w:rFonts w:ascii="Cambria" w:hAnsi="Cambria" w:cs="Arial"/>
          <w:color w:val="000000"/>
          <w:lang w:val="en-GB"/>
        </w:rPr>
        <w:t>-2</w:t>
      </w:r>
      <w:r w:rsidR="00481DC1">
        <w:rPr>
          <w:rFonts w:ascii="Cambria" w:hAnsi="Cambria" w:cs="Arial"/>
          <w:color w:val="000000"/>
          <w:lang w:val="en-GB"/>
        </w:rPr>
        <w:t>4</w:t>
      </w:r>
      <w:r w:rsidRPr="00481DC1">
        <w:rPr>
          <w:rFonts w:ascii="Cambria" w:hAnsi="Cambria" w:cs="Arial"/>
          <w:color w:val="000000"/>
          <w:lang w:val="en-GB"/>
        </w:rPr>
        <w:t xml:space="preserve"> &amp; truing up for FY 2</w:t>
      </w:r>
      <w:r w:rsidR="00481DC1">
        <w:rPr>
          <w:rFonts w:ascii="Cambria" w:hAnsi="Cambria" w:cs="Arial"/>
          <w:color w:val="000000"/>
          <w:lang w:val="en-GB"/>
        </w:rPr>
        <w:t>4</w:t>
      </w:r>
      <w:r w:rsidRPr="00481DC1">
        <w:rPr>
          <w:rFonts w:ascii="Cambria" w:hAnsi="Cambria" w:cs="Arial"/>
          <w:color w:val="000000"/>
          <w:lang w:val="en-GB"/>
        </w:rPr>
        <w:t>-2</w:t>
      </w:r>
      <w:r w:rsidR="00481DC1">
        <w:rPr>
          <w:rFonts w:ascii="Cambria" w:hAnsi="Cambria" w:cs="Arial"/>
          <w:color w:val="000000"/>
          <w:lang w:val="en-GB"/>
        </w:rPr>
        <w:t>5</w:t>
      </w:r>
      <w:r w:rsidRPr="00481DC1">
        <w:rPr>
          <w:rFonts w:ascii="Cambria" w:hAnsi="Cambria" w:cs="Arial"/>
          <w:color w:val="000000"/>
          <w:lang w:val="en-GB"/>
        </w:rPr>
        <w:t>.</w:t>
      </w:r>
    </w:p>
    <w:p w14:paraId="2D978A72" w14:textId="143C3E72" w:rsidR="00BC2E81" w:rsidRDefault="005B6504" w:rsidP="00713B6D">
      <w:pPr>
        <w:autoSpaceDE w:val="0"/>
        <w:autoSpaceDN w:val="0"/>
        <w:adjustRightInd w:val="0"/>
        <w:spacing w:beforeLines="100" w:before="240" w:afterLines="100" w:after="240" w:line="360" w:lineRule="auto"/>
        <w:ind w:left="357"/>
        <w:jc w:val="both"/>
        <w:rPr>
          <w:rFonts w:ascii="Cambria" w:hAnsi="Cambria" w:cs="Arial"/>
          <w:color w:val="000000"/>
          <w:lang w:val="en-GB"/>
        </w:rPr>
      </w:pPr>
      <w:r>
        <w:rPr>
          <w:rFonts w:ascii="Cambria" w:hAnsi="Cambria" w:cs="Arial"/>
          <w:color w:val="000000"/>
          <w:lang w:val="en-GB"/>
        </w:rPr>
        <w:t>In this application, t</w:t>
      </w:r>
      <w:r w:rsidR="002D4500" w:rsidRPr="00D71140">
        <w:rPr>
          <w:rFonts w:ascii="Cambria" w:hAnsi="Cambria" w:cs="Arial"/>
          <w:color w:val="000000"/>
          <w:lang w:val="en-GB"/>
        </w:rPr>
        <w:t>he license</w:t>
      </w:r>
      <w:r w:rsidR="00E42F79" w:rsidRPr="00D71140">
        <w:rPr>
          <w:rFonts w:ascii="Cambria" w:hAnsi="Cambria" w:cs="Arial"/>
          <w:color w:val="000000"/>
          <w:lang w:val="en-GB"/>
        </w:rPr>
        <w:t>e</w:t>
      </w:r>
      <w:r w:rsidR="002D4500" w:rsidRPr="00D71140">
        <w:rPr>
          <w:rFonts w:ascii="Cambria" w:hAnsi="Cambria" w:cs="Arial"/>
          <w:color w:val="000000"/>
          <w:lang w:val="en-GB"/>
        </w:rPr>
        <w:t xml:space="preserve"> has </w:t>
      </w:r>
      <w:r>
        <w:rPr>
          <w:rFonts w:ascii="Cambria" w:hAnsi="Cambria" w:cs="Arial"/>
          <w:color w:val="000000"/>
          <w:lang w:val="en-GB"/>
        </w:rPr>
        <w:t xml:space="preserve">relied upon </w:t>
      </w:r>
      <w:r w:rsidR="002D4500" w:rsidRPr="00D71140">
        <w:rPr>
          <w:rFonts w:ascii="Cambria" w:hAnsi="Cambria" w:cs="Arial"/>
          <w:color w:val="000000"/>
          <w:lang w:val="en-GB"/>
        </w:rPr>
        <w:t xml:space="preserve">the </w:t>
      </w:r>
      <w:r w:rsidR="00AA6AD9" w:rsidRPr="00D71140">
        <w:rPr>
          <w:rFonts w:ascii="Cambria" w:hAnsi="Cambria" w:cs="Arial"/>
          <w:color w:val="000000"/>
          <w:lang w:val="en-GB"/>
        </w:rPr>
        <w:t>audited figure</w:t>
      </w:r>
      <w:r w:rsidR="00D70284" w:rsidRPr="00D71140">
        <w:rPr>
          <w:rFonts w:ascii="Cambria" w:hAnsi="Cambria" w:cs="Arial"/>
          <w:color w:val="000000"/>
          <w:lang w:val="en-GB"/>
        </w:rPr>
        <w:t>s</w:t>
      </w:r>
      <w:r w:rsidR="00AA6AD9" w:rsidRPr="00D71140">
        <w:rPr>
          <w:rFonts w:ascii="Cambria" w:hAnsi="Cambria" w:cs="Arial"/>
          <w:color w:val="000000"/>
          <w:lang w:val="en-GB"/>
        </w:rPr>
        <w:t xml:space="preserve"> </w:t>
      </w:r>
      <w:r w:rsidR="00CD43B7" w:rsidRPr="00D71140">
        <w:rPr>
          <w:rFonts w:ascii="Cambria" w:hAnsi="Cambria" w:cs="Arial"/>
          <w:color w:val="000000"/>
          <w:lang w:val="en-GB"/>
        </w:rPr>
        <w:t>of</w:t>
      </w:r>
      <w:r w:rsidR="00864774" w:rsidRPr="00D71140">
        <w:rPr>
          <w:rFonts w:ascii="Cambria" w:hAnsi="Cambria" w:cs="Arial"/>
          <w:color w:val="000000"/>
          <w:lang w:val="en-GB"/>
        </w:rPr>
        <w:t xml:space="preserve"> FY 202</w:t>
      </w:r>
      <w:r w:rsidR="00CE322D">
        <w:rPr>
          <w:rFonts w:ascii="Cambria" w:hAnsi="Cambria" w:cs="Arial"/>
          <w:color w:val="000000"/>
          <w:lang w:val="en-GB"/>
        </w:rPr>
        <w:t>4</w:t>
      </w:r>
      <w:r w:rsidR="00864774" w:rsidRPr="00D71140">
        <w:rPr>
          <w:rFonts w:ascii="Cambria" w:hAnsi="Cambria" w:cs="Arial"/>
          <w:color w:val="000000"/>
          <w:lang w:val="en-GB"/>
        </w:rPr>
        <w:t>-2</w:t>
      </w:r>
      <w:r w:rsidR="00CE322D">
        <w:rPr>
          <w:rFonts w:ascii="Cambria" w:hAnsi="Cambria" w:cs="Arial"/>
          <w:color w:val="000000"/>
          <w:lang w:val="en-GB"/>
        </w:rPr>
        <w:t>5</w:t>
      </w:r>
      <w:r>
        <w:rPr>
          <w:rFonts w:ascii="Cambria" w:hAnsi="Cambria" w:cs="Arial"/>
          <w:color w:val="000000"/>
          <w:lang w:val="en-GB"/>
        </w:rPr>
        <w:t xml:space="preserve"> (OERC format)</w:t>
      </w:r>
      <w:r w:rsidR="002D4500" w:rsidRPr="00D71140">
        <w:rPr>
          <w:rFonts w:ascii="Cambria" w:hAnsi="Cambria" w:cs="Arial"/>
          <w:color w:val="000000"/>
          <w:lang w:val="en-GB"/>
        </w:rPr>
        <w:t xml:space="preserve"> </w:t>
      </w:r>
      <w:r w:rsidR="00B52A86" w:rsidRPr="00D71140">
        <w:rPr>
          <w:rFonts w:ascii="Cambria" w:hAnsi="Cambria" w:cs="Arial"/>
          <w:color w:val="000000"/>
          <w:lang w:val="en-GB"/>
        </w:rPr>
        <w:t>and actual</w:t>
      </w:r>
      <w:r w:rsidR="00E42F79" w:rsidRPr="00D71140">
        <w:rPr>
          <w:rFonts w:ascii="Cambria" w:hAnsi="Cambria" w:cs="Arial"/>
          <w:color w:val="000000"/>
          <w:lang w:val="en-GB"/>
        </w:rPr>
        <w:t>s</w:t>
      </w:r>
      <w:r w:rsidR="00B52A86" w:rsidRPr="00D71140">
        <w:rPr>
          <w:rFonts w:ascii="Cambria" w:hAnsi="Cambria" w:cs="Arial"/>
          <w:color w:val="000000"/>
          <w:lang w:val="en-GB"/>
        </w:rPr>
        <w:t xml:space="preserve"> till Sep-2</w:t>
      </w:r>
      <w:r w:rsidR="005142AD">
        <w:rPr>
          <w:rFonts w:ascii="Cambria" w:hAnsi="Cambria" w:cs="Arial"/>
          <w:color w:val="000000"/>
          <w:lang w:val="en-GB"/>
        </w:rPr>
        <w:t>5</w:t>
      </w:r>
      <w:r w:rsidR="00840335" w:rsidRPr="00D71140">
        <w:rPr>
          <w:rFonts w:ascii="Cambria" w:hAnsi="Cambria" w:cs="Arial"/>
          <w:color w:val="000000"/>
          <w:lang w:val="en-GB"/>
        </w:rPr>
        <w:t xml:space="preserve"> </w:t>
      </w:r>
      <w:r w:rsidR="004A2702" w:rsidRPr="00D71140">
        <w:rPr>
          <w:rFonts w:ascii="Cambria" w:hAnsi="Cambria" w:cs="Arial"/>
          <w:color w:val="000000"/>
          <w:lang w:val="en-GB"/>
        </w:rPr>
        <w:t xml:space="preserve">of </w:t>
      </w:r>
      <w:r w:rsidR="00840335" w:rsidRPr="00D71140">
        <w:rPr>
          <w:rFonts w:ascii="Cambria" w:hAnsi="Cambria" w:cs="Arial"/>
          <w:color w:val="000000"/>
          <w:lang w:val="en-GB"/>
        </w:rPr>
        <w:t>current year</w:t>
      </w:r>
      <w:r w:rsidR="00CD3328" w:rsidRPr="00D71140">
        <w:rPr>
          <w:rFonts w:ascii="Cambria" w:hAnsi="Cambria" w:cs="Arial"/>
          <w:color w:val="000000"/>
          <w:lang w:val="en-GB"/>
        </w:rPr>
        <w:t xml:space="preserve"> (FY 2</w:t>
      </w:r>
      <w:r w:rsidR="000E2B82">
        <w:rPr>
          <w:rFonts w:ascii="Cambria" w:hAnsi="Cambria" w:cs="Arial"/>
          <w:color w:val="000000"/>
          <w:lang w:val="en-GB"/>
        </w:rPr>
        <w:t>5</w:t>
      </w:r>
      <w:r w:rsidR="00CD3328" w:rsidRPr="00D71140">
        <w:rPr>
          <w:rFonts w:ascii="Cambria" w:hAnsi="Cambria" w:cs="Arial"/>
          <w:color w:val="000000"/>
          <w:lang w:val="en-GB"/>
        </w:rPr>
        <w:t>-2</w:t>
      </w:r>
      <w:r w:rsidR="000E2B82">
        <w:rPr>
          <w:rFonts w:ascii="Cambria" w:hAnsi="Cambria" w:cs="Arial"/>
          <w:color w:val="000000"/>
          <w:lang w:val="en-GB"/>
        </w:rPr>
        <w:t>6</w:t>
      </w:r>
      <w:r w:rsidR="00CD3328" w:rsidRPr="00D71140">
        <w:rPr>
          <w:rFonts w:ascii="Cambria" w:hAnsi="Cambria" w:cs="Arial"/>
          <w:color w:val="000000"/>
          <w:lang w:val="en-GB"/>
        </w:rPr>
        <w:t>)</w:t>
      </w:r>
      <w:r w:rsidR="00840335" w:rsidRPr="00D71140">
        <w:rPr>
          <w:rFonts w:ascii="Cambria" w:hAnsi="Cambria" w:cs="Arial"/>
          <w:color w:val="000000"/>
          <w:lang w:val="en-GB"/>
        </w:rPr>
        <w:t xml:space="preserve"> while </w:t>
      </w:r>
      <w:r w:rsidR="004C1EB5" w:rsidRPr="00D71140">
        <w:rPr>
          <w:rFonts w:ascii="Cambria" w:hAnsi="Cambria" w:cs="Arial"/>
          <w:color w:val="000000"/>
          <w:lang w:val="en-GB"/>
        </w:rPr>
        <w:t>prep</w:t>
      </w:r>
      <w:r w:rsidR="0055170D" w:rsidRPr="00D71140">
        <w:rPr>
          <w:rFonts w:ascii="Cambria" w:hAnsi="Cambria" w:cs="Arial"/>
          <w:color w:val="000000"/>
          <w:lang w:val="en-GB"/>
        </w:rPr>
        <w:t xml:space="preserve">aring the present ARR for FY </w:t>
      </w:r>
      <w:r w:rsidR="009A0E63">
        <w:rPr>
          <w:rFonts w:ascii="Cambria" w:hAnsi="Cambria" w:cs="Arial"/>
          <w:color w:val="000000"/>
          <w:lang w:val="en-GB"/>
        </w:rPr>
        <w:t>2026-27</w:t>
      </w:r>
      <w:r w:rsidR="00CD3328" w:rsidRPr="00D71140">
        <w:rPr>
          <w:rFonts w:ascii="Cambria" w:hAnsi="Cambria" w:cs="Arial"/>
          <w:color w:val="000000"/>
          <w:lang w:val="en-GB"/>
        </w:rPr>
        <w:t>. H</w:t>
      </w:r>
      <w:r w:rsidR="004C1EB5" w:rsidRPr="00D71140">
        <w:rPr>
          <w:rFonts w:ascii="Cambria" w:hAnsi="Cambria" w:cs="Arial"/>
          <w:color w:val="000000"/>
          <w:lang w:val="en-GB"/>
        </w:rPr>
        <w:t xml:space="preserve">owever certain modifications </w:t>
      </w:r>
      <w:r w:rsidR="003812CA" w:rsidRPr="00D71140">
        <w:rPr>
          <w:rFonts w:ascii="Cambria" w:hAnsi="Cambria" w:cs="Arial"/>
          <w:color w:val="000000"/>
          <w:lang w:val="en-GB"/>
        </w:rPr>
        <w:t>have</w:t>
      </w:r>
      <w:r w:rsidR="004C1EB5" w:rsidRPr="00D71140">
        <w:rPr>
          <w:rFonts w:ascii="Cambria" w:hAnsi="Cambria" w:cs="Arial"/>
          <w:color w:val="000000"/>
          <w:lang w:val="en-GB"/>
        </w:rPr>
        <w:t xml:space="preserve"> been adopted </w:t>
      </w:r>
      <w:r w:rsidR="00180D33" w:rsidRPr="00D71140">
        <w:rPr>
          <w:rFonts w:ascii="Cambria" w:hAnsi="Cambria" w:cs="Arial"/>
          <w:color w:val="000000"/>
          <w:lang w:val="en-GB"/>
        </w:rPr>
        <w:t>considering latest development and performance parameters on actual basis which may kindly be taken into</w:t>
      </w:r>
      <w:r w:rsidR="00180D33">
        <w:rPr>
          <w:rFonts w:ascii="Cambria" w:hAnsi="Cambria" w:cs="Arial"/>
          <w:color w:val="000000"/>
          <w:lang w:val="en-GB"/>
        </w:rPr>
        <w:t xml:space="preserve"> record.</w:t>
      </w:r>
      <w:r w:rsidR="004C1EB5">
        <w:rPr>
          <w:rFonts w:ascii="Cambria" w:hAnsi="Cambria" w:cs="Arial"/>
          <w:color w:val="000000"/>
          <w:lang w:val="en-GB"/>
        </w:rPr>
        <w:t xml:space="preserve">  </w:t>
      </w:r>
      <w:r w:rsidR="00180D33">
        <w:rPr>
          <w:rFonts w:ascii="Cambria" w:hAnsi="Cambria" w:cs="Arial"/>
          <w:color w:val="000000"/>
          <w:lang w:val="en-GB"/>
        </w:rPr>
        <w:t>The reasons for change/modifications are enumerated in the appropriate head in the ARR application.</w:t>
      </w:r>
    </w:p>
    <w:p w14:paraId="29A6F921" w14:textId="710D5B3B" w:rsidR="00037AF8" w:rsidRPr="000B7D3A" w:rsidRDefault="006C38E9" w:rsidP="00713B6D">
      <w:pPr>
        <w:autoSpaceDE w:val="0"/>
        <w:autoSpaceDN w:val="0"/>
        <w:adjustRightInd w:val="0"/>
        <w:spacing w:beforeLines="100" w:before="240" w:afterLines="100" w:after="240" w:line="360" w:lineRule="auto"/>
        <w:ind w:left="357"/>
        <w:jc w:val="both"/>
        <w:rPr>
          <w:rFonts w:ascii="Cambria" w:hAnsi="Cambria" w:cs="Arial"/>
          <w:color w:val="000000"/>
          <w:lang w:val="en-GB"/>
        </w:rPr>
      </w:pPr>
      <w:r>
        <w:rPr>
          <w:rFonts w:ascii="Cambria" w:hAnsi="Cambria" w:cs="Arial"/>
          <w:color w:val="000000"/>
          <w:lang w:val="en-GB"/>
        </w:rPr>
        <w:t>Accordingly</w:t>
      </w:r>
      <w:r w:rsidR="00037AF8" w:rsidRPr="000B7D3A">
        <w:rPr>
          <w:rFonts w:ascii="Cambria" w:hAnsi="Cambria" w:cs="Arial"/>
          <w:color w:val="000000"/>
          <w:lang w:val="en-GB"/>
        </w:rPr>
        <w:t xml:space="preserve">, the </w:t>
      </w:r>
      <w:r w:rsidR="00D52965">
        <w:rPr>
          <w:rFonts w:ascii="Cambria" w:hAnsi="Cambria" w:cs="Arial"/>
          <w:color w:val="000000"/>
          <w:lang w:val="en-GB"/>
        </w:rPr>
        <w:t xml:space="preserve">company </w:t>
      </w:r>
      <w:r w:rsidR="00037AF8" w:rsidRPr="000B7D3A">
        <w:rPr>
          <w:rFonts w:ascii="Cambria" w:hAnsi="Cambria" w:cs="Arial"/>
          <w:color w:val="000000"/>
          <w:lang w:val="en-GB"/>
        </w:rPr>
        <w:t>in accordance with the license conditions, ha</w:t>
      </w:r>
      <w:r w:rsidR="0006325B">
        <w:rPr>
          <w:rFonts w:ascii="Cambria" w:hAnsi="Cambria" w:cs="Arial"/>
          <w:color w:val="000000"/>
          <w:lang w:val="en-GB"/>
        </w:rPr>
        <w:t>s</w:t>
      </w:r>
      <w:r w:rsidR="00037AF8" w:rsidRPr="000B7D3A">
        <w:rPr>
          <w:rFonts w:ascii="Cambria" w:hAnsi="Cambria" w:cs="Arial"/>
          <w:color w:val="000000"/>
          <w:lang w:val="en-GB"/>
        </w:rPr>
        <w:t xml:space="preserve"> calculated the total expected revenue from sale of electricity in accordance with the provisions of the </w:t>
      </w:r>
      <w:r w:rsidR="00037AF8" w:rsidRPr="0002102D">
        <w:rPr>
          <w:rFonts w:ascii="Cambria" w:hAnsi="Cambria" w:cs="Arial"/>
          <w:color w:val="000000"/>
          <w:lang w:val="en-GB"/>
        </w:rPr>
        <w:t xml:space="preserve">OERC (Terms and Conditions for determination of </w:t>
      </w:r>
      <w:r w:rsidR="00F25AB3" w:rsidRPr="0002102D">
        <w:rPr>
          <w:rFonts w:ascii="Cambria" w:hAnsi="Cambria" w:cs="Arial"/>
          <w:color w:val="000000"/>
          <w:lang w:val="en-GB"/>
        </w:rPr>
        <w:t xml:space="preserve">wheeling </w:t>
      </w:r>
      <w:r w:rsidR="00037AF8" w:rsidRPr="0002102D">
        <w:rPr>
          <w:rFonts w:ascii="Cambria" w:hAnsi="Cambria" w:cs="Arial"/>
          <w:color w:val="000000"/>
          <w:lang w:val="en-GB"/>
        </w:rPr>
        <w:t>tariff</w:t>
      </w:r>
      <w:r w:rsidR="00F25AB3" w:rsidRPr="0002102D">
        <w:rPr>
          <w:rFonts w:ascii="Cambria" w:hAnsi="Cambria" w:cs="Arial"/>
          <w:color w:val="000000"/>
          <w:lang w:val="en-GB"/>
        </w:rPr>
        <w:t xml:space="preserve"> and Retail Supply Tariff</w:t>
      </w:r>
      <w:r w:rsidR="00037AF8" w:rsidRPr="0002102D">
        <w:rPr>
          <w:rFonts w:ascii="Cambria" w:hAnsi="Cambria" w:cs="Arial"/>
          <w:color w:val="000000"/>
          <w:lang w:val="en-GB"/>
        </w:rPr>
        <w:t xml:space="preserve">) Regulations </w:t>
      </w:r>
      <w:r w:rsidR="00D70284" w:rsidRPr="0002102D">
        <w:rPr>
          <w:rFonts w:ascii="Cambria" w:hAnsi="Cambria" w:cs="Arial"/>
          <w:color w:val="000000"/>
          <w:lang w:val="en-GB"/>
        </w:rPr>
        <w:t>20</w:t>
      </w:r>
      <w:r w:rsidR="00D70284">
        <w:rPr>
          <w:rFonts w:ascii="Cambria" w:hAnsi="Cambria" w:cs="Arial"/>
          <w:color w:val="000000"/>
          <w:lang w:val="en-GB"/>
        </w:rPr>
        <w:t xml:space="preserve">22 </w:t>
      </w:r>
      <w:r w:rsidR="00037AF8" w:rsidRPr="000B7D3A">
        <w:rPr>
          <w:rFonts w:ascii="Cambria" w:hAnsi="Cambria" w:cs="Arial"/>
          <w:color w:val="000000"/>
          <w:lang w:val="en-GB"/>
        </w:rPr>
        <w:t xml:space="preserve">and </w:t>
      </w:r>
      <w:r w:rsidR="0097503B">
        <w:rPr>
          <w:rFonts w:ascii="Cambria" w:hAnsi="Cambria" w:cs="Arial"/>
          <w:color w:val="000000"/>
          <w:lang w:val="en-GB"/>
        </w:rPr>
        <w:t xml:space="preserve">is </w:t>
      </w:r>
      <w:r w:rsidR="00037AF8" w:rsidRPr="000B7D3A">
        <w:rPr>
          <w:rFonts w:ascii="Cambria" w:hAnsi="Cambria" w:cs="Arial"/>
          <w:color w:val="000000"/>
          <w:lang w:val="en-GB"/>
        </w:rPr>
        <w:t>hereby submitting in the foregoing paragraphs as per the following structure.</w:t>
      </w:r>
    </w:p>
    <w:p w14:paraId="05B025EF" w14:textId="66AAF76B" w:rsidR="00037AF8" w:rsidRDefault="00037AF8" w:rsidP="00541858">
      <w:pPr>
        <w:numPr>
          <w:ilvl w:val="0"/>
          <w:numId w:val="4"/>
        </w:numPr>
        <w:autoSpaceDE w:val="0"/>
        <w:autoSpaceDN w:val="0"/>
        <w:adjustRightInd w:val="0"/>
        <w:spacing w:line="360" w:lineRule="auto"/>
        <w:ind w:left="714" w:hanging="357"/>
        <w:jc w:val="both"/>
        <w:rPr>
          <w:rFonts w:ascii="Cambria" w:hAnsi="Cambria" w:cs="Arial"/>
          <w:color w:val="000000"/>
          <w:lang w:val="en-GB"/>
        </w:rPr>
      </w:pPr>
      <w:r w:rsidRPr="000B7D3A">
        <w:rPr>
          <w:rFonts w:ascii="Cambria" w:hAnsi="Cambria" w:cs="Arial"/>
          <w:color w:val="000000"/>
          <w:lang w:val="en-GB"/>
        </w:rPr>
        <w:t xml:space="preserve">A statement with full details of </w:t>
      </w:r>
      <w:proofErr w:type="spellStart"/>
      <w:r w:rsidRPr="000B7D3A">
        <w:rPr>
          <w:rFonts w:ascii="Cambria" w:hAnsi="Cambria" w:cs="Arial"/>
          <w:color w:val="000000"/>
          <w:lang w:val="en-GB"/>
        </w:rPr>
        <w:t>it</w:t>
      </w:r>
      <w:r w:rsidR="00EE0776">
        <w:rPr>
          <w:rFonts w:ascii="Cambria" w:hAnsi="Cambria" w:cs="Arial"/>
          <w:color w:val="000000"/>
          <w:lang w:val="en-GB"/>
        </w:rPr>
        <w:t>’</w:t>
      </w:r>
      <w:r w:rsidRPr="000B7D3A">
        <w:rPr>
          <w:rFonts w:ascii="Cambria" w:hAnsi="Cambria" w:cs="Arial"/>
          <w:color w:val="000000"/>
          <w:lang w:val="en-GB"/>
        </w:rPr>
        <w:t>s</w:t>
      </w:r>
      <w:proofErr w:type="spellEnd"/>
      <w:r w:rsidRPr="000B7D3A">
        <w:rPr>
          <w:rFonts w:ascii="Cambria" w:hAnsi="Cambria" w:cs="Arial"/>
          <w:color w:val="000000"/>
          <w:lang w:val="en-GB"/>
        </w:rPr>
        <w:t xml:space="preserve"> expected annual revenue and</w:t>
      </w:r>
      <w:r w:rsidR="0055170D">
        <w:rPr>
          <w:rFonts w:ascii="Cambria" w:hAnsi="Cambria" w:cs="Arial"/>
          <w:color w:val="000000"/>
          <w:lang w:val="en-GB"/>
        </w:rPr>
        <w:t xml:space="preserve"> cost </w:t>
      </w:r>
      <w:r w:rsidR="00212F4F">
        <w:rPr>
          <w:rFonts w:ascii="Cambria" w:hAnsi="Cambria" w:cs="Arial"/>
          <w:color w:val="000000"/>
          <w:lang w:val="en-GB"/>
        </w:rPr>
        <w:t xml:space="preserve">of power purchase for </w:t>
      </w:r>
      <w:r w:rsidR="0055170D">
        <w:rPr>
          <w:rFonts w:ascii="Cambria" w:hAnsi="Cambria" w:cs="Arial"/>
          <w:color w:val="000000"/>
          <w:lang w:val="en-GB"/>
        </w:rPr>
        <w:t xml:space="preserve">the ensuing year </w:t>
      </w:r>
      <w:r w:rsidR="0055170D" w:rsidRPr="00D71140">
        <w:rPr>
          <w:rFonts w:ascii="Cambria" w:hAnsi="Cambria" w:cs="Arial"/>
          <w:color w:val="000000"/>
          <w:lang w:val="en-GB"/>
        </w:rPr>
        <w:t xml:space="preserve">FY </w:t>
      </w:r>
      <w:r w:rsidR="009A0E63">
        <w:rPr>
          <w:rFonts w:ascii="Cambria" w:hAnsi="Cambria" w:cs="Arial"/>
          <w:color w:val="000000"/>
          <w:lang w:val="en-GB"/>
        </w:rPr>
        <w:t>2026-27</w:t>
      </w:r>
      <w:r w:rsidRPr="00D71140">
        <w:rPr>
          <w:rFonts w:ascii="Cambria" w:hAnsi="Cambria" w:cs="Arial"/>
          <w:color w:val="000000"/>
          <w:lang w:val="en-GB"/>
        </w:rPr>
        <w:t xml:space="preserve"> for</w:t>
      </w:r>
      <w:r w:rsidRPr="000B7D3A">
        <w:rPr>
          <w:rFonts w:ascii="Cambria" w:hAnsi="Cambria" w:cs="Arial"/>
          <w:color w:val="000000"/>
          <w:lang w:val="en-GB"/>
        </w:rPr>
        <w:t xml:space="preserve"> </w:t>
      </w:r>
      <w:proofErr w:type="spellStart"/>
      <w:r w:rsidRPr="000B7D3A">
        <w:rPr>
          <w:rFonts w:ascii="Cambria" w:hAnsi="Cambria" w:cs="Arial"/>
          <w:color w:val="000000"/>
          <w:lang w:val="en-GB"/>
        </w:rPr>
        <w:t>it</w:t>
      </w:r>
      <w:r w:rsidR="00EE0776">
        <w:rPr>
          <w:rFonts w:ascii="Cambria" w:hAnsi="Cambria" w:cs="Arial"/>
          <w:color w:val="000000"/>
          <w:lang w:val="en-GB"/>
        </w:rPr>
        <w:t>’</w:t>
      </w:r>
      <w:r w:rsidRPr="000B7D3A">
        <w:rPr>
          <w:rFonts w:ascii="Cambria" w:hAnsi="Cambria" w:cs="Arial"/>
          <w:color w:val="000000"/>
          <w:lang w:val="en-GB"/>
        </w:rPr>
        <w:t>s</w:t>
      </w:r>
      <w:proofErr w:type="spellEnd"/>
      <w:r w:rsidRPr="000B7D3A">
        <w:rPr>
          <w:rFonts w:ascii="Cambria" w:hAnsi="Cambria" w:cs="Arial"/>
          <w:color w:val="000000"/>
          <w:lang w:val="en-GB"/>
        </w:rPr>
        <w:t xml:space="preserve"> Licensed Business along with techn</w:t>
      </w:r>
      <w:r w:rsidR="00180D33">
        <w:rPr>
          <w:rFonts w:ascii="Cambria" w:hAnsi="Cambria" w:cs="Arial"/>
          <w:color w:val="000000"/>
          <w:lang w:val="en-GB"/>
        </w:rPr>
        <w:t xml:space="preserve">ical, commercial, performance </w:t>
      </w:r>
      <w:r w:rsidRPr="000B7D3A">
        <w:rPr>
          <w:rFonts w:ascii="Cambria" w:hAnsi="Cambria" w:cs="Arial"/>
          <w:color w:val="000000"/>
          <w:lang w:val="en-GB"/>
        </w:rPr>
        <w:t xml:space="preserve">and financial parameters in the </w:t>
      </w:r>
      <w:r w:rsidR="005B6504">
        <w:rPr>
          <w:rFonts w:ascii="Cambria" w:hAnsi="Cambria" w:cs="Arial"/>
          <w:color w:val="000000"/>
          <w:lang w:val="en-GB"/>
        </w:rPr>
        <w:t xml:space="preserve">prescribed </w:t>
      </w:r>
      <w:r w:rsidRPr="000B7D3A">
        <w:rPr>
          <w:rFonts w:ascii="Cambria" w:hAnsi="Cambria" w:cs="Arial"/>
          <w:color w:val="000000"/>
          <w:lang w:val="en-GB"/>
        </w:rPr>
        <w:t>formats.</w:t>
      </w:r>
    </w:p>
    <w:p w14:paraId="41C8F116" w14:textId="104F76AE" w:rsidR="0061673C" w:rsidRPr="000B7D3A" w:rsidRDefault="00AC790C" w:rsidP="00541858">
      <w:pPr>
        <w:numPr>
          <w:ilvl w:val="0"/>
          <w:numId w:val="4"/>
        </w:numPr>
        <w:autoSpaceDE w:val="0"/>
        <w:autoSpaceDN w:val="0"/>
        <w:adjustRightInd w:val="0"/>
        <w:spacing w:line="360" w:lineRule="auto"/>
        <w:ind w:left="714" w:hanging="357"/>
        <w:jc w:val="both"/>
        <w:rPr>
          <w:rFonts w:ascii="Cambria" w:hAnsi="Cambria" w:cs="Arial"/>
          <w:color w:val="000000"/>
          <w:lang w:val="en-GB"/>
        </w:rPr>
      </w:pPr>
      <w:r>
        <w:rPr>
          <w:rFonts w:ascii="Cambria" w:hAnsi="Cambria" w:cs="Arial"/>
          <w:color w:val="000000"/>
          <w:lang w:val="en-GB"/>
        </w:rPr>
        <w:lastRenderedPageBreak/>
        <w:t xml:space="preserve">Different initiatives taken &amp; </w:t>
      </w:r>
      <w:r w:rsidR="00AB3591">
        <w:rPr>
          <w:rFonts w:ascii="Cambria" w:hAnsi="Cambria" w:cs="Arial"/>
          <w:color w:val="000000"/>
          <w:lang w:val="en-GB"/>
        </w:rPr>
        <w:t xml:space="preserve">planned </w:t>
      </w:r>
      <w:r>
        <w:rPr>
          <w:rFonts w:ascii="Cambria" w:hAnsi="Cambria" w:cs="Arial"/>
          <w:color w:val="000000"/>
          <w:lang w:val="en-GB"/>
        </w:rPr>
        <w:t xml:space="preserve">to be </w:t>
      </w:r>
      <w:r w:rsidR="00153364">
        <w:rPr>
          <w:rFonts w:ascii="Cambria" w:hAnsi="Cambria" w:cs="Arial"/>
          <w:color w:val="000000"/>
          <w:lang w:val="en-GB"/>
        </w:rPr>
        <w:t xml:space="preserve">taken </w:t>
      </w:r>
      <w:r>
        <w:rPr>
          <w:rFonts w:ascii="Cambria" w:hAnsi="Cambria" w:cs="Arial"/>
          <w:color w:val="000000"/>
          <w:lang w:val="en-GB"/>
        </w:rPr>
        <w:t>by the licensee</w:t>
      </w:r>
      <w:r w:rsidR="00D70284">
        <w:rPr>
          <w:rFonts w:ascii="Cambria" w:hAnsi="Cambria" w:cs="Arial"/>
          <w:color w:val="000000"/>
          <w:lang w:val="en-GB"/>
        </w:rPr>
        <w:t>.</w:t>
      </w:r>
    </w:p>
    <w:p w14:paraId="4A817894" w14:textId="119F2624" w:rsidR="00037AF8" w:rsidRPr="0002102D" w:rsidRDefault="000B7D3A" w:rsidP="00541858">
      <w:pPr>
        <w:numPr>
          <w:ilvl w:val="0"/>
          <w:numId w:val="4"/>
        </w:numPr>
        <w:autoSpaceDE w:val="0"/>
        <w:autoSpaceDN w:val="0"/>
        <w:adjustRightInd w:val="0"/>
        <w:spacing w:line="360" w:lineRule="auto"/>
        <w:ind w:left="714" w:hanging="357"/>
        <w:jc w:val="both"/>
        <w:rPr>
          <w:rFonts w:ascii="Cambria" w:hAnsi="Cambria" w:cs="Arial"/>
          <w:color w:val="000000"/>
          <w:lang w:val="en-GB"/>
        </w:rPr>
      </w:pPr>
      <w:r w:rsidRPr="000B7D3A">
        <w:rPr>
          <w:rFonts w:ascii="Cambria" w:hAnsi="Cambria" w:cs="Arial"/>
          <w:color w:val="000000"/>
          <w:lang w:val="en-GB"/>
        </w:rPr>
        <w:t xml:space="preserve">Statement of allocation of wheeling and retail supply cost as per </w:t>
      </w:r>
      <w:r w:rsidRPr="000B7D3A">
        <w:rPr>
          <w:rFonts w:ascii="Cambria" w:hAnsi="Cambria" w:cs="Arial"/>
          <w:lang w:val="en-GB"/>
        </w:rPr>
        <w:t xml:space="preserve">provisions </w:t>
      </w:r>
      <w:r w:rsidR="00D70284" w:rsidRPr="000B7D3A">
        <w:rPr>
          <w:rFonts w:ascii="Cambria" w:hAnsi="Cambria" w:cs="Arial"/>
          <w:lang w:val="en-GB"/>
        </w:rPr>
        <w:t>of OERC</w:t>
      </w:r>
      <w:r w:rsidRPr="000B7D3A">
        <w:rPr>
          <w:rFonts w:ascii="Cambria" w:hAnsi="Cambria" w:cs="Arial"/>
          <w:lang w:val="en-GB"/>
        </w:rPr>
        <w:t xml:space="preserve"> </w:t>
      </w:r>
      <w:r w:rsidRPr="0002102D">
        <w:rPr>
          <w:rFonts w:ascii="Cambria" w:hAnsi="Cambria"/>
        </w:rPr>
        <w:t xml:space="preserve">(Terms and Conditions for determination of Wheeling Tariff and Retail Supply Tariff) Regulations, </w:t>
      </w:r>
      <w:r w:rsidR="00D70284" w:rsidRPr="0002102D">
        <w:rPr>
          <w:rFonts w:ascii="Cambria" w:hAnsi="Cambria"/>
        </w:rPr>
        <w:t>20</w:t>
      </w:r>
      <w:r w:rsidR="00D70284">
        <w:rPr>
          <w:rFonts w:ascii="Cambria" w:hAnsi="Cambria"/>
        </w:rPr>
        <w:t>22.</w:t>
      </w:r>
    </w:p>
    <w:p w14:paraId="63FBA6F2" w14:textId="77777777" w:rsidR="000B7D3A" w:rsidRDefault="000B7D3A" w:rsidP="00541858">
      <w:pPr>
        <w:numPr>
          <w:ilvl w:val="0"/>
          <w:numId w:val="4"/>
        </w:numPr>
        <w:autoSpaceDE w:val="0"/>
        <w:autoSpaceDN w:val="0"/>
        <w:adjustRightInd w:val="0"/>
        <w:spacing w:line="360" w:lineRule="auto"/>
        <w:ind w:left="714" w:hanging="357"/>
        <w:jc w:val="both"/>
        <w:rPr>
          <w:rFonts w:ascii="Cambria" w:hAnsi="Cambria" w:cs="Arial"/>
          <w:color w:val="000000"/>
          <w:lang w:val="en-GB"/>
        </w:rPr>
      </w:pPr>
      <w:r>
        <w:rPr>
          <w:rFonts w:ascii="Cambria" w:hAnsi="Cambria" w:cs="Arial"/>
          <w:color w:val="000000"/>
          <w:lang w:val="en-GB"/>
        </w:rPr>
        <w:t>Proposal for tariff rationalisation measures.</w:t>
      </w:r>
    </w:p>
    <w:p w14:paraId="5C93B53F" w14:textId="7062BECA" w:rsidR="00AC7DBF" w:rsidRDefault="00037AF8" w:rsidP="00AC7DBF">
      <w:p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t xml:space="preserve">That, the </w:t>
      </w:r>
      <w:r w:rsidR="00AC790C">
        <w:rPr>
          <w:rFonts w:ascii="Cambria" w:hAnsi="Cambria" w:cs="Arial"/>
          <w:color w:val="000000"/>
          <w:lang w:val="en-GB"/>
        </w:rPr>
        <w:t>company</w:t>
      </w:r>
      <w:r w:rsidR="006C38E9">
        <w:rPr>
          <w:rFonts w:ascii="Cambria" w:hAnsi="Cambria" w:cs="Arial"/>
          <w:color w:val="000000"/>
          <w:lang w:val="en-GB"/>
        </w:rPr>
        <w:t xml:space="preserve"> </w:t>
      </w:r>
      <w:r w:rsidRPr="000B7D3A">
        <w:rPr>
          <w:rFonts w:ascii="Cambria" w:hAnsi="Cambria" w:cs="Arial"/>
          <w:color w:val="000000"/>
          <w:lang w:val="en-GB"/>
        </w:rPr>
        <w:t>has made certain assumptions while projecti</w:t>
      </w:r>
      <w:r w:rsidR="0055170D">
        <w:rPr>
          <w:rFonts w:ascii="Cambria" w:hAnsi="Cambria" w:cs="Arial"/>
          <w:color w:val="000000"/>
          <w:lang w:val="en-GB"/>
        </w:rPr>
        <w:t xml:space="preserve">ng its operations for the </w:t>
      </w:r>
      <w:r w:rsidR="0055170D" w:rsidRPr="00D71140">
        <w:rPr>
          <w:rFonts w:ascii="Cambria" w:hAnsi="Cambria" w:cs="Arial"/>
          <w:color w:val="000000"/>
          <w:lang w:val="en-GB"/>
        </w:rPr>
        <w:t xml:space="preserve">FY </w:t>
      </w:r>
      <w:r w:rsidR="009A0E63">
        <w:rPr>
          <w:rFonts w:ascii="Cambria" w:hAnsi="Cambria" w:cs="Arial"/>
          <w:color w:val="000000"/>
          <w:lang w:val="en-GB"/>
        </w:rPr>
        <w:t>2026-27</w:t>
      </w:r>
      <w:r w:rsidRPr="00D71140">
        <w:rPr>
          <w:rFonts w:ascii="Cambria" w:hAnsi="Cambria" w:cs="Arial"/>
          <w:color w:val="000000"/>
          <w:lang w:val="en-GB"/>
        </w:rPr>
        <w:t>.</w:t>
      </w:r>
      <w:r w:rsidRPr="000B7D3A">
        <w:rPr>
          <w:rFonts w:ascii="Cambria" w:hAnsi="Cambria" w:cs="Arial"/>
          <w:color w:val="000000"/>
          <w:lang w:val="en-GB"/>
        </w:rPr>
        <w:t xml:space="preserve"> These projections are based upon the best estimates of the operations and prospective plans of the </w:t>
      </w:r>
      <w:r w:rsidR="00FC2A64">
        <w:rPr>
          <w:rFonts w:ascii="Cambria" w:hAnsi="Cambria" w:cs="Arial"/>
          <w:color w:val="000000"/>
          <w:lang w:val="en-GB"/>
        </w:rPr>
        <w:t xml:space="preserve">licensee </w:t>
      </w:r>
      <w:r w:rsidRPr="000B7D3A">
        <w:rPr>
          <w:rFonts w:ascii="Cambria" w:hAnsi="Cambria" w:cs="Arial"/>
          <w:color w:val="000000"/>
          <w:lang w:val="en-GB"/>
        </w:rPr>
        <w:t xml:space="preserve">at the time of the ARR filing. The actual ARR and the revenue figures would be different from the above estimates due to several external factors such as power purchase cost and change in consumer mix/ </w:t>
      </w:r>
      <w:r w:rsidRPr="00620DBD">
        <w:rPr>
          <w:rFonts w:ascii="Cambria" w:hAnsi="Cambria" w:cs="Arial"/>
          <w:color w:val="000000"/>
          <w:lang w:val="en-GB"/>
        </w:rPr>
        <w:t>consumption</w:t>
      </w:r>
      <w:r w:rsidR="00FC2A64">
        <w:rPr>
          <w:rFonts w:ascii="Cambria" w:hAnsi="Cambria" w:cs="Arial"/>
          <w:color w:val="000000"/>
          <w:lang w:val="en-GB"/>
        </w:rPr>
        <w:t xml:space="preserve"> </w:t>
      </w:r>
      <w:r w:rsidR="002D4500">
        <w:rPr>
          <w:rFonts w:ascii="Cambria" w:hAnsi="Cambria" w:cs="Arial"/>
          <w:color w:val="000000"/>
          <w:lang w:val="en-GB"/>
        </w:rPr>
        <w:t xml:space="preserve">pattern </w:t>
      </w:r>
      <w:r w:rsidR="002D4500" w:rsidRPr="00620DBD">
        <w:rPr>
          <w:rFonts w:ascii="Cambria" w:hAnsi="Cambria" w:cs="Arial"/>
          <w:color w:val="000000"/>
          <w:lang w:val="en-GB"/>
        </w:rPr>
        <w:t>etc.</w:t>
      </w:r>
      <w:r w:rsidRPr="00620DBD">
        <w:rPr>
          <w:rFonts w:ascii="Cambria" w:hAnsi="Cambria" w:cs="Arial"/>
          <w:color w:val="000000"/>
          <w:lang w:val="en-GB"/>
        </w:rPr>
        <w:t xml:space="preserve"> </w:t>
      </w:r>
      <w:r w:rsidRPr="00AC7DBF">
        <w:rPr>
          <w:rFonts w:ascii="Cambria" w:hAnsi="Cambria" w:cs="Arial"/>
          <w:color w:val="000000"/>
          <w:lang w:val="en-GB"/>
        </w:rPr>
        <w:t>Bas</w:t>
      </w:r>
      <w:r w:rsidR="00EE628A" w:rsidRPr="00AC7DBF">
        <w:rPr>
          <w:rFonts w:ascii="Cambria" w:hAnsi="Cambria" w:cs="Arial"/>
          <w:color w:val="000000"/>
          <w:lang w:val="en-GB"/>
        </w:rPr>
        <w:t>ing upon</w:t>
      </w:r>
      <w:r w:rsidRPr="00AC7DBF">
        <w:rPr>
          <w:rFonts w:ascii="Cambria" w:hAnsi="Cambria" w:cs="Arial"/>
          <w:color w:val="000000"/>
          <w:lang w:val="en-GB"/>
        </w:rPr>
        <w:t xml:space="preserve"> estimated Revenue </w:t>
      </w:r>
      <w:r w:rsidRPr="00C36F46">
        <w:rPr>
          <w:rFonts w:ascii="Cambria" w:hAnsi="Cambria" w:cs="Arial"/>
          <w:color w:val="000000"/>
          <w:lang w:val="en-GB"/>
        </w:rPr>
        <w:t>Requirement and Revenue at existing ta</w:t>
      </w:r>
      <w:r w:rsidR="0055170D" w:rsidRPr="00C36F46">
        <w:rPr>
          <w:rFonts w:ascii="Cambria" w:hAnsi="Cambria" w:cs="Arial"/>
          <w:color w:val="000000"/>
          <w:lang w:val="en-GB"/>
        </w:rPr>
        <w:t xml:space="preserve">riff, the revenue </w:t>
      </w:r>
      <w:r w:rsidR="001A2796">
        <w:rPr>
          <w:rFonts w:ascii="Cambria" w:hAnsi="Cambria" w:cs="Arial"/>
          <w:color w:val="000000"/>
          <w:lang w:val="en-GB"/>
        </w:rPr>
        <w:t>gap</w:t>
      </w:r>
      <w:r w:rsidR="00AC7DBF" w:rsidRPr="00C36F46">
        <w:rPr>
          <w:rFonts w:ascii="Cambria" w:hAnsi="Cambria" w:cs="Arial"/>
          <w:color w:val="000000"/>
          <w:lang w:val="en-GB"/>
        </w:rPr>
        <w:t xml:space="preserve"> </w:t>
      </w:r>
      <w:r w:rsidR="0055170D" w:rsidRPr="00C36F46">
        <w:rPr>
          <w:rFonts w:ascii="Cambria" w:hAnsi="Cambria" w:cs="Arial"/>
          <w:color w:val="000000"/>
          <w:lang w:val="en-GB"/>
        </w:rPr>
        <w:t xml:space="preserve">for </w:t>
      </w:r>
      <w:r w:rsidR="00D76A91" w:rsidRPr="00C36F46">
        <w:rPr>
          <w:rFonts w:ascii="Cambria" w:hAnsi="Cambria" w:cs="Arial"/>
          <w:color w:val="000000"/>
          <w:lang w:val="en-GB"/>
        </w:rPr>
        <w:t xml:space="preserve">current </w:t>
      </w:r>
      <w:r w:rsidR="00D57861" w:rsidRPr="00C36F46">
        <w:rPr>
          <w:rFonts w:ascii="Cambria" w:hAnsi="Cambria" w:cs="Arial"/>
          <w:color w:val="000000"/>
          <w:lang w:val="en-GB"/>
        </w:rPr>
        <w:t xml:space="preserve">year </w:t>
      </w:r>
      <w:r w:rsidR="0055170D" w:rsidRPr="00C36F46">
        <w:rPr>
          <w:rFonts w:ascii="Cambria" w:hAnsi="Cambria" w:cs="Arial"/>
          <w:color w:val="000000"/>
          <w:lang w:val="en-GB"/>
        </w:rPr>
        <w:t>FY 202</w:t>
      </w:r>
      <w:r w:rsidR="00FA45CC">
        <w:rPr>
          <w:rFonts w:ascii="Cambria" w:hAnsi="Cambria" w:cs="Arial"/>
          <w:color w:val="000000"/>
          <w:lang w:val="en-GB"/>
        </w:rPr>
        <w:t>5</w:t>
      </w:r>
      <w:r w:rsidRPr="00C36F46">
        <w:rPr>
          <w:rFonts w:ascii="Cambria" w:hAnsi="Cambria" w:cs="Arial"/>
          <w:color w:val="000000"/>
          <w:lang w:val="en-GB"/>
        </w:rPr>
        <w:t>-</w:t>
      </w:r>
      <w:r w:rsidR="00840335" w:rsidRPr="00C36F46">
        <w:rPr>
          <w:rFonts w:ascii="Cambria" w:hAnsi="Cambria" w:cs="Arial"/>
          <w:color w:val="000000"/>
          <w:lang w:val="en-GB"/>
        </w:rPr>
        <w:t>2</w:t>
      </w:r>
      <w:r w:rsidR="00FA45CC">
        <w:rPr>
          <w:rFonts w:ascii="Cambria" w:hAnsi="Cambria" w:cs="Arial"/>
          <w:color w:val="000000"/>
          <w:lang w:val="en-GB"/>
        </w:rPr>
        <w:t>6</w:t>
      </w:r>
      <w:r w:rsidR="00C31186" w:rsidRPr="00C36F46">
        <w:rPr>
          <w:rFonts w:ascii="Cambria" w:hAnsi="Cambria" w:cs="Arial"/>
          <w:color w:val="000000"/>
          <w:lang w:val="en-GB"/>
        </w:rPr>
        <w:t xml:space="preserve"> </w:t>
      </w:r>
      <w:r w:rsidR="00635455" w:rsidRPr="00635455">
        <w:rPr>
          <w:rFonts w:ascii="Cambria" w:hAnsi="Cambria" w:cs="Arial"/>
          <w:color w:val="000000" w:themeColor="text1"/>
          <w:lang w:val="en-GB"/>
        </w:rPr>
        <w:t>is</w:t>
      </w:r>
      <w:r w:rsidR="00A97645" w:rsidRPr="00635455">
        <w:rPr>
          <w:rFonts w:ascii="Cambria" w:hAnsi="Cambria" w:cs="Arial"/>
          <w:b/>
          <w:color w:val="000000" w:themeColor="text1"/>
          <w:lang w:val="en-GB"/>
        </w:rPr>
        <w:t xml:space="preserve"> </w:t>
      </w:r>
      <w:r w:rsidR="00635455">
        <w:rPr>
          <w:rFonts w:ascii="Cambria" w:hAnsi="Cambria" w:cs="Arial"/>
          <w:b/>
          <w:color w:val="000000" w:themeColor="text1"/>
          <w:lang w:val="en-GB"/>
        </w:rPr>
        <w:t xml:space="preserve">Rs. </w:t>
      </w:r>
      <w:r w:rsidR="00C41847">
        <w:rPr>
          <w:rFonts w:ascii="Cambria" w:hAnsi="Cambria" w:cs="Arial"/>
          <w:b/>
          <w:color w:val="000000" w:themeColor="text1"/>
          <w:lang w:val="en-GB"/>
        </w:rPr>
        <w:t>87.14</w:t>
      </w:r>
      <w:r w:rsidR="00635455">
        <w:rPr>
          <w:rFonts w:ascii="Cambria" w:hAnsi="Cambria" w:cs="Arial"/>
          <w:b/>
          <w:color w:val="000000" w:themeColor="text1"/>
          <w:lang w:val="en-GB"/>
        </w:rPr>
        <w:t xml:space="preserve"> Cr. </w:t>
      </w:r>
      <w:r w:rsidR="00C36F46" w:rsidRPr="00C36F46">
        <w:rPr>
          <w:rFonts w:ascii="Cambria" w:hAnsi="Cambria" w:cs="Arial"/>
          <w:color w:val="000000"/>
          <w:lang w:val="en-GB"/>
        </w:rPr>
        <w:t>considering surplus from past true ups.</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807"/>
        <w:gridCol w:w="2266"/>
      </w:tblGrid>
      <w:tr w:rsidR="00635455" w:rsidRPr="00C41847" w14:paraId="3DB69428" w14:textId="77777777" w:rsidTr="00C41847">
        <w:trPr>
          <w:trHeight w:val="185"/>
          <w:tblHeader/>
          <w:jc w:val="center"/>
        </w:trPr>
        <w:tc>
          <w:tcPr>
            <w:tcW w:w="8073" w:type="dxa"/>
            <w:gridSpan w:val="2"/>
            <w:shd w:val="clear" w:color="auto" w:fill="C6D9F1" w:themeFill="text2" w:themeFillTint="33"/>
            <w:tcMar>
              <w:top w:w="15" w:type="dxa"/>
              <w:left w:w="15" w:type="dxa"/>
              <w:bottom w:w="0" w:type="dxa"/>
              <w:right w:w="15" w:type="dxa"/>
            </w:tcMar>
            <w:vAlign w:val="center"/>
            <w:hideMark/>
          </w:tcPr>
          <w:p w14:paraId="013A896C" w14:textId="1E55C920" w:rsidR="00635455" w:rsidRPr="00C41847" w:rsidRDefault="00635455" w:rsidP="00C41847">
            <w:pPr>
              <w:pStyle w:val="NormalWeb"/>
              <w:spacing w:before="0" w:beforeAutospacing="0" w:after="0" w:afterAutospacing="0"/>
              <w:contextualSpacing/>
              <w:jc w:val="center"/>
              <w:textAlignment w:val="center"/>
              <w:rPr>
                <w:rFonts w:asciiTheme="majorHAnsi" w:hAnsiTheme="majorHAnsi" w:cs="Arial"/>
                <w:sz w:val="22"/>
                <w:szCs w:val="22"/>
                <w:lang w:val="en-IN" w:eastAsia="en-IN"/>
              </w:rPr>
            </w:pPr>
            <w:r w:rsidRPr="00C41847">
              <w:rPr>
                <w:rFonts w:asciiTheme="majorHAnsi" w:hAnsiTheme="majorHAnsi" w:cs="Arial"/>
                <w:b/>
                <w:bCs/>
                <w:color w:val="000000"/>
                <w:kern w:val="24"/>
                <w:sz w:val="22"/>
                <w:szCs w:val="22"/>
              </w:rPr>
              <w:t>Revenue Gap with AT&amp;C (15.90%)-Current FY 25-26</w:t>
            </w:r>
          </w:p>
        </w:tc>
      </w:tr>
      <w:tr w:rsidR="00635455" w:rsidRPr="00C41847" w14:paraId="25B0B973" w14:textId="77777777" w:rsidTr="00C41847">
        <w:trPr>
          <w:trHeight w:val="228"/>
          <w:tblHeader/>
          <w:jc w:val="center"/>
        </w:trPr>
        <w:tc>
          <w:tcPr>
            <w:tcW w:w="5807" w:type="dxa"/>
            <w:shd w:val="clear" w:color="auto" w:fill="C6D9F1" w:themeFill="text2" w:themeFillTint="33"/>
            <w:tcMar>
              <w:top w:w="15" w:type="dxa"/>
              <w:left w:w="15" w:type="dxa"/>
              <w:bottom w:w="0" w:type="dxa"/>
              <w:right w:w="15" w:type="dxa"/>
            </w:tcMar>
            <w:vAlign w:val="center"/>
            <w:hideMark/>
          </w:tcPr>
          <w:p w14:paraId="205E848C" w14:textId="77777777" w:rsidR="00635455" w:rsidRPr="00C41847" w:rsidRDefault="00635455" w:rsidP="00C41847">
            <w:pPr>
              <w:pStyle w:val="NormalWeb"/>
              <w:spacing w:before="0" w:beforeAutospacing="0" w:after="0" w:afterAutospacing="0"/>
              <w:contextualSpacing/>
              <w:textAlignment w:val="center"/>
              <w:rPr>
                <w:rFonts w:asciiTheme="majorHAnsi" w:hAnsiTheme="majorHAnsi" w:cs="Arial"/>
                <w:sz w:val="22"/>
                <w:szCs w:val="22"/>
              </w:rPr>
            </w:pPr>
            <w:r w:rsidRPr="00C41847">
              <w:rPr>
                <w:rFonts w:asciiTheme="majorHAnsi" w:hAnsiTheme="majorHAnsi" w:cs="Arial"/>
                <w:b/>
                <w:bCs/>
                <w:color w:val="000000"/>
                <w:kern w:val="24"/>
                <w:sz w:val="22"/>
                <w:szCs w:val="22"/>
              </w:rPr>
              <w:t>Parameters</w:t>
            </w:r>
          </w:p>
        </w:tc>
        <w:tc>
          <w:tcPr>
            <w:tcW w:w="2266" w:type="dxa"/>
            <w:shd w:val="clear" w:color="auto" w:fill="C6D9F1" w:themeFill="text2" w:themeFillTint="33"/>
            <w:tcMar>
              <w:top w:w="15" w:type="dxa"/>
              <w:left w:w="15" w:type="dxa"/>
              <w:bottom w:w="0" w:type="dxa"/>
              <w:right w:w="15" w:type="dxa"/>
            </w:tcMar>
            <w:vAlign w:val="center"/>
            <w:hideMark/>
          </w:tcPr>
          <w:p w14:paraId="650FAEC5" w14:textId="77777777" w:rsidR="00635455" w:rsidRPr="00C41847" w:rsidRDefault="00635455" w:rsidP="00C41847">
            <w:pPr>
              <w:pStyle w:val="NormalWeb"/>
              <w:spacing w:before="0" w:beforeAutospacing="0" w:after="0" w:afterAutospacing="0"/>
              <w:contextualSpacing/>
              <w:jc w:val="center"/>
              <w:textAlignment w:val="center"/>
              <w:rPr>
                <w:rFonts w:asciiTheme="majorHAnsi" w:hAnsiTheme="majorHAnsi" w:cs="Arial"/>
                <w:sz w:val="22"/>
                <w:szCs w:val="22"/>
              </w:rPr>
            </w:pPr>
            <w:r w:rsidRPr="00C41847">
              <w:rPr>
                <w:rFonts w:asciiTheme="majorHAnsi" w:hAnsiTheme="majorHAnsi" w:cs="Arial"/>
                <w:b/>
                <w:bCs/>
                <w:color w:val="000000"/>
                <w:kern w:val="24"/>
                <w:sz w:val="22"/>
                <w:szCs w:val="22"/>
              </w:rPr>
              <w:t>Estimated (Rs. Cr.)</w:t>
            </w:r>
          </w:p>
        </w:tc>
      </w:tr>
      <w:tr w:rsidR="00635455" w:rsidRPr="00C41847" w14:paraId="3E74182A" w14:textId="77777777" w:rsidTr="00C41847">
        <w:trPr>
          <w:trHeight w:val="157"/>
          <w:jc w:val="center"/>
        </w:trPr>
        <w:tc>
          <w:tcPr>
            <w:tcW w:w="5807" w:type="dxa"/>
            <w:tcMar>
              <w:top w:w="15" w:type="dxa"/>
              <w:left w:w="15" w:type="dxa"/>
              <w:bottom w:w="72" w:type="dxa"/>
              <w:right w:w="15" w:type="dxa"/>
            </w:tcMar>
            <w:vAlign w:val="center"/>
            <w:hideMark/>
          </w:tcPr>
          <w:p w14:paraId="07C72A40" w14:textId="77777777" w:rsidR="00635455" w:rsidRPr="00C41847" w:rsidRDefault="00635455" w:rsidP="00C41847">
            <w:pPr>
              <w:pStyle w:val="NormalWeb"/>
              <w:spacing w:before="0" w:beforeAutospacing="0" w:after="0" w:afterAutospacing="0"/>
              <w:contextualSpacing/>
              <w:textAlignment w:val="center"/>
              <w:rPr>
                <w:rFonts w:asciiTheme="majorHAnsi" w:hAnsiTheme="majorHAnsi" w:cs="Arial"/>
                <w:sz w:val="22"/>
                <w:szCs w:val="22"/>
              </w:rPr>
            </w:pPr>
            <w:r w:rsidRPr="00C41847">
              <w:rPr>
                <w:rFonts w:asciiTheme="majorHAnsi" w:hAnsiTheme="majorHAnsi" w:cs="Arial"/>
                <w:b/>
                <w:bCs/>
                <w:i/>
                <w:iCs/>
                <w:color w:val="000000"/>
                <w:kern w:val="24"/>
                <w:sz w:val="22"/>
                <w:szCs w:val="22"/>
              </w:rPr>
              <w:t>Total Power Purchase Cost</w:t>
            </w:r>
          </w:p>
        </w:tc>
        <w:tc>
          <w:tcPr>
            <w:tcW w:w="2266" w:type="dxa"/>
            <w:tcMar>
              <w:top w:w="15" w:type="dxa"/>
              <w:left w:w="15" w:type="dxa"/>
              <w:bottom w:w="0" w:type="dxa"/>
              <w:right w:w="15" w:type="dxa"/>
            </w:tcMar>
            <w:vAlign w:val="center"/>
            <w:hideMark/>
          </w:tcPr>
          <w:p w14:paraId="7EAC98F0" w14:textId="102DFA24" w:rsidR="00635455" w:rsidRPr="00C41847" w:rsidRDefault="00635455" w:rsidP="00C41847">
            <w:pPr>
              <w:pStyle w:val="NormalWeb"/>
              <w:spacing w:before="0" w:beforeAutospacing="0" w:after="0" w:afterAutospacing="0"/>
              <w:contextualSpacing/>
              <w:jc w:val="center"/>
              <w:textAlignment w:val="center"/>
              <w:rPr>
                <w:rFonts w:asciiTheme="majorHAnsi" w:hAnsiTheme="majorHAnsi" w:cs="Arial"/>
                <w:sz w:val="22"/>
                <w:szCs w:val="22"/>
              </w:rPr>
            </w:pPr>
            <w:r w:rsidRPr="00C41847">
              <w:rPr>
                <w:rFonts w:asciiTheme="majorHAnsi" w:hAnsiTheme="majorHAnsi" w:cs="Arial"/>
                <w:sz w:val="22"/>
                <w:szCs w:val="22"/>
              </w:rPr>
              <w:t>482</w:t>
            </w:r>
            <w:r w:rsidR="00A67438" w:rsidRPr="00C41847">
              <w:rPr>
                <w:rFonts w:asciiTheme="majorHAnsi" w:hAnsiTheme="majorHAnsi" w:cs="Arial"/>
                <w:sz w:val="22"/>
                <w:szCs w:val="22"/>
              </w:rPr>
              <w:t>5.63</w:t>
            </w:r>
          </w:p>
        </w:tc>
      </w:tr>
      <w:tr w:rsidR="00635455" w:rsidRPr="00C41847" w14:paraId="02C19397" w14:textId="77777777" w:rsidTr="00C41847">
        <w:trPr>
          <w:trHeight w:val="198"/>
          <w:jc w:val="center"/>
        </w:trPr>
        <w:tc>
          <w:tcPr>
            <w:tcW w:w="5807" w:type="dxa"/>
            <w:tcMar>
              <w:top w:w="15" w:type="dxa"/>
              <w:left w:w="15" w:type="dxa"/>
              <w:bottom w:w="72" w:type="dxa"/>
              <w:right w:w="15" w:type="dxa"/>
            </w:tcMar>
            <w:vAlign w:val="center"/>
            <w:hideMark/>
          </w:tcPr>
          <w:p w14:paraId="06CFC92B" w14:textId="3217C2DD" w:rsidR="00635455" w:rsidRPr="00C41847" w:rsidRDefault="00635455" w:rsidP="00C41847">
            <w:pPr>
              <w:pStyle w:val="NormalWeb"/>
              <w:spacing w:before="0" w:beforeAutospacing="0" w:after="0" w:afterAutospacing="0"/>
              <w:contextualSpacing/>
              <w:textAlignment w:val="center"/>
              <w:rPr>
                <w:rFonts w:asciiTheme="majorHAnsi" w:hAnsiTheme="majorHAnsi" w:cs="Arial"/>
                <w:sz w:val="22"/>
                <w:szCs w:val="22"/>
              </w:rPr>
            </w:pPr>
            <w:r w:rsidRPr="00C41847">
              <w:rPr>
                <w:rFonts w:asciiTheme="majorHAnsi" w:hAnsiTheme="majorHAnsi" w:cs="Arial"/>
                <w:color w:val="000000"/>
                <w:kern w:val="24"/>
                <w:sz w:val="22"/>
                <w:szCs w:val="22"/>
              </w:rPr>
              <w:t>Distribution Cost incl. tax on ROE</w:t>
            </w:r>
            <w:r w:rsidR="00C41847" w:rsidRPr="00C41847">
              <w:rPr>
                <w:rFonts w:asciiTheme="majorHAnsi" w:hAnsiTheme="majorHAnsi" w:cs="Arial"/>
                <w:color w:val="000000"/>
                <w:kern w:val="24"/>
                <w:sz w:val="22"/>
                <w:szCs w:val="22"/>
              </w:rPr>
              <w:t xml:space="preserve"> &amp; Tariff Balancing Reserve</w:t>
            </w:r>
          </w:p>
        </w:tc>
        <w:tc>
          <w:tcPr>
            <w:tcW w:w="2266" w:type="dxa"/>
            <w:tcMar>
              <w:top w:w="15" w:type="dxa"/>
              <w:left w:w="15" w:type="dxa"/>
              <w:bottom w:w="0" w:type="dxa"/>
              <w:right w:w="15" w:type="dxa"/>
            </w:tcMar>
            <w:vAlign w:val="center"/>
            <w:hideMark/>
          </w:tcPr>
          <w:p w14:paraId="6C653C27" w14:textId="0BC2674F" w:rsidR="00635455" w:rsidRPr="00C41847" w:rsidRDefault="00635455" w:rsidP="00C41847">
            <w:pPr>
              <w:pStyle w:val="NormalWeb"/>
              <w:spacing w:before="0" w:beforeAutospacing="0" w:after="0" w:afterAutospacing="0"/>
              <w:contextualSpacing/>
              <w:jc w:val="center"/>
              <w:textAlignment w:val="center"/>
              <w:rPr>
                <w:rFonts w:asciiTheme="majorHAnsi" w:hAnsiTheme="majorHAnsi" w:cs="Arial"/>
                <w:sz w:val="22"/>
                <w:szCs w:val="22"/>
              </w:rPr>
            </w:pPr>
            <w:r w:rsidRPr="00C41847">
              <w:rPr>
                <w:rFonts w:asciiTheme="majorHAnsi" w:hAnsiTheme="majorHAnsi" w:cs="Arial"/>
                <w:color w:val="000000"/>
                <w:kern w:val="24"/>
                <w:sz w:val="22"/>
                <w:szCs w:val="22"/>
              </w:rPr>
              <w:t>17</w:t>
            </w:r>
            <w:r w:rsidR="00C41847" w:rsidRPr="00C41847">
              <w:rPr>
                <w:rFonts w:asciiTheme="majorHAnsi" w:hAnsiTheme="majorHAnsi" w:cs="Arial"/>
                <w:color w:val="000000"/>
                <w:kern w:val="24"/>
                <w:sz w:val="22"/>
                <w:szCs w:val="22"/>
              </w:rPr>
              <w:t>75.93</w:t>
            </w:r>
          </w:p>
        </w:tc>
      </w:tr>
      <w:tr w:rsidR="00635455" w:rsidRPr="00C41847" w14:paraId="262CFCEE" w14:textId="77777777" w:rsidTr="00C41847">
        <w:trPr>
          <w:trHeight w:val="117"/>
          <w:jc w:val="center"/>
        </w:trPr>
        <w:tc>
          <w:tcPr>
            <w:tcW w:w="5807" w:type="dxa"/>
            <w:tcMar>
              <w:top w:w="15" w:type="dxa"/>
              <w:left w:w="15" w:type="dxa"/>
              <w:bottom w:w="72" w:type="dxa"/>
              <w:right w:w="15" w:type="dxa"/>
            </w:tcMar>
            <w:vAlign w:val="center"/>
          </w:tcPr>
          <w:p w14:paraId="5747BF3A" w14:textId="77777777" w:rsidR="00635455" w:rsidRPr="00C41847" w:rsidRDefault="00635455" w:rsidP="00C41847">
            <w:pPr>
              <w:pStyle w:val="NormalWeb"/>
              <w:spacing w:before="0" w:beforeAutospacing="0" w:after="0" w:afterAutospacing="0"/>
              <w:contextualSpacing/>
              <w:textAlignment w:val="center"/>
              <w:rPr>
                <w:rFonts w:asciiTheme="majorHAnsi" w:hAnsiTheme="majorHAnsi" w:cs="Arial"/>
                <w:color w:val="000000"/>
                <w:kern w:val="24"/>
                <w:sz w:val="22"/>
                <w:szCs w:val="22"/>
              </w:rPr>
            </w:pPr>
            <w:r w:rsidRPr="00C41847">
              <w:rPr>
                <w:rFonts w:asciiTheme="majorHAnsi" w:hAnsiTheme="majorHAnsi" w:cs="Arial"/>
                <w:color w:val="000000"/>
                <w:kern w:val="24"/>
                <w:sz w:val="22"/>
                <w:szCs w:val="22"/>
              </w:rPr>
              <w:t>Carrying cost on ASL</w:t>
            </w:r>
          </w:p>
        </w:tc>
        <w:tc>
          <w:tcPr>
            <w:tcW w:w="2266" w:type="dxa"/>
            <w:tcMar>
              <w:top w:w="15" w:type="dxa"/>
              <w:left w:w="15" w:type="dxa"/>
              <w:bottom w:w="0" w:type="dxa"/>
              <w:right w:w="15" w:type="dxa"/>
            </w:tcMar>
            <w:vAlign w:val="center"/>
          </w:tcPr>
          <w:p w14:paraId="767FF6D3" w14:textId="03094208" w:rsidR="00635455" w:rsidRPr="00C41847" w:rsidRDefault="00C41847" w:rsidP="00C41847">
            <w:pPr>
              <w:pStyle w:val="NormalWeb"/>
              <w:spacing w:before="0" w:beforeAutospacing="0" w:after="0" w:afterAutospacing="0"/>
              <w:contextualSpacing/>
              <w:jc w:val="center"/>
              <w:textAlignment w:val="center"/>
              <w:rPr>
                <w:rFonts w:asciiTheme="majorHAnsi" w:hAnsiTheme="majorHAnsi" w:cs="Arial"/>
                <w:color w:val="000000"/>
                <w:kern w:val="24"/>
                <w:sz w:val="22"/>
                <w:szCs w:val="22"/>
              </w:rPr>
            </w:pPr>
            <w:r w:rsidRPr="00C41847">
              <w:rPr>
                <w:rFonts w:asciiTheme="majorHAnsi" w:hAnsiTheme="majorHAnsi" w:cs="Arial"/>
                <w:color w:val="000000"/>
                <w:kern w:val="24"/>
                <w:sz w:val="22"/>
                <w:szCs w:val="22"/>
              </w:rPr>
              <w:t>6.94</w:t>
            </w:r>
          </w:p>
        </w:tc>
      </w:tr>
      <w:tr w:rsidR="00635455" w:rsidRPr="00C41847" w14:paraId="6A669414" w14:textId="77777777" w:rsidTr="00C41847">
        <w:trPr>
          <w:trHeight w:val="121"/>
          <w:jc w:val="center"/>
        </w:trPr>
        <w:tc>
          <w:tcPr>
            <w:tcW w:w="5807" w:type="dxa"/>
            <w:tcMar>
              <w:top w:w="15" w:type="dxa"/>
              <w:left w:w="15" w:type="dxa"/>
              <w:bottom w:w="72" w:type="dxa"/>
              <w:right w:w="15" w:type="dxa"/>
            </w:tcMar>
            <w:vAlign w:val="center"/>
            <w:hideMark/>
          </w:tcPr>
          <w:p w14:paraId="26F00F1A" w14:textId="77777777" w:rsidR="00635455" w:rsidRPr="00C41847" w:rsidRDefault="00635455" w:rsidP="00C41847">
            <w:pPr>
              <w:pStyle w:val="NormalWeb"/>
              <w:spacing w:before="0" w:beforeAutospacing="0" w:after="0" w:afterAutospacing="0"/>
              <w:contextualSpacing/>
              <w:textAlignment w:val="center"/>
              <w:rPr>
                <w:rFonts w:asciiTheme="majorHAnsi" w:hAnsiTheme="majorHAnsi" w:cs="Arial"/>
                <w:sz w:val="22"/>
                <w:szCs w:val="22"/>
              </w:rPr>
            </w:pPr>
            <w:r w:rsidRPr="00C41847">
              <w:rPr>
                <w:rFonts w:asciiTheme="majorHAnsi" w:hAnsiTheme="majorHAnsi" w:cs="Arial"/>
                <w:b/>
                <w:bCs/>
                <w:color w:val="000000"/>
                <w:kern w:val="24"/>
                <w:sz w:val="22"/>
                <w:szCs w:val="22"/>
              </w:rPr>
              <w:t>Sub Total </w:t>
            </w:r>
          </w:p>
        </w:tc>
        <w:tc>
          <w:tcPr>
            <w:tcW w:w="2266" w:type="dxa"/>
            <w:tcMar>
              <w:top w:w="15" w:type="dxa"/>
              <w:left w:w="15" w:type="dxa"/>
              <w:bottom w:w="0" w:type="dxa"/>
              <w:right w:w="15" w:type="dxa"/>
            </w:tcMar>
            <w:vAlign w:val="center"/>
            <w:hideMark/>
          </w:tcPr>
          <w:p w14:paraId="62802DB6" w14:textId="75BEA7AF" w:rsidR="00635455" w:rsidRPr="00C41847" w:rsidRDefault="00635455" w:rsidP="00C41847">
            <w:pPr>
              <w:pStyle w:val="NormalWeb"/>
              <w:spacing w:before="0" w:beforeAutospacing="0" w:after="0" w:afterAutospacing="0"/>
              <w:contextualSpacing/>
              <w:jc w:val="center"/>
              <w:textAlignment w:val="center"/>
              <w:rPr>
                <w:rFonts w:asciiTheme="majorHAnsi" w:hAnsiTheme="majorHAnsi" w:cs="Arial"/>
                <w:sz w:val="22"/>
                <w:szCs w:val="22"/>
              </w:rPr>
            </w:pPr>
            <w:r w:rsidRPr="00C41847">
              <w:rPr>
                <w:rFonts w:asciiTheme="majorHAnsi" w:hAnsiTheme="majorHAnsi" w:cs="Arial"/>
                <w:b/>
                <w:bCs/>
                <w:color w:val="000000"/>
                <w:kern w:val="24"/>
                <w:sz w:val="22"/>
                <w:szCs w:val="22"/>
              </w:rPr>
              <w:t>66</w:t>
            </w:r>
            <w:r w:rsidR="00C41847" w:rsidRPr="00C41847">
              <w:rPr>
                <w:rFonts w:asciiTheme="majorHAnsi" w:hAnsiTheme="majorHAnsi" w:cs="Arial"/>
                <w:b/>
                <w:bCs/>
                <w:color w:val="000000"/>
                <w:kern w:val="24"/>
                <w:sz w:val="22"/>
                <w:szCs w:val="22"/>
              </w:rPr>
              <w:t>08.50</w:t>
            </w:r>
          </w:p>
        </w:tc>
      </w:tr>
      <w:tr w:rsidR="00635455" w:rsidRPr="00C41847" w14:paraId="508569DC" w14:textId="77777777" w:rsidTr="00C41847">
        <w:trPr>
          <w:trHeight w:val="175"/>
          <w:jc w:val="center"/>
        </w:trPr>
        <w:tc>
          <w:tcPr>
            <w:tcW w:w="5807" w:type="dxa"/>
            <w:tcMar>
              <w:top w:w="15" w:type="dxa"/>
              <w:left w:w="15" w:type="dxa"/>
              <w:bottom w:w="72" w:type="dxa"/>
              <w:right w:w="15" w:type="dxa"/>
            </w:tcMar>
            <w:vAlign w:val="center"/>
            <w:hideMark/>
          </w:tcPr>
          <w:p w14:paraId="7C4BB1DB" w14:textId="77777777" w:rsidR="00635455" w:rsidRPr="00C41847" w:rsidRDefault="00635455" w:rsidP="00C41847">
            <w:pPr>
              <w:pStyle w:val="NormalWeb"/>
              <w:spacing w:before="0" w:beforeAutospacing="0" w:after="0" w:afterAutospacing="0"/>
              <w:contextualSpacing/>
              <w:textAlignment w:val="center"/>
              <w:rPr>
                <w:rFonts w:asciiTheme="majorHAnsi" w:hAnsiTheme="majorHAnsi" w:cs="Arial"/>
                <w:sz w:val="22"/>
                <w:szCs w:val="22"/>
              </w:rPr>
            </w:pPr>
            <w:r w:rsidRPr="00C41847">
              <w:rPr>
                <w:rFonts w:asciiTheme="majorHAnsi" w:hAnsiTheme="majorHAnsi" w:cs="Arial"/>
                <w:color w:val="000000"/>
                <w:kern w:val="24"/>
                <w:sz w:val="22"/>
                <w:szCs w:val="22"/>
              </w:rPr>
              <w:t>Revenue from sale of power at existing tariffs  </w:t>
            </w:r>
          </w:p>
        </w:tc>
        <w:tc>
          <w:tcPr>
            <w:tcW w:w="2266" w:type="dxa"/>
            <w:tcMar>
              <w:top w:w="15" w:type="dxa"/>
              <w:left w:w="15" w:type="dxa"/>
              <w:bottom w:w="0" w:type="dxa"/>
              <w:right w:w="15" w:type="dxa"/>
            </w:tcMar>
            <w:vAlign w:val="center"/>
            <w:hideMark/>
          </w:tcPr>
          <w:p w14:paraId="7EF322A7" w14:textId="77777777" w:rsidR="00635455" w:rsidRPr="00C41847" w:rsidRDefault="00635455" w:rsidP="00C41847">
            <w:pPr>
              <w:pStyle w:val="NormalWeb"/>
              <w:spacing w:before="0" w:beforeAutospacing="0" w:after="0" w:afterAutospacing="0"/>
              <w:contextualSpacing/>
              <w:jc w:val="center"/>
              <w:textAlignment w:val="center"/>
              <w:rPr>
                <w:rFonts w:asciiTheme="majorHAnsi" w:hAnsiTheme="majorHAnsi" w:cs="Arial"/>
                <w:sz w:val="22"/>
                <w:szCs w:val="22"/>
              </w:rPr>
            </w:pPr>
            <w:r w:rsidRPr="00C41847">
              <w:rPr>
                <w:rFonts w:asciiTheme="majorHAnsi" w:hAnsiTheme="majorHAnsi" w:cs="Arial"/>
                <w:sz w:val="22"/>
                <w:szCs w:val="22"/>
              </w:rPr>
              <w:t>6112.07</w:t>
            </w:r>
          </w:p>
        </w:tc>
      </w:tr>
      <w:tr w:rsidR="00635455" w:rsidRPr="00C41847" w14:paraId="624F5A2D" w14:textId="77777777" w:rsidTr="00C41847">
        <w:trPr>
          <w:trHeight w:val="30"/>
          <w:jc w:val="center"/>
        </w:trPr>
        <w:tc>
          <w:tcPr>
            <w:tcW w:w="5807" w:type="dxa"/>
            <w:tcMar>
              <w:top w:w="15" w:type="dxa"/>
              <w:left w:w="15" w:type="dxa"/>
              <w:bottom w:w="72" w:type="dxa"/>
              <w:right w:w="15" w:type="dxa"/>
            </w:tcMar>
            <w:vAlign w:val="center"/>
            <w:hideMark/>
          </w:tcPr>
          <w:p w14:paraId="293B0D3E" w14:textId="77777777" w:rsidR="00635455" w:rsidRPr="00C41847" w:rsidRDefault="00635455" w:rsidP="00C41847">
            <w:pPr>
              <w:pStyle w:val="NormalWeb"/>
              <w:spacing w:before="0" w:beforeAutospacing="0" w:after="0" w:afterAutospacing="0"/>
              <w:contextualSpacing/>
              <w:textAlignment w:val="center"/>
              <w:rPr>
                <w:rFonts w:asciiTheme="majorHAnsi" w:hAnsiTheme="majorHAnsi" w:cs="Arial"/>
                <w:sz w:val="22"/>
                <w:szCs w:val="22"/>
              </w:rPr>
            </w:pPr>
            <w:r w:rsidRPr="00C41847">
              <w:rPr>
                <w:rFonts w:asciiTheme="majorHAnsi" w:hAnsiTheme="majorHAnsi" w:cs="Arial"/>
                <w:color w:val="000000"/>
                <w:kern w:val="24"/>
                <w:sz w:val="22"/>
                <w:szCs w:val="22"/>
              </w:rPr>
              <w:t>Non-Tariff Income </w:t>
            </w:r>
          </w:p>
        </w:tc>
        <w:tc>
          <w:tcPr>
            <w:tcW w:w="2266" w:type="dxa"/>
            <w:tcMar>
              <w:top w:w="15" w:type="dxa"/>
              <w:left w:w="15" w:type="dxa"/>
              <w:bottom w:w="0" w:type="dxa"/>
              <w:right w:w="15" w:type="dxa"/>
            </w:tcMar>
            <w:vAlign w:val="center"/>
            <w:hideMark/>
          </w:tcPr>
          <w:p w14:paraId="5977C1B6" w14:textId="51FCF17F" w:rsidR="00635455" w:rsidRPr="00C41847" w:rsidRDefault="00E846DF" w:rsidP="00C41847">
            <w:pPr>
              <w:pStyle w:val="NormalWeb"/>
              <w:spacing w:before="0" w:beforeAutospacing="0" w:after="0" w:afterAutospacing="0"/>
              <w:contextualSpacing/>
              <w:jc w:val="center"/>
              <w:textAlignment w:val="center"/>
              <w:rPr>
                <w:rFonts w:asciiTheme="majorHAnsi" w:hAnsiTheme="majorHAnsi" w:cs="Arial"/>
                <w:sz w:val="22"/>
                <w:szCs w:val="22"/>
              </w:rPr>
            </w:pPr>
            <w:r w:rsidRPr="00C41847">
              <w:rPr>
                <w:rFonts w:asciiTheme="majorHAnsi" w:hAnsiTheme="majorHAnsi" w:cs="Arial"/>
                <w:sz w:val="22"/>
                <w:szCs w:val="22"/>
              </w:rPr>
              <w:t>409.29</w:t>
            </w:r>
          </w:p>
        </w:tc>
      </w:tr>
      <w:tr w:rsidR="00635455" w:rsidRPr="00C41847" w14:paraId="698A0376" w14:textId="77777777" w:rsidTr="00C41847">
        <w:trPr>
          <w:trHeight w:val="30"/>
          <w:jc w:val="center"/>
        </w:trPr>
        <w:tc>
          <w:tcPr>
            <w:tcW w:w="5807" w:type="dxa"/>
            <w:tcMar>
              <w:top w:w="15" w:type="dxa"/>
              <w:left w:w="15" w:type="dxa"/>
              <w:bottom w:w="72" w:type="dxa"/>
              <w:right w:w="15" w:type="dxa"/>
            </w:tcMar>
            <w:vAlign w:val="center"/>
            <w:hideMark/>
          </w:tcPr>
          <w:p w14:paraId="1943623E" w14:textId="77777777" w:rsidR="00635455" w:rsidRPr="00C41847" w:rsidRDefault="00635455" w:rsidP="00C41847">
            <w:pPr>
              <w:pStyle w:val="NormalWeb"/>
              <w:spacing w:before="0" w:beforeAutospacing="0" w:after="0" w:afterAutospacing="0"/>
              <w:contextualSpacing/>
              <w:textAlignment w:val="center"/>
              <w:rPr>
                <w:rFonts w:asciiTheme="majorHAnsi" w:hAnsiTheme="majorHAnsi" w:cs="Arial"/>
                <w:sz w:val="22"/>
                <w:szCs w:val="22"/>
              </w:rPr>
            </w:pPr>
            <w:r w:rsidRPr="00C41847">
              <w:rPr>
                <w:rFonts w:asciiTheme="majorHAnsi" w:hAnsiTheme="majorHAnsi" w:cs="Arial"/>
                <w:b/>
                <w:bCs/>
                <w:color w:val="000000"/>
                <w:kern w:val="24"/>
                <w:sz w:val="22"/>
                <w:szCs w:val="22"/>
              </w:rPr>
              <w:t xml:space="preserve">Revenue </w:t>
            </w:r>
            <w:proofErr w:type="gramStart"/>
            <w:r w:rsidRPr="00C41847">
              <w:rPr>
                <w:rFonts w:asciiTheme="majorHAnsi" w:hAnsiTheme="majorHAnsi" w:cs="Arial"/>
                <w:b/>
                <w:bCs/>
                <w:color w:val="000000"/>
                <w:kern w:val="24"/>
                <w:sz w:val="22"/>
                <w:szCs w:val="22"/>
              </w:rPr>
              <w:t>GAP(</w:t>
            </w:r>
            <w:proofErr w:type="gramEnd"/>
            <w:r w:rsidRPr="00C41847">
              <w:rPr>
                <w:rFonts w:asciiTheme="majorHAnsi" w:hAnsiTheme="majorHAnsi" w:cs="Arial"/>
                <w:b/>
                <w:bCs/>
                <w:color w:val="000000"/>
                <w:kern w:val="24"/>
                <w:sz w:val="22"/>
                <w:szCs w:val="22"/>
              </w:rPr>
              <w:t>-)/Surplus (+)</w:t>
            </w:r>
            <w:r w:rsidRPr="00C41847">
              <w:rPr>
                <w:rFonts w:asciiTheme="majorHAnsi" w:hAnsiTheme="majorHAnsi" w:cs="Arial"/>
                <w:color w:val="000000"/>
                <w:kern w:val="24"/>
                <w:sz w:val="22"/>
                <w:szCs w:val="22"/>
              </w:rPr>
              <w:t> </w:t>
            </w:r>
          </w:p>
        </w:tc>
        <w:tc>
          <w:tcPr>
            <w:tcW w:w="2266" w:type="dxa"/>
            <w:tcMar>
              <w:top w:w="15" w:type="dxa"/>
              <w:left w:w="15" w:type="dxa"/>
              <w:bottom w:w="0" w:type="dxa"/>
              <w:right w:w="15" w:type="dxa"/>
            </w:tcMar>
            <w:vAlign w:val="center"/>
            <w:hideMark/>
          </w:tcPr>
          <w:p w14:paraId="491C9B98" w14:textId="26B9823B" w:rsidR="00635455" w:rsidRPr="00C41847" w:rsidRDefault="001A2796" w:rsidP="00C41847">
            <w:pPr>
              <w:pStyle w:val="NormalWeb"/>
              <w:spacing w:before="0" w:beforeAutospacing="0" w:after="0" w:afterAutospacing="0"/>
              <w:contextualSpacing/>
              <w:jc w:val="center"/>
              <w:textAlignment w:val="center"/>
              <w:rPr>
                <w:rFonts w:asciiTheme="majorHAnsi" w:hAnsiTheme="majorHAnsi" w:cs="Arial"/>
                <w:b/>
                <w:sz w:val="22"/>
                <w:szCs w:val="22"/>
              </w:rPr>
            </w:pPr>
            <w:r w:rsidRPr="00C41847">
              <w:rPr>
                <w:rFonts w:asciiTheme="majorHAnsi" w:hAnsiTheme="majorHAnsi" w:cs="Arial"/>
                <w:b/>
                <w:sz w:val="22"/>
                <w:szCs w:val="22"/>
              </w:rPr>
              <w:t>(</w:t>
            </w:r>
            <w:r w:rsidR="00E846DF" w:rsidRPr="00C41847">
              <w:rPr>
                <w:rFonts w:asciiTheme="majorHAnsi" w:hAnsiTheme="majorHAnsi" w:cs="Arial"/>
                <w:b/>
                <w:sz w:val="22"/>
                <w:szCs w:val="22"/>
              </w:rPr>
              <w:t>-</w:t>
            </w:r>
            <w:r w:rsidRPr="00C41847">
              <w:rPr>
                <w:rFonts w:asciiTheme="majorHAnsi" w:hAnsiTheme="majorHAnsi" w:cs="Arial"/>
                <w:b/>
                <w:sz w:val="22"/>
                <w:szCs w:val="22"/>
              </w:rPr>
              <w:t>)</w:t>
            </w:r>
            <w:r w:rsidR="00C41847" w:rsidRPr="00C41847">
              <w:rPr>
                <w:rFonts w:asciiTheme="majorHAnsi" w:hAnsiTheme="majorHAnsi" w:cs="Arial"/>
                <w:b/>
                <w:sz w:val="22"/>
                <w:szCs w:val="22"/>
              </w:rPr>
              <w:t>87.14</w:t>
            </w:r>
          </w:p>
        </w:tc>
      </w:tr>
    </w:tbl>
    <w:p w14:paraId="1C828234" w14:textId="77777777" w:rsidR="00AC7DBF" w:rsidRPr="00A72835" w:rsidRDefault="00AC7DBF" w:rsidP="00AC7DBF">
      <w:pPr>
        <w:pStyle w:val="BodyText2"/>
        <w:spacing w:before="0" w:after="0"/>
        <w:jc w:val="both"/>
        <w:rPr>
          <w:rFonts w:ascii="Cambria" w:hAnsi="Cambria" w:cs="Arial"/>
          <w:color w:val="000000"/>
          <w:sz w:val="24"/>
          <w:szCs w:val="24"/>
          <w:highlight w:val="yellow"/>
          <w:lang w:val="en-GB"/>
        </w:rPr>
      </w:pPr>
    </w:p>
    <w:p w14:paraId="5B99150C" w14:textId="419BE6F8" w:rsidR="009D5371" w:rsidRDefault="009D5371" w:rsidP="009D5371">
      <w:pPr>
        <w:pStyle w:val="BodyText2"/>
        <w:spacing w:before="0" w:after="0" w:line="360" w:lineRule="auto"/>
        <w:jc w:val="both"/>
        <w:rPr>
          <w:rFonts w:ascii="Cambria" w:hAnsi="Cambria" w:cs="Arial"/>
          <w:b/>
          <w:bCs/>
          <w:color w:val="000000"/>
          <w:sz w:val="24"/>
          <w:szCs w:val="24"/>
          <w:lang w:val="en-GB"/>
        </w:rPr>
      </w:pPr>
      <w:r w:rsidRPr="00CE68D4">
        <w:rPr>
          <w:rFonts w:ascii="Cambria" w:hAnsi="Cambria" w:cs="Arial"/>
          <w:color w:val="000000"/>
          <w:sz w:val="24"/>
          <w:szCs w:val="24"/>
          <w:lang w:val="en-GB"/>
        </w:rPr>
        <w:t xml:space="preserve">Similarly, </w:t>
      </w:r>
      <w:r>
        <w:rPr>
          <w:rFonts w:ascii="Cambria" w:hAnsi="Cambria" w:cs="Arial"/>
          <w:color w:val="000000"/>
          <w:sz w:val="24"/>
          <w:szCs w:val="24"/>
          <w:lang w:val="en-GB"/>
        </w:rPr>
        <w:t xml:space="preserve">the Licensee has proposed the revenue gap for FY 26-27 </w:t>
      </w:r>
      <w:r w:rsidRPr="00CE68D4">
        <w:rPr>
          <w:rFonts w:ascii="Cambria" w:hAnsi="Cambria" w:cs="Arial"/>
          <w:color w:val="000000"/>
          <w:sz w:val="24"/>
          <w:szCs w:val="24"/>
          <w:lang w:val="en-GB"/>
        </w:rPr>
        <w:t xml:space="preserve">considering the AT&amp;C loss </w:t>
      </w:r>
      <w:r w:rsidRPr="00E94D91">
        <w:rPr>
          <w:rFonts w:ascii="Cambria" w:hAnsi="Cambria" w:cs="Arial"/>
          <w:color w:val="000000"/>
          <w:sz w:val="24"/>
          <w:szCs w:val="24"/>
          <w:lang w:val="en-GB"/>
        </w:rPr>
        <w:t>of 14.50%. The revenue</w:t>
      </w:r>
      <w:r>
        <w:rPr>
          <w:rFonts w:ascii="Cambria" w:hAnsi="Cambria" w:cs="Arial"/>
          <w:color w:val="000000"/>
          <w:sz w:val="24"/>
          <w:szCs w:val="24"/>
          <w:lang w:val="en-GB"/>
        </w:rPr>
        <w:t xml:space="preserve"> gap proposed in ensuing year is </w:t>
      </w:r>
      <w:r w:rsidRPr="00A8170E">
        <w:rPr>
          <w:rFonts w:ascii="Cambria" w:hAnsi="Cambria" w:cs="Arial"/>
          <w:b/>
          <w:bCs/>
          <w:color w:val="000000"/>
          <w:sz w:val="24"/>
          <w:szCs w:val="24"/>
          <w:lang w:val="en-GB"/>
        </w:rPr>
        <w:t xml:space="preserve">Rs. </w:t>
      </w:r>
      <w:r w:rsidR="00E369B2">
        <w:rPr>
          <w:rFonts w:ascii="Cambria" w:hAnsi="Cambria" w:cs="Arial"/>
          <w:b/>
          <w:bCs/>
          <w:color w:val="000000"/>
          <w:sz w:val="24"/>
          <w:szCs w:val="24"/>
          <w:lang w:val="en-GB"/>
        </w:rPr>
        <w:t>160.27</w:t>
      </w:r>
      <w:r w:rsidRPr="00A8170E">
        <w:rPr>
          <w:rFonts w:ascii="Cambria" w:hAnsi="Cambria" w:cs="Arial"/>
          <w:b/>
          <w:bCs/>
          <w:color w:val="000000"/>
          <w:sz w:val="24"/>
          <w:szCs w:val="24"/>
          <w:lang w:val="en-GB"/>
        </w:rPr>
        <w:t xml:space="preserve"> Cr.</w:t>
      </w:r>
    </w:p>
    <w:p w14:paraId="2AFA7439" w14:textId="77777777" w:rsidR="001F21DF" w:rsidRPr="001F21DF" w:rsidRDefault="001F21DF" w:rsidP="009D5371">
      <w:pPr>
        <w:pStyle w:val="BodyText2"/>
        <w:spacing w:before="0" w:after="0" w:line="360" w:lineRule="auto"/>
        <w:jc w:val="both"/>
        <w:rPr>
          <w:rFonts w:ascii="Cambria" w:hAnsi="Cambria" w:cs="Arial"/>
          <w:color w:val="000000"/>
          <w:sz w:val="16"/>
          <w:szCs w:val="24"/>
          <w:lang w:val="en-GB"/>
        </w:rPr>
      </w:pPr>
    </w:p>
    <w:tbl>
      <w:tblPr>
        <w:tblW w:w="7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928"/>
        <w:gridCol w:w="1979"/>
      </w:tblGrid>
      <w:tr w:rsidR="00635455" w:rsidRPr="00CE68D4" w14:paraId="1DCA23D8" w14:textId="77777777" w:rsidTr="00C41847">
        <w:trPr>
          <w:trHeight w:val="105"/>
          <w:tblHeader/>
          <w:jc w:val="center"/>
        </w:trPr>
        <w:tc>
          <w:tcPr>
            <w:tcW w:w="7907" w:type="dxa"/>
            <w:gridSpan w:val="2"/>
            <w:shd w:val="clear" w:color="auto" w:fill="C6D9F1" w:themeFill="text2" w:themeFillTint="33"/>
            <w:tcMar>
              <w:top w:w="15" w:type="dxa"/>
              <w:left w:w="15" w:type="dxa"/>
              <w:bottom w:w="0" w:type="dxa"/>
              <w:right w:w="15" w:type="dxa"/>
            </w:tcMar>
            <w:vAlign w:val="center"/>
            <w:hideMark/>
          </w:tcPr>
          <w:p w14:paraId="3FF464C1" w14:textId="77777777" w:rsidR="00635455" w:rsidRPr="00E94D91" w:rsidRDefault="00635455" w:rsidP="0015643C">
            <w:pPr>
              <w:pStyle w:val="NormalWeb"/>
              <w:spacing w:before="0" w:beforeAutospacing="0" w:after="0" w:afterAutospacing="0"/>
              <w:jc w:val="center"/>
              <w:textAlignment w:val="center"/>
              <w:rPr>
                <w:rFonts w:asciiTheme="majorHAnsi" w:hAnsiTheme="majorHAnsi" w:cs="Arial"/>
                <w:sz w:val="22"/>
                <w:szCs w:val="22"/>
                <w:lang w:val="en-IN" w:eastAsia="en-IN"/>
              </w:rPr>
            </w:pPr>
            <w:r w:rsidRPr="00E94D91">
              <w:rPr>
                <w:rFonts w:asciiTheme="majorHAnsi" w:hAnsiTheme="majorHAnsi" w:cs="Arial"/>
                <w:b/>
                <w:bCs/>
                <w:color w:val="000000"/>
                <w:kern w:val="24"/>
                <w:sz w:val="22"/>
                <w:szCs w:val="22"/>
              </w:rPr>
              <w:t>Revenue Gap with AT&amp;C (14.50%) FY 26-27</w:t>
            </w:r>
            <w:r>
              <w:rPr>
                <w:rFonts w:asciiTheme="majorHAnsi" w:hAnsiTheme="majorHAnsi" w:cs="Arial"/>
                <w:b/>
                <w:bCs/>
                <w:color w:val="000000"/>
                <w:kern w:val="24"/>
                <w:sz w:val="22"/>
                <w:szCs w:val="22"/>
              </w:rPr>
              <w:t xml:space="preserve">    </w:t>
            </w:r>
          </w:p>
        </w:tc>
      </w:tr>
      <w:tr w:rsidR="00635455" w:rsidRPr="00CE68D4" w14:paraId="56DBB834" w14:textId="77777777" w:rsidTr="00C41847">
        <w:trPr>
          <w:trHeight w:val="109"/>
          <w:tblHeader/>
          <w:jc w:val="center"/>
        </w:trPr>
        <w:tc>
          <w:tcPr>
            <w:tcW w:w="5928" w:type="dxa"/>
            <w:shd w:val="clear" w:color="auto" w:fill="C6D9F1" w:themeFill="text2" w:themeFillTint="33"/>
            <w:tcMar>
              <w:top w:w="15" w:type="dxa"/>
              <w:left w:w="15" w:type="dxa"/>
              <w:bottom w:w="0" w:type="dxa"/>
              <w:right w:w="15" w:type="dxa"/>
            </w:tcMar>
            <w:vAlign w:val="center"/>
            <w:hideMark/>
          </w:tcPr>
          <w:p w14:paraId="6ECDE63D" w14:textId="77777777" w:rsidR="00635455" w:rsidRPr="00CE68D4" w:rsidRDefault="00635455" w:rsidP="0015643C">
            <w:pPr>
              <w:pStyle w:val="NormalWeb"/>
              <w:spacing w:before="0" w:beforeAutospacing="0" w:after="0" w:afterAutospacing="0"/>
              <w:ind w:left="115"/>
              <w:textAlignment w:val="center"/>
              <w:rPr>
                <w:rFonts w:asciiTheme="majorHAnsi" w:hAnsiTheme="majorHAnsi" w:cs="Arial"/>
                <w:sz w:val="22"/>
                <w:szCs w:val="22"/>
              </w:rPr>
            </w:pPr>
            <w:r w:rsidRPr="00CE68D4">
              <w:rPr>
                <w:rFonts w:asciiTheme="majorHAnsi" w:hAnsiTheme="majorHAnsi" w:cs="Arial"/>
                <w:b/>
                <w:bCs/>
                <w:color w:val="000000"/>
                <w:kern w:val="24"/>
                <w:sz w:val="22"/>
                <w:szCs w:val="22"/>
              </w:rPr>
              <w:t>Parameters</w:t>
            </w:r>
          </w:p>
        </w:tc>
        <w:tc>
          <w:tcPr>
            <w:tcW w:w="1978" w:type="dxa"/>
            <w:shd w:val="clear" w:color="auto" w:fill="C6D9F1" w:themeFill="text2" w:themeFillTint="33"/>
            <w:tcMar>
              <w:top w:w="15" w:type="dxa"/>
              <w:left w:w="15" w:type="dxa"/>
              <w:bottom w:w="0" w:type="dxa"/>
              <w:right w:w="15" w:type="dxa"/>
            </w:tcMar>
            <w:vAlign w:val="center"/>
            <w:hideMark/>
          </w:tcPr>
          <w:p w14:paraId="6C06AB04" w14:textId="77777777" w:rsidR="00635455" w:rsidRPr="00CE68D4" w:rsidRDefault="00635455" w:rsidP="0015643C">
            <w:pPr>
              <w:pStyle w:val="NormalWeb"/>
              <w:spacing w:before="0" w:beforeAutospacing="0" w:after="0" w:afterAutospacing="0"/>
              <w:jc w:val="center"/>
              <w:textAlignment w:val="center"/>
              <w:rPr>
                <w:rFonts w:asciiTheme="majorHAnsi" w:hAnsiTheme="majorHAnsi" w:cs="Arial"/>
                <w:sz w:val="22"/>
                <w:szCs w:val="22"/>
              </w:rPr>
            </w:pPr>
            <w:r w:rsidRPr="00CE68D4">
              <w:rPr>
                <w:rFonts w:asciiTheme="majorHAnsi" w:hAnsiTheme="majorHAnsi" w:cs="Arial"/>
                <w:b/>
                <w:bCs/>
                <w:color w:val="000000"/>
                <w:kern w:val="24"/>
                <w:sz w:val="22"/>
                <w:szCs w:val="22"/>
              </w:rPr>
              <w:t>Rs Cr</w:t>
            </w:r>
          </w:p>
        </w:tc>
      </w:tr>
      <w:tr w:rsidR="00635455" w:rsidRPr="00CE68D4" w14:paraId="1DAF9F8F" w14:textId="77777777" w:rsidTr="00C41847">
        <w:trPr>
          <w:trHeight w:val="112"/>
          <w:jc w:val="center"/>
        </w:trPr>
        <w:tc>
          <w:tcPr>
            <w:tcW w:w="5928" w:type="dxa"/>
            <w:tcMar>
              <w:top w:w="15" w:type="dxa"/>
              <w:left w:w="15" w:type="dxa"/>
              <w:bottom w:w="72" w:type="dxa"/>
              <w:right w:w="15" w:type="dxa"/>
            </w:tcMar>
            <w:vAlign w:val="center"/>
            <w:hideMark/>
          </w:tcPr>
          <w:p w14:paraId="4636978E" w14:textId="77777777" w:rsidR="00635455" w:rsidRPr="00CE68D4" w:rsidRDefault="00635455" w:rsidP="0015643C">
            <w:pPr>
              <w:pStyle w:val="NormalWeb"/>
              <w:spacing w:before="0" w:beforeAutospacing="0" w:after="0" w:afterAutospacing="0"/>
              <w:ind w:left="115"/>
              <w:textAlignment w:val="center"/>
              <w:rPr>
                <w:rFonts w:asciiTheme="majorHAnsi" w:hAnsiTheme="majorHAnsi" w:cs="Arial"/>
                <w:sz w:val="22"/>
                <w:szCs w:val="22"/>
              </w:rPr>
            </w:pPr>
            <w:r w:rsidRPr="00CE68D4">
              <w:rPr>
                <w:rFonts w:asciiTheme="majorHAnsi" w:hAnsiTheme="majorHAnsi" w:cs="Arial"/>
                <w:color w:val="000000"/>
                <w:kern w:val="24"/>
                <w:sz w:val="22"/>
                <w:szCs w:val="22"/>
              </w:rPr>
              <w:t>Power Purchase Cost (BSP @ Rs. 3.</w:t>
            </w:r>
            <w:r>
              <w:rPr>
                <w:rFonts w:asciiTheme="majorHAnsi" w:hAnsiTheme="majorHAnsi" w:cs="Arial"/>
                <w:color w:val="000000"/>
                <w:kern w:val="24"/>
                <w:sz w:val="22"/>
                <w:szCs w:val="22"/>
              </w:rPr>
              <w:t>85</w:t>
            </w:r>
            <w:r w:rsidRPr="00CE68D4">
              <w:rPr>
                <w:rFonts w:asciiTheme="majorHAnsi" w:hAnsiTheme="majorHAnsi" w:cs="Arial"/>
                <w:color w:val="000000"/>
                <w:kern w:val="24"/>
                <w:sz w:val="22"/>
                <w:szCs w:val="22"/>
              </w:rPr>
              <w:t>/ u)</w:t>
            </w:r>
          </w:p>
        </w:tc>
        <w:tc>
          <w:tcPr>
            <w:tcW w:w="1978" w:type="dxa"/>
            <w:tcMar>
              <w:top w:w="15" w:type="dxa"/>
              <w:left w:w="15" w:type="dxa"/>
              <w:bottom w:w="0" w:type="dxa"/>
              <w:right w:w="15" w:type="dxa"/>
            </w:tcMar>
            <w:vAlign w:val="center"/>
            <w:hideMark/>
          </w:tcPr>
          <w:p w14:paraId="3760F54F" w14:textId="22FFEF67" w:rsidR="00635455" w:rsidRPr="00CE68D4" w:rsidRDefault="00635455" w:rsidP="0015643C">
            <w:pPr>
              <w:pStyle w:val="NormalWeb"/>
              <w:spacing w:before="0" w:beforeAutospacing="0" w:after="0" w:afterAutospacing="0"/>
              <w:jc w:val="center"/>
              <w:textAlignment w:val="center"/>
              <w:rPr>
                <w:rFonts w:asciiTheme="majorHAnsi" w:hAnsiTheme="majorHAnsi" w:cs="Arial"/>
                <w:sz w:val="22"/>
                <w:szCs w:val="22"/>
              </w:rPr>
            </w:pPr>
            <w:r>
              <w:rPr>
                <w:rFonts w:asciiTheme="majorHAnsi" w:hAnsiTheme="majorHAnsi" w:cs="Arial"/>
                <w:color w:val="000000"/>
                <w:kern w:val="24"/>
                <w:sz w:val="22"/>
                <w:szCs w:val="22"/>
              </w:rPr>
              <w:t>4903.</w:t>
            </w:r>
            <w:r w:rsidR="002D1999">
              <w:rPr>
                <w:rFonts w:asciiTheme="majorHAnsi" w:hAnsiTheme="majorHAnsi" w:cs="Arial"/>
                <w:color w:val="000000"/>
                <w:kern w:val="24"/>
                <w:sz w:val="22"/>
                <w:szCs w:val="22"/>
              </w:rPr>
              <w:t>8</w:t>
            </w:r>
            <w:r>
              <w:rPr>
                <w:rFonts w:asciiTheme="majorHAnsi" w:hAnsiTheme="majorHAnsi" w:cs="Arial"/>
                <w:color w:val="000000"/>
                <w:kern w:val="24"/>
                <w:sz w:val="22"/>
                <w:szCs w:val="22"/>
              </w:rPr>
              <w:t>5</w:t>
            </w:r>
          </w:p>
        </w:tc>
      </w:tr>
      <w:tr w:rsidR="00635455" w:rsidRPr="00CE68D4" w14:paraId="628252B4" w14:textId="77777777" w:rsidTr="00C41847">
        <w:trPr>
          <w:trHeight w:val="35"/>
          <w:jc w:val="center"/>
        </w:trPr>
        <w:tc>
          <w:tcPr>
            <w:tcW w:w="5928" w:type="dxa"/>
            <w:tcMar>
              <w:top w:w="15" w:type="dxa"/>
              <w:left w:w="15" w:type="dxa"/>
              <w:bottom w:w="72" w:type="dxa"/>
              <w:right w:w="15" w:type="dxa"/>
            </w:tcMar>
            <w:vAlign w:val="center"/>
            <w:hideMark/>
          </w:tcPr>
          <w:p w14:paraId="7588EBD7" w14:textId="0A3B47FB" w:rsidR="00635455" w:rsidRPr="00CE68D4" w:rsidRDefault="00635455" w:rsidP="0015643C">
            <w:pPr>
              <w:pStyle w:val="NormalWeb"/>
              <w:spacing w:before="0" w:beforeAutospacing="0" w:after="0" w:afterAutospacing="0"/>
              <w:ind w:left="115"/>
              <w:textAlignment w:val="center"/>
              <w:rPr>
                <w:rFonts w:asciiTheme="majorHAnsi" w:hAnsiTheme="majorHAnsi" w:cs="Arial"/>
                <w:sz w:val="22"/>
                <w:szCs w:val="22"/>
              </w:rPr>
            </w:pPr>
            <w:r w:rsidRPr="00CE68D4">
              <w:rPr>
                <w:rFonts w:asciiTheme="majorHAnsi" w:hAnsiTheme="majorHAnsi" w:cs="Arial"/>
                <w:color w:val="000000"/>
                <w:kern w:val="24"/>
                <w:sz w:val="22"/>
                <w:szCs w:val="22"/>
              </w:rPr>
              <w:t>Distribution Cost incl. tax on ROE</w:t>
            </w:r>
            <w:r w:rsidR="00C41847">
              <w:rPr>
                <w:rFonts w:asciiTheme="majorHAnsi" w:hAnsiTheme="majorHAnsi" w:cs="Arial"/>
                <w:color w:val="000000"/>
                <w:kern w:val="24"/>
                <w:sz w:val="22"/>
                <w:szCs w:val="22"/>
              </w:rPr>
              <w:t xml:space="preserve"> &amp; Tariff Balancing Reserve</w:t>
            </w:r>
          </w:p>
        </w:tc>
        <w:tc>
          <w:tcPr>
            <w:tcW w:w="1978" w:type="dxa"/>
            <w:tcMar>
              <w:top w:w="15" w:type="dxa"/>
              <w:left w:w="15" w:type="dxa"/>
              <w:bottom w:w="0" w:type="dxa"/>
              <w:right w:w="15" w:type="dxa"/>
            </w:tcMar>
            <w:vAlign w:val="center"/>
            <w:hideMark/>
          </w:tcPr>
          <w:p w14:paraId="20CC8E78" w14:textId="4F4AD3F0" w:rsidR="00635455" w:rsidRPr="00CE68D4" w:rsidRDefault="00635455" w:rsidP="0015643C">
            <w:pPr>
              <w:pStyle w:val="NormalWeb"/>
              <w:spacing w:before="0" w:beforeAutospacing="0" w:after="0" w:afterAutospacing="0"/>
              <w:jc w:val="center"/>
              <w:textAlignment w:val="center"/>
              <w:rPr>
                <w:rFonts w:asciiTheme="majorHAnsi" w:hAnsiTheme="majorHAnsi" w:cs="Arial"/>
                <w:sz w:val="22"/>
                <w:szCs w:val="22"/>
              </w:rPr>
            </w:pPr>
            <w:r>
              <w:rPr>
                <w:rFonts w:asciiTheme="majorHAnsi" w:hAnsiTheme="majorHAnsi" w:cs="Arial"/>
                <w:sz w:val="22"/>
                <w:szCs w:val="22"/>
              </w:rPr>
              <w:t>19</w:t>
            </w:r>
            <w:r w:rsidR="00C41847">
              <w:rPr>
                <w:rFonts w:asciiTheme="majorHAnsi" w:hAnsiTheme="majorHAnsi" w:cs="Arial"/>
                <w:sz w:val="22"/>
                <w:szCs w:val="22"/>
              </w:rPr>
              <w:t>5</w:t>
            </w:r>
            <w:r w:rsidR="00E369B2">
              <w:rPr>
                <w:rFonts w:asciiTheme="majorHAnsi" w:hAnsiTheme="majorHAnsi" w:cs="Arial"/>
                <w:sz w:val="22"/>
                <w:szCs w:val="22"/>
              </w:rPr>
              <w:t>1.06</w:t>
            </w:r>
          </w:p>
        </w:tc>
      </w:tr>
      <w:tr w:rsidR="00635455" w:rsidRPr="00CE68D4" w14:paraId="26C5A9DB" w14:textId="77777777" w:rsidTr="00C41847">
        <w:trPr>
          <w:trHeight w:val="109"/>
          <w:jc w:val="center"/>
        </w:trPr>
        <w:tc>
          <w:tcPr>
            <w:tcW w:w="5928" w:type="dxa"/>
            <w:tcMar>
              <w:top w:w="15" w:type="dxa"/>
              <w:left w:w="15" w:type="dxa"/>
              <w:bottom w:w="72" w:type="dxa"/>
              <w:right w:w="15" w:type="dxa"/>
            </w:tcMar>
            <w:vAlign w:val="center"/>
          </w:tcPr>
          <w:p w14:paraId="3CABBDAD" w14:textId="77777777" w:rsidR="00635455" w:rsidRPr="00CE68D4" w:rsidRDefault="00635455" w:rsidP="0015643C">
            <w:pPr>
              <w:pStyle w:val="NormalWeb"/>
              <w:spacing w:before="0" w:beforeAutospacing="0" w:after="0" w:afterAutospacing="0"/>
              <w:ind w:left="115"/>
              <w:textAlignment w:val="center"/>
              <w:rPr>
                <w:rFonts w:asciiTheme="majorHAnsi" w:hAnsiTheme="majorHAnsi" w:cs="Arial"/>
                <w:color w:val="000000"/>
                <w:kern w:val="24"/>
                <w:sz w:val="22"/>
                <w:szCs w:val="22"/>
              </w:rPr>
            </w:pPr>
            <w:r>
              <w:rPr>
                <w:rFonts w:asciiTheme="majorHAnsi" w:hAnsiTheme="majorHAnsi" w:cs="Arial"/>
                <w:color w:val="000000"/>
                <w:kern w:val="24"/>
                <w:sz w:val="22"/>
                <w:szCs w:val="22"/>
              </w:rPr>
              <w:t>Carrying cost on ASL</w:t>
            </w:r>
          </w:p>
        </w:tc>
        <w:tc>
          <w:tcPr>
            <w:tcW w:w="1978" w:type="dxa"/>
            <w:tcMar>
              <w:top w:w="15" w:type="dxa"/>
              <w:left w:w="15" w:type="dxa"/>
              <w:bottom w:w="0" w:type="dxa"/>
              <w:right w:w="15" w:type="dxa"/>
            </w:tcMar>
            <w:vAlign w:val="center"/>
          </w:tcPr>
          <w:p w14:paraId="23985A1C" w14:textId="0B5F899C" w:rsidR="00635455" w:rsidRDefault="00635455" w:rsidP="0015643C">
            <w:pPr>
              <w:pStyle w:val="NormalWeb"/>
              <w:spacing w:before="0" w:beforeAutospacing="0" w:after="0" w:afterAutospacing="0"/>
              <w:jc w:val="center"/>
              <w:textAlignment w:val="center"/>
              <w:rPr>
                <w:rFonts w:asciiTheme="majorHAnsi" w:hAnsiTheme="majorHAnsi" w:cs="Arial"/>
                <w:color w:val="000000"/>
                <w:kern w:val="24"/>
                <w:sz w:val="22"/>
                <w:szCs w:val="22"/>
              </w:rPr>
            </w:pPr>
            <w:r>
              <w:rPr>
                <w:rFonts w:asciiTheme="majorHAnsi" w:hAnsiTheme="majorHAnsi" w:cs="Arial"/>
                <w:color w:val="000000"/>
                <w:kern w:val="24"/>
                <w:sz w:val="22"/>
                <w:szCs w:val="22"/>
              </w:rPr>
              <w:t>7.</w:t>
            </w:r>
            <w:r w:rsidR="00C41847">
              <w:rPr>
                <w:rFonts w:asciiTheme="majorHAnsi" w:hAnsiTheme="majorHAnsi" w:cs="Arial"/>
                <w:color w:val="000000"/>
                <w:kern w:val="24"/>
                <w:sz w:val="22"/>
                <w:szCs w:val="22"/>
              </w:rPr>
              <w:t>07</w:t>
            </w:r>
          </w:p>
        </w:tc>
      </w:tr>
      <w:tr w:rsidR="00635455" w:rsidRPr="00CE68D4" w14:paraId="5DC5031D" w14:textId="77777777" w:rsidTr="00C41847">
        <w:trPr>
          <w:trHeight w:val="34"/>
          <w:jc w:val="center"/>
        </w:trPr>
        <w:tc>
          <w:tcPr>
            <w:tcW w:w="5928" w:type="dxa"/>
            <w:tcMar>
              <w:top w:w="15" w:type="dxa"/>
              <w:left w:w="15" w:type="dxa"/>
              <w:bottom w:w="72" w:type="dxa"/>
              <w:right w:w="15" w:type="dxa"/>
            </w:tcMar>
            <w:vAlign w:val="center"/>
            <w:hideMark/>
          </w:tcPr>
          <w:p w14:paraId="08120D8E" w14:textId="77777777" w:rsidR="00635455" w:rsidRPr="00CE68D4" w:rsidRDefault="00635455" w:rsidP="0015643C">
            <w:pPr>
              <w:pStyle w:val="NormalWeb"/>
              <w:spacing w:before="0" w:beforeAutospacing="0" w:after="0" w:afterAutospacing="0"/>
              <w:ind w:left="115"/>
              <w:textAlignment w:val="center"/>
              <w:rPr>
                <w:rFonts w:asciiTheme="majorHAnsi" w:hAnsiTheme="majorHAnsi" w:cs="Arial"/>
                <w:sz w:val="22"/>
                <w:szCs w:val="22"/>
              </w:rPr>
            </w:pPr>
            <w:r w:rsidRPr="00CE68D4">
              <w:rPr>
                <w:rFonts w:asciiTheme="majorHAnsi" w:hAnsiTheme="majorHAnsi" w:cs="Arial"/>
                <w:b/>
                <w:bCs/>
                <w:color w:val="000000"/>
                <w:kern w:val="24"/>
                <w:sz w:val="22"/>
                <w:szCs w:val="22"/>
              </w:rPr>
              <w:t>Sub Total </w:t>
            </w:r>
          </w:p>
        </w:tc>
        <w:tc>
          <w:tcPr>
            <w:tcW w:w="1978" w:type="dxa"/>
            <w:tcMar>
              <w:top w:w="15" w:type="dxa"/>
              <w:left w:w="15" w:type="dxa"/>
              <w:bottom w:w="0" w:type="dxa"/>
              <w:right w:w="15" w:type="dxa"/>
            </w:tcMar>
            <w:vAlign w:val="center"/>
            <w:hideMark/>
          </w:tcPr>
          <w:p w14:paraId="379EAFA4" w14:textId="3D78A269" w:rsidR="00635455" w:rsidRPr="00CE68D4" w:rsidRDefault="00635455" w:rsidP="0015643C">
            <w:pPr>
              <w:pStyle w:val="NormalWeb"/>
              <w:spacing w:before="0" w:beforeAutospacing="0" w:after="0" w:afterAutospacing="0"/>
              <w:jc w:val="center"/>
              <w:textAlignment w:val="center"/>
              <w:rPr>
                <w:rFonts w:asciiTheme="majorHAnsi" w:hAnsiTheme="majorHAnsi" w:cs="Arial"/>
                <w:sz w:val="22"/>
                <w:szCs w:val="22"/>
              </w:rPr>
            </w:pPr>
            <w:r>
              <w:rPr>
                <w:rFonts w:asciiTheme="majorHAnsi" w:hAnsiTheme="majorHAnsi" w:cs="Arial"/>
                <w:b/>
                <w:bCs/>
                <w:color w:val="000000"/>
                <w:kern w:val="24"/>
                <w:sz w:val="22"/>
                <w:szCs w:val="22"/>
              </w:rPr>
              <w:t>6</w:t>
            </w:r>
            <w:r w:rsidR="00C41847">
              <w:rPr>
                <w:rFonts w:asciiTheme="majorHAnsi" w:hAnsiTheme="majorHAnsi" w:cs="Arial"/>
                <w:b/>
                <w:bCs/>
                <w:color w:val="000000"/>
                <w:kern w:val="24"/>
                <w:sz w:val="22"/>
                <w:szCs w:val="22"/>
              </w:rPr>
              <w:t>861.</w:t>
            </w:r>
            <w:r w:rsidR="00E369B2">
              <w:rPr>
                <w:rFonts w:asciiTheme="majorHAnsi" w:hAnsiTheme="majorHAnsi" w:cs="Arial"/>
                <w:b/>
                <w:bCs/>
                <w:color w:val="000000"/>
                <w:kern w:val="24"/>
                <w:sz w:val="22"/>
                <w:szCs w:val="22"/>
              </w:rPr>
              <w:t>98</w:t>
            </w:r>
          </w:p>
        </w:tc>
      </w:tr>
      <w:tr w:rsidR="00635455" w:rsidRPr="00CE68D4" w14:paraId="66461CFD" w14:textId="77777777" w:rsidTr="00C41847">
        <w:trPr>
          <w:trHeight w:val="34"/>
          <w:jc w:val="center"/>
        </w:trPr>
        <w:tc>
          <w:tcPr>
            <w:tcW w:w="5928" w:type="dxa"/>
            <w:tcMar>
              <w:top w:w="15" w:type="dxa"/>
              <w:left w:w="15" w:type="dxa"/>
              <w:bottom w:w="72" w:type="dxa"/>
              <w:right w:w="15" w:type="dxa"/>
            </w:tcMar>
            <w:vAlign w:val="center"/>
            <w:hideMark/>
          </w:tcPr>
          <w:p w14:paraId="6A1555E3" w14:textId="77777777" w:rsidR="00635455" w:rsidRPr="00CE68D4" w:rsidRDefault="00635455" w:rsidP="0015643C">
            <w:pPr>
              <w:pStyle w:val="NormalWeb"/>
              <w:spacing w:before="0" w:beforeAutospacing="0" w:after="0" w:afterAutospacing="0"/>
              <w:ind w:left="115"/>
              <w:textAlignment w:val="center"/>
              <w:rPr>
                <w:rFonts w:asciiTheme="majorHAnsi" w:hAnsiTheme="majorHAnsi" w:cs="Arial"/>
                <w:sz w:val="22"/>
                <w:szCs w:val="22"/>
              </w:rPr>
            </w:pPr>
            <w:r w:rsidRPr="00CE68D4">
              <w:rPr>
                <w:rFonts w:asciiTheme="majorHAnsi" w:hAnsiTheme="majorHAnsi" w:cs="Arial"/>
                <w:color w:val="000000"/>
                <w:kern w:val="24"/>
                <w:sz w:val="22"/>
                <w:szCs w:val="22"/>
              </w:rPr>
              <w:t>Revenue from sale of power at existing tariffs  </w:t>
            </w:r>
          </w:p>
        </w:tc>
        <w:tc>
          <w:tcPr>
            <w:tcW w:w="1978" w:type="dxa"/>
            <w:tcMar>
              <w:top w:w="15" w:type="dxa"/>
              <w:left w:w="15" w:type="dxa"/>
              <w:bottom w:w="0" w:type="dxa"/>
              <w:right w:w="15" w:type="dxa"/>
            </w:tcMar>
            <w:vAlign w:val="center"/>
            <w:hideMark/>
          </w:tcPr>
          <w:p w14:paraId="4F8CC3F3" w14:textId="79B24748" w:rsidR="00635455" w:rsidRPr="00CE68D4" w:rsidRDefault="00635455" w:rsidP="0015643C">
            <w:pPr>
              <w:pStyle w:val="NormalWeb"/>
              <w:spacing w:before="0" w:beforeAutospacing="0" w:after="0" w:afterAutospacing="0"/>
              <w:jc w:val="center"/>
              <w:textAlignment w:val="center"/>
              <w:rPr>
                <w:rFonts w:asciiTheme="majorHAnsi" w:hAnsiTheme="majorHAnsi" w:cs="Arial"/>
                <w:sz w:val="22"/>
                <w:szCs w:val="22"/>
              </w:rPr>
            </w:pPr>
            <w:r>
              <w:rPr>
                <w:rFonts w:asciiTheme="majorHAnsi" w:hAnsiTheme="majorHAnsi" w:cs="Arial"/>
                <w:sz w:val="22"/>
                <w:szCs w:val="22"/>
              </w:rPr>
              <w:t>62</w:t>
            </w:r>
            <w:r w:rsidR="00E369B2">
              <w:rPr>
                <w:rFonts w:asciiTheme="majorHAnsi" w:hAnsiTheme="majorHAnsi" w:cs="Arial"/>
                <w:sz w:val="22"/>
                <w:szCs w:val="22"/>
              </w:rPr>
              <w:t>84.29</w:t>
            </w:r>
          </w:p>
        </w:tc>
      </w:tr>
      <w:tr w:rsidR="00635455" w:rsidRPr="00CE68D4" w14:paraId="2EE90842" w14:textId="77777777" w:rsidTr="00C41847">
        <w:trPr>
          <w:trHeight w:val="34"/>
          <w:jc w:val="center"/>
        </w:trPr>
        <w:tc>
          <w:tcPr>
            <w:tcW w:w="5928" w:type="dxa"/>
            <w:tcMar>
              <w:top w:w="15" w:type="dxa"/>
              <w:left w:w="15" w:type="dxa"/>
              <w:bottom w:w="72" w:type="dxa"/>
              <w:right w:w="15" w:type="dxa"/>
            </w:tcMar>
            <w:vAlign w:val="center"/>
            <w:hideMark/>
          </w:tcPr>
          <w:p w14:paraId="2AD2FC57" w14:textId="77777777" w:rsidR="00635455" w:rsidRPr="00CE68D4" w:rsidRDefault="00635455" w:rsidP="0015643C">
            <w:pPr>
              <w:pStyle w:val="NormalWeb"/>
              <w:spacing w:before="0" w:beforeAutospacing="0" w:after="0" w:afterAutospacing="0"/>
              <w:ind w:left="115"/>
              <w:textAlignment w:val="center"/>
              <w:rPr>
                <w:rFonts w:asciiTheme="majorHAnsi" w:hAnsiTheme="majorHAnsi" w:cs="Arial"/>
                <w:sz w:val="22"/>
                <w:szCs w:val="22"/>
              </w:rPr>
            </w:pPr>
            <w:r w:rsidRPr="00CE68D4">
              <w:rPr>
                <w:rFonts w:asciiTheme="majorHAnsi" w:hAnsiTheme="majorHAnsi" w:cs="Arial"/>
                <w:color w:val="000000"/>
                <w:kern w:val="24"/>
                <w:sz w:val="22"/>
                <w:szCs w:val="22"/>
              </w:rPr>
              <w:t>Non-Tariff Income </w:t>
            </w:r>
          </w:p>
        </w:tc>
        <w:tc>
          <w:tcPr>
            <w:tcW w:w="1978" w:type="dxa"/>
            <w:tcMar>
              <w:top w:w="15" w:type="dxa"/>
              <w:left w:w="15" w:type="dxa"/>
              <w:bottom w:w="0" w:type="dxa"/>
              <w:right w:w="15" w:type="dxa"/>
            </w:tcMar>
            <w:vAlign w:val="center"/>
            <w:hideMark/>
          </w:tcPr>
          <w:p w14:paraId="7B2754B1" w14:textId="6306D030" w:rsidR="00635455" w:rsidRPr="00CE68D4" w:rsidRDefault="001A2796" w:rsidP="0015643C">
            <w:pPr>
              <w:pStyle w:val="NormalWeb"/>
              <w:spacing w:before="0" w:beforeAutospacing="0" w:after="0" w:afterAutospacing="0"/>
              <w:jc w:val="center"/>
              <w:textAlignment w:val="center"/>
              <w:rPr>
                <w:rFonts w:asciiTheme="majorHAnsi" w:hAnsiTheme="majorHAnsi" w:cs="Arial"/>
                <w:sz w:val="22"/>
                <w:szCs w:val="22"/>
              </w:rPr>
            </w:pPr>
            <w:r>
              <w:rPr>
                <w:rFonts w:asciiTheme="majorHAnsi" w:hAnsiTheme="majorHAnsi" w:cs="Arial"/>
                <w:sz w:val="22"/>
                <w:szCs w:val="22"/>
              </w:rPr>
              <w:t>417.42</w:t>
            </w:r>
          </w:p>
        </w:tc>
      </w:tr>
      <w:tr w:rsidR="00635455" w:rsidRPr="00A72835" w14:paraId="10973BEE" w14:textId="77777777" w:rsidTr="00C41847">
        <w:trPr>
          <w:trHeight w:val="37"/>
          <w:jc w:val="center"/>
        </w:trPr>
        <w:tc>
          <w:tcPr>
            <w:tcW w:w="5928" w:type="dxa"/>
            <w:tcMar>
              <w:top w:w="15" w:type="dxa"/>
              <w:left w:w="15" w:type="dxa"/>
              <w:bottom w:w="72" w:type="dxa"/>
              <w:right w:w="15" w:type="dxa"/>
            </w:tcMar>
            <w:vAlign w:val="center"/>
            <w:hideMark/>
          </w:tcPr>
          <w:p w14:paraId="3CEE8C7E" w14:textId="77777777" w:rsidR="00635455" w:rsidRPr="00CE68D4" w:rsidRDefault="00635455" w:rsidP="0015643C">
            <w:pPr>
              <w:pStyle w:val="NormalWeb"/>
              <w:spacing w:before="0" w:beforeAutospacing="0" w:after="0" w:afterAutospacing="0"/>
              <w:ind w:left="115"/>
              <w:textAlignment w:val="center"/>
              <w:rPr>
                <w:rFonts w:asciiTheme="majorHAnsi" w:hAnsiTheme="majorHAnsi" w:cs="Arial"/>
                <w:sz w:val="22"/>
                <w:szCs w:val="22"/>
              </w:rPr>
            </w:pPr>
            <w:r w:rsidRPr="00CE68D4">
              <w:rPr>
                <w:rFonts w:asciiTheme="majorHAnsi" w:hAnsiTheme="majorHAnsi" w:cs="Arial"/>
                <w:b/>
                <w:bCs/>
                <w:color w:val="000000"/>
                <w:kern w:val="24"/>
                <w:sz w:val="22"/>
                <w:szCs w:val="22"/>
              </w:rPr>
              <w:t>Revenue GAP(</w:t>
            </w:r>
            <w:r>
              <w:rPr>
                <w:rFonts w:asciiTheme="majorHAnsi" w:hAnsiTheme="majorHAnsi" w:cs="Arial"/>
                <w:b/>
                <w:bCs/>
                <w:color w:val="000000"/>
                <w:kern w:val="24"/>
                <w:sz w:val="22"/>
                <w:szCs w:val="22"/>
              </w:rPr>
              <w:t>-</w:t>
            </w:r>
            <w:r w:rsidRPr="00CE68D4">
              <w:rPr>
                <w:rFonts w:asciiTheme="majorHAnsi" w:hAnsiTheme="majorHAnsi" w:cs="Arial"/>
                <w:b/>
                <w:bCs/>
                <w:color w:val="000000"/>
                <w:kern w:val="24"/>
                <w:sz w:val="22"/>
                <w:szCs w:val="22"/>
              </w:rPr>
              <w:t>)/Surplus (</w:t>
            </w:r>
            <w:r>
              <w:rPr>
                <w:rFonts w:asciiTheme="majorHAnsi" w:hAnsiTheme="majorHAnsi" w:cs="Arial"/>
                <w:b/>
                <w:bCs/>
                <w:color w:val="000000"/>
                <w:kern w:val="24"/>
                <w:sz w:val="22"/>
                <w:szCs w:val="22"/>
              </w:rPr>
              <w:t>+</w:t>
            </w:r>
            <w:r w:rsidRPr="00CE68D4">
              <w:rPr>
                <w:rFonts w:asciiTheme="majorHAnsi" w:hAnsiTheme="majorHAnsi" w:cs="Arial"/>
                <w:b/>
                <w:bCs/>
                <w:color w:val="000000"/>
                <w:kern w:val="24"/>
                <w:sz w:val="22"/>
                <w:szCs w:val="22"/>
              </w:rPr>
              <w:t>) </w:t>
            </w:r>
          </w:p>
        </w:tc>
        <w:tc>
          <w:tcPr>
            <w:tcW w:w="1978" w:type="dxa"/>
            <w:tcMar>
              <w:top w:w="15" w:type="dxa"/>
              <w:left w:w="15" w:type="dxa"/>
              <w:bottom w:w="0" w:type="dxa"/>
              <w:right w:w="15" w:type="dxa"/>
            </w:tcMar>
            <w:vAlign w:val="center"/>
            <w:hideMark/>
          </w:tcPr>
          <w:p w14:paraId="26908050" w14:textId="57B671D5" w:rsidR="00635455" w:rsidRPr="002C0D34" w:rsidRDefault="00AE368A" w:rsidP="0015643C">
            <w:pPr>
              <w:pStyle w:val="NormalWeb"/>
              <w:spacing w:before="0" w:beforeAutospacing="0" w:after="0" w:afterAutospacing="0"/>
              <w:jc w:val="center"/>
              <w:textAlignment w:val="center"/>
              <w:rPr>
                <w:rFonts w:asciiTheme="majorHAnsi" w:hAnsiTheme="majorHAnsi" w:cs="Arial"/>
                <w:b/>
                <w:sz w:val="22"/>
                <w:szCs w:val="22"/>
              </w:rPr>
            </w:pPr>
            <w:r>
              <w:rPr>
                <w:rFonts w:asciiTheme="majorHAnsi" w:hAnsiTheme="majorHAnsi" w:cs="Arial"/>
                <w:b/>
                <w:sz w:val="22"/>
                <w:szCs w:val="22"/>
              </w:rPr>
              <w:t>(-)</w:t>
            </w:r>
            <w:r w:rsidR="00C41847">
              <w:rPr>
                <w:rFonts w:asciiTheme="majorHAnsi" w:hAnsiTheme="majorHAnsi" w:cs="Arial"/>
                <w:b/>
                <w:sz w:val="22"/>
                <w:szCs w:val="22"/>
              </w:rPr>
              <w:t xml:space="preserve"> </w:t>
            </w:r>
            <w:r w:rsidR="00E369B2">
              <w:rPr>
                <w:rFonts w:asciiTheme="majorHAnsi" w:hAnsiTheme="majorHAnsi" w:cs="Arial"/>
                <w:b/>
                <w:sz w:val="22"/>
                <w:szCs w:val="22"/>
              </w:rPr>
              <w:t>160.27</w:t>
            </w:r>
          </w:p>
        </w:tc>
      </w:tr>
    </w:tbl>
    <w:p w14:paraId="08DFD382" w14:textId="2A14C68F" w:rsidR="00AC05CC" w:rsidRDefault="00AC7DBF" w:rsidP="00E76BBD">
      <w:pPr>
        <w:pStyle w:val="BodyText2"/>
        <w:spacing w:before="0" w:after="0"/>
        <w:jc w:val="both"/>
        <w:rPr>
          <w:rFonts w:ascii="Cambria" w:hAnsi="Cambria" w:cs="Arial"/>
          <w:color w:val="000000"/>
          <w:sz w:val="24"/>
          <w:szCs w:val="24"/>
          <w:lang w:val="en-GB"/>
        </w:rPr>
      </w:pPr>
      <w:r w:rsidRPr="00CE68D4">
        <w:rPr>
          <w:rFonts w:ascii="Cambria" w:hAnsi="Cambria" w:cs="Arial"/>
          <w:color w:val="000000"/>
          <w:sz w:val="24"/>
          <w:szCs w:val="24"/>
          <w:lang w:val="en-GB"/>
        </w:rPr>
        <w:tab/>
      </w:r>
    </w:p>
    <w:p w14:paraId="7654B214" w14:textId="48575D5F" w:rsidR="00037AF8" w:rsidRDefault="00EB3D8D" w:rsidP="00826FA6">
      <w:pPr>
        <w:autoSpaceDE w:val="0"/>
        <w:autoSpaceDN w:val="0"/>
        <w:adjustRightInd w:val="0"/>
        <w:spacing w:after="240" w:line="360" w:lineRule="auto"/>
        <w:ind w:left="450"/>
        <w:jc w:val="both"/>
        <w:rPr>
          <w:rFonts w:ascii="Cambria" w:hAnsi="Cambria" w:cs="Arial"/>
          <w:color w:val="000000"/>
          <w:lang w:val="en-GB"/>
        </w:rPr>
      </w:pPr>
      <w:r>
        <w:rPr>
          <w:rFonts w:ascii="Cambria" w:hAnsi="Cambria" w:cs="Arial"/>
          <w:color w:val="000000"/>
          <w:lang w:val="en-GB"/>
        </w:rPr>
        <w:t xml:space="preserve">That, </w:t>
      </w:r>
      <w:r w:rsidR="00E75A03">
        <w:rPr>
          <w:rFonts w:ascii="Cambria" w:hAnsi="Cambria" w:cs="Arial"/>
          <w:color w:val="000000"/>
          <w:lang w:val="en-GB"/>
        </w:rPr>
        <w:t xml:space="preserve">in the above background </w:t>
      </w:r>
      <w:r>
        <w:rPr>
          <w:rFonts w:ascii="Cambria" w:hAnsi="Cambria" w:cs="Arial"/>
          <w:color w:val="000000"/>
          <w:lang w:val="en-GB"/>
        </w:rPr>
        <w:t xml:space="preserve">it is </w:t>
      </w:r>
      <w:r w:rsidR="00037AF8" w:rsidRPr="000B7D3A">
        <w:rPr>
          <w:rFonts w:ascii="Cambria" w:hAnsi="Cambria" w:cs="Arial"/>
          <w:color w:val="000000"/>
          <w:lang w:val="en-GB"/>
        </w:rPr>
        <w:t xml:space="preserve">worth mentioning </w:t>
      </w:r>
      <w:r>
        <w:rPr>
          <w:rFonts w:ascii="Cambria" w:hAnsi="Cambria" w:cs="Arial"/>
          <w:color w:val="000000"/>
          <w:lang w:val="en-GB"/>
        </w:rPr>
        <w:t>that a</w:t>
      </w:r>
      <w:r w:rsidR="00037AF8" w:rsidRPr="000B7D3A">
        <w:rPr>
          <w:rFonts w:ascii="Cambria" w:hAnsi="Cambria" w:cs="Arial"/>
          <w:color w:val="000000"/>
          <w:lang w:val="en-GB"/>
        </w:rPr>
        <w:t>s of now, at existing tariffs,</w:t>
      </w:r>
      <w:r>
        <w:rPr>
          <w:rFonts w:ascii="Cambria" w:hAnsi="Cambria" w:cs="Arial"/>
          <w:color w:val="000000"/>
          <w:lang w:val="en-GB"/>
        </w:rPr>
        <w:t xml:space="preserve"> the </w:t>
      </w:r>
      <w:r w:rsidR="000D5B66">
        <w:rPr>
          <w:rFonts w:ascii="Cambria" w:hAnsi="Cambria" w:cs="Arial"/>
          <w:color w:val="000000"/>
          <w:lang w:val="en-GB"/>
        </w:rPr>
        <w:t>Licensee</w:t>
      </w:r>
      <w:r w:rsidR="00706344">
        <w:rPr>
          <w:rFonts w:ascii="Cambria" w:hAnsi="Cambria" w:cs="Arial"/>
          <w:color w:val="000000"/>
          <w:lang w:val="en-GB"/>
        </w:rPr>
        <w:t xml:space="preserve"> </w:t>
      </w:r>
      <w:r w:rsidR="003B75A8">
        <w:rPr>
          <w:rFonts w:ascii="Cambria" w:hAnsi="Cambria" w:cs="Arial"/>
          <w:color w:val="000000"/>
          <w:lang w:val="en-GB"/>
        </w:rPr>
        <w:t xml:space="preserve">through </w:t>
      </w:r>
      <w:r w:rsidR="00B10049">
        <w:rPr>
          <w:rFonts w:ascii="Cambria" w:hAnsi="Cambria" w:cs="Arial"/>
          <w:color w:val="000000"/>
          <w:lang w:val="en-GB"/>
        </w:rPr>
        <w:t xml:space="preserve">additional sale </w:t>
      </w:r>
      <w:r w:rsidR="00275A41">
        <w:rPr>
          <w:rFonts w:ascii="Cambria" w:hAnsi="Cambria" w:cs="Arial"/>
          <w:color w:val="000000"/>
          <w:lang w:val="en-GB"/>
        </w:rPr>
        <w:t xml:space="preserve">&amp; </w:t>
      </w:r>
      <w:r w:rsidR="004A1805">
        <w:rPr>
          <w:rFonts w:ascii="Cambria" w:hAnsi="Cambria" w:cs="Arial"/>
          <w:color w:val="000000"/>
          <w:lang w:val="en-GB"/>
        </w:rPr>
        <w:t xml:space="preserve">proposed </w:t>
      </w:r>
      <w:r w:rsidR="00F91A57">
        <w:rPr>
          <w:rFonts w:ascii="Cambria" w:hAnsi="Cambria" w:cs="Arial"/>
          <w:color w:val="000000"/>
          <w:lang w:val="en-GB"/>
        </w:rPr>
        <w:t>tariff rational measure</w:t>
      </w:r>
      <w:r w:rsidR="00F65759">
        <w:rPr>
          <w:rFonts w:ascii="Cambria" w:hAnsi="Cambria" w:cs="Arial"/>
          <w:color w:val="000000"/>
          <w:lang w:val="en-GB"/>
        </w:rPr>
        <w:t>s</w:t>
      </w:r>
      <w:r w:rsidR="00F91A57">
        <w:rPr>
          <w:rFonts w:ascii="Cambria" w:hAnsi="Cambria" w:cs="Arial"/>
          <w:color w:val="000000"/>
          <w:lang w:val="en-GB"/>
        </w:rPr>
        <w:t xml:space="preserve"> </w:t>
      </w:r>
      <w:r w:rsidR="004A1805">
        <w:rPr>
          <w:rFonts w:ascii="Cambria" w:hAnsi="Cambria" w:cs="Arial"/>
          <w:color w:val="000000"/>
          <w:lang w:val="en-GB"/>
        </w:rPr>
        <w:t>a</w:t>
      </w:r>
      <w:r w:rsidR="00F65759">
        <w:rPr>
          <w:rFonts w:ascii="Cambria" w:hAnsi="Cambria" w:cs="Arial"/>
          <w:color w:val="000000"/>
          <w:lang w:val="en-GB"/>
        </w:rPr>
        <w:t xml:space="preserve">long with </w:t>
      </w:r>
      <w:r w:rsidR="00AC7DBF">
        <w:rPr>
          <w:rFonts w:ascii="Cambria" w:hAnsi="Cambria" w:cs="Arial"/>
          <w:color w:val="000000"/>
          <w:lang w:val="en-GB"/>
        </w:rPr>
        <w:lastRenderedPageBreak/>
        <w:t xml:space="preserve">surplus from past true ups </w:t>
      </w:r>
      <w:r w:rsidR="003B75A8">
        <w:rPr>
          <w:rFonts w:ascii="Cambria" w:hAnsi="Cambria" w:cs="Arial"/>
          <w:color w:val="000000"/>
          <w:lang w:val="en-GB"/>
        </w:rPr>
        <w:t xml:space="preserve">will meet the </w:t>
      </w:r>
      <w:r w:rsidR="00A12700">
        <w:rPr>
          <w:rFonts w:ascii="Cambria" w:hAnsi="Cambria" w:cs="Arial"/>
          <w:color w:val="000000"/>
          <w:lang w:val="en-GB"/>
        </w:rPr>
        <w:t>required ARR</w:t>
      </w:r>
      <w:r w:rsidR="003B75A8">
        <w:rPr>
          <w:rFonts w:ascii="Cambria" w:hAnsi="Cambria" w:cs="Arial"/>
          <w:color w:val="000000"/>
          <w:lang w:val="en-GB"/>
        </w:rPr>
        <w:t xml:space="preserve"> </w:t>
      </w:r>
      <w:r w:rsidR="003B75A8" w:rsidRPr="00D57861">
        <w:rPr>
          <w:rFonts w:ascii="Cambria" w:hAnsi="Cambria" w:cs="Arial"/>
          <w:color w:val="000000"/>
          <w:lang w:val="en-GB"/>
        </w:rPr>
        <w:t>without any tariff hike.</w:t>
      </w:r>
      <w:r w:rsidR="003B75A8">
        <w:rPr>
          <w:rFonts w:ascii="Cambria" w:hAnsi="Cambria" w:cs="Arial"/>
          <w:color w:val="000000"/>
          <w:lang w:val="en-GB"/>
        </w:rPr>
        <w:t xml:space="preserve"> </w:t>
      </w:r>
      <w:r w:rsidR="002837F3">
        <w:rPr>
          <w:rFonts w:ascii="Cambria" w:hAnsi="Cambria" w:cs="Arial"/>
          <w:color w:val="000000"/>
          <w:lang w:val="en-GB"/>
        </w:rPr>
        <w:t xml:space="preserve">However, Govt support and subsidy if any </w:t>
      </w:r>
      <w:r w:rsidR="000D5B62">
        <w:rPr>
          <w:rFonts w:ascii="Cambria" w:hAnsi="Cambria" w:cs="Arial"/>
          <w:color w:val="000000"/>
          <w:lang w:val="en-GB"/>
        </w:rPr>
        <w:t xml:space="preserve">shall </w:t>
      </w:r>
      <w:r w:rsidR="005F7245">
        <w:rPr>
          <w:rFonts w:ascii="Cambria" w:hAnsi="Cambria" w:cs="Arial"/>
          <w:color w:val="000000"/>
          <w:lang w:val="en-GB"/>
        </w:rPr>
        <w:t xml:space="preserve">be an additional help </w:t>
      </w:r>
      <w:r w:rsidR="004C4DC8">
        <w:rPr>
          <w:rFonts w:ascii="Cambria" w:hAnsi="Cambria" w:cs="Arial"/>
          <w:color w:val="000000"/>
          <w:lang w:val="en-GB"/>
        </w:rPr>
        <w:t xml:space="preserve">&amp; </w:t>
      </w:r>
      <w:r w:rsidR="005F7245">
        <w:rPr>
          <w:rFonts w:ascii="Cambria" w:hAnsi="Cambria" w:cs="Arial"/>
          <w:color w:val="000000"/>
          <w:lang w:val="en-GB"/>
        </w:rPr>
        <w:t>will be passed on to the consumer</w:t>
      </w:r>
      <w:r w:rsidR="00197C95">
        <w:rPr>
          <w:rFonts w:ascii="Cambria" w:hAnsi="Cambria" w:cs="Arial"/>
          <w:color w:val="000000"/>
          <w:lang w:val="en-GB"/>
        </w:rPr>
        <w:t>.</w:t>
      </w:r>
    </w:p>
    <w:p w14:paraId="49C1FD46" w14:textId="77777777" w:rsidR="00124794" w:rsidRPr="00124794" w:rsidRDefault="00037AF8" w:rsidP="00124794">
      <w:pPr>
        <w:numPr>
          <w:ilvl w:val="1"/>
          <w:numId w:val="2"/>
        </w:numPr>
        <w:autoSpaceDE w:val="0"/>
        <w:autoSpaceDN w:val="0"/>
        <w:adjustRightInd w:val="0"/>
        <w:spacing w:line="360" w:lineRule="auto"/>
        <w:jc w:val="both"/>
        <w:rPr>
          <w:rFonts w:ascii="Cambria" w:hAnsi="Cambria" w:cs="Arial"/>
          <w:color w:val="000000"/>
          <w:lang w:val="en-GB"/>
        </w:rPr>
      </w:pPr>
      <w:r w:rsidRPr="00124794">
        <w:rPr>
          <w:rFonts w:ascii="Cambria" w:hAnsi="Cambria" w:cs="Arial"/>
          <w:b/>
          <w:bCs/>
          <w:color w:val="000000"/>
        </w:rPr>
        <w:t>Prayer</w:t>
      </w:r>
    </w:p>
    <w:p w14:paraId="0E44CBD3" w14:textId="6127AA6D" w:rsidR="00037AF8" w:rsidRPr="00124794" w:rsidRDefault="00037AF8" w:rsidP="00124794">
      <w:pPr>
        <w:autoSpaceDE w:val="0"/>
        <w:autoSpaceDN w:val="0"/>
        <w:adjustRightInd w:val="0"/>
        <w:spacing w:line="360" w:lineRule="auto"/>
        <w:ind w:left="360"/>
        <w:jc w:val="both"/>
        <w:rPr>
          <w:rFonts w:ascii="Cambria" w:hAnsi="Cambria" w:cs="Arial"/>
          <w:color w:val="000000"/>
          <w:lang w:val="en-GB"/>
        </w:rPr>
      </w:pPr>
      <w:r w:rsidRPr="00124794">
        <w:rPr>
          <w:rFonts w:ascii="Cambria" w:hAnsi="Cambria" w:cs="Arial"/>
          <w:color w:val="000000"/>
          <w:lang w:val="en-GB"/>
        </w:rPr>
        <w:t xml:space="preserve">In the aforesaid facts and circumstances, the </w:t>
      </w:r>
      <w:r w:rsidR="006C38E9" w:rsidRPr="00124794">
        <w:rPr>
          <w:rFonts w:ascii="Cambria" w:hAnsi="Cambria" w:cs="Arial"/>
          <w:color w:val="000000"/>
          <w:lang w:val="en-GB"/>
        </w:rPr>
        <w:t>utility</w:t>
      </w:r>
      <w:r w:rsidRPr="00124794">
        <w:rPr>
          <w:rFonts w:ascii="Cambria" w:hAnsi="Cambria" w:cs="Arial"/>
          <w:color w:val="000000"/>
          <w:lang w:val="en-GB"/>
        </w:rPr>
        <w:t xml:space="preserve"> prays that the Hon’ble Commission may be pleased to:</w:t>
      </w:r>
    </w:p>
    <w:p w14:paraId="1F84A891" w14:textId="1D9A959E" w:rsidR="00B67203" w:rsidRPr="00D71140" w:rsidRDefault="00B67203" w:rsidP="00124794">
      <w:pPr>
        <w:numPr>
          <w:ilvl w:val="0"/>
          <w:numId w:val="3"/>
        </w:numPr>
        <w:autoSpaceDE w:val="0"/>
        <w:autoSpaceDN w:val="0"/>
        <w:adjustRightInd w:val="0"/>
        <w:spacing w:line="360" w:lineRule="auto"/>
        <w:jc w:val="both"/>
        <w:rPr>
          <w:rFonts w:ascii="Cambria" w:hAnsi="Cambria" w:cs="Arial"/>
          <w:color w:val="000000"/>
          <w:lang w:val="en-GB"/>
        </w:rPr>
      </w:pPr>
      <w:r w:rsidRPr="00D71140">
        <w:rPr>
          <w:rFonts w:ascii="Cambria" w:hAnsi="Cambria" w:cs="Arial"/>
          <w:color w:val="000000"/>
          <w:lang w:val="en-GB"/>
        </w:rPr>
        <w:t>Take the ARR application and Tariff Petition on record.</w:t>
      </w:r>
    </w:p>
    <w:p w14:paraId="3F437E2B" w14:textId="25924B14" w:rsidR="00B67203" w:rsidRPr="00D71140" w:rsidRDefault="00B67203" w:rsidP="00B67203">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 xml:space="preserve">Approve the </w:t>
      </w:r>
      <w:r w:rsidRPr="00D71140">
        <w:rPr>
          <w:rFonts w:ascii="Cambria" w:hAnsi="Cambria" w:cs="Arial"/>
          <w:color w:val="000000"/>
          <w:lang w:val="en-GB"/>
        </w:rPr>
        <w:t xml:space="preserve">Aggregate Revenue Requirement for FY </w:t>
      </w:r>
      <w:r w:rsidR="009A0E63">
        <w:rPr>
          <w:rFonts w:ascii="Cambria" w:hAnsi="Cambria" w:cs="Arial"/>
          <w:color w:val="000000"/>
          <w:lang w:val="en-GB"/>
        </w:rPr>
        <w:t>2026-27</w:t>
      </w:r>
      <w:r w:rsidRPr="00D71140">
        <w:rPr>
          <w:rFonts w:ascii="Cambria" w:hAnsi="Cambria" w:cs="Arial"/>
          <w:color w:val="000000"/>
          <w:lang w:val="en-GB"/>
        </w:rPr>
        <w:t>.</w:t>
      </w:r>
    </w:p>
    <w:p w14:paraId="1B4C1A01" w14:textId="4F25ADF2" w:rsidR="00B67203" w:rsidRPr="00A20854" w:rsidRDefault="00B67203" w:rsidP="00DF32ED">
      <w:pPr>
        <w:numPr>
          <w:ilvl w:val="0"/>
          <w:numId w:val="3"/>
        </w:numPr>
        <w:autoSpaceDE w:val="0"/>
        <w:autoSpaceDN w:val="0"/>
        <w:adjustRightInd w:val="0"/>
        <w:spacing w:line="360" w:lineRule="auto"/>
        <w:jc w:val="both"/>
        <w:rPr>
          <w:rFonts w:ascii="Cambria" w:hAnsi="Cambria" w:cs="Arial"/>
          <w:b/>
          <w:u w:val="single"/>
          <w:lang w:val="en-GB"/>
        </w:rPr>
      </w:pPr>
      <w:r w:rsidRPr="00DF32ED">
        <w:rPr>
          <w:rFonts w:ascii="Cambria" w:hAnsi="Cambria" w:cs="Arial"/>
          <w:color w:val="000000" w:themeColor="text1"/>
          <w:lang w:val="en-GB"/>
        </w:rPr>
        <w:t xml:space="preserve">Allow additional </w:t>
      </w:r>
      <w:r w:rsidR="00E859B0" w:rsidRPr="00DF32ED">
        <w:rPr>
          <w:rFonts w:ascii="Cambria" w:hAnsi="Cambria" w:cs="Arial"/>
          <w:color w:val="000000" w:themeColor="text1"/>
          <w:lang w:val="en-GB"/>
        </w:rPr>
        <w:t xml:space="preserve">cost for </w:t>
      </w:r>
      <w:r w:rsidRPr="00DF32ED">
        <w:rPr>
          <w:rFonts w:ascii="Cambria" w:hAnsi="Cambria" w:cs="Arial"/>
          <w:color w:val="000000" w:themeColor="text1"/>
          <w:lang w:val="en-GB"/>
        </w:rPr>
        <w:t xml:space="preserve">special drive for the ensuing year FY </w:t>
      </w:r>
      <w:r w:rsidR="009A0E63" w:rsidRPr="00DF32ED">
        <w:rPr>
          <w:rFonts w:ascii="Cambria" w:hAnsi="Cambria" w:cs="Arial"/>
          <w:color w:val="000000" w:themeColor="text1"/>
          <w:lang w:val="en-GB"/>
        </w:rPr>
        <w:t>2026-27</w:t>
      </w:r>
      <w:r w:rsidRPr="00DF32ED">
        <w:rPr>
          <w:rFonts w:ascii="Cambria" w:hAnsi="Cambria" w:cs="Arial"/>
          <w:color w:val="000000" w:themeColor="text1"/>
          <w:lang w:val="en-GB"/>
        </w:rPr>
        <w:t xml:space="preserve"> out of surplus revenue generated from earlier years along with efficiency gain and additional sale though proposed tariff rationalisation measures without burdening the consumer of the state assuming no increase in BS</w:t>
      </w:r>
      <w:r w:rsidR="007079F7" w:rsidRPr="00DF32ED">
        <w:rPr>
          <w:rFonts w:ascii="Cambria" w:hAnsi="Cambria" w:cs="Arial"/>
          <w:color w:val="000000" w:themeColor="text1"/>
          <w:lang w:val="en-GB"/>
        </w:rPr>
        <w:t>P</w:t>
      </w:r>
      <w:r w:rsidRPr="00DF32ED">
        <w:rPr>
          <w:rFonts w:ascii="Cambria" w:hAnsi="Cambria" w:cs="Arial"/>
          <w:color w:val="000000" w:themeColor="text1"/>
          <w:lang w:val="en-GB"/>
        </w:rPr>
        <w:t xml:space="preserve"> &amp; Transmission charges. </w:t>
      </w:r>
    </w:p>
    <w:p w14:paraId="7FC74541" w14:textId="74AA9521" w:rsidR="00A20854" w:rsidRPr="00A20854" w:rsidRDefault="00A20854" w:rsidP="00EC121F">
      <w:pPr>
        <w:numPr>
          <w:ilvl w:val="0"/>
          <w:numId w:val="3"/>
        </w:numPr>
        <w:autoSpaceDE w:val="0"/>
        <w:autoSpaceDN w:val="0"/>
        <w:adjustRightInd w:val="0"/>
        <w:spacing w:line="360" w:lineRule="auto"/>
        <w:jc w:val="both"/>
        <w:rPr>
          <w:rFonts w:ascii="Cambria" w:hAnsi="Cambria" w:cs="Arial"/>
          <w:lang w:val="en-GB"/>
        </w:rPr>
      </w:pPr>
      <w:r w:rsidRPr="00A20854">
        <w:rPr>
          <w:rFonts w:ascii="Cambria" w:hAnsi="Cambria" w:cs="Arial"/>
          <w:lang w:val="en-GB"/>
        </w:rPr>
        <w:t xml:space="preserve">The Government of India has </w:t>
      </w:r>
      <w:r>
        <w:rPr>
          <w:rFonts w:ascii="Cambria" w:hAnsi="Cambria" w:cs="Arial"/>
          <w:lang w:val="en-GB"/>
        </w:rPr>
        <w:t xml:space="preserve">recently </w:t>
      </w:r>
      <w:r w:rsidRPr="00A20854">
        <w:rPr>
          <w:rFonts w:ascii="Cambria" w:hAnsi="Cambria" w:cs="Arial"/>
          <w:lang w:val="en-GB"/>
        </w:rPr>
        <w:t>announced the implementation of the four Labour Codes</w:t>
      </w:r>
      <w:r>
        <w:rPr>
          <w:rFonts w:ascii="Cambria" w:hAnsi="Cambria" w:cs="Arial"/>
          <w:lang w:val="en-GB"/>
        </w:rPr>
        <w:t xml:space="preserve"> namely -</w:t>
      </w:r>
      <w:r w:rsidRPr="00A20854">
        <w:rPr>
          <w:rFonts w:ascii="Cambria" w:hAnsi="Cambria" w:cs="Arial"/>
          <w:lang w:val="en-GB"/>
        </w:rPr>
        <w:t xml:space="preserve"> the Code on Wages, 2019, the Industrial Relations Code, 2020, the Code on Social Security, 2020 and the Occupational Safety, Health and Working Conditions Code, 2020 with effect from 21st November 2025, rationalising 29 existing labour laws. In our estimate proposed in this instant petition, we have not taken its impact. The Hon’ble Commission may kindly allow the impact on account of this uncontrollable factor (change in law) by way of additional allowance (beyond normative allowance) at time of truing up.</w:t>
      </w:r>
    </w:p>
    <w:p w14:paraId="738EF7CD" w14:textId="77777777" w:rsidR="00A20854" w:rsidRPr="00DF32ED" w:rsidRDefault="00A20854" w:rsidP="00A20854">
      <w:pPr>
        <w:autoSpaceDE w:val="0"/>
        <w:autoSpaceDN w:val="0"/>
        <w:adjustRightInd w:val="0"/>
        <w:spacing w:line="360" w:lineRule="auto"/>
        <w:ind w:left="1080"/>
        <w:jc w:val="both"/>
        <w:rPr>
          <w:rFonts w:ascii="Cambria" w:hAnsi="Cambria" w:cs="Arial"/>
          <w:b/>
          <w:u w:val="single"/>
          <w:lang w:val="en-GB"/>
        </w:rPr>
      </w:pPr>
    </w:p>
    <w:p w14:paraId="518E5ECC" w14:textId="2FF5CDFE" w:rsidR="00B67203" w:rsidRPr="001F21DF" w:rsidRDefault="00B67203" w:rsidP="00B67203">
      <w:pPr>
        <w:autoSpaceDE w:val="0"/>
        <w:autoSpaceDN w:val="0"/>
        <w:adjustRightInd w:val="0"/>
        <w:spacing w:after="240" w:line="276" w:lineRule="auto"/>
        <w:ind w:left="1080"/>
        <w:jc w:val="both"/>
        <w:rPr>
          <w:rFonts w:ascii="Cambria" w:hAnsi="Cambria" w:cs="Arial"/>
          <w:b/>
          <w:u w:val="single"/>
          <w:lang w:val="en-GB"/>
        </w:rPr>
      </w:pPr>
      <w:r w:rsidRPr="001F21DF">
        <w:rPr>
          <w:rFonts w:ascii="Cambria" w:hAnsi="Cambria" w:cs="Arial"/>
          <w:b/>
          <w:u w:val="single"/>
          <w:lang w:val="en-GB"/>
        </w:rPr>
        <w:t>Allow the following Tariff rationalisation measures as proposed w.r.t consumer benefit schemes:</w:t>
      </w:r>
    </w:p>
    <w:p w14:paraId="5DD7880E" w14:textId="533A68B1" w:rsidR="00B67203" w:rsidRPr="001F21DF" w:rsidRDefault="001F21DF" w:rsidP="001972DE">
      <w:pPr>
        <w:pStyle w:val="ListParagraph"/>
        <w:numPr>
          <w:ilvl w:val="0"/>
          <w:numId w:val="41"/>
        </w:numPr>
        <w:spacing w:after="160" w:line="360" w:lineRule="auto"/>
        <w:ind w:left="1560"/>
        <w:jc w:val="both"/>
        <w:rPr>
          <w:rFonts w:asciiTheme="majorHAnsi" w:hAnsiTheme="majorHAnsi"/>
          <w:sz w:val="24"/>
          <w:szCs w:val="24"/>
        </w:rPr>
      </w:pPr>
      <w:r>
        <w:rPr>
          <w:rFonts w:asciiTheme="majorHAnsi" w:hAnsiTheme="majorHAnsi"/>
          <w:sz w:val="24"/>
          <w:szCs w:val="24"/>
        </w:rPr>
        <w:t>Digital rebate of 4% for LT Domestic, LT GP Single phase &amp; Single-phase irrigation consumers.</w:t>
      </w:r>
    </w:p>
    <w:p w14:paraId="308B7A05" w14:textId="4ED60B9B" w:rsidR="00B67203" w:rsidRPr="001F21DF" w:rsidRDefault="001F21DF" w:rsidP="001972DE">
      <w:pPr>
        <w:pStyle w:val="ListParagraph"/>
        <w:numPr>
          <w:ilvl w:val="0"/>
          <w:numId w:val="41"/>
        </w:numPr>
        <w:spacing w:after="160" w:line="360" w:lineRule="auto"/>
        <w:ind w:left="1560"/>
        <w:jc w:val="both"/>
        <w:rPr>
          <w:rFonts w:asciiTheme="majorHAnsi" w:hAnsiTheme="majorHAnsi"/>
          <w:sz w:val="24"/>
          <w:szCs w:val="24"/>
        </w:rPr>
      </w:pPr>
      <w:r>
        <w:rPr>
          <w:rFonts w:asciiTheme="majorHAnsi" w:hAnsiTheme="majorHAnsi"/>
          <w:sz w:val="24"/>
          <w:szCs w:val="24"/>
        </w:rPr>
        <w:t xml:space="preserve">Discount of 10 </w:t>
      </w:r>
      <w:proofErr w:type="spellStart"/>
      <w:r>
        <w:rPr>
          <w:rFonts w:asciiTheme="majorHAnsi" w:hAnsiTheme="majorHAnsi"/>
          <w:sz w:val="24"/>
          <w:szCs w:val="24"/>
        </w:rPr>
        <w:t>paise</w:t>
      </w:r>
      <w:proofErr w:type="spellEnd"/>
      <w:r>
        <w:rPr>
          <w:rFonts w:asciiTheme="majorHAnsi" w:hAnsiTheme="majorHAnsi"/>
          <w:sz w:val="24"/>
          <w:szCs w:val="24"/>
        </w:rPr>
        <w:t xml:space="preserve"> to Domestic Rural Consumers if consumed on actual meter reading.</w:t>
      </w:r>
    </w:p>
    <w:p w14:paraId="71D4F219" w14:textId="3444AC17" w:rsidR="00B67203" w:rsidRPr="001F21DF" w:rsidRDefault="00B67203" w:rsidP="001972DE">
      <w:pPr>
        <w:pStyle w:val="ListParagraph"/>
        <w:numPr>
          <w:ilvl w:val="0"/>
          <w:numId w:val="41"/>
        </w:numPr>
        <w:spacing w:after="160" w:line="360" w:lineRule="auto"/>
        <w:ind w:left="1560"/>
        <w:jc w:val="both"/>
        <w:rPr>
          <w:rFonts w:asciiTheme="majorHAnsi" w:hAnsiTheme="majorHAnsi"/>
          <w:sz w:val="24"/>
          <w:szCs w:val="24"/>
        </w:rPr>
      </w:pPr>
      <w:r w:rsidRPr="001F21DF">
        <w:rPr>
          <w:rFonts w:asciiTheme="majorHAnsi" w:hAnsiTheme="majorHAnsi"/>
          <w:sz w:val="24"/>
          <w:szCs w:val="24"/>
        </w:rPr>
        <w:t>L</w:t>
      </w:r>
      <w:r w:rsidR="001F21DF">
        <w:rPr>
          <w:rFonts w:asciiTheme="majorHAnsi" w:hAnsiTheme="majorHAnsi"/>
          <w:sz w:val="24"/>
          <w:szCs w:val="24"/>
        </w:rPr>
        <w:t>evy of CSS on RE Power</w:t>
      </w:r>
    </w:p>
    <w:p w14:paraId="291A5761" w14:textId="77777777" w:rsidR="001F21DF" w:rsidRDefault="001F21DF" w:rsidP="001F21DF">
      <w:pPr>
        <w:pStyle w:val="ListParagraph"/>
        <w:numPr>
          <w:ilvl w:val="0"/>
          <w:numId w:val="41"/>
        </w:numPr>
        <w:spacing w:after="160" w:line="360" w:lineRule="auto"/>
        <w:ind w:left="1560"/>
        <w:jc w:val="both"/>
        <w:rPr>
          <w:rFonts w:asciiTheme="majorHAnsi" w:hAnsiTheme="majorHAnsi"/>
          <w:sz w:val="24"/>
          <w:szCs w:val="24"/>
        </w:rPr>
      </w:pPr>
      <w:r w:rsidRPr="001F21DF">
        <w:rPr>
          <w:rFonts w:asciiTheme="majorHAnsi" w:hAnsiTheme="majorHAnsi"/>
          <w:sz w:val="24"/>
          <w:szCs w:val="24"/>
        </w:rPr>
        <w:t>Special tariff to steel industries at 33 kV level without having CGP.</w:t>
      </w:r>
    </w:p>
    <w:p w14:paraId="0DFC2E61" w14:textId="7A69F187" w:rsidR="00B67203" w:rsidRPr="001F21DF" w:rsidRDefault="001F21DF" w:rsidP="001F21DF">
      <w:pPr>
        <w:pStyle w:val="ListParagraph"/>
        <w:numPr>
          <w:ilvl w:val="0"/>
          <w:numId w:val="41"/>
        </w:numPr>
        <w:spacing w:after="160" w:line="360" w:lineRule="auto"/>
        <w:ind w:left="1560"/>
        <w:jc w:val="both"/>
        <w:rPr>
          <w:rFonts w:asciiTheme="majorHAnsi" w:hAnsiTheme="majorHAnsi"/>
          <w:sz w:val="24"/>
          <w:szCs w:val="24"/>
        </w:rPr>
      </w:pPr>
      <w:r>
        <w:rPr>
          <w:rFonts w:asciiTheme="majorHAnsi" w:hAnsiTheme="majorHAnsi"/>
          <w:sz w:val="24"/>
          <w:szCs w:val="24"/>
        </w:rPr>
        <w:t xml:space="preserve">Continuity of Special tariff for industries having CGP with CD up to 20 MW to avail up to double the CD without levy of over </w:t>
      </w:r>
      <w:proofErr w:type="spellStart"/>
      <w:r>
        <w:rPr>
          <w:rFonts w:asciiTheme="majorHAnsi" w:hAnsiTheme="majorHAnsi"/>
          <w:sz w:val="24"/>
          <w:szCs w:val="24"/>
        </w:rPr>
        <w:t>drawal</w:t>
      </w:r>
      <w:proofErr w:type="spellEnd"/>
      <w:r>
        <w:rPr>
          <w:rFonts w:asciiTheme="majorHAnsi" w:hAnsiTheme="majorHAnsi"/>
          <w:sz w:val="24"/>
          <w:szCs w:val="24"/>
        </w:rPr>
        <w:t xml:space="preserve"> penalty. But the licensee shall have to operate within the approved SMD in such cases. In </w:t>
      </w:r>
      <w:r>
        <w:rPr>
          <w:rFonts w:asciiTheme="majorHAnsi" w:hAnsiTheme="majorHAnsi"/>
          <w:sz w:val="24"/>
          <w:szCs w:val="24"/>
        </w:rPr>
        <w:lastRenderedPageBreak/>
        <w:t>addition to this, an industry availing this benefit shall not be permitted to avail the benefit of another scheme.</w:t>
      </w:r>
    </w:p>
    <w:p w14:paraId="1E8C0752" w14:textId="65CAD267" w:rsidR="00B67203" w:rsidRPr="001F21DF" w:rsidRDefault="001F21DF" w:rsidP="001972DE">
      <w:pPr>
        <w:pStyle w:val="ListParagraph"/>
        <w:numPr>
          <w:ilvl w:val="0"/>
          <w:numId w:val="41"/>
        </w:numPr>
        <w:spacing w:after="160" w:line="360" w:lineRule="auto"/>
        <w:ind w:left="1560"/>
        <w:jc w:val="both"/>
        <w:rPr>
          <w:rFonts w:asciiTheme="majorHAnsi" w:hAnsiTheme="majorHAnsi"/>
          <w:sz w:val="24"/>
          <w:szCs w:val="24"/>
        </w:rPr>
      </w:pPr>
      <w:r>
        <w:rPr>
          <w:rFonts w:asciiTheme="majorHAnsi" w:hAnsiTheme="majorHAnsi"/>
          <w:sz w:val="24"/>
          <w:szCs w:val="24"/>
        </w:rPr>
        <w:t xml:space="preserve">Special tariff for existing industries having CGP with CD&gt;20 MW with minimum offtake 60% of </w:t>
      </w:r>
      <w:r w:rsidR="00855C4E">
        <w:rPr>
          <w:rFonts w:asciiTheme="majorHAnsi" w:hAnsiTheme="majorHAnsi"/>
          <w:sz w:val="24"/>
          <w:szCs w:val="24"/>
        </w:rPr>
        <w:t>existing CD with TPA among GRIDCO, DISCOM &amp; Consumer with certain modifications as suggested in the proposal considering business requirement.</w:t>
      </w:r>
      <w:r w:rsidR="00B67203" w:rsidRPr="001F21DF">
        <w:rPr>
          <w:rFonts w:asciiTheme="majorHAnsi" w:hAnsiTheme="majorHAnsi"/>
          <w:sz w:val="24"/>
          <w:szCs w:val="24"/>
        </w:rPr>
        <w:t xml:space="preserve"> </w:t>
      </w:r>
    </w:p>
    <w:p w14:paraId="7D01A496" w14:textId="624A580D" w:rsidR="00B67203" w:rsidRDefault="00855C4E" w:rsidP="001972DE">
      <w:pPr>
        <w:pStyle w:val="ListParagraph"/>
        <w:numPr>
          <w:ilvl w:val="0"/>
          <w:numId w:val="41"/>
        </w:numPr>
        <w:spacing w:after="160" w:line="360" w:lineRule="auto"/>
        <w:ind w:left="1560"/>
        <w:jc w:val="both"/>
        <w:rPr>
          <w:rFonts w:asciiTheme="majorHAnsi" w:hAnsiTheme="majorHAnsi"/>
          <w:sz w:val="24"/>
          <w:szCs w:val="24"/>
        </w:rPr>
      </w:pPr>
      <w:r>
        <w:rPr>
          <w:rFonts w:asciiTheme="majorHAnsi" w:hAnsiTheme="majorHAnsi"/>
          <w:sz w:val="24"/>
          <w:szCs w:val="24"/>
        </w:rPr>
        <w:t xml:space="preserve">Continuity of Special tariff for industries without CGP at 33 kV level with CD up to 10 MVA to avail up to double the CD without levy of over </w:t>
      </w:r>
      <w:proofErr w:type="spellStart"/>
      <w:r>
        <w:rPr>
          <w:rFonts w:asciiTheme="majorHAnsi" w:hAnsiTheme="majorHAnsi"/>
          <w:sz w:val="24"/>
          <w:szCs w:val="24"/>
        </w:rPr>
        <w:t>drawal</w:t>
      </w:r>
      <w:proofErr w:type="spellEnd"/>
      <w:r>
        <w:rPr>
          <w:rFonts w:asciiTheme="majorHAnsi" w:hAnsiTheme="majorHAnsi"/>
          <w:sz w:val="24"/>
          <w:szCs w:val="24"/>
        </w:rPr>
        <w:t xml:space="preserve"> penalty. But the licensee shall have to operate within the approved SMD in such cases. In addition to this, an Industry availing this benefit shall not be permitted to avail the benefit of another scheme including </w:t>
      </w:r>
      <w:proofErr w:type="spellStart"/>
      <w:r>
        <w:rPr>
          <w:rFonts w:asciiTheme="majorHAnsi" w:hAnsiTheme="majorHAnsi"/>
          <w:sz w:val="24"/>
          <w:szCs w:val="24"/>
        </w:rPr>
        <w:t>drawal</w:t>
      </w:r>
      <w:proofErr w:type="spellEnd"/>
      <w:r>
        <w:rPr>
          <w:rFonts w:asciiTheme="majorHAnsi" w:hAnsiTheme="majorHAnsi"/>
          <w:sz w:val="24"/>
          <w:szCs w:val="24"/>
        </w:rPr>
        <w:t xml:space="preserve"> in O</w:t>
      </w:r>
      <w:r w:rsidR="00C41847">
        <w:rPr>
          <w:rFonts w:asciiTheme="majorHAnsi" w:hAnsiTheme="majorHAnsi"/>
          <w:sz w:val="24"/>
          <w:szCs w:val="24"/>
        </w:rPr>
        <w:t>A</w:t>
      </w:r>
      <w:r>
        <w:rPr>
          <w:rFonts w:asciiTheme="majorHAnsi" w:hAnsiTheme="majorHAnsi"/>
          <w:sz w:val="24"/>
          <w:szCs w:val="24"/>
        </w:rPr>
        <w:t>.</w:t>
      </w:r>
    </w:p>
    <w:p w14:paraId="4AFD903F" w14:textId="5E555CCD" w:rsidR="00855C4E" w:rsidRPr="001F21DF" w:rsidRDefault="00855C4E" w:rsidP="001972DE">
      <w:pPr>
        <w:pStyle w:val="ListParagraph"/>
        <w:numPr>
          <w:ilvl w:val="0"/>
          <w:numId w:val="41"/>
        </w:numPr>
        <w:spacing w:after="160" w:line="360" w:lineRule="auto"/>
        <w:ind w:left="1560"/>
        <w:jc w:val="both"/>
        <w:rPr>
          <w:rFonts w:asciiTheme="majorHAnsi" w:hAnsiTheme="majorHAnsi"/>
          <w:sz w:val="24"/>
          <w:szCs w:val="24"/>
        </w:rPr>
      </w:pPr>
      <w:r>
        <w:rPr>
          <w:rFonts w:asciiTheme="majorHAnsi" w:hAnsiTheme="majorHAnsi"/>
          <w:sz w:val="24"/>
          <w:szCs w:val="24"/>
        </w:rPr>
        <w:t xml:space="preserve">Continuation of Green Tariff (GTP) Mechanism </w:t>
      </w:r>
    </w:p>
    <w:p w14:paraId="2C40CB4B" w14:textId="77777777" w:rsidR="00855C4E" w:rsidRDefault="00855C4E" w:rsidP="00BB4B4C">
      <w:pPr>
        <w:pStyle w:val="ListParagraph"/>
        <w:numPr>
          <w:ilvl w:val="0"/>
          <w:numId w:val="41"/>
        </w:numPr>
        <w:spacing w:after="160" w:line="360" w:lineRule="auto"/>
        <w:ind w:left="1560"/>
        <w:jc w:val="both"/>
        <w:rPr>
          <w:rFonts w:asciiTheme="majorHAnsi" w:hAnsiTheme="majorHAnsi"/>
          <w:sz w:val="24"/>
          <w:szCs w:val="24"/>
        </w:rPr>
      </w:pPr>
      <w:r w:rsidRPr="00855C4E">
        <w:rPr>
          <w:rFonts w:asciiTheme="majorHAnsi" w:hAnsiTheme="majorHAnsi"/>
          <w:sz w:val="24"/>
          <w:szCs w:val="24"/>
        </w:rPr>
        <w:t>E-bill rebate of Rs. 10. Per bill.</w:t>
      </w:r>
    </w:p>
    <w:p w14:paraId="5B76DE41" w14:textId="77777777" w:rsidR="00855C4E" w:rsidRDefault="00855C4E" w:rsidP="00BB4B4C">
      <w:pPr>
        <w:pStyle w:val="ListParagraph"/>
        <w:numPr>
          <w:ilvl w:val="0"/>
          <w:numId w:val="41"/>
        </w:numPr>
        <w:spacing w:after="160" w:line="360" w:lineRule="auto"/>
        <w:ind w:left="1560"/>
        <w:jc w:val="both"/>
        <w:rPr>
          <w:rFonts w:asciiTheme="majorHAnsi" w:hAnsiTheme="majorHAnsi"/>
          <w:sz w:val="24"/>
          <w:szCs w:val="24"/>
        </w:rPr>
      </w:pPr>
      <w:r>
        <w:rPr>
          <w:rFonts w:asciiTheme="majorHAnsi" w:hAnsiTheme="majorHAnsi"/>
          <w:sz w:val="24"/>
          <w:szCs w:val="24"/>
        </w:rPr>
        <w:t>Proposal for simplification of fixed charges i.e. MMFC.</w:t>
      </w:r>
    </w:p>
    <w:p w14:paraId="047DABC5" w14:textId="77777777" w:rsidR="00855C4E" w:rsidRDefault="00855C4E" w:rsidP="00BB4B4C">
      <w:pPr>
        <w:pStyle w:val="ListParagraph"/>
        <w:numPr>
          <w:ilvl w:val="0"/>
          <w:numId w:val="41"/>
        </w:numPr>
        <w:spacing w:after="160" w:line="360" w:lineRule="auto"/>
        <w:ind w:left="1560"/>
        <w:jc w:val="both"/>
        <w:rPr>
          <w:rFonts w:asciiTheme="majorHAnsi" w:hAnsiTheme="majorHAnsi"/>
          <w:sz w:val="24"/>
          <w:szCs w:val="24"/>
        </w:rPr>
      </w:pPr>
      <w:r>
        <w:rPr>
          <w:rFonts w:asciiTheme="majorHAnsi" w:hAnsiTheme="majorHAnsi"/>
          <w:sz w:val="24"/>
          <w:szCs w:val="24"/>
        </w:rPr>
        <w:t>DPS on electricity bills.</w:t>
      </w:r>
    </w:p>
    <w:p w14:paraId="413398AD" w14:textId="77777777" w:rsidR="00855C4E" w:rsidRDefault="00855C4E" w:rsidP="00BB4B4C">
      <w:pPr>
        <w:pStyle w:val="ListParagraph"/>
        <w:numPr>
          <w:ilvl w:val="0"/>
          <w:numId w:val="41"/>
        </w:numPr>
        <w:spacing w:after="160" w:line="360" w:lineRule="auto"/>
        <w:ind w:left="1560"/>
        <w:jc w:val="both"/>
        <w:rPr>
          <w:rFonts w:asciiTheme="majorHAnsi" w:hAnsiTheme="majorHAnsi"/>
          <w:sz w:val="24"/>
          <w:szCs w:val="24"/>
        </w:rPr>
      </w:pPr>
      <w:r>
        <w:rPr>
          <w:rFonts w:asciiTheme="majorHAnsi" w:hAnsiTheme="majorHAnsi"/>
          <w:sz w:val="24"/>
          <w:szCs w:val="24"/>
        </w:rPr>
        <w:t>Sale of intermittent surplus power under TPA arrangement with minimum offtake of 60% CD.</w:t>
      </w:r>
    </w:p>
    <w:p w14:paraId="2F18D5A4" w14:textId="77777777" w:rsidR="00855C4E" w:rsidRDefault="00855C4E" w:rsidP="00BB4B4C">
      <w:pPr>
        <w:pStyle w:val="ListParagraph"/>
        <w:numPr>
          <w:ilvl w:val="0"/>
          <w:numId w:val="41"/>
        </w:numPr>
        <w:spacing w:after="160" w:line="360" w:lineRule="auto"/>
        <w:ind w:left="1560"/>
        <w:jc w:val="both"/>
        <w:rPr>
          <w:rFonts w:asciiTheme="majorHAnsi" w:hAnsiTheme="majorHAnsi"/>
          <w:sz w:val="24"/>
          <w:szCs w:val="24"/>
        </w:rPr>
      </w:pPr>
      <w:r>
        <w:rPr>
          <w:rFonts w:asciiTheme="majorHAnsi" w:hAnsiTheme="majorHAnsi"/>
          <w:sz w:val="24"/>
          <w:szCs w:val="24"/>
        </w:rPr>
        <w:t>Re-structuring of TOD based RST for Open Access / CGP Consumers.</w:t>
      </w:r>
    </w:p>
    <w:p w14:paraId="0A1B3F8F" w14:textId="77777777" w:rsidR="00855C4E" w:rsidRDefault="00855C4E" w:rsidP="00BB4B4C">
      <w:pPr>
        <w:pStyle w:val="ListParagraph"/>
        <w:numPr>
          <w:ilvl w:val="0"/>
          <w:numId w:val="41"/>
        </w:numPr>
        <w:spacing w:after="160" w:line="360" w:lineRule="auto"/>
        <w:ind w:left="1560"/>
        <w:jc w:val="both"/>
        <w:rPr>
          <w:rFonts w:asciiTheme="majorHAnsi" w:hAnsiTheme="majorHAnsi"/>
          <w:sz w:val="24"/>
          <w:szCs w:val="24"/>
        </w:rPr>
      </w:pPr>
      <w:r>
        <w:rPr>
          <w:rFonts w:asciiTheme="majorHAnsi" w:hAnsiTheme="majorHAnsi"/>
          <w:sz w:val="24"/>
          <w:szCs w:val="24"/>
        </w:rPr>
        <w:t>Minimum Contract Demand Drawl @25% for Industries with CGP having CD&gt;1 MW during Solar Hours (08:00 hrs. – 16:00 hrs.)</w:t>
      </w:r>
    </w:p>
    <w:p w14:paraId="3455E088" w14:textId="77777777" w:rsidR="00124794" w:rsidRDefault="00124794" w:rsidP="00BB4B4C">
      <w:pPr>
        <w:pStyle w:val="ListParagraph"/>
        <w:numPr>
          <w:ilvl w:val="0"/>
          <w:numId w:val="41"/>
        </w:numPr>
        <w:spacing w:after="160" w:line="360" w:lineRule="auto"/>
        <w:ind w:left="1560"/>
        <w:jc w:val="both"/>
        <w:rPr>
          <w:rFonts w:asciiTheme="majorHAnsi" w:hAnsiTheme="majorHAnsi"/>
          <w:sz w:val="24"/>
          <w:szCs w:val="24"/>
        </w:rPr>
      </w:pPr>
      <w:r>
        <w:rPr>
          <w:rFonts w:asciiTheme="majorHAnsi" w:hAnsiTheme="majorHAnsi"/>
          <w:sz w:val="24"/>
          <w:szCs w:val="24"/>
        </w:rPr>
        <w:t>Load factor rebate to HT &amp; EHT industries.</w:t>
      </w:r>
    </w:p>
    <w:p w14:paraId="4CE2742C" w14:textId="77777777" w:rsidR="00124794" w:rsidRDefault="00124794" w:rsidP="00BB4B4C">
      <w:pPr>
        <w:pStyle w:val="ListParagraph"/>
        <w:numPr>
          <w:ilvl w:val="0"/>
          <w:numId w:val="41"/>
        </w:numPr>
        <w:spacing w:after="160" w:line="360" w:lineRule="auto"/>
        <w:ind w:left="1560"/>
        <w:jc w:val="both"/>
        <w:rPr>
          <w:rFonts w:asciiTheme="majorHAnsi" w:hAnsiTheme="majorHAnsi"/>
          <w:sz w:val="24"/>
          <w:szCs w:val="24"/>
        </w:rPr>
      </w:pPr>
      <w:r>
        <w:rPr>
          <w:rFonts w:asciiTheme="majorHAnsi" w:hAnsiTheme="majorHAnsi"/>
          <w:sz w:val="24"/>
          <w:szCs w:val="24"/>
        </w:rPr>
        <w:t xml:space="preserve">Enhancement of </w:t>
      </w:r>
      <w:proofErr w:type="spellStart"/>
      <w:r>
        <w:rPr>
          <w:rFonts w:asciiTheme="majorHAnsi" w:hAnsiTheme="majorHAnsi"/>
          <w:sz w:val="24"/>
          <w:szCs w:val="24"/>
        </w:rPr>
        <w:t>ToD</w:t>
      </w:r>
      <w:proofErr w:type="spellEnd"/>
      <w:r>
        <w:rPr>
          <w:rFonts w:asciiTheme="majorHAnsi" w:hAnsiTheme="majorHAnsi"/>
          <w:sz w:val="24"/>
          <w:szCs w:val="24"/>
        </w:rPr>
        <w:t xml:space="preserve"> benefit in solar hour and rationalization of </w:t>
      </w:r>
      <w:proofErr w:type="spellStart"/>
      <w:r>
        <w:rPr>
          <w:rFonts w:asciiTheme="majorHAnsi" w:hAnsiTheme="majorHAnsi"/>
          <w:sz w:val="24"/>
          <w:szCs w:val="24"/>
        </w:rPr>
        <w:t>ToD</w:t>
      </w:r>
      <w:proofErr w:type="spellEnd"/>
      <w:r>
        <w:rPr>
          <w:rFonts w:asciiTheme="majorHAnsi" w:hAnsiTheme="majorHAnsi"/>
          <w:sz w:val="24"/>
          <w:szCs w:val="24"/>
        </w:rPr>
        <w:t xml:space="preserve"> surcharge.</w:t>
      </w:r>
    </w:p>
    <w:p w14:paraId="18417BE3" w14:textId="77777777" w:rsidR="00124794" w:rsidRDefault="00124794" w:rsidP="00BB4B4C">
      <w:pPr>
        <w:pStyle w:val="ListParagraph"/>
        <w:numPr>
          <w:ilvl w:val="0"/>
          <w:numId w:val="41"/>
        </w:numPr>
        <w:spacing w:after="160" w:line="360" w:lineRule="auto"/>
        <w:ind w:left="1560"/>
        <w:jc w:val="both"/>
        <w:rPr>
          <w:rFonts w:asciiTheme="majorHAnsi" w:hAnsiTheme="majorHAnsi"/>
          <w:sz w:val="24"/>
          <w:szCs w:val="24"/>
        </w:rPr>
      </w:pPr>
      <w:proofErr w:type="spellStart"/>
      <w:r>
        <w:rPr>
          <w:rFonts w:asciiTheme="majorHAnsi" w:hAnsiTheme="majorHAnsi"/>
          <w:sz w:val="24"/>
          <w:szCs w:val="24"/>
        </w:rPr>
        <w:t>kVAh</w:t>
      </w:r>
      <w:proofErr w:type="spellEnd"/>
      <w:r>
        <w:rPr>
          <w:rFonts w:asciiTheme="majorHAnsi" w:hAnsiTheme="majorHAnsi"/>
          <w:sz w:val="24"/>
          <w:szCs w:val="24"/>
        </w:rPr>
        <w:t xml:space="preserve"> Billing to LT Category of Consumers.</w:t>
      </w:r>
    </w:p>
    <w:p w14:paraId="138D9880" w14:textId="77777777" w:rsidR="00124794" w:rsidRDefault="00124794" w:rsidP="00BB4B4C">
      <w:pPr>
        <w:pStyle w:val="ListParagraph"/>
        <w:numPr>
          <w:ilvl w:val="0"/>
          <w:numId w:val="41"/>
        </w:numPr>
        <w:spacing w:after="160" w:line="360" w:lineRule="auto"/>
        <w:ind w:left="1560"/>
        <w:jc w:val="both"/>
        <w:rPr>
          <w:rFonts w:asciiTheme="majorHAnsi" w:hAnsiTheme="majorHAnsi"/>
          <w:sz w:val="24"/>
          <w:szCs w:val="24"/>
        </w:rPr>
      </w:pPr>
      <w:r>
        <w:rPr>
          <w:rFonts w:asciiTheme="majorHAnsi" w:hAnsiTheme="majorHAnsi"/>
          <w:sz w:val="24"/>
          <w:szCs w:val="24"/>
        </w:rPr>
        <w:t>Allocation of Green Power to industries having CGP.</w:t>
      </w:r>
    </w:p>
    <w:p w14:paraId="14C8B7AE" w14:textId="77777777" w:rsidR="00124794" w:rsidRDefault="00124794" w:rsidP="00BB4B4C">
      <w:pPr>
        <w:pStyle w:val="ListParagraph"/>
        <w:numPr>
          <w:ilvl w:val="0"/>
          <w:numId w:val="41"/>
        </w:numPr>
        <w:spacing w:after="160" w:line="360" w:lineRule="auto"/>
        <w:ind w:left="1560"/>
        <w:jc w:val="both"/>
        <w:rPr>
          <w:rFonts w:asciiTheme="majorHAnsi" w:hAnsiTheme="majorHAnsi"/>
          <w:sz w:val="24"/>
          <w:szCs w:val="24"/>
        </w:rPr>
      </w:pPr>
      <w:r>
        <w:rPr>
          <w:rFonts w:asciiTheme="majorHAnsi" w:hAnsiTheme="majorHAnsi"/>
          <w:sz w:val="24"/>
          <w:szCs w:val="24"/>
        </w:rPr>
        <w:t>Minimum Contract Demand for the industries having CGP.</w:t>
      </w:r>
    </w:p>
    <w:p w14:paraId="015101EC" w14:textId="77777777" w:rsidR="00124794" w:rsidRDefault="00124794" w:rsidP="00BB4B4C">
      <w:pPr>
        <w:pStyle w:val="ListParagraph"/>
        <w:numPr>
          <w:ilvl w:val="0"/>
          <w:numId w:val="41"/>
        </w:numPr>
        <w:spacing w:after="160" w:line="360" w:lineRule="auto"/>
        <w:ind w:left="1560"/>
        <w:jc w:val="both"/>
        <w:rPr>
          <w:rFonts w:asciiTheme="majorHAnsi" w:hAnsiTheme="majorHAnsi"/>
          <w:sz w:val="24"/>
          <w:szCs w:val="24"/>
        </w:rPr>
      </w:pPr>
      <w:r>
        <w:rPr>
          <w:rFonts w:asciiTheme="majorHAnsi" w:hAnsiTheme="majorHAnsi"/>
          <w:sz w:val="24"/>
          <w:szCs w:val="24"/>
        </w:rPr>
        <w:t>Installation of Smart Meter under CAPEX and abolition of meter rent for consumers above 2 kW.</w:t>
      </w:r>
    </w:p>
    <w:p w14:paraId="2DE316D3" w14:textId="77777777" w:rsidR="00124794" w:rsidRDefault="00124794" w:rsidP="00BB4B4C">
      <w:pPr>
        <w:pStyle w:val="ListParagraph"/>
        <w:numPr>
          <w:ilvl w:val="0"/>
          <w:numId w:val="41"/>
        </w:numPr>
        <w:spacing w:after="160" w:line="360" w:lineRule="auto"/>
        <w:ind w:left="1560"/>
        <w:jc w:val="both"/>
        <w:rPr>
          <w:rFonts w:asciiTheme="majorHAnsi" w:hAnsiTheme="majorHAnsi"/>
          <w:sz w:val="24"/>
          <w:szCs w:val="24"/>
        </w:rPr>
      </w:pPr>
      <w:r>
        <w:rPr>
          <w:rFonts w:asciiTheme="majorHAnsi" w:hAnsiTheme="majorHAnsi"/>
          <w:sz w:val="24"/>
          <w:szCs w:val="24"/>
        </w:rPr>
        <w:t>Amnesty scheme for clearance of Arrears.</w:t>
      </w:r>
    </w:p>
    <w:p w14:paraId="23A0EDBB" w14:textId="77777777" w:rsidR="00124794" w:rsidRDefault="00124794" w:rsidP="00BB4B4C">
      <w:pPr>
        <w:pStyle w:val="ListParagraph"/>
        <w:numPr>
          <w:ilvl w:val="0"/>
          <w:numId w:val="41"/>
        </w:numPr>
        <w:spacing w:after="160" w:line="360" w:lineRule="auto"/>
        <w:ind w:left="1560"/>
        <w:jc w:val="both"/>
        <w:rPr>
          <w:rFonts w:asciiTheme="majorHAnsi" w:hAnsiTheme="majorHAnsi"/>
          <w:sz w:val="24"/>
          <w:szCs w:val="24"/>
        </w:rPr>
      </w:pPr>
      <w:r>
        <w:rPr>
          <w:rFonts w:asciiTheme="majorHAnsi" w:hAnsiTheme="majorHAnsi"/>
          <w:sz w:val="24"/>
          <w:szCs w:val="24"/>
        </w:rPr>
        <w:t>Green Tariff Framework for sale of Renewable Power to Obligated Entities.</w:t>
      </w:r>
    </w:p>
    <w:p w14:paraId="0CC799EB" w14:textId="77777777" w:rsidR="00124794" w:rsidRDefault="00124794" w:rsidP="00BB4B4C">
      <w:pPr>
        <w:pStyle w:val="ListParagraph"/>
        <w:numPr>
          <w:ilvl w:val="0"/>
          <w:numId w:val="41"/>
        </w:numPr>
        <w:spacing w:after="160" w:line="360" w:lineRule="auto"/>
        <w:ind w:left="1560"/>
        <w:jc w:val="both"/>
        <w:rPr>
          <w:rFonts w:asciiTheme="majorHAnsi" w:hAnsiTheme="majorHAnsi"/>
          <w:sz w:val="24"/>
          <w:szCs w:val="24"/>
        </w:rPr>
      </w:pPr>
      <w:r>
        <w:rPr>
          <w:rFonts w:asciiTheme="majorHAnsi" w:hAnsiTheme="majorHAnsi"/>
          <w:sz w:val="24"/>
          <w:szCs w:val="24"/>
        </w:rPr>
        <w:t>Sale mechanism for drawl by the CGP based industries on interim basis.</w:t>
      </w:r>
    </w:p>
    <w:p w14:paraId="498E4DD7" w14:textId="77777777" w:rsidR="00124794" w:rsidRDefault="00124794" w:rsidP="00BB4B4C">
      <w:pPr>
        <w:pStyle w:val="ListParagraph"/>
        <w:numPr>
          <w:ilvl w:val="0"/>
          <w:numId w:val="41"/>
        </w:numPr>
        <w:spacing w:after="160" w:line="360" w:lineRule="auto"/>
        <w:ind w:left="1560"/>
        <w:jc w:val="both"/>
        <w:rPr>
          <w:rFonts w:asciiTheme="majorHAnsi" w:hAnsiTheme="majorHAnsi"/>
          <w:sz w:val="24"/>
          <w:szCs w:val="24"/>
        </w:rPr>
      </w:pPr>
      <w:r>
        <w:rPr>
          <w:rFonts w:asciiTheme="majorHAnsi" w:hAnsiTheme="majorHAnsi"/>
          <w:sz w:val="24"/>
          <w:szCs w:val="24"/>
        </w:rPr>
        <w:t>Creation of Category for Mega lift points under EHT/HT.</w:t>
      </w:r>
    </w:p>
    <w:p w14:paraId="4313F97D" w14:textId="3A1DB77B" w:rsidR="00B67203" w:rsidRDefault="00124794" w:rsidP="00BB4B4C">
      <w:pPr>
        <w:pStyle w:val="ListParagraph"/>
        <w:numPr>
          <w:ilvl w:val="0"/>
          <w:numId w:val="41"/>
        </w:numPr>
        <w:spacing w:after="160" w:line="360" w:lineRule="auto"/>
        <w:ind w:left="1560"/>
        <w:jc w:val="both"/>
        <w:rPr>
          <w:rFonts w:asciiTheme="majorHAnsi" w:hAnsiTheme="majorHAnsi"/>
          <w:sz w:val="24"/>
          <w:szCs w:val="24"/>
        </w:rPr>
      </w:pPr>
      <w:r>
        <w:rPr>
          <w:rFonts w:asciiTheme="majorHAnsi" w:hAnsiTheme="majorHAnsi"/>
          <w:sz w:val="24"/>
          <w:szCs w:val="24"/>
        </w:rPr>
        <w:lastRenderedPageBreak/>
        <w:t xml:space="preserve">Charging of leading power factor while billing to EHT consumers i.e. (Lead + Lag) </w:t>
      </w:r>
      <w:proofErr w:type="spellStart"/>
      <w:r>
        <w:rPr>
          <w:rFonts w:asciiTheme="majorHAnsi" w:hAnsiTheme="majorHAnsi"/>
          <w:sz w:val="24"/>
          <w:szCs w:val="24"/>
        </w:rPr>
        <w:t>kVAh</w:t>
      </w:r>
      <w:proofErr w:type="spellEnd"/>
      <w:r>
        <w:rPr>
          <w:rFonts w:asciiTheme="majorHAnsi" w:hAnsiTheme="majorHAnsi"/>
          <w:sz w:val="24"/>
          <w:szCs w:val="24"/>
        </w:rPr>
        <w:t xml:space="preserve"> billing.</w:t>
      </w:r>
    </w:p>
    <w:p w14:paraId="2114AFD2" w14:textId="7B9D9CBC" w:rsidR="00124794" w:rsidRDefault="00124794" w:rsidP="00BB4B4C">
      <w:pPr>
        <w:pStyle w:val="ListParagraph"/>
        <w:numPr>
          <w:ilvl w:val="0"/>
          <w:numId w:val="41"/>
        </w:numPr>
        <w:spacing w:after="160" w:line="360" w:lineRule="auto"/>
        <w:ind w:left="1560"/>
        <w:jc w:val="both"/>
        <w:rPr>
          <w:rFonts w:asciiTheme="majorHAnsi" w:hAnsiTheme="majorHAnsi"/>
          <w:sz w:val="24"/>
          <w:szCs w:val="24"/>
        </w:rPr>
      </w:pPr>
      <w:r>
        <w:rPr>
          <w:rFonts w:asciiTheme="majorHAnsi" w:hAnsiTheme="majorHAnsi"/>
          <w:sz w:val="24"/>
          <w:szCs w:val="24"/>
        </w:rPr>
        <w:t>Grid Support Charges</w:t>
      </w:r>
    </w:p>
    <w:p w14:paraId="6892CA1C" w14:textId="239D0495" w:rsidR="00124794" w:rsidRDefault="00124794" w:rsidP="00BB4B4C">
      <w:pPr>
        <w:pStyle w:val="ListParagraph"/>
        <w:numPr>
          <w:ilvl w:val="0"/>
          <w:numId w:val="41"/>
        </w:numPr>
        <w:spacing w:after="160" w:line="360" w:lineRule="auto"/>
        <w:ind w:left="1560"/>
        <w:jc w:val="both"/>
        <w:rPr>
          <w:rFonts w:asciiTheme="majorHAnsi" w:hAnsiTheme="majorHAnsi"/>
          <w:sz w:val="24"/>
          <w:szCs w:val="24"/>
        </w:rPr>
      </w:pPr>
      <w:r>
        <w:rPr>
          <w:rFonts w:asciiTheme="majorHAnsi" w:hAnsiTheme="majorHAnsi"/>
          <w:sz w:val="24"/>
          <w:szCs w:val="24"/>
        </w:rPr>
        <w:t>Methodology for RCO Compliance Computation.</w:t>
      </w:r>
    </w:p>
    <w:p w14:paraId="59C59322" w14:textId="70B8A699" w:rsidR="00C41847" w:rsidRPr="00855C4E" w:rsidRDefault="00C41847" w:rsidP="00BB4B4C">
      <w:pPr>
        <w:pStyle w:val="ListParagraph"/>
        <w:numPr>
          <w:ilvl w:val="0"/>
          <w:numId w:val="41"/>
        </w:numPr>
        <w:spacing w:after="160" w:line="360" w:lineRule="auto"/>
        <w:ind w:left="1560"/>
        <w:jc w:val="both"/>
        <w:rPr>
          <w:rFonts w:asciiTheme="majorHAnsi" w:hAnsiTheme="majorHAnsi"/>
          <w:sz w:val="24"/>
          <w:szCs w:val="24"/>
        </w:rPr>
      </w:pPr>
      <w:r>
        <w:rPr>
          <w:rFonts w:asciiTheme="majorHAnsi" w:hAnsiTheme="majorHAnsi"/>
          <w:sz w:val="24"/>
          <w:szCs w:val="24"/>
        </w:rPr>
        <w:t>Mandatory e-bill for Consumers with Smart Meters</w:t>
      </w:r>
    </w:p>
    <w:p w14:paraId="04B99A23" w14:textId="77777777" w:rsidR="00B67203" w:rsidRDefault="00B67203" w:rsidP="0029607A">
      <w:pPr>
        <w:pStyle w:val="ARR-normalbody"/>
        <w:rPr>
          <w:b/>
        </w:rPr>
      </w:pPr>
      <w:r w:rsidRPr="000B7D3A">
        <w:t>Any other relief, order or direction which the Hon’ble Commission deems fit</w:t>
      </w:r>
      <w:r>
        <w:t>.</w:t>
      </w:r>
    </w:p>
    <w:p w14:paraId="22ED2703" w14:textId="626AA8AD" w:rsidR="00D70284" w:rsidRDefault="00D70284" w:rsidP="00C3129F">
      <w:pPr>
        <w:pStyle w:val="ARR-normalbody"/>
        <w:sectPr w:rsidR="00D70284" w:rsidSect="00124794">
          <w:pgSz w:w="11909" w:h="16834" w:code="9"/>
          <w:pgMar w:top="1418" w:right="1077" w:bottom="1276" w:left="1622"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pPr>
    </w:p>
    <w:p w14:paraId="19E9113B" w14:textId="5C84ACC1" w:rsidR="004276A0" w:rsidRPr="00C66FD4" w:rsidRDefault="00826FA6" w:rsidP="00541858">
      <w:pPr>
        <w:pStyle w:val="Heading1"/>
        <w:numPr>
          <w:ilvl w:val="0"/>
          <w:numId w:val="1"/>
        </w:numPr>
        <w:spacing w:line="360" w:lineRule="auto"/>
        <w:jc w:val="both"/>
        <w:rPr>
          <w:rFonts w:ascii="Cambria" w:hAnsi="Cambria"/>
          <w:sz w:val="24"/>
          <w:szCs w:val="24"/>
        </w:rPr>
      </w:pPr>
      <w:bookmarkStart w:id="4" w:name="_Toc152180069"/>
      <w:bookmarkStart w:id="5" w:name="_Toc183204681"/>
      <w:bookmarkStart w:id="6" w:name="_Toc215250605"/>
      <w:r w:rsidRPr="00C66FD4">
        <w:rPr>
          <w:rFonts w:ascii="Cambria" w:hAnsi="Cambria"/>
          <w:sz w:val="24"/>
          <w:szCs w:val="24"/>
        </w:rPr>
        <w:lastRenderedPageBreak/>
        <w:t xml:space="preserve">Revenue Requirement for FY </w:t>
      </w:r>
      <w:bookmarkEnd w:id="4"/>
      <w:r w:rsidR="009A0E63">
        <w:rPr>
          <w:rFonts w:ascii="Cambria" w:hAnsi="Cambria"/>
          <w:sz w:val="24"/>
          <w:szCs w:val="24"/>
        </w:rPr>
        <w:t>2026-27</w:t>
      </w:r>
      <w:bookmarkEnd w:id="5"/>
      <w:bookmarkEnd w:id="6"/>
    </w:p>
    <w:p w14:paraId="3C3860C2" w14:textId="049216B4" w:rsidR="00E75A03" w:rsidRPr="00C23F37" w:rsidRDefault="004276A0" w:rsidP="00C23F37">
      <w:pPr>
        <w:pStyle w:val="BodyText2"/>
        <w:spacing w:beforeLines="100" w:before="240" w:afterLines="100" w:after="240" w:line="360" w:lineRule="auto"/>
        <w:jc w:val="both"/>
        <w:rPr>
          <w:rFonts w:ascii="Cambria" w:hAnsi="Cambria" w:cs="Arial"/>
          <w:sz w:val="24"/>
          <w:szCs w:val="24"/>
          <w:lang w:val="en-GB"/>
        </w:rPr>
      </w:pPr>
      <w:r w:rsidRPr="58C29371">
        <w:rPr>
          <w:rFonts w:ascii="Cambria" w:hAnsi="Cambria" w:cs="Arial"/>
          <w:sz w:val="24"/>
          <w:szCs w:val="24"/>
          <w:lang w:val="en-GB"/>
        </w:rPr>
        <w:t xml:space="preserve">This section outlines the assumptions for estimation of revenue requirement for FY </w:t>
      </w:r>
      <w:r w:rsidR="007507C7">
        <w:rPr>
          <w:rFonts w:ascii="Cambria" w:hAnsi="Cambria" w:cs="Arial"/>
          <w:sz w:val="24"/>
          <w:szCs w:val="24"/>
          <w:lang w:val="en-GB"/>
        </w:rPr>
        <w:t>26-27</w:t>
      </w:r>
      <w:r w:rsidRPr="58C29371">
        <w:rPr>
          <w:rFonts w:ascii="Cambria" w:hAnsi="Cambria" w:cs="Arial"/>
          <w:sz w:val="24"/>
          <w:szCs w:val="24"/>
          <w:lang w:val="en-GB"/>
        </w:rPr>
        <w:t>.</w:t>
      </w:r>
      <w:r w:rsidR="00C23F37">
        <w:rPr>
          <w:rFonts w:ascii="Cambria" w:hAnsi="Cambria" w:cs="Arial"/>
          <w:sz w:val="24"/>
          <w:szCs w:val="24"/>
          <w:lang w:val="en-GB"/>
        </w:rPr>
        <w:t xml:space="preserve"> </w:t>
      </w:r>
      <w:r w:rsidR="0016272D">
        <w:rPr>
          <w:rFonts w:ascii="Cambria" w:hAnsi="Cambria" w:cs="Arial"/>
          <w:sz w:val="24"/>
          <w:szCs w:val="24"/>
        </w:rPr>
        <w:t xml:space="preserve">The </w:t>
      </w:r>
      <w:r w:rsidR="00E75A03">
        <w:rPr>
          <w:rFonts w:ascii="Cambria" w:hAnsi="Cambria" w:cs="Arial"/>
          <w:sz w:val="24"/>
          <w:szCs w:val="24"/>
        </w:rPr>
        <w:t xml:space="preserve">Distribution loss and AT&amp;C loss trajectory </w:t>
      </w:r>
      <w:r w:rsidR="0016272D">
        <w:rPr>
          <w:rFonts w:ascii="Cambria" w:hAnsi="Cambria" w:cs="Arial"/>
          <w:sz w:val="24"/>
          <w:szCs w:val="24"/>
        </w:rPr>
        <w:t xml:space="preserve">on the basis of actual projected is </w:t>
      </w:r>
      <w:r w:rsidR="00E75A03">
        <w:rPr>
          <w:rFonts w:ascii="Cambria" w:hAnsi="Cambria" w:cs="Arial"/>
          <w:sz w:val="24"/>
          <w:szCs w:val="24"/>
        </w:rPr>
        <w:t>considered in the following manner</w:t>
      </w:r>
    </w:p>
    <w:tbl>
      <w:tblPr>
        <w:tblW w:w="5080" w:type="pct"/>
        <w:jc w:val="center"/>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ayout w:type="fixed"/>
        <w:tblLook w:val="04A0" w:firstRow="1" w:lastRow="0" w:firstColumn="1" w:lastColumn="0" w:noHBand="0" w:noVBand="1"/>
      </w:tblPr>
      <w:tblGrid>
        <w:gridCol w:w="2238"/>
        <w:gridCol w:w="1161"/>
        <w:gridCol w:w="1133"/>
        <w:gridCol w:w="1120"/>
        <w:gridCol w:w="1215"/>
        <w:gridCol w:w="1228"/>
        <w:gridCol w:w="1252"/>
      </w:tblGrid>
      <w:tr w:rsidR="00C266DB" w:rsidRPr="00C66FD4" w14:paraId="263B86CD" w14:textId="2F1C4C1D" w:rsidTr="001D0FC4">
        <w:trPr>
          <w:trHeight w:val="445"/>
          <w:jc w:val="center"/>
        </w:trPr>
        <w:tc>
          <w:tcPr>
            <w:tcW w:w="1197" w:type="pct"/>
            <w:vMerge w:val="restart"/>
            <w:shd w:val="clear" w:color="auto" w:fill="C6D9F1" w:themeFill="text2" w:themeFillTint="33"/>
            <w:noWrap/>
            <w:vAlign w:val="center"/>
            <w:hideMark/>
          </w:tcPr>
          <w:p w14:paraId="59E4C5CC" w14:textId="52C6755A" w:rsidR="00C266DB" w:rsidRPr="00C66FD4" w:rsidRDefault="00C266DB" w:rsidP="00C266DB">
            <w:pPr>
              <w:jc w:val="center"/>
              <w:rPr>
                <w:rFonts w:asciiTheme="majorHAnsi" w:hAnsiTheme="majorHAnsi" w:cs="Arial"/>
                <w:b/>
                <w:sz w:val="22"/>
                <w:szCs w:val="22"/>
              </w:rPr>
            </w:pPr>
            <w:r w:rsidRPr="00C66FD4">
              <w:rPr>
                <w:rFonts w:asciiTheme="majorHAnsi" w:hAnsiTheme="majorHAnsi" w:cs="Arial"/>
                <w:b/>
                <w:sz w:val="22"/>
                <w:szCs w:val="22"/>
              </w:rPr>
              <w:t>Particulars</w:t>
            </w:r>
          </w:p>
        </w:tc>
        <w:tc>
          <w:tcPr>
            <w:tcW w:w="621" w:type="pct"/>
            <w:shd w:val="clear" w:color="auto" w:fill="C6D9F1" w:themeFill="text2" w:themeFillTint="33"/>
            <w:noWrap/>
            <w:vAlign w:val="center"/>
            <w:hideMark/>
          </w:tcPr>
          <w:p w14:paraId="60D1C8FB" w14:textId="5DCB05CA" w:rsidR="00C266DB" w:rsidRPr="00C66FD4" w:rsidRDefault="00C266DB" w:rsidP="00C266DB">
            <w:pPr>
              <w:jc w:val="center"/>
              <w:rPr>
                <w:rFonts w:asciiTheme="majorHAnsi" w:hAnsiTheme="majorHAnsi" w:cs="Arial"/>
                <w:b/>
                <w:sz w:val="22"/>
                <w:szCs w:val="22"/>
              </w:rPr>
            </w:pPr>
            <w:r w:rsidRPr="00C66FD4">
              <w:rPr>
                <w:rFonts w:asciiTheme="majorHAnsi" w:hAnsiTheme="majorHAnsi" w:cs="Arial"/>
                <w:b/>
                <w:sz w:val="22"/>
                <w:szCs w:val="22"/>
              </w:rPr>
              <w:t>FY 2</w:t>
            </w:r>
            <w:r>
              <w:rPr>
                <w:rFonts w:asciiTheme="majorHAnsi" w:hAnsiTheme="majorHAnsi" w:cs="Arial"/>
                <w:b/>
                <w:sz w:val="22"/>
                <w:szCs w:val="22"/>
              </w:rPr>
              <w:t>2-23</w:t>
            </w:r>
          </w:p>
        </w:tc>
        <w:tc>
          <w:tcPr>
            <w:tcW w:w="606" w:type="pct"/>
            <w:shd w:val="clear" w:color="auto" w:fill="C6D9F1" w:themeFill="text2" w:themeFillTint="33"/>
            <w:noWrap/>
            <w:vAlign w:val="center"/>
            <w:hideMark/>
          </w:tcPr>
          <w:p w14:paraId="1C4A82BA" w14:textId="2C565B61" w:rsidR="00C266DB" w:rsidRPr="00C66FD4" w:rsidRDefault="00C266DB" w:rsidP="00C266DB">
            <w:pPr>
              <w:jc w:val="center"/>
              <w:rPr>
                <w:rFonts w:asciiTheme="majorHAnsi" w:hAnsiTheme="majorHAnsi" w:cs="Arial"/>
                <w:b/>
                <w:sz w:val="22"/>
                <w:szCs w:val="22"/>
              </w:rPr>
            </w:pPr>
            <w:r w:rsidRPr="00C66FD4">
              <w:rPr>
                <w:rFonts w:asciiTheme="majorHAnsi" w:hAnsiTheme="majorHAnsi" w:cs="Arial"/>
                <w:b/>
                <w:sz w:val="22"/>
                <w:szCs w:val="22"/>
              </w:rPr>
              <w:t>FY 2</w:t>
            </w:r>
            <w:r>
              <w:rPr>
                <w:rFonts w:asciiTheme="majorHAnsi" w:hAnsiTheme="majorHAnsi" w:cs="Arial"/>
                <w:b/>
                <w:sz w:val="22"/>
                <w:szCs w:val="22"/>
              </w:rPr>
              <w:t>3</w:t>
            </w:r>
            <w:r w:rsidRPr="00C66FD4">
              <w:rPr>
                <w:rFonts w:asciiTheme="majorHAnsi" w:hAnsiTheme="majorHAnsi" w:cs="Arial"/>
                <w:b/>
                <w:sz w:val="22"/>
                <w:szCs w:val="22"/>
              </w:rPr>
              <w:t>-2</w:t>
            </w:r>
            <w:r>
              <w:rPr>
                <w:rFonts w:asciiTheme="majorHAnsi" w:hAnsiTheme="majorHAnsi" w:cs="Arial"/>
                <w:b/>
                <w:sz w:val="22"/>
                <w:szCs w:val="22"/>
              </w:rPr>
              <w:t>4</w:t>
            </w:r>
          </w:p>
        </w:tc>
        <w:tc>
          <w:tcPr>
            <w:tcW w:w="599" w:type="pct"/>
            <w:shd w:val="clear" w:color="auto" w:fill="C6D9F1" w:themeFill="text2" w:themeFillTint="33"/>
            <w:vAlign w:val="center"/>
          </w:tcPr>
          <w:p w14:paraId="5ACD709D" w14:textId="72AC5312" w:rsidR="00C266DB" w:rsidRPr="00C66FD4" w:rsidRDefault="00C266DB" w:rsidP="00C266DB">
            <w:pPr>
              <w:jc w:val="center"/>
              <w:rPr>
                <w:rFonts w:asciiTheme="majorHAnsi" w:hAnsiTheme="majorHAnsi" w:cs="Arial"/>
                <w:b/>
                <w:sz w:val="22"/>
                <w:szCs w:val="22"/>
              </w:rPr>
            </w:pPr>
            <w:r w:rsidRPr="00C66FD4">
              <w:rPr>
                <w:rFonts w:asciiTheme="majorHAnsi" w:hAnsiTheme="majorHAnsi" w:cs="Arial"/>
                <w:b/>
                <w:sz w:val="22"/>
                <w:szCs w:val="22"/>
              </w:rPr>
              <w:t>FY 2</w:t>
            </w:r>
            <w:r>
              <w:rPr>
                <w:rFonts w:asciiTheme="majorHAnsi" w:hAnsiTheme="majorHAnsi" w:cs="Arial"/>
                <w:b/>
                <w:sz w:val="22"/>
                <w:szCs w:val="22"/>
              </w:rPr>
              <w:t>4</w:t>
            </w:r>
            <w:r w:rsidRPr="00C66FD4">
              <w:rPr>
                <w:rFonts w:asciiTheme="majorHAnsi" w:hAnsiTheme="majorHAnsi" w:cs="Arial"/>
                <w:b/>
                <w:sz w:val="22"/>
                <w:szCs w:val="22"/>
              </w:rPr>
              <w:t>-2</w:t>
            </w:r>
            <w:r>
              <w:rPr>
                <w:rFonts w:asciiTheme="majorHAnsi" w:hAnsiTheme="majorHAnsi" w:cs="Arial"/>
                <w:b/>
                <w:sz w:val="22"/>
                <w:szCs w:val="22"/>
              </w:rPr>
              <w:t>5</w:t>
            </w:r>
          </w:p>
        </w:tc>
        <w:tc>
          <w:tcPr>
            <w:tcW w:w="650" w:type="pct"/>
            <w:shd w:val="clear" w:color="auto" w:fill="C6D9F1" w:themeFill="text2" w:themeFillTint="33"/>
            <w:noWrap/>
            <w:vAlign w:val="center"/>
            <w:hideMark/>
          </w:tcPr>
          <w:p w14:paraId="7185DB21" w14:textId="2AAA3D6D" w:rsidR="00C266DB" w:rsidRPr="00C66FD4" w:rsidRDefault="00C266DB" w:rsidP="00C266DB">
            <w:pPr>
              <w:jc w:val="center"/>
              <w:rPr>
                <w:rFonts w:asciiTheme="majorHAnsi" w:hAnsiTheme="majorHAnsi" w:cs="Arial"/>
                <w:b/>
                <w:sz w:val="22"/>
                <w:szCs w:val="22"/>
              </w:rPr>
            </w:pPr>
            <w:r w:rsidRPr="00C66FD4">
              <w:rPr>
                <w:rFonts w:asciiTheme="majorHAnsi" w:hAnsiTheme="majorHAnsi" w:cs="Arial"/>
                <w:b/>
                <w:sz w:val="22"/>
                <w:szCs w:val="22"/>
              </w:rPr>
              <w:t>FY 2</w:t>
            </w:r>
            <w:r w:rsidR="001949D3">
              <w:rPr>
                <w:rFonts w:asciiTheme="majorHAnsi" w:hAnsiTheme="majorHAnsi" w:cs="Arial"/>
                <w:b/>
                <w:sz w:val="22"/>
                <w:szCs w:val="22"/>
              </w:rPr>
              <w:t>5</w:t>
            </w:r>
            <w:r w:rsidRPr="00C66FD4">
              <w:rPr>
                <w:rFonts w:asciiTheme="majorHAnsi" w:hAnsiTheme="majorHAnsi" w:cs="Arial"/>
                <w:b/>
                <w:sz w:val="22"/>
                <w:szCs w:val="22"/>
              </w:rPr>
              <w:t>-2</w:t>
            </w:r>
            <w:r w:rsidR="001949D3">
              <w:rPr>
                <w:rFonts w:asciiTheme="majorHAnsi" w:hAnsiTheme="majorHAnsi" w:cs="Arial"/>
                <w:b/>
                <w:sz w:val="22"/>
                <w:szCs w:val="22"/>
              </w:rPr>
              <w:t>6</w:t>
            </w:r>
          </w:p>
        </w:tc>
        <w:tc>
          <w:tcPr>
            <w:tcW w:w="657" w:type="pct"/>
            <w:shd w:val="clear" w:color="auto" w:fill="C6D9F1" w:themeFill="text2" w:themeFillTint="33"/>
            <w:vAlign w:val="center"/>
          </w:tcPr>
          <w:p w14:paraId="12F042B3" w14:textId="219B89F0" w:rsidR="00C266DB" w:rsidRPr="00C66FD4" w:rsidRDefault="00C266DB" w:rsidP="00C266DB">
            <w:pPr>
              <w:jc w:val="center"/>
              <w:rPr>
                <w:rFonts w:asciiTheme="majorHAnsi" w:hAnsiTheme="majorHAnsi" w:cs="Arial"/>
                <w:b/>
                <w:sz w:val="22"/>
                <w:szCs w:val="22"/>
              </w:rPr>
            </w:pPr>
            <w:r w:rsidRPr="00C66FD4">
              <w:rPr>
                <w:rFonts w:asciiTheme="majorHAnsi" w:hAnsiTheme="majorHAnsi" w:cs="Arial"/>
                <w:b/>
                <w:sz w:val="22"/>
                <w:szCs w:val="22"/>
              </w:rPr>
              <w:t xml:space="preserve">FY </w:t>
            </w:r>
            <w:r>
              <w:rPr>
                <w:rFonts w:asciiTheme="majorHAnsi" w:hAnsiTheme="majorHAnsi" w:cs="Arial"/>
                <w:b/>
                <w:sz w:val="22"/>
                <w:szCs w:val="22"/>
              </w:rPr>
              <w:t>2</w:t>
            </w:r>
            <w:r w:rsidR="001949D3">
              <w:rPr>
                <w:rFonts w:asciiTheme="majorHAnsi" w:hAnsiTheme="majorHAnsi" w:cs="Arial"/>
                <w:b/>
                <w:sz w:val="22"/>
                <w:szCs w:val="22"/>
              </w:rPr>
              <w:t>5</w:t>
            </w:r>
            <w:r>
              <w:rPr>
                <w:rFonts w:asciiTheme="majorHAnsi" w:hAnsiTheme="majorHAnsi" w:cs="Arial"/>
                <w:b/>
                <w:sz w:val="22"/>
                <w:szCs w:val="22"/>
              </w:rPr>
              <w:t>-2</w:t>
            </w:r>
            <w:r w:rsidR="001949D3">
              <w:rPr>
                <w:rFonts w:asciiTheme="majorHAnsi" w:hAnsiTheme="majorHAnsi" w:cs="Arial"/>
                <w:b/>
                <w:sz w:val="22"/>
                <w:szCs w:val="22"/>
              </w:rPr>
              <w:t>6</w:t>
            </w:r>
          </w:p>
        </w:tc>
        <w:tc>
          <w:tcPr>
            <w:tcW w:w="671" w:type="pct"/>
            <w:shd w:val="clear" w:color="auto" w:fill="C6D9F1" w:themeFill="text2" w:themeFillTint="33"/>
            <w:vAlign w:val="center"/>
          </w:tcPr>
          <w:p w14:paraId="6BA0C4B5" w14:textId="43B74D04" w:rsidR="00C266DB" w:rsidRPr="008A1252" w:rsidRDefault="00C266DB" w:rsidP="00C266DB">
            <w:pPr>
              <w:jc w:val="center"/>
              <w:rPr>
                <w:rFonts w:asciiTheme="majorHAnsi" w:hAnsiTheme="majorHAnsi" w:cs="Arial"/>
                <w:b/>
                <w:sz w:val="22"/>
                <w:szCs w:val="22"/>
              </w:rPr>
            </w:pPr>
            <w:r w:rsidRPr="008A1252">
              <w:rPr>
                <w:rFonts w:asciiTheme="majorHAnsi" w:hAnsiTheme="majorHAnsi" w:cs="Arial"/>
                <w:b/>
                <w:sz w:val="22"/>
                <w:szCs w:val="22"/>
              </w:rPr>
              <w:t>FY 26-27</w:t>
            </w:r>
          </w:p>
        </w:tc>
      </w:tr>
      <w:tr w:rsidR="00C266DB" w:rsidRPr="00C66FD4" w14:paraId="6676A769" w14:textId="013AB931" w:rsidTr="001D0FC4">
        <w:trPr>
          <w:trHeight w:val="381"/>
          <w:jc w:val="center"/>
        </w:trPr>
        <w:tc>
          <w:tcPr>
            <w:tcW w:w="1197" w:type="pct"/>
            <w:vMerge/>
            <w:shd w:val="clear" w:color="auto" w:fill="C6D9F1" w:themeFill="text2" w:themeFillTint="33"/>
            <w:noWrap/>
            <w:vAlign w:val="bottom"/>
            <w:hideMark/>
          </w:tcPr>
          <w:p w14:paraId="54AF1BAC" w14:textId="77777777" w:rsidR="00C266DB" w:rsidRPr="00C66FD4" w:rsidRDefault="00C266DB" w:rsidP="00C266DB">
            <w:pPr>
              <w:rPr>
                <w:rFonts w:asciiTheme="majorHAnsi" w:hAnsiTheme="majorHAnsi" w:cs="Arial"/>
                <w:b/>
                <w:sz w:val="22"/>
                <w:szCs w:val="22"/>
              </w:rPr>
            </w:pPr>
          </w:p>
        </w:tc>
        <w:tc>
          <w:tcPr>
            <w:tcW w:w="621" w:type="pct"/>
            <w:shd w:val="clear" w:color="auto" w:fill="C6D9F1" w:themeFill="text2" w:themeFillTint="33"/>
            <w:noWrap/>
            <w:vAlign w:val="center"/>
            <w:hideMark/>
          </w:tcPr>
          <w:p w14:paraId="1D18D728" w14:textId="14F9D702" w:rsidR="00C266DB" w:rsidRPr="00C66FD4" w:rsidRDefault="00C266DB" w:rsidP="00C266DB">
            <w:pPr>
              <w:jc w:val="center"/>
              <w:rPr>
                <w:rFonts w:asciiTheme="majorHAnsi" w:hAnsiTheme="majorHAnsi" w:cs="Arial"/>
                <w:b/>
                <w:bCs/>
                <w:sz w:val="22"/>
                <w:szCs w:val="22"/>
              </w:rPr>
            </w:pPr>
            <w:r w:rsidRPr="00C66FD4">
              <w:rPr>
                <w:rFonts w:asciiTheme="majorHAnsi" w:hAnsiTheme="majorHAnsi" w:cs="Arial"/>
                <w:b/>
                <w:bCs/>
                <w:sz w:val="22"/>
                <w:szCs w:val="22"/>
              </w:rPr>
              <w:t>Actual</w:t>
            </w:r>
          </w:p>
        </w:tc>
        <w:tc>
          <w:tcPr>
            <w:tcW w:w="606" w:type="pct"/>
            <w:shd w:val="clear" w:color="auto" w:fill="C6D9F1" w:themeFill="text2" w:themeFillTint="33"/>
            <w:noWrap/>
            <w:vAlign w:val="center"/>
            <w:hideMark/>
          </w:tcPr>
          <w:p w14:paraId="4F0C9C92" w14:textId="77777777" w:rsidR="00C266DB" w:rsidRPr="00C66FD4" w:rsidRDefault="00C266DB" w:rsidP="00C266DB">
            <w:pPr>
              <w:jc w:val="center"/>
              <w:rPr>
                <w:rFonts w:asciiTheme="majorHAnsi" w:hAnsiTheme="majorHAnsi" w:cs="Arial"/>
                <w:b/>
                <w:bCs/>
                <w:sz w:val="22"/>
                <w:szCs w:val="22"/>
              </w:rPr>
            </w:pPr>
            <w:r w:rsidRPr="00C66FD4">
              <w:rPr>
                <w:rFonts w:asciiTheme="majorHAnsi" w:hAnsiTheme="majorHAnsi" w:cs="Arial"/>
                <w:b/>
                <w:bCs/>
                <w:sz w:val="22"/>
                <w:szCs w:val="22"/>
              </w:rPr>
              <w:t>Actual</w:t>
            </w:r>
          </w:p>
        </w:tc>
        <w:tc>
          <w:tcPr>
            <w:tcW w:w="599" w:type="pct"/>
            <w:shd w:val="clear" w:color="auto" w:fill="C6D9F1" w:themeFill="text2" w:themeFillTint="33"/>
            <w:vAlign w:val="center"/>
          </w:tcPr>
          <w:p w14:paraId="1543C179" w14:textId="1EC58D56" w:rsidR="00C266DB" w:rsidRDefault="001949D3" w:rsidP="00C266DB">
            <w:pPr>
              <w:jc w:val="center"/>
              <w:rPr>
                <w:rFonts w:asciiTheme="majorHAnsi" w:hAnsiTheme="majorHAnsi" w:cs="Arial"/>
                <w:b/>
                <w:bCs/>
                <w:sz w:val="22"/>
                <w:szCs w:val="22"/>
              </w:rPr>
            </w:pPr>
            <w:r w:rsidRPr="00C66FD4">
              <w:rPr>
                <w:rFonts w:asciiTheme="majorHAnsi" w:hAnsiTheme="majorHAnsi" w:cs="Arial"/>
                <w:b/>
                <w:bCs/>
                <w:sz w:val="22"/>
                <w:szCs w:val="22"/>
              </w:rPr>
              <w:t>Actual</w:t>
            </w:r>
          </w:p>
        </w:tc>
        <w:tc>
          <w:tcPr>
            <w:tcW w:w="650" w:type="pct"/>
            <w:shd w:val="clear" w:color="auto" w:fill="C6D9F1" w:themeFill="text2" w:themeFillTint="33"/>
            <w:noWrap/>
            <w:vAlign w:val="center"/>
            <w:hideMark/>
          </w:tcPr>
          <w:p w14:paraId="31DF71D2" w14:textId="1134FF5D" w:rsidR="00C266DB" w:rsidRPr="00C66FD4" w:rsidRDefault="003265EB" w:rsidP="00C266DB">
            <w:pPr>
              <w:jc w:val="center"/>
              <w:rPr>
                <w:rFonts w:asciiTheme="majorHAnsi" w:hAnsiTheme="majorHAnsi" w:cs="Arial"/>
                <w:b/>
                <w:bCs/>
                <w:sz w:val="22"/>
                <w:szCs w:val="22"/>
              </w:rPr>
            </w:pPr>
            <w:r>
              <w:rPr>
                <w:rFonts w:asciiTheme="majorHAnsi" w:hAnsiTheme="majorHAnsi" w:cs="Arial"/>
                <w:b/>
                <w:bCs/>
                <w:sz w:val="22"/>
                <w:szCs w:val="22"/>
              </w:rPr>
              <w:t>Approved</w:t>
            </w:r>
          </w:p>
        </w:tc>
        <w:tc>
          <w:tcPr>
            <w:tcW w:w="657" w:type="pct"/>
            <w:shd w:val="clear" w:color="auto" w:fill="C6D9F1" w:themeFill="text2" w:themeFillTint="33"/>
            <w:vAlign w:val="center"/>
          </w:tcPr>
          <w:p w14:paraId="10E2C39A" w14:textId="63EE1D77" w:rsidR="00C266DB" w:rsidRPr="00C66FD4" w:rsidRDefault="003265EB" w:rsidP="00C266DB">
            <w:pPr>
              <w:jc w:val="center"/>
              <w:rPr>
                <w:rFonts w:asciiTheme="majorHAnsi" w:hAnsiTheme="majorHAnsi" w:cs="Arial"/>
                <w:b/>
                <w:bCs/>
                <w:sz w:val="22"/>
                <w:szCs w:val="22"/>
              </w:rPr>
            </w:pPr>
            <w:r>
              <w:rPr>
                <w:rFonts w:asciiTheme="majorHAnsi" w:hAnsiTheme="majorHAnsi" w:cs="Arial"/>
                <w:b/>
                <w:bCs/>
                <w:sz w:val="22"/>
                <w:szCs w:val="22"/>
              </w:rPr>
              <w:t xml:space="preserve">Rev. </w:t>
            </w:r>
            <w:proofErr w:type="spellStart"/>
            <w:r>
              <w:rPr>
                <w:rFonts w:asciiTheme="majorHAnsi" w:hAnsiTheme="majorHAnsi" w:cs="Arial"/>
                <w:b/>
                <w:bCs/>
                <w:sz w:val="22"/>
                <w:szCs w:val="22"/>
              </w:rPr>
              <w:t>Estd</w:t>
            </w:r>
            <w:proofErr w:type="spellEnd"/>
            <w:r>
              <w:rPr>
                <w:rFonts w:asciiTheme="majorHAnsi" w:hAnsiTheme="majorHAnsi" w:cs="Arial"/>
                <w:b/>
                <w:bCs/>
                <w:sz w:val="22"/>
                <w:szCs w:val="22"/>
              </w:rPr>
              <w:t>.</w:t>
            </w:r>
          </w:p>
        </w:tc>
        <w:tc>
          <w:tcPr>
            <w:tcW w:w="671" w:type="pct"/>
            <w:shd w:val="clear" w:color="auto" w:fill="C6D9F1" w:themeFill="text2" w:themeFillTint="33"/>
            <w:vAlign w:val="center"/>
          </w:tcPr>
          <w:p w14:paraId="44DF4E5D" w14:textId="6A126CF7" w:rsidR="00C266DB" w:rsidRPr="008A1252" w:rsidRDefault="00C266DB" w:rsidP="00C266DB">
            <w:pPr>
              <w:jc w:val="center"/>
              <w:rPr>
                <w:rFonts w:asciiTheme="majorHAnsi" w:hAnsiTheme="majorHAnsi" w:cs="Arial"/>
                <w:b/>
                <w:sz w:val="22"/>
                <w:szCs w:val="22"/>
              </w:rPr>
            </w:pPr>
            <w:r w:rsidRPr="008A1252">
              <w:rPr>
                <w:rFonts w:asciiTheme="majorHAnsi" w:hAnsiTheme="majorHAnsi" w:cs="Arial"/>
                <w:b/>
                <w:sz w:val="22"/>
                <w:szCs w:val="22"/>
              </w:rPr>
              <w:t>Proposed</w:t>
            </w:r>
          </w:p>
        </w:tc>
      </w:tr>
      <w:tr w:rsidR="00C266DB" w:rsidRPr="00C66FD4" w14:paraId="01CC00D6" w14:textId="5508A752" w:rsidTr="00EC73B3">
        <w:trPr>
          <w:trHeight w:val="359"/>
          <w:jc w:val="center"/>
        </w:trPr>
        <w:tc>
          <w:tcPr>
            <w:tcW w:w="1197" w:type="pct"/>
            <w:noWrap/>
            <w:vAlign w:val="center"/>
            <w:hideMark/>
          </w:tcPr>
          <w:p w14:paraId="71015762" w14:textId="77777777" w:rsidR="00C266DB" w:rsidRPr="00C66FD4" w:rsidRDefault="00C266DB" w:rsidP="00C266DB">
            <w:pPr>
              <w:rPr>
                <w:rFonts w:asciiTheme="majorHAnsi" w:hAnsiTheme="majorHAnsi" w:cs="Arial"/>
                <w:color w:val="000000"/>
                <w:sz w:val="22"/>
                <w:szCs w:val="22"/>
              </w:rPr>
            </w:pPr>
            <w:r w:rsidRPr="00C66FD4">
              <w:rPr>
                <w:rFonts w:asciiTheme="majorHAnsi" w:hAnsiTheme="majorHAnsi" w:cs="Arial"/>
                <w:color w:val="000000"/>
                <w:sz w:val="22"/>
                <w:szCs w:val="22"/>
              </w:rPr>
              <w:t>Distribution Loss</w:t>
            </w:r>
          </w:p>
        </w:tc>
        <w:tc>
          <w:tcPr>
            <w:tcW w:w="621" w:type="pct"/>
            <w:noWrap/>
            <w:vAlign w:val="center"/>
          </w:tcPr>
          <w:p w14:paraId="310C4C1E" w14:textId="1F995DA4" w:rsidR="00C266DB" w:rsidRPr="006D76CB" w:rsidRDefault="00C266DB" w:rsidP="00C266DB">
            <w:pPr>
              <w:jc w:val="center"/>
              <w:rPr>
                <w:rFonts w:asciiTheme="majorHAnsi" w:hAnsiTheme="majorHAnsi" w:cs="Arial"/>
                <w:sz w:val="22"/>
                <w:szCs w:val="22"/>
              </w:rPr>
            </w:pPr>
            <w:r w:rsidRPr="006D76CB">
              <w:rPr>
                <w:rFonts w:asciiTheme="majorHAnsi" w:hAnsiTheme="majorHAnsi" w:cs="Arial"/>
                <w:sz w:val="22"/>
                <w:szCs w:val="22"/>
              </w:rPr>
              <w:t>18.40%</w:t>
            </w:r>
          </w:p>
        </w:tc>
        <w:tc>
          <w:tcPr>
            <w:tcW w:w="606" w:type="pct"/>
            <w:noWrap/>
            <w:vAlign w:val="center"/>
          </w:tcPr>
          <w:p w14:paraId="4D21B5A7" w14:textId="3CBC5617" w:rsidR="00C266DB" w:rsidRPr="006D76CB" w:rsidRDefault="00C266DB" w:rsidP="00C266DB">
            <w:pPr>
              <w:jc w:val="center"/>
              <w:rPr>
                <w:rFonts w:asciiTheme="majorHAnsi" w:hAnsiTheme="majorHAnsi" w:cs="Arial"/>
                <w:sz w:val="22"/>
                <w:szCs w:val="22"/>
              </w:rPr>
            </w:pPr>
            <w:r w:rsidRPr="006D76CB">
              <w:rPr>
                <w:rFonts w:asciiTheme="majorHAnsi" w:hAnsiTheme="majorHAnsi" w:cs="Arial"/>
                <w:sz w:val="22"/>
                <w:szCs w:val="22"/>
              </w:rPr>
              <w:t>16.54%</w:t>
            </w:r>
          </w:p>
        </w:tc>
        <w:tc>
          <w:tcPr>
            <w:tcW w:w="599" w:type="pct"/>
            <w:vAlign w:val="center"/>
          </w:tcPr>
          <w:p w14:paraId="344BDDF2" w14:textId="0B7E5C33" w:rsidR="00C266DB" w:rsidRPr="008A1252" w:rsidRDefault="00C266DB" w:rsidP="00C266DB">
            <w:pPr>
              <w:jc w:val="center"/>
              <w:rPr>
                <w:rFonts w:asciiTheme="majorHAnsi" w:hAnsiTheme="majorHAnsi" w:cs="Arial"/>
                <w:sz w:val="22"/>
                <w:szCs w:val="22"/>
              </w:rPr>
            </w:pPr>
            <w:r w:rsidRPr="008A1252">
              <w:rPr>
                <w:rFonts w:asciiTheme="majorHAnsi" w:hAnsiTheme="majorHAnsi" w:cs="Arial"/>
                <w:sz w:val="22"/>
                <w:szCs w:val="22"/>
              </w:rPr>
              <w:t>16.</w:t>
            </w:r>
            <w:r w:rsidR="00A84678" w:rsidRPr="008A1252">
              <w:rPr>
                <w:rFonts w:asciiTheme="majorHAnsi" w:hAnsiTheme="majorHAnsi" w:cs="Arial"/>
                <w:sz w:val="22"/>
                <w:szCs w:val="22"/>
              </w:rPr>
              <w:t>23</w:t>
            </w:r>
            <w:r w:rsidRPr="008A1252">
              <w:rPr>
                <w:rFonts w:asciiTheme="majorHAnsi" w:hAnsiTheme="majorHAnsi" w:cs="Arial"/>
                <w:sz w:val="22"/>
                <w:szCs w:val="22"/>
              </w:rPr>
              <w:t>%</w:t>
            </w:r>
          </w:p>
        </w:tc>
        <w:tc>
          <w:tcPr>
            <w:tcW w:w="650" w:type="pct"/>
            <w:noWrap/>
            <w:vAlign w:val="center"/>
          </w:tcPr>
          <w:p w14:paraId="2142A388" w14:textId="05B3D1ED" w:rsidR="00C266DB" w:rsidRPr="008A1252" w:rsidRDefault="002D4C76" w:rsidP="00C266DB">
            <w:pPr>
              <w:jc w:val="center"/>
              <w:rPr>
                <w:rFonts w:asciiTheme="majorHAnsi" w:hAnsiTheme="majorHAnsi" w:cs="Arial"/>
                <w:sz w:val="22"/>
                <w:szCs w:val="22"/>
              </w:rPr>
            </w:pPr>
            <w:r w:rsidRPr="008A1252">
              <w:rPr>
                <w:rFonts w:asciiTheme="majorHAnsi" w:hAnsiTheme="majorHAnsi" w:cs="Arial"/>
                <w:sz w:val="22"/>
                <w:szCs w:val="22"/>
              </w:rPr>
              <w:t>15.05%</w:t>
            </w:r>
          </w:p>
        </w:tc>
        <w:tc>
          <w:tcPr>
            <w:tcW w:w="657" w:type="pct"/>
            <w:vAlign w:val="center"/>
          </w:tcPr>
          <w:p w14:paraId="6AEC2ECB" w14:textId="2A09781F" w:rsidR="00C266DB" w:rsidRPr="008A1252" w:rsidRDefault="008A1252" w:rsidP="00EC73B3">
            <w:pPr>
              <w:jc w:val="center"/>
              <w:rPr>
                <w:rFonts w:asciiTheme="majorHAnsi" w:hAnsiTheme="majorHAnsi" w:cs="Arial"/>
                <w:sz w:val="22"/>
                <w:szCs w:val="22"/>
              </w:rPr>
            </w:pPr>
            <w:r w:rsidRPr="008A1252">
              <w:rPr>
                <w:rFonts w:asciiTheme="majorHAnsi" w:hAnsiTheme="majorHAnsi" w:cs="Arial"/>
                <w:sz w:val="22"/>
                <w:szCs w:val="22"/>
              </w:rPr>
              <w:t>15.05%</w:t>
            </w:r>
          </w:p>
        </w:tc>
        <w:tc>
          <w:tcPr>
            <w:tcW w:w="671" w:type="pct"/>
            <w:vAlign w:val="center"/>
          </w:tcPr>
          <w:p w14:paraId="4807CC4E" w14:textId="7000AF5D" w:rsidR="00C266DB" w:rsidRPr="008A1252" w:rsidRDefault="008A1252" w:rsidP="00EC73B3">
            <w:pPr>
              <w:jc w:val="center"/>
              <w:rPr>
                <w:rFonts w:asciiTheme="majorHAnsi" w:hAnsiTheme="majorHAnsi" w:cs="Arial"/>
                <w:sz w:val="22"/>
                <w:szCs w:val="22"/>
              </w:rPr>
            </w:pPr>
            <w:r w:rsidRPr="008A1252">
              <w:rPr>
                <w:rFonts w:asciiTheme="majorHAnsi" w:hAnsiTheme="majorHAnsi" w:cs="Arial"/>
                <w:sz w:val="22"/>
                <w:szCs w:val="22"/>
              </w:rPr>
              <w:t>13.64%</w:t>
            </w:r>
          </w:p>
        </w:tc>
      </w:tr>
      <w:tr w:rsidR="00C266DB" w:rsidRPr="00C66FD4" w14:paraId="3FD45316" w14:textId="4C37569C" w:rsidTr="00EC73B3">
        <w:trPr>
          <w:trHeight w:val="359"/>
          <w:jc w:val="center"/>
        </w:trPr>
        <w:tc>
          <w:tcPr>
            <w:tcW w:w="1197" w:type="pct"/>
            <w:noWrap/>
            <w:vAlign w:val="center"/>
            <w:hideMark/>
          </w:tcPr>
          <w:p w14:paraId="0A48B231" w14:textId="77777777" w:rsidR="00C266DB" w:rsidRPr="00C66FD4" w:rsidRDefault="00C266DB" w:rsidP="00C266DB">
            <w:pPr>
              <w:rPr>
                <w:rFonts w:asciiTheme="majorHAnsi" w:hAnsiTheme="majorHAnsi" w:cs="Arial"/>
                <w:color w:val="000000"/>
                <w:sz w:val="22"/>
                <w:szCs w:val="22"/>
              </w:rPr>
            </w:pPr>
            <w:r w:rsidRPr="00C66FD4">
              <w:rPr>
                <w:rFonts w:asciiTheme="majorHAnsi" w:hAnsiTheme="majorHAnsi" w:cs="Arial"/>
                <w:color w:val="000000"/>
                <w:sz w:val="22"/>
                <w:szCs w:val="22"/>
              </w:rPr>
              <w:t>Collection Efficiency</w:t>
            </w:r>
          </w:p>
        </w:tc>
        <w:tc>
          <w:tcPr>
            <w:tcW w:w="621" w:type="pct"/>
            <w:noWrap/>
            <w:vAlign w:val="center"/>
          </w:tcPr>
          <w:p w14:paraId="757CC49B" w14:textId="6C8FD6BF" w:rsidR="00C266DB" w:rsidRPr="006D76CB" w:rsidRDefault="00C266DB" w:rsidP="00C266DB">
            <w:pPr>
              <w:jc w:val="center"/>
              <w:rPr>
                <w:rFonts w:asciiTheme="majorHAnsi" w:hAnsiTheme="majorHAnsi" w:cs="Arial"/>
                <w:sz w:val="22"/>
                <w:szCs w:val="22"/>
              </w:rPr>
            </w:pPr>
            <w:r w:rsidRPr="006D76CB">
              <w:rPr>
                <w:rFonts w:asciiTheme="majorHAnsi" w:hAnsiTheme="majorHAnsi" w:cs="Arial"/>
                <w:sz w:val="22"/>
                <w:szCs w:val="22"/>
              </w:rPr>
              <w:t>100.14%</w:t>
            </w:r>
          </w:p>
        </w:tc>
        <w:tc>
          <w:tcPr>
            <w:tcW w:w="606" w:type="pct"/>
            <w:noWrap/>
            <w:vAlign w:val="center"/>
          </w:tcPr>
          <w:p w14:paraId="6D29B4E8" w14:textId="016837CD" w:rsidR="00C266DB" w:rsidRPr="006D76CB" w:rsidRDefault="00C266DB" w:rsidP="00C266DB">
            <w:pPr>
              <w:jc w:val="center"/>
              <w:rPr>
                <w:rFonts w:asciiTheme="majorHAnsi" w:hAnsiTheme="majorHAnsi" w:cs="Arial"/>
                <w:sz w:val="22"/>
                <w:szCs w:val="22"/>
              </w:rPr>
            </w:pPr>
            <w:r w:rsidRPr="006D76CB">
              <w:rPr>
                <w:rFonts w:asciiTheme="majorHAnsi" w:hAnsiTheme="majorHAnsi" w:cs="Arial"/>
                <w:sz w:val="22"/>
                <w:szCs w:val="22"/>
              </w:rPr>
              <w:t>101.23%</w:t>
            </w:r>
          </w:p>
        </w:tc>
        <w:tc>
          <w:tcPr>
            <w:tcW w:w="599" w:type="pct"/>
            <w:vAlign w:val="center"/>
          </w:tcPr>
          <w:p w14:paraId="15BC3D35" w14:textId="6D735D9D" w:rsidR="00C266DB" w:rsidRPr="008A1252" w:rsidRDefault="00C266DB" w:rsidP="00C266DB">
            <w:pPr>
              <w:jc w:val="center"/>
              <w:rPr>
                <w:rFonts w:asciiTheme="majorHAnsi" w:hAnsiTheme="majorHAnsi" w:cs="Arial"/>
                <w:sz w:val="22"/>
                <w:szCs w:val="22"/>
              </w:rPr>
            </w:pPr>
            <w:r w:rsidRPr="008A1252">
              <w:rPr>
                <w:rFonts w:asciiTheme="majorHAnsi" w:hAnsiTheme="majorHAnsi" w:cs="Arial"/>
                <w:sz w:val="22"/>
                <w:szCs w:val="22"/>
              </w:rPr>
              <w:t>99</w:t>
            </w:r>
            <w:r w:rsidR="000E7C41" w:rsidRPr="008A1252">
              <w:rPr>
                <w:rFonts w:asciiTheme="majorHAnsi" w:hAnsiTheme="majorHAnsi" w:cs="Arial"/>
                <w:sz w:val="22"/>
                <w:szCs w:val="22"/>
              </w:rPr>
              <w:t>.99</w:t>
            </w:r>
            <w:r w:rsidRPr="008A1252">
              <w:rPr>
                <w:rFonts w:asciiTheme="majorHAnsi" w:hAnsiTheme="majorHAnsi" w:cs="Arial"/>
                <w:sz w:val="22"/>
                <w:szCs w:val="22"/>
              </w:rPr>
              <w:t>%</w:t>
            </w:r>
          </w:p>
        </w:tc>
        <w:tc>
          <w:tcPr>
            <w:tcW w:w="650" w:type="pct"/>
            <w:noWrap/>
            <w:vAlign w:val="center"/>
          </w:tcPr>
          <w:p w14:paraId="740E2901" w14:textId="1E5BFE95" w:rsidR="00C266DB" w:rsidRPr="008A1252" w:rsidRDefault="00C266DB" w:rsidP="00C266DB">
            <w:pPr>
              <w:jc w:val="center"/>
              <w:rPr>
                <w:rFonts w:asciiTheme="majorHAnsi" w:hAnsiTheme="majorHAnsi" w:cs="Arial"/>
                <w:sz w:val="22"/>
                <w:szCs w:val="22"/>
              </w:rPr>
            </w:pPr>
            <w:r w:rsidRPr="008A1252">
              <w:rPr>
                <w:rFonts w:asciiTheme="majorHAnsi" w:hAnsiTheme="majorHAnsi" w:cs="Arial"/>
                <w:sz w:val="22"/>
                <w:szCs w:val="22"/>
              </w:rPr>
              <w:t>99%</w:t>
            </w:r>
          </w:p>
        </w:tc>
        <w:tc>
          <w:tcPr>
            <w:tcW w:w="657" w:type="pct"/>
            <w:vAlign w:val="center"/>
          </w:tcPr>
          <w:p w14:paraId="22F22DD0" w14:textId="5AB910E7" w:rsidR="00C266DB" w:rsidRPr="008A1252" w:rsidRDefault="008A1252" w:rsidP="00EC73B3">
            <w:pPr>
              <w:jc w:val="center"/>
              <w:rPr>
                <w:rFonts w:asciiTheme="majorHAnsi" w:hAnsiTheme="majorHAnsi" w:cs="Arial"/>
                <w:sz w:val="22"/>
                <w:szCs w:val="22"/>
              </w:rPr>
            </w:pPr>
            <w:r w:rsidRPr="008A1252">
              <w:rPr>
                <w:rFonts w:asciiTheme="majorHAnsi" w:hAnsiTheme="majorHAnsi" w:cs="Arial"/>
                <w:sz w:val="22"/>
                <w:szCs w:val="22"/>
              </w:rPr>
              <w:t>99%</w:t>
            </w:r>
          </w:p>
        </w:tc>
        <w:tc>
          <w:tcPr>
            <w:tcW w:w="671" w:type="pct"/>
            <w:vAlign w:val="center"/>
          </w:tcPr>
          <w:p w14:paraId="02027272" w14:textId="0A245450" w:rsidR="00C266DB" w:rsidRPr="008A1252" w:rsidRDefault="008A1252" w:rsidP="00EC73B3">
            <w:pPr>
              <w:jc w:val="center"/>
              <w:rPr>
                <w:rFonts w:asciiTheme="majorHAnsi" w:hAnsiTheme="majorHAnsi" w:cs="Arial"/>
                <w:sz w:val="22"/>
                <w:szCs w:val="22"/>
              </w:rPr>
            </w:pPr>
            <w:r w:rsidRPr="008A1252">
              <w:rPr>
                <w:rFonts w:asciiTheme="majorHAnsi" w:hAnsiTheme="majorHAnsi" w:cs="Arial"/>
                <w:sz w:val="22"/>
                <w:szCs w:val="22"/>
              </w:rPr>
              <w:t>99%</w:t>
            </w:r>
          </w:p>
        </w:tc>
      </w:tr>
      <w:tr w:rsidR="00C266DB" w:rsidRPr="00C66FD4" w14:paraId="6C33D9A4" w14:textId="3B33A4BD" w:rsidTr="00EC73B3">
        <w:trPr>
          <w:trHeight w:val="359"/>
          <w:jc w:val="center"/>
        </w:trPr>
        <w:tc>
          <w:tcPr>
            <w:tcW w:w="1197" w:type="pct"/>
            <w:noWrap/>
            <w:vAlign w:val="center"/>
            <w:hideMark/>
          </w:tcPr>
          <w:p w14:paraId="4F845A9E" w14:textId="77777777" w:rsidR="00C266DB" w:rsidRPr="00C66FD4" w:rsidRDefault="00C266DB" w:rsidP="00C266DB">
            <w:pPr>
              <w:rPr>
                <w:rFonts w:asciiTheme="majorHAnsi" w:hAnsiTheme="majorHAnsi" w:cs="Arial"/>
                <w:color w:val="000000"/>
                <w:sz w:val="22"/>
                <w:szCs w:val="22"/>
              </w:rPr>
            </w:pPr>
            <w:r w:rsidRPr="00C66FD4">
              <w:rPr>
                <w:rFonts w:asciiTheme="majorHAnsi" w:hAnsiTheme="majorHAnsi" w:cs="Arial"/>
                <w:color w:val="000000"/>
                <w:sz w:val="22"/>
                <w:szCs w:val="22"/>
              </w:rPr>
              <w:t>AT&amp;C Loss</w:t>
            </w:r>
          </w:p>
        </w:tc>
        <w:tc>
          <w:tcPr>
            <w:tcW w:w="621" w:type="pct"/>
            <w:noWrap/>
            <w:vAlign w:val="center"/>
          </w:tcPr>
          <w:p w14:paraId="2FF53CFF" w14:textId="3CD23229" w:rsidR="00C266DB" w:rsidRPr="006D76CB" w:rsidRDefault="00C266DB" w:rsidP="00C266DB">
            <w:pPr>
              <w:jc w:val="center"/>
              <w:rPr>
                <w:rFonts w:asciiTheme="majorHAnsi" w:hAnsiTheme="majorHAnsi" w:cs="Arial"/>
                <w:sz w:val="22"/>
                <w:szCs w:val="22"/>
              </w:rPr>
            </w:pPr>
            <w:r w:rsidRPr="006D76CB">
              <w:rPr>
                <w:rFonts w:asciiTheme="majorHAnsi" w:hAnsiTheme="majorHAnsi" w:cs="Arial"/>
                <w:sz w:val="22"/>
                <w:szCs w:val="22"/>
              </w:rPr>
              <w:t>18.28%</w:t>
            </w:r>
          </w:p>
        </w:tc>
        <w:tc>
          <w:tcPr>
            <w:tcW w:w="606" w:type="pct"/>
            <w:noWrap/>
            <w:vAlign w:val="center"/>
          </w:tcPr>
          <w:p w14:paraId="06FB877E" w14:textId="3DBFCC82" w:rsidR="00C266DB" w:rsidRPr="006D76CB" w:rsidRDefault="00C266DB" w:rsidP="00C266DB">
            <w:pPr>
              <w:jc w:val="center"/>
              <w:rPr>
                <w:rFonts w:asciiTheme="majorHAnsi" w:hAnsiTheme="majorHAnsi" w:cs="Arial"/>
                <w:sz w:val="22"/>
                <w:szCs w:val="22"/>
              </w:rPr>
            </w:pPr>
            <w:r w:rsidRPr="006D76CB">
              <w:rPr>
                <w:rFonts w:asciiTheme="majorHAnsi" w:hAnsiTheme="majorHAnsi" w:cs="Arial"/>
                <w:sz w:val="22"/>
                <w:szCs w:val="22"/>
              </w:rPr>
              <w:t>15.51%</w:t>
            </w:r>
          </w:p>
        </w:tc>
        <w:tc>
          <w:tcPr>
            <w:tcW w:w="599" w:type="pct"/>
            <w:vAlign w:val="center"/>
          </w:tcPr>
          <w:p w14:paraId="09E0EE6A" w14:textId="58BCEF0B" w:rsidR="00C266DB" w:rsidRPr="008A1252" w:rsidRDefault="00EE48E5" w:rsidP="00C266DB">
            <w:pPr>
              <w:jc w:val="center"/>
              <w:rPr>
                <w:rFonts w:asciiTheme="majorHAnsi" w:hAnsiTheme="majorHAnsi" w:cs="Arial"/>
                <w:sz w:val="22"/>
                <w:szCs w:val="22"/>
              </w:rPr>
            </w:pPr>
            <w:r w:rsidRPr="008A1252">
              <w:rPr>
                <w:rFonts w:asciiTheme="majorHAnsi" w:hAnsiTheme="majorHAnsi" w:cs="Arial"/>
                <w:sz w:val="22"/>
                <w:szCs w:val="22"/>
              </w:rPr>
              <w:t>16.23</w:t>
            </w:r>
            <w:r w:rsidR="00C266DB" w:rsidRPr="008A1252">
              <w:rPr>
                <w:rFonts w:asciiTheme="majorHAnsi" w:hAnsiTheme="majorHAnsi" w:cs="Arial"/>
                <w:sz w:val="22"/>
                <w:szCs w:val="22"/>
              </w:rPr>
              <w:t>%</w:t>
            </w:r>
          </w:p>
        </w:tc>
        <w:tc>
          <w:tcPr>
            <w:tcW w:w="650" w:type="pct"/>
            <w:noWrap/>
            <w:vAlign w:val="center"/>
          </w:tcPr>
          <w:p w14:paraId="7A89990E" w14:textId="776CA1BC" w:rsidR="00C266DB" w:rsidRPr="008A1252" w:rsidRDefault="0040609D" w:rsidP="00C266DB">
            <w:pPr>
              <w:jc w:val="center"/>
              <w:rPr>
                <w:rFonts w:asciiTheme="majorHAnsi" w:hAnsiTheme="majorHAnsi" w:cs="Arial"/>
                <w:sz w:val="22"/>
                <w:szCs w:val="22"/>
              </w:rPr>
            </w:pPr>
            <w:r w:rsidRPr="008A1252">
              <w:rPr>
                <w:rFonts w:asciiTheme="majorHAnsi" w:hAnsiTheme="majorHAnsi" w:cs="Arial"/>
                <w:sz w:val="22"/>
                <w:szCs w:val="22"/>
              </w:rPr>
              <w:t>15.90</w:t>
            </w:r>
            <w:r w:rsidR="00C266DB" w:rsidRPr="008A1252">
              <w:rPr>
                <w:rFonts w:asciiTheme="majorHAnsi" w:hAnsiTheme="majorHAnsi" w:cs="Arial"/>
                <w:sz w:val="22"/>
                <w:szCs w:val="22"/>
              </w:rPr>
              <w:t>%</w:t>
            </w:r>
          </w:p>
        </w:tc>
        <w:tc>
          <w:tcPr>
            <w:tcW w:w="657" w:type="pct"/>
            <w:vAlign w:val="center"/>
          </w:tcPr>
          <w:p w14:paraId="1265F34F" w14:textId="3597E463" w:rsidR="00C266DB" w:rsidRPr="008A1252" w:rsidRDefault="008A1252" w:rsidP="00EC73B3">
            <w:pPr>
              <w:jc w:val="center"/>
              <w:rPr>
                <w:rFonts w:asciiTheme="majorHAnsi" w:hAnsiTheme="majorHAnsi" w:cs="Arial"/>
                <w:sz w:val="22"/>
                <w:szCs w:val="22"/>
              </w:rPr>
            </w:pPr>
            <w:r w:rsidRPr="008A1252">
              <w:rPr>
                <w:rFonts w:asciiTheme="majorHAnsi" w:hAnsiTheme="majorHAnsi" w:cs="Arial"/>
                <w:sz w:val="22"/>
                <w:szCs w:val="22"/>
              </w:rPr>
              <w:t>15.90%</w:t>
            </w:r>
          </w:p>
        </w:tc>
        <w:tc>
          <w:tcPr>
            <w:tcW w:w="671" w:type="pct"/>
            <w:vAlign w:val="center"/>
          </w:tcPr>
          <w:p w14:paraId="4743BA0E" w14:textId="071ECD30" w:rsidR="00C266DB" w:rsidRPr="008A1252" w:rsidRDefault="008A1252" w:rsidP="00EC73B3">
            <w:pPr>
              <w:jc w:val="center"/>
              <w:rPr>
                <w:rFonts w:asciiTheme="majorHAnsi" w:hAnsiTheme="majorHAnsi" w:cs="Arial"/>
                <w:sz w:val="22"/>
                <w:szCs w:val="22"/>
              </w:rPr>
            </w:pPr>
            <w:r w:rsidRPr="008A1252">
              <w:rPr>
                <w:rFonts w:asciiTheme="majorHAnsi" w:hAnsiTheme="majorHAnsi" w:cs="Arial"/>
                <w:sz w:val="22"/>
                <w:szCs w:val="22"/>
              </w:rPr>
              <w:t>14.50%</w:t>
            </w:r>
          </w:p>
        </w:tc>
      </w:tr>
    </w:tbl>
    <w:p w14:paraId="1EBDDF8D" w14:textId="5312FE17" w:rsidR="00C66FD4" w:rsidRDefault="00C66FD4" w:rsidP="00C23F37">
      <w:pPr>
        <w:pStyle w:val="Caption"/>
        <w:keepNext/>
        <w:spacing w:beforeLines="100" w:before="240" w:afterLines="100" w:after="240" w:line="360" w:lineRule="auto"/>
        <w:jc w:val="both"/>
        <w:rPr>
          <w:rFonts w:ascii="Cambria" w:hAnsi="Cambria" w:cs="Arial"/>
          <w:sz w:val="24"/>
          <w:szCs w:val="24"/>
        </w:rPr>
      </w:pPr>
      <w:r>
        <w:rPr>
          <w:rFonts w:ascii="Cambria" w:hAnsi="Cambria" w:cs="Arial"/>
          <w:sz w:val="24"/>
          <w:szCs w:val="24"/>
        </w:rPr>
        <w:t>For</w:t>
      </w:r>
      <w:r w:rsidR="00F16426" w:rsidRPr="00C66FD4">
        <w:rPr>
          <w:rFonts w:ascii="Cambria" w:hAnsi="Cambria" w:cs="Arial"/>
          <w:sz w:val="24"/>
          <w:szCs w:val="24"/>
        </w:rPr>
        <w:t xml:space="preserve"> the </w:t>
      </w:r>
      <w:r w:rsidR="752BCD16" w:rsidRPr="00C66FD4">
        <w:rPr>
          <w:rFonts w:ascii="Cambria" w:hAnsi="Cambria" w:cs="Arial"/>
          <w:sz w:val="24"/>
          <w:szCs w:val="24"/>
        </w:rPr>
        <w:t xml:space="preserve">current </w:t>
      </w:r>
      <w:r w:rsidR="00F16426" w:rsidRPr="00C66FD4">
        <w:rPr>
          <w:rFonts w:ascii="Cambria" w:hAnsi="Cambria" w:cs="Arial"/>
          <w:sz w:val="24"/>
          <w:szCs w:val="24"/>
        </w:rPr>
        <w:t>year</w:t>
      </w:r>
      <w:r>
        <w:rPr>
          <w:rFonts w:ascii="Cambria" w:hAnsi="Cambria" w:cs="Arial"/>
          <w:sz w:val="24"/>
          <w:szCs w:val="24"/>
        </w:rPr>
        <w:t>,</w:t>
      </w:r>
      <w:r w:rsidRPr="00C66FD4">
        <w:rPr>
          <w:rFonts w:ascii="Cambria" w:hAnsi="Cambria" w:cs="Arial"/>
          <w:sz w:val="24"/>
          <w:szCs w:val="24"/>
        </w:rPr>
        <w:t xml:space="preserve"> the Ho</w:t>
      </w:r>
      <w:r>
        <w:rPr>
          <w:rFonts w:ascii="Cambria" w:hAnsi="Cambria" w:cs="Arial"/>
          <w:sz w:val="24"/>
          <w:szCs w:val="24"/>
        </w:rPr>
        <w:t xml:space="preserve">n’ble Commission has approved AT&amp;C </w:t>
      </w:r>
      <w:r w:rsidRPr="005F2A5E">
        <w:rPr>
          <w:rFonts w:ascii="Cambria" w:hAnsi="Cambria" w:cs="Arial"/>
          <w:sz w:val="24"/>
          <w:szCs w:val="24"/>
        </w:rPr>
        <w:t xml:space="preserve">Loss of </w:t>
      </w:r>
      <w:r w:rsidR="00993179" w:rsidRPr="005F2A5E">
        <w:rPr>
          <w:rFonts w:ascii="Cambria" w:hAnsi="Cambria" w:cs="Arial"/>
          <w:sz w:val="24"/>
          <w:szCs w:val="24"/>
        </w:rPr>
        <w:t>15</w:t>
      </w:r>
      <w:r w:rsidR="00222AA8" w:rsidRPr="005F2A5E">
        <w:rPr>
          <w:rFonts w:ascii="Cambria" w:hAnsi="Cambria" w:cs="Arial"/>
          <w:sz w:val="24"/>
          <w:szCs w:val="24"/>
        </w:rPr>
        <w:t>.</w:t>
      </w:r>
      <w:r w:rsidR="00993179" w:rsidRPr="005F2A5E">
        <w:rPr>
          <w:rFonts w:ascii="Cambria" w:hAnsi="Cambria" w:cs="Arial"/>
          <w:sz w:val="24"/>
          <w:szCs w:val="24"/>
        </w:rPr>
        <w:t>90</w:t>
      </w:r>
      <w:r w:rsidRPr="005F2A5E">
        <w:rPr>
          <w:rFonts w:ascii="Cambria" w:hAnsi="Cambria" w:cs="Arial"/>
          <w:sz w:val="24"/>
          <w:szCs w:val="24"/>
        </w:rPr>
        <w:t xml:space="preserve">% considering EHT sale of </w:t>
      </w:r>
      <w:r w:rsidR="00FA6A12" w:rsidRPr="005F2A5E">
        <w:rPr>
          <w:rFonts w:ascii="Cambria" w:hAnsi="Cambria" w:cs="Arial"/>
          <w:sz w:val="24"/>
          <w:szCs w:val="24"/>
        </w:rPr>
        <w:t xml:space="preserve">4,203.147 </w:t>
      </w:r>
      <w:r w:rsidRPr="005F2A5E">
        <w:rPr>
          <w:rFonts w:ascii="Cambria" w:hAnsi="Cambria" w:cs="Arial"/>
          <w:sz w:val="24"/>
          <w:szCs w:val="24"/>
        </w:rPr>
        <w:t xml:space="preserve">MU including TPA sale of </w:t>
      </w:r>
      <w:r w:rsidR="00687108" w:rsidRPr="005F2A5E">
        <w:rPr>
          <w:rFonts w:ascii="Cambria" w:hAnsi="Cambria" w:cs="Arial"/>
          <w:sz w:val="24"/>
          <w:szCs w:val="24"/>
        </w:rPr>
        <w:t>1900.032</w:t>
      </w:r>
      <w:r w:rsidRPr="005F2A5E">
        <w:rPr>
          <w:rFonts w:ascii="Cambria" w:hAnsi="Cambria" w:cs="Arial"/>
          <w:sz w:val="24"/>
          <w:szCs w:val="24"/>
        </w:rPr>
        <w:t xml:space="preserve"> MU.</w:t>
      </w:r>
      <w:r>
        <w:rPr>
          <w:rFonts w:ascii="Cambria" w:hAnsi="Cambria" w:cs="Arial"/>
          <w:sz w:val="24"/>
          <w:szCs w:val="24"/>
        </w:rPr>
        <w:t xml:space="preserve"> </w:t>
      </w:r>
      <w:r w:rsidR="00243860">
        <w:rPr>
          <w:rFonts w:ascii="Cambria" w:hAnsi="Cambria" w:cs="Arial"/>
          <w:sz w:val="24"/>
          <w:szCs w:val="24"/>
        </w:rPr>
        <w:t xml:space="preserve">However, due to non-allocation of green power during current year to the industries having CGP, the intending consumer who was drawing TPA power has backed down from continuance of agreement. </w:t>
      </w:r>
      <w:r w:rsidR="00BA419A" w:rsidRPr="003A1D25">
        <w:rPr>
          <w:rFonts w:ascii="Cambria" w:hAnsi="Cambria" w:cs="Arial"/>
          <w:sz w:val="24"/>
          <w:szCs w:val="24"/>
        </w:rPr>
        <w:t xml:space="preserve">Further, the </w:t>
      </w:r>
      <w:r w:rsidR="005F2A5E" w:rsidRPr="003A1D25">
        <w:rPr>
          <w:rFonts w:ascii="Cambria" w:hAnsi="Cambria" w:cs="Arial"/>
          <w:sz w:val="24"/>
          <w:szCs w:val="24"/>
        </w:rPr>
        <w:t xml:space="preserve">availability of </w:t>
      </w:r>
      <w:r w:rsidR="0010111D" w:rsidRPr="003A1D25">
        <w:rPr>
          <w:rFonts w:ascii="Cambria" w:hAnsi="Cambria" w:cs="Arial"/>
          <w:sz w:val="24"/>
          <w:szCs w:val="24"/>
        </w:rPr>
        <w:t xml:space="preserve">cheaper power from Market (RTAM, GDAM, DAM) </w:t>
      </w:r>
      <w:r w:rsidR="00951F86" w:rsidRPr="003A1D25">
        <w:rPr>
          <w:rFonts w:ascii="Cambria" w:hAnsi="Cambria" w:cs="Arial"/>
          <w:sz w:val="24"/>
          <w:szCs w:val="24"/>
        </w:rPr>
        <w:t>has impacted the EHT</w:t>
      </w:r>
      <w:r w:rsidR="00700BCB">
        <w:rPr>
          <w:rFonts w:ascii="Cambria" w:hAnsi="Cambria" w:cs="Arial"/>
          <w:sz w:val="24"/>
          <w:szCs w:val="24"/>
        </w:rPr>
        <w:t>-</w:t>
      </w:r>
      <w:r w:rsidR="00C379E9" w:rsidRPr="003A1D25">
        <w:rPr>
          <w:rFonts w:ascii="Cambria" w:hAnsi="Cambria" w:cs="Arial"/>
          <w:sz w:val="24"/>
          <w:szCs w:val="24"/>
        </w:rPr>
        <w:t xml:space="preserve">TPA sale target. Nevertheless, </w:t>
      </w:r>
      <w:r w:rsidR="00230AFE">
        <w:rPr>
          <w:rFonts w:ascii="Cambria" w:hAnsi="Cambria" w:cs="Arial"/>
          <w:sz w:val="24"/>
          <w:szCs w:val="24"/>
        </w:rPr>
        <w:t xml:space="preserve">industrial </w:t>
      </w:r>
      <w:r w:rsidR="00C379E9" w:rsidRPr="003A1D25">
        <w:rPr>
          <w:rFonts w:ascii="Cambria" w:hAnsi="Cambria" w:cs="Arial"/>
          <w:sz w:val="24"/>
          <w:szCs w:val="24"/>
        </w:rPr>
        <w:t xml:space="preserve">consumers are </w:t>
      </w:r>
      <w:r w:rsidR="0045121E" w:rsidRPr="003A1D25">
        <w:rPr>
          <w:rFonts w:ascii="Cambria" w:hAnsi="Cambria" w:cs="Arial"/>
          <w:sz w:val="24"/>
          <w:szCs w:val="24"/>
        </w:rPr>
        <w:t>continuously</w:t>
      </w:r>
      <w:r w:rsidR="00C379E9" w:rsidRPr="003A1D25">
        <w:rPr>
          <w:rFonts w:ascii="Cambria" w:hAnsi="Cambria" w:cs="Arial"/>
          <w:sz w:val="24"/>
          <w:szCs w:val="24"/>
        </w:rPr>
        <w:t xml:space="preserve"> </w:t>
      </w:r>
      <w:r w:rsidR="003A1D25" w:rsidRPr="003A1D25">
        <w:rPr>
          <w:rFonts w:ascii="Cambria" w:hAnsi="Cambria" w:cs="Arial"/>
          <w:sz w:val="24"/>
          <w:szCs w:val="24"/>
        </w:rPr>
        <w:t xml:space="preserve">upgrading the </w:t>
      </w:r>
      <w:r w:rsidR="003A1D25">
        <w:rPr>
          <w:rFonts w:ascii="Cambria" w:hAnsi="Cambria" w:cs="Arial"/>
          <w:sz w:val="24"/>
          <w:szCs w:val="24"/>
        </w:rPr>
        <w:t xml:space="preserve">captive </w:t>
      </w:r>
      <w:r w:rsidR="003A1D25" w:rsidRPr="003A1D25">
        <w:rPr>
          <w:rFonts w:ascii="Cambria" w:hAnsi="Cambria" w:cs="Arial"/>
          <w:sz w:val="24"/>
          <w:szCs w:val="24"/>
        </w:rPr>
        <w:t xml:space="preserve">capacity </w:t>
      </w:r>
      <w:r w:rsidR="00194E6F" w:rsidRPr="003A1D25">
        <w:rPr>
          <w:rFonts w:ascii="Cambria" w:hAnsi="Cambria" w:cs="Arial"/>
          <w:sz w:val="24"/>
          <w:szCs w:val="24"/>
        </w:rPr>
        <w:t xml:space="preserve">by way of </w:t>
      </w:r>
      <w:r w:rsidR="003A1D25" w:rsidRPr="003A1D25">
        <w:rPr>
          <w:rFonts w:ascii="Cambria" w:hAnsi="Cambria" w:cs="Arial"/>
          <w:sz w:val="24"/>
          <w:szCs w:val="24"/>
        </w:rPr>
        <w:t>acquiring</w:t>
      </w:r>
      <w:r w:rsidR="00194E6F" w:rsidRPr="003A1D25">
        <w:rPr>
          <w:rFonts w:ascii="Cambria" w:hAnsi="Cambria" w:cs="Arial"/>
          <w:sz w:val="24"/>
          <w:szCs w:val="24"/>
        </w:rPr>
        <w:t xml:space="preserve"> or </w:t>
      </w:r>
      <w:r w:rsidR="003A1D25" w:rsidRPr="003A1D25">
        <w:rPr>
          <w:rFonts w:ascii="Cambria" w:hAnsi="Cambria" w:cs="Arial"/>
          <w:sz w:val="24"/>
          <w:szCs w:val="24"/>
        </w:rPr>
        <w:t xml:space="preserve">addition of </w:t>
      </w:r>
      <w:r w:rsidR="00194E6F" w:rsidRPr="003A1D25">
        <w:rPr>
          <w:rFonts w:ascii="Cambria" w:hAnsi="Cambria" w:cs="Arial"/>
          <w:sz w:val="24"/>
          <w:szCs w:val="24"/>
        </w:rPr>
        <w:t xml:space="preserve">new </w:t>
      </w:r>
      <w:r w:rsidR="0045121E" w:rsidRPr="003A1D25">
        <w:rPr>
          <w:rFonts w:ascii="Cambria" w:hAnsi="Cambria" w:cs="Arial"/>
          <w:sz w:val="24"/>
          <w:szCs w:val="24"/>
        </w:rPr>
        <w:t>RE projects through Group Captive Mode.</w:t>
      </w:r>
      <w:r w:rsidR="00BA419A">
        <w:rPr>
          <w:rFonts w:ascii="Cambria" w:hAnsi="Cambria" w:cs="Arial"/>
          <w:sz w:val="24"/>
          <w:szCs w:val="24"/>
        </w:rPr>
        <w:t xml:space="preserve"> </w:t>
      </w:r>
      <w:r w:rsidR="00243860">
        <w:rPr>
          <w:rFonts w:ascii="Cambria" w:hAnsi="Cambria" w:cs="Arial"/>
          <w:sz w:val="24"/>
          <w:szCs w:val="24"/>
        </w:rPr>
        <w:t xml:space="preserve">Hence, the actual sale </w:t>
      </w:r>
      <w:r w:rsidR="00243860" w:rsidRPr="003A1D25">
        <w:rPr>
          <w:rFonts w:ascii="Cambria" w:hAnsi="Cambria" w:cs="Arial"/>
          <w:sz w:val="24"/>
          <w:szCs w:val="24"/>
        </w:rPr>
        <w:t xml:space="preserve">under </w:t>
      </w:r>
      <w:r w:rsidR="00243860" w:rsidRPr="00397352">
        <w:rPr>
          <w:rFonts w:ascii="Cambria" w:hAnsi="Cambria" w:cs="Arial"/>
          <w:sz w:val="24"/>
          <w:szCs w:val="24"/>
        </w:rPr>
        <w:t xml:space="preserve">TPA stands at </w:t>
      </w:r>
      <w:r w:rsidR="0045121E" w:rsidRPr="00397352">
        <w:rPr>
          <w:rFonts w:ascii="Cambria" w:hAnsi="Cambria" w:cs="Arial"/>
          <w:sz w:val="24"/>
          <w:szCs w:val="24"/>
        </w:rPr>
        <w:t>135</w:t>
      </w:r>
      <w:r w:rsidR="00243860" w:rsidRPr="00397352">
        <w:rPr>
          <w:rFonts w:ascii="Cambria" w:hAnsi="Cambria" w:cs="Arial"/>
          <w:sz w:val="24"/>
          <w:szCs w:val="24"/>
        </w:rPr>
        <w:t xml:space="preserve"> MU till Oct’2</w:t>
      </w:r>
      <w:r w:rsidR="0015643C" w:rsidRPr="00397352">
        <w:rPr>
          <w:rFonts w:ascii="Cambria" w:hAnsi="Cambria" w:cs="Arial"/>
          <w:sz w:val="24"/>
          <w:szCs w:val="24"/>
        </w:rPr>
        <w:t>5</w:t>
      </w:r>
      <w:r w:rsidR="00243860" w:rsidRPr="00397352">
        <w:rPr>
          <w:rFonts w:ascii="Cambria" w:hAnsi="Cambria" w:cs="Arial"/>
          <w:sz w:val="24"/>
          <w:szCs w:val="24"/>
        </w:rPr>
        <w:t xml:space="preserve"> against the approved quantum</w:t>
      </w:r>
      <w:r w:rsidR="00542616" w:rsidRPr="00397352">
        <w:rPr>
          <w:rFonts w:ascii="Cambria" w:hAnsi="Cambria" w:cs="Arial"/>
          <w:sz w:val="24"/>
          <w:szCs w:val="24"/>
        </w:rPr>
        <w:t xml:space="preserve"> of 1900.032 MU</w:t>
      </w:r>
      <w:r w:rsidR="00243860" w:rsidRPr="00397352">
        <w:rPr>
          <w:rFonts w:ascii="Cambria" w:hAnsi="Cambria" w:cs="Arial"/>
          <w:sz w:val="24"/>
          <w:szCs w:val="24"/>
        </w:rPr>
        <w:t xml:space="preserve">.  </w:t>
      </w:r>
      <w:r w:rsidR="0085370E" w:rsidRPr="00397352">
        <w:rPr>
          <w:rFonts w:ascii="Cambria" w:hAnsi="Cambria" w:cs="Arial"/>
          <w:sz w:val="24"/>
          <w:szCs w:val="24"/>
        </w:rPr>
        <w:t>It is worth</w:t>
      </w:r>
      <w:r w:rsidR="00124794">
        <w:rPr>
          <w:rFonts w:ascii="Cambria" w:hAnsi="Cambria" w:cs="Arial"/>
          <w:sz w:val="24"/>
          <w:szCs w:val="24"/>
        </w:rPr>
        <w:t>-</w:t>
      </w:r>
      <w:r w:rsidR="0085370E" w:rsidRPr="00397352">
        <w:rPr>
          <w:rFonts w:ascii="Cambria" w:hAnsi="Cambria" w:cs="Arial"/>
          <w:sz w:val="24"/>
          <w:szCs w:val="24"/>
        </w:rPr>
        <w:t>mention</w:t>
      </w:r>
      <w:r w:rsidR="00397352" w:rsidRPr="00397352">
        <w:rPr>
          <w:rFonts w:ascii="Cambria" w:hAnsi="Cambria" w:cs="Arial"/>
          <w:sz w:val="24"/>
          <w:szCs w:val="24"/>
        </w:rPr>
        <w:t>ing</w:t>
      </w:r>
      <w:r w:rsidR="0085370E" w:rsidRPr="00397352">
        <w:rPr>
          <w:rFonts w:ascii="Cambria" w:hAnsi="Cambria" w:cs="Arial"/>
          <w:sz w:val="24"/>
          <w:szCs w:val="24"/>
        </w:rPr>
        <w:t xml:space="preserve"> that the Cross Subsidy Surcharge (CSS) mechanism is the only </w:t>
      </w:r>
      <w:r w:rsidR="00397352" w:rsidRPr="00397352">
        <w:rPr>
          <w:rFonts w:ascii="Cambria" w:hAnsi="Cambria" w:cs="Arial"/>
          <w:sz w:val="24"/>
          <w:szCs w:val="24"/>
        </w:rPr>
        <w:t xml:space="preserve">avenue available to </w:t>
      </w:r>
      <w:r w:rsidR="0085370E" w:rsidRPr="00397352">
        <w:rPr>
          <w:rFonts w:ascii="Cambria" w:hAnsi="Cambria" w:cs="Arial"/>
          <w:sz w:val="24"/>
          <w:szCs w:val="24"/>
        </w:rPr>
        <w:t>safeguard</w:t>
      </w:r>
      <w:r w:rsidR="00397352" w:rsidRPr="00397352">
        <w:rPr>
          <w:rFonts w:ascii="Cambria" w:hAnsi="Cambria" w:cs="Arial"/>
          <w:sz w:val="24"/>
          <w:szCs w:val="24"/>
        </w:rPr>
        <w:t xml:space="preserve"> the Licensee from migration of </w:t>
      </w:r>
      <w:r w:rsidR="0085370E" w:rsidRPr="00397352">
        <w:rPr>
          <w:rFonts w:ascii="Cambria" w:hAnsi="Cambria" w:cs="Arial"/>
          <w:sz w:val="24"/>
          <w:szCs w:val="24"/>
        </w:rPr>
        <w:t xml:space="preserve">the EHT </w:t>
      </w:r>
      <w:r w:rsidR="00397352" w:rsidRPr="00397352">
        <w:rPr>
          <w:rFonts w:ascii="Cambria" w:hAnsi="Cambria" w:cs="Arial"/>
          <w:sz w:val="24"/>
          <w:szCs w:val="24"/>
        </w:rPr>
        <w:t xml:space="preserve">consumers to Open Access mode thereby </w:t>
      </w:r>
      <w:r w:rsidR="00802D50" w:rsidRPr="00397352">
        <w:rPr>
          <w:rFonts w:ascii="Cambria" w:hAnsi="Cambria" w:cs="Arial"/>
          <w:sz w:val="24"/>
          <w:szCs w:val="24"/>
        </w:rPr>
        <w:t xml:space="preserve">ensuring tariff sustainability for </w:t>
      </w:r>
      <w:r w:rsidR="00397352" w:rsidRPr="00397352">
        <w:rPr>
          <w:rFonts w:ascii="Cambria" w:hAnsi="Cambria" w:cs="Arial"/>
          <w:sz w:val="24"/>
          <w:szCs w:val="24"/>
        </w:rPr>
        <w:t>subsidized c</w:t>
      </w:r>
      <w:r w:rsidR="00802D50" w:rsidRPr="00397352">
        <w:rPr>
          <w:rFonts w:ascii="Cambria" w:hAnsi="Cambria" w:cs="Arial"/>
          <w:sz w:val="24"/>
          <w:szCs w:val="24"/>
        </w:rPr>
        <w:t>ategory of consumers</w:t>
      </w:r>
      <w:r w:rsidR="0085370E" w:rsidRPr="00397352">
        <w:rPr>
          <w:rFonts w:ascii="Cambria" w:hAnsi="Cambria" w:cs="Arial"/>
          <w:sz w:val="24"/>
          <w:szCs w:val="24"/>
        </w:rPr>
        <w:t>.</w:t>
      </w:r>
    </w:p>
    <w:p w14:paraId="0F1FA3AD" w14:textId="6F9EE3F9" w:rsidR="00243860" w:rsidRDefault="00D70CE0" w:rsidP="00C23F37">
      <w:pPr>
        <w:pStyle w:val="Caption"/>
        <w:keepNext/>
        <w:spacing w:beforeLines="100" w:before="240" w:afterLines="100" w:after="240" w:line="360" w:lineRule="auto"/>
        <w:jc w:val="both"/>
        <w:rPr>
          <w:rFonts w:ascii="Cambria" w:hAnsi="Cambria" w:cs="Arial"/>
          <w:sz w:val="24"/>
          <w:szCs w:val="24"/>
        </w:rPr>
      </w:pPr>
      <w:r w:rsidRPr="00C66FD4">
        <w:rPr>
          <w:rFonts w:ascii="Cambria" w:hAnsi="Cambria" w:cs="Arial"/>
          <w:sz w:val="24"/>
          <w:szCs w:val="24"/>
        </w:rPr>
        <w:t xml:space="preserve">Further, the concessional tariff to </w:t>
      </w:r>
      <w:r w:rsidR="00373BE8" w:rsidRPr="00C66FD4">
        <w:rPr>
          <w:rFonts w:ascii="Cambria" w:hAnsi="Cambria" w:cs="Arial"/>
          <w:sz w:val="24"/>
          <w:szCs w:val="24"/>
        </w:rPr>
        <w:t xml:space="preserve">CGP industries having CD up to 20 MW, who can draw double their CD without levy of </w:t>
      </w:r>
      <w:proofErr w:type="spellStart"/>
      <w:r w:rsidR="00E83C1F" w:rsidRPr="00C66FD4">
        <w:rPr>
          <w:rFonts w:ascii="Cambria" w:hAnsi="Cambria" w:cs="Arial"/>
          <w:sz w:val="24"/>
          <w:szCs w:val="24"/>
        </w:rPr>
        <w:t>overdraw</w:t>
      </w:r>
      <w:r w:rsidR="00E83C1F">
        <w:rPr>
          <w:rFonts w:ascii="Cambria" w:hAnsi="Cambria" w:cs="Arial"/>
          <w:sz w:val="24"/>
          <w:szCs w:val="24"/>
        </w:rPr>
        <w:t>al</w:t>
      </w:r>
      <w:proofErr w:type="spellEnd"/>
      <w:r w:rsidR="00373BE8" w:rsidRPr="00C66FD4">
        <w:rPr>
          <w:rFonts w:ascii="Cambria" w:hAnsi="Cambria" w:cs="Arial"/>
          <w:sz w:val="24"/>
          <w:szCs w:val="24"/>
        </w:rPr>
        <w:t xml:space="preserve"> </w:t>
      </w:r>
      <w:r w:rsidR="00A70A35" w:rsidRPr="00C66FD4">
        <w:rPr>
          <w:rFonts w:ascii="Cambria" w:hAnsi="Cambria" w:cs="Arial"/>
          <w:sz w:val="24"/>
          <w:szCs w:val="24"/>
        </w:rPr>
        <w:t xml:space="preserve">penalty </w:t>
      </w:r>
      <w:r w:rsidR="007459FC">
        <w:rPr>
          <w:rFonts w:ascii="Cambria" w:hAnsi="Cambria" w:cs="Arial"/>
          <w:sz w:val="24"/>
          <w:szCs w:val="24"/>
        </w:rPr>
        <w:t>is</w:t>
      </w:r>
      <w:r w:rsidR="008E2506">
        <w:rPr>
          <w:rFonts w:ascii="Cambria" w:hAnsi="Cambria" w:cs="Arial"/>
          <w:sz w:val="24"/>
          <w:szCs w:val="24"/>
        </w:rPr>
        <w:t xml:space="preserve"> </w:t>
      </w:r>
      <w:r w:rsidR="007459FC">
        <w:rPr>
          <w:rFonts w:ascii="Cambria" w:hAnsi="Cambria" w:cs="Arial"/>
          <w:sz w:val="24"/>
          <w:szCs w:val="24"/>
        </w:rPr>
        <w:t>expected</w:t>
      </w:r>
      <w:r w:rsidR="008E2506">
        <w:rPr>
          <w:rFonts w:ascii="Cambria" w:hAnsi="Cambria" w:cs="Arial"/>
          <w:sz w:val="24"/>
          <w:szCs w:val="24"/>
        </w:rPr>
        <w:t xml:space="preserve"> to contribute</w:t>
      </w:r>
      <w:r w:rsidR="00373BE8" w:rsidRPr="00C66FD4">
        <w:rPr>
          <w:rFonts w:ascii="Cambria" w:hAnsi="Cambria" w:cs="Arial"/>
          <w:sz w:val="24"/>
          <w:szCs w:val="24"/>
        </w:rPr>
        <w:t xml:space="preserve"> </w:t>
      </w:r>
      <w:r w:rsidR="008E2506">
        <w:rPr>
          <w:rFonts w:ascii="Cambria" w:hAnsi="Cambria" w:cs="Arial"/>
          <w:sz w:val="24"/>
          <w:szCs w:val="24"/>
        </w:rPr>
        <w:t>towards</w:t>
      </w:r>
      <w:r w:rsidR="00373BE8" w:rsidRPr="00C66FD4">
        <w:rPr>
          <w:rFonts w:ascii="Cambria" w:hAnsi="Cambria" w:cs="Arial"/>
          <w:sz w:val="24"/>
          <w:szCs w:val="24"/>
        </w:rPr>
        <w:t xml:space="preserve"> additional sale</w:t>
      </w:r>
      <w:r w:rsidR="008E2506">
        <w:rPr>
          <w:rFonts w:ascii="Cambria" w:hAnsi="Cambria" w:cs="Arial"/>
          <w:sz w:val="24"/>
          <w:szCs w:val="24"/>
        </w:rPr>
        <w:t xml:space="preserve"> as like </w:t>
      </w:r>
      <w:r w:rsidR="007459FC">
        <w:rPr>
          <w:rFonts w:ascii="Cambria" w:hAnsi="Cambria" w:cs="Arial"/>
          <w:sz w:val="24"/>
          <w:szCs w:val="24"/>
        </w:rPr>
        <w:t>previous years</w:t>
      </w:r>
      <w:r w:rsidR="00243860">
        <w:rPr>
          <w:rFonts w:ascii="Cambria" w:hAnsi="Cambria" w:cs="Arial"/>
          <w:sz w:val="24"/>
          <w:szCs w:val="24"/>
        </w:rPr>
        <w:t xml:space="preserve">. Further, in the current year, the market condition of steel industry </w:t>
      </w:r>
      <w:r w:rsidR="003522F4">
        <w:rPr>
          <w:rFonts w:ascii="Cambria" w:hAnsi="Cambria" w:cs="Arial"/>
          <w:sz w:val="24"/>
          <w:szCs w:val="24"/>
        </w:rPr>
        <w:t xml:space="preserve">is </w:t>
      </w:r>
      <w:r w:rsidR="00243860">
        <w:rPr>
          <w:rFonts w:ascii="Cambria" w:hAnsi="Cambria" w:cs="Arial"/>
          <w:sz w:val="24"/>
          <w:szCs w:val="24"/>
        </w:rPr>
        <w:t>not support</w:t>
      </w:r>
      <w:r w:rsidR="009A1AF8">
        <w:rPr>
          <w:rFonts w:ascii="Cambria" w:hAnsi="Cambria" w:cs="Arial"/>
          <w:sz w:val="24"/>
          <w:szCs w:val="24"/>
        </w:rPr>
        <w:t>ive</w:t>
      </w:r>
      <w:r w:rsidR="00243860">
        <w:rPr>
          <w:rFonts w:ascii="Cambria" w:hAnsi="Cambria" w:cs="Arial"/>
          <w:sz w:val="24"/>
          <w:szCs w:val="24"/>
        </w:rPr>
        <w:t xml:space="preserve"> </w:t>
      </w:r>
      <w:r w:rsidR="009A1AF8">
        <w:rPr>
          <w:rFonts w:ascii="Cambria" w:hAnsi="Cambria" w:cs="Arial"/>
          <w:sz w:val="24"/>
          <w:szCs w:val="24"/>
        </w:rPr>
        <w:t xml:space="preserve">for </w:t>
      </w:r>
      <w:r w:rsidR="00243860">
        <w:rPr>
          <w:rFonts w:ascii="Cambria" w:hAnsi="Cambria" w:cs="Arial"/>
          <w:sz w:val="24"/>
          <w:szCs w:val="24"/>
        </w:rPr>
        <w:t xml:space="preserve">production </w:t>
      </w:r>
      <w:r w:rsidR="009A1AF8">
        <w:rPr>
          <w:rFonts w:ascii="Cambria" w:hAnsi="Cambria" w:cs="Arial"/>
          <w:sz w:val="24"/>
          <w:szCs w:val="24"/>
        </w:rPr>
        <w:t xml:space="preserve">augmentation </w:t>
      </w:r>
      <w:r w:rsidR="00D72DCF">
        <w:rPr>
          <w:rFonts w:ascii="Cambria" w:hAnsi="Cambria" w:cs="Arial"/>
          <w:sz w:val="24"/>
          <w:szCs w:val="24"/>
        </w:rPr>
        <w:t>due to</w:t>
      </w:r>
      <w:r w:rsidR="00243860">
        <w:rPr>
          <w:rFonts w:ascii="Cambria" w:hAnsi="Cambria" w:cs="Arial"/>
          <w:sz w:val="24"/>
          <w:szCs w:val="24"/>
        </w:rPr>
        <w:t xml:space="preserve"> which the </w:t>
      </w:r>
      <w:r w:rsidR="00B14B9B">
        <w:rPr>
          <w:rFonts w:ascii="Cambria" w:hAnsi="Cambria" w:cs="Arial"/>
          <w:sz w:val="24"/>
          <w:szCs w:val="24"/>
        </w:rPr>
        <w:t xml:space="preserve">number of </w:t>
      </w:r>
      <w:r w:rsidR="00243860">
        <w:rPr>
          <w:rFonts w:ascii="Cambria" w:hAnsi="Cambria" w:cs="Arial"/>
          <w:sz w:val="24"/>
          <w:szCs w:val="24"/>
        </w:rPr>
        <w:t xml:space="preserve">industries </w:t>
      </w:r>
      <w:r w:rsidR="00B14B9B">
        <w:rPr>
          <w:rFonts w:ascii="Cambria" w:hAnsi="Cambria" w:cs="Arial"/>
          <w:sz w:val="24"/>
          <w:szCs w:val="24"/>
        </w:rPr>
        <w:t>s</w:t>
      </w:r>
      <w:r w:rsidR="00243860">
        <w:rPr>
          <w:rFonts w:ascii="Cambria" w:hAnsi="Cambria" w:cs="Arial"/>
          <w:sz w:val="24"/>
          <w:szCs w:val="24"/>
        </w:rPr>
        <w:t xml:space="preserve">eeking drawl to the tune of double the CD </w:t>
      </w:r>
      <w:r w:rsidR="00DC0755">
        <w:rPr>
          <w:rFonts w:ascii="Cambria" w:hAnsi="Cambria" w:cs="Arial"/>
          <w:sz w:val="24"/>
          <w:szCs w:val="24"/>
        </w:rPr>
        <w:t>has become</w:t>
      </w:r>
      <w:r w:rsidR="00243860">
        <w:rPr>
          <w:rFonts w:ascii="Cambria" w:hAnsi="Cambria" w:cs="Arial"/>
          <w:sz w:val="24"/>
          <w:szCs w:val="24"/>
        </w:rPr>
        <w:t xml:space="preserve"> </w:t>
      </w:r>
      <w:r w:rsidR="00DC0755">
        <w:rPr>
          <w:rFonts w:ascii="Cambria" w:hAnsi="Cambria" w:cs="Arial"/>
          <w:sz w:val="24"/>
          <w:szCs w:val="24"/>
        </w:rPr>
        <w:t>less</w:t>
      </w:r>
      <w:r w:rsidR="00243860">
        <w:rPr>
          <w:rFonts w:ascii="Cambria" w:hAnsi="Cambria" w:cs="Arial"/>
          <w:sz w:val="24"/>
          <w:szCs w:val="24"/>
        </w:rPr>
        <w:t>.</w:t>
      </w:r>
      <w:r w:rsidR="00DA09BC">
        <w:rPr>
          <w:rFonts w:ascii="Cambria" w:hAnsi="Cambria" w:cs="Arial"/>
          <w:sz w:val="24"/>
          <w:szCs w:val="24"/>
        </w:rPr>
        <w:t xml:space="preserve"> As the scheme has already been tested in the past and stands to be a proven mechanism for creation of additional sale, the Licensee humbly submits before the Hon’ble Commission to continue the same in the ensuing year also with existing terms &amp; conditions which will create a </w:t>
      </w:r>
      <w:r w:rsidR="00DA09BC">
        <w:rPr>
          <w:rFonts w:ascii="Cambria" w:hAnsi="Cambria" w:cs="Arial"/>
          <w:sz w:val="24"/>
          <w:szCs w:val="24"/>
        </w:rPr>
        <w:lastRenderedPageBreak/>
        <w:t>platform for generation of additional revenue and can act as a catalyst to the revenue stream.</w:t>
      </w:r>
    </w:p>
    <w:p w14:paraId="6952A196" w14:textId="1C6B12DA" w:rsidR="0065245E" w:rsidRDefault="55B19BBA" w:rsidP="00C23F37">
      <w:pPr>
        <w:pStyle w:val="Caption"/>
        <w:keepNext/>
        <w:spacing w:beforeLines="100" w:before="240" w:afterLines="100" w:after="240" w:line="360" w:lineRule="auto"/>
        <w:jc w:val="both"/>
        <w:rPr>
          <w:rFonts w:ascii="Cambria" w:hAnsi="Cambria" w:cs="Arial"/>
          <w:sz w:val="24"/>
          <w:szCs w:val="24"/>
        </w:rPr>
      </w:pPr>
      <w:r w:rsidRPr="00C66FD4">
        <w:rPr>
          <w:rFonts w:ascii="Cambria" w:hAnsi="Cambria" w:cs="Arial"/>
          <w:sz w:val="24"/>
          <w:szCs w:val="24"/>
        </w:rPr>
        <w:t xml:space="preserve">In case </w:t>
      </w:r>
      <w:r w:rsidR="2FBBA7A6" w:rsidRPr="00C66FD4">
        <w:rPr>
          <w:rFonts w:ascii="Cambria" w:hAnsi="Cambria" w:cs="Arial"/>
          <w:sz w:val="24"/>
          <w:szCs w:val="24"/>
        </w:rPr>
        <w:t>of HT</w:t>
      </w:r>
      <w:r w:rsidR="00A70A35" w:rsidRPr="00C66FD4">
        <w:rPr>
          <w:rFonts w:ascii="Cambria" w:hAnsi="Cambria" w:cs="Arial"/>
          <w:sz w:val="24"/>
          <w:szCs w:val="24"/>
        </w:rPr>
        <w:t xml:space="preserve"> industries, </w:t>
      </w:r>
      <w:r w:rsidR="75A1C61E" w:rsidRPr="00C66FD4">
        <w:rPr>
          <w:rFonts w:ascii="Cambria" w:hAnsi="Cambria" w:cs="Arial"/>
          <w:sz w:val="24"/>
          <w:szCs w:val="24"/>
        </w:rPr>
        <w:t xml:space="preserve">Hon’ble </w:t>
      </w:r>
      <w:r w:rsidR="00933848">
        <w:rPr>
          <w:rFonts w:ascii="Cambria" w:hAnsi="Cambria" w:cs="Arial"/>
          <w:sz w:val="24"/>
          <w:szCs w:val="24"/>
        </w:rPr>
        <w:t>C</w:t>
      </w:r>
      <w:r w:rsidR="75A1C61E" w:rsidRPr="00C66FD4">
        <w:rPr>
          <w:rFonts w:ascii="Cambria" w:hAnsi="Cambria" w:cs="Arial"/>
          <w:sz w:val="24"/>
          <w:szCs w:val="24"/>
        </w:rPr>
        <w:t xml:space="preserve">ommission has approved </w:t>
      </w:r>
      <w:r w:rsidR="00933848">
        <w:rPr>
          <w:rFonts w:ascii="Cambria" w:hAnsi="Cambria" w:cs="Arial"/>
          <w:sz w:val="24"/>
          <w:szCs w:val="24"/>
        </w:rPr>
        <w:t>2</w:t>
      </w:r>
      <w:r w:rsidR="008D1A32">
        <w:rPr>
          <w:rFonts w:ascii="Cambria" w:hAnsi="Cambria" w:cs="Arial"/>
          <w:sz w:val="24"/>
          <w:szCs w:val="24"/>
        </w:rPr>
        <w:t>600</w:t>
      </w:r>
      <w:r w:rsidR="75A1C61E" w:rsidRPr="00C66FD4">
        <w:rPr>
          <w:rFonts w:ascii="Cambria" w:hAnsi="Cambria" w:cs="Arial"/>
          <w:sz w:val="24"/>
          <w:szCs w:val="24"/>
        </w:rPr>
        <w:t xml:space="preserve"> MUs for FY</w:t>
      </w:r>
      <w:r w:rsidR="00933848">
        <w:rPr>
          <w:rFonts w:ascii="Cambria" w:hAnsi="Cambria" w:cs="Arial"/>
          <w:sz w:val="24"/>
          <w:szCs w:val="24"/>
        </w:rPr>
        <w:t xml:space="preserve"> </w:t>
      </w:r>
      <w:r w:rsidR="75A1C61E" w:rsidRPr="00C66FD4">
        <w:rPr>
          <w:rFonts w:ascii="Cambria" w:hAnsi="Cambria" w:cs="Arial"/>
          <w:sz w:val="24"/>
          <w:szCs w:val="24"/>
        </w:rPr>
        <w:t>2</w:t>
      </w:r>
      <w:r w:rsidR="00034221">
        <w:rPr>
          <w:rFonts w:ascii="Cambria" w:hAnsi="Cambria" w:cs="Arial"/>
          <w:sz w:val="24"/>
          <w:szCs w:val="24"/>
        </w:rPr>
        <w:t>5</w:t>
      </w:r>
      <w:r w:rsidR="75A1C61E" w:rsidRPr="00C66FD4">
        <w:rPr>
          <w:rFonts w:ascii="Cambria" w:hAnsi="Cambria" w:cs="Arial"/>
          <w:sz w:val="24"/>
          <w:szCs w:val="24"/>
        </w:rPr>
        <w:t>-2</w:t>
      </w:r>
      <w:r w:rsidR="00034221">
        <w:rPr>
          <w:rFonts w:ascii="Cambria" w:hAnsi="Cambria" w:cs="Arial"/>
          <w:sz w:val="24"/>
          <w:szCs w:val="24"/>
        </w:rPr>
        <w:t>6</w:t>
      </w:r>
      <w:r w:rsidR="00A70A35" w:rsidRPr="00C66FD4">
        <w:rPr>
          <w:rFonts w:ascii="Cambria" w:hAnsi="Cambria" w:cs="Arial"/>
          <w:sz w:val="24"/>
          <w:szCs w:val="24"/>
        </w:rPr>
        <w:t xml:space="preserve"> with special concessional tariff for steel industries connected in 33 </w:t>
      </w:r>
      <w:r w:rsidR="006019AD">
        <w:rPr>
          <w:rFonts w:ascii="Cambria" w:hAnsi="Cambria" w:cs="Arial"/>
          <w:sz w:val="24"/>
          <w:szCs w:val="24"/>
        </w:rPr>
        <w:t>kV</w:t>
      </w:r>
      <w:r w:rsidR="00A70A35" w:rsidRPr="00C66FD4">
        <w:rPr>
          <w:rFonts w:ascii="Cambria" w:hAnsi="Cambria" w:cs="Arial"/>
          <w:sz w:val="24"/>
          <w:szCs w:val="24"/>
        </w:rPr>
        <w:t xml:space="preserve"> level having CD more than 1 MW.</w:t>
      </w:r>
      <w:r w:rsidR="2468DA4C" w:rsidRPr="00C66FD4">
        <w:rPr>
          <w:rFonts w:ascii="Cambria" w:hAnsi="Cambria" w:cs="Arial"/>
          <w:sz w:val="24"/>
          <w:szCs w:val="24"/>
        </w:rPr>
        <w:t xml:space="preserve"> </w:t>
      </w:r>
      <w:r w:rsidR="007A3ED9">
        <w:rPr>
          <w:rFonts w:ascii="Cambria" w:hAnsi="Cambria" w:cs="Arial"/>
          <w:sz w:val="24"/>
          <w:szCs w:val="24"/>
        </w:rPr>
        <w:t xml:space="preserve">But </w:t>
      </w:r>
      <w:r w:rsidR="000E1B25">
        <w:rPr>
          <w:rFonts w:ascii="Cambria" w:hAnsi="Cambria" w:cs="Arial"/>
          <w:sz w:val="24"/>
          <w:szCs w:val="24"/>
        </w:rPr>
        <w:t xml:space="preserve">incidentally </w:t>
      </w:r>
      <w:r w:rsidR="007A3ED9">
        <w:rPr>
          <w:rFonts w:ascii="Cambria" w:hAnsi="Cambria" w:cs="Arial"/>
          <w:sz w:val="24"/>
          <w:szCs w:val="24"/>
        </w:rPr>
        <w:t xml:space="preserve">couple of industries </w:t>
      </w:r>
      <w:r w:rsidR="00274BB7">
        <w:rPr>
          <w:rFonts w:ascii="Cambria" w:hAnsi="Cambria" w:cs="Arial"/>
          <w:sz w:val="24"/>
          <w:szCs w:val="24"/>
        </w:rPr>
        <w:t xml:space="preserve">availing the scheme </w:t>
      </w:r>
      <w:r w:rsidR="007A3ED9">
        <w:rPr>
          <w:rFonts w:ascii="Cambria" w:hAnsi="Cambria" w:cs="Arial"/>
          <w:sz w:val="24"/>
          <w:szCs w:val="24"/>
        </w:rPr>
        <w:t xml:space="preserve">have established their own CGPs and dependency towards DISCOM’s </w:t>
      </w:r>
      <w:proofErr w:type="spellStart"/>
      <w:r w:rsidR="007A3ED9">
        <w:rPr>
          <w:rFonts w:ascii="Cambria" w:hAnsi="Cambria" w:cs="Arial"/>
          <w:sz w:val="24"/>
          <w:szCs w:val="24"/>
        </w:rPr>
        <w:t>drawal</w:t>
      </w:r>
      <w:proofErr w:type="spellEnd"/>
      <w:r w:rsidR="007A3ED9">
        <w:rPr>
          <w:rFonts w:ascii="Cambria" w:hAnsi="Cambria" w:cs="Arial"/>
          <w:sz w:val="24"/>
          <w:szCs w:val="24"/>
        </w:rPr>
        <w:t xml:space="preserve"> ha</w:t>
      </w:r>
      <w:r w:rsidR="00D44E9E">
        <w:rPr>
          <w:rFonts w:ascii="Cambria" w:hAnsi="Cambria" w:cs="Arial"/>
          <w:sz w:val="24"/>
          <w:szCs w:val="24"/>
        </w:rPr>
        <w:t>s</w:t>
      </w:r>
      <w:r w:rsidR="007A3ED9">
        <w:rPr>
          <w:rFonts w:ascii="Cambria" w:hAnsi="Cambria" w:cs="Arial"/>
          <w:sz w:val="24"/>
          <w:szCs w:val="24"/>
        </w:rPr>
        <w:t xml:space="preserve"> reduced</w:t>
      </w:r>
      <w:r w:rsidR="00C35888">
        <w:rPr>
          <w:rFonts w:ascii="Cambria" w:hAnsi="Cambria" w:cs="Arial"/>
          <w:sz w:val="24"/>
          <w:szCs w:val="24"/>
        </w:rPr>
        <w:t>.</w:t>
      </w:r>
      <w:r w:rsidR="00DF2655">
        <w:rPr>
          <w:rFonts w:ascii="Cambria" w:hAnsi="Cambria" w:cs="Arial"/>
          <w:sz w:val="24"/>
          <w:szCs w:val="24"/>
        </w:rPr>
        <w:t xml:space="preserve"> </w:t>
      </w:r>
      <w:r w:rsidR="004E4D7D">
        <w:rPr>
          <w:rFonts w:ascii="Cambria" w:hAnsi="Cambria" w:cs="Arial"/>
          <w:sz w:val="24"/>
          <w:szCs w:val="24"/>
        </w:rPr>
        <w:t xml:space="preserve">The major reasons </w:t>
      </w:r>
      <w:r w:rsidR="005F1FDC">
        <w:rPr>
          <w:rFonts w:ascii="Cambria" w:hAnsi="Cambria" w:cs="Arial"/>
          <w:sz w:val="24"/>
          <w:szCs w:val="24"/>
        </w:rPr>
        <w:t xml:space="preserve">for </w:t>
      </w:r>
      <w:r w:rsidR="00E72717">
        <w:rPr>
          <w:rFonts w:ascii="Cambria" w:hAnsi="Cambria" w:cs="Arial"/>
          <w:sz w:val="24"/>
          <w:szCs w:val="24"/>
        </w:rPr>
        <w:t xml:space="preserve">HT sale </w:t>
      </w:r>
      <w:r w:rsidR="00881BF4">
        <w:rPr>
          <w:rFonts w:ascii="Cambria" w:hAnsi="Cambria" w:cs="Arial"/>
          <w:sz w:val="24"/>
          <w:szCs w:val="24"/>
        </w:rPr>
        <w:t xml:space="preserve">decline </w:t>
      </w:r>
      <w:r w:rsidR="00E72717">
        <w:rPr>
          <w:rFonts w:ascii="Cambria" w:hAnsi="Cambria" w:cs="Arial"/>
          <w:sz w:val="24"/>
          <w:szCs w:val="24"/>
        </w:rPr>
        <w:t xml:space="preserve">are </w:t>
      </w:r>
      <w:r w:rsidR="0065245E">
        <w:rPr>
          <w:rFonts w:ascii="Cambria" w:hAnsi="Cambria" w:cs="Arial"/>
          <w:sz w:val="24"/>
          <w:szCs w:val="24"/>
        </w:rPr>
        <w:t>as follows:</w:t>
      </w:r>
    </w:p>
    <w:p w14:paraId="6ED9CE37" w14:textId="491644D1" w:rsidR="001B3552" w:rsidRDefault="00881BF4" w:rsidP="001972DE">
      <w:pPr>
        <w:pStyle w:val="Caption"/>
        <w:keepNext/>
        <w:numPr>
          <w:ilvl w:val="0"/>
          <w:numId w:val="44"/>
        </w:numPr>
        <w:spacing w:beforeLines="100" w:before="240" w:afterLines="100" w:after="240" w:line="360" w:lineRule="auto"/>
        <w:jc w:val="both"/>
        <w:rPr>
          <w:rFonts w:ascii="Cambria" w:hAnsi="Cambria" w:cs="Arial"/>
          <w:sz w:val="24"/>
          <w:szCs w:val="24"/>
        </w:rPr>
      </w:pPr>
      <w:r>
        <w:rPr>
          <w:rFonts w:ascii="Cambria" w:hAnsi="Cambria" w:cs="Arial"/>
          <w:sz w:val="24"/>
          <w:szCs w:val="24"/>
        </w:rPr>
        <w:t xml:space="preserve">Merger and Acquisition </w:t>
      </w:r>
      <w:r w:rsidR="00A20854">
        <w:rPr>
          <w:rFonts w:ascii="Cambria" w:hAnsi="Cambria" w:cs="Arial"/>
          <w:sz w:val="24"/>
          <w:szCs w:val="24"/>
        </w:rPr>
        <w:t xml:space="preserve">of </w:t>
      </w:r>
      <w:r>
        <w:rPr>
          <w:rFonts w:ascii="Cambria" w:hAnsi="Cambria" w:cs="Arial"/>
          <w:sz w:val="24"/>
          <w:szCs w:val="24"/>
        </w:rPr>
        <w:t>Capacity in</w:t>
      </w:r>
      <w:r w:rsidR="001B3552">
        <w:rPr>
          <w:rFonts w:ascii="Cambria" w:hAnsi="Cambria" w:cs="Arial"/>
          <w:sz w:val="24"/>
          <w:szCs w:val="24"/>
        </w:rPr>
        <w:t xml:space="preserve"> CGPs</w:t>
      </w:r>
      <w:r>
        <w:rPr>
          <w:rFonts w:ascii="Cambria" w:hAnsi="Cambria" w:cs="Arial"/>
          <w:sz w:val="24"/>
          <w:szCs w:val="24"/>
        </w:rPr>
        <w:t xml:space="preserve"> Modality</w:t>
      </w:r>
      <w:r w:rsidR="00742483">
        <w:rPr>
          <w:rFonts w:ascii="Cambria" w:hAnsi="Cambria" w:cs="Arial"/>
          <w:sz w:val="24"/>
          <w:szCs w:val="24"/>
        </w:rPr>
        <w:t xml:space="preserve"> </w:t>
      </w:r>
    </w:p>
    <w:p w14:paraId="5A2AD640" w14:textId="25C4CC01" w:rsidR="00D65424" w:rsidRDefault="00D65424" w:rsidP="001972DE">
      <w:pPr>
        <w:pStyle w:val="Caption"/>
        <w:keepNext/>
        <w:numPr>
          <w:ilvl w:val="0"/>
          <w:numId w:val="44"/>
        </w:numPr>
        <w:spacing w:beforeLines="100" w:before="240" w:afterLines="100" w:after="240" w:line="360" w:lineRule="auto"/>
        <w:jc w:val="both"/>
        <w:rPr>
          <w:rFonts w:ascii="Cambria" w:hAnsi="Cambria" w:cs="Arial"/>
          <w:sz w:val="24"/>
          <w:szCs w:val="24"/>
        </w:rPr>
      </w:pPr>
      <w:r>
        <w:rPr>
          <w:rFonts w:ascii="Cambria" w:hAnsi="Cambria" w:cs="Arial"/>
          <w:sz w:val="24"/>
          <w:szCs w:val="24"/>
        </w:rPr>
        <w:t>Behind</w:t>
      </w:r>
      <w:r w:rsidR="001B3552">
        <w:rPr>
          <w:rFonts w:ascii="Cambria" w:hAnsi="Cambria" w:cs="Arial"/>
          <w:sz w:val="24"/>
          <w:szCs w:val="24"/>
        </w:rPr>
        <w:t xml:space="preserve"> the meter</w:t>
      </w:r>
      <w:r>
        <w:rPr>
          <w:rFonts w:ascii="Cambria" w:hAnsi="Cambria" w:cs="Arial"/>
          <w:sz w:val="24"/>
          <w:szCs w:val="24"/>
        </w:rPr>
        <w:t xml:space="preserve"> Solar Plant</w:t>
      </w:r>
    </w:p>
    <w:p w14:paraId="73A9FB52" w14:textId="4DCE6F20" w:rsidR="004E4D7D" w:rsidRPr="00F370E3" w:rsidRDefault="00FA5410" w:rsidP="001972DE">
      <w:pPr>
        <w:pStyle w:val="Caption"/>
        <w:keepNext/>
        <w:numPr>
          <w:ilvl w:val="0"/>
          <w:numId w:val="44"/>
        </w:numPr>
        <w:spacing w:beforeLines="100" w:before="240" w:afterLines="100" w:after="240" w:line="360" w:lineRule="auto"/>
        <w:jc w:val="both"/>
        <w:rPr>
          <w:rFonts w:ascii="Cambria" w:hAnsi="Cambria" w:cs="Arial"/>
          <w:sz w:val="24"/>
          <w:szCs w:val="24"/>
        </w:rPr>
      </w:pPr>
      <w:r w:rsidRPr="00F370E3">
        <w:rPr>
          <w:rFonts w:ascii="Cambria" w:hAnsi="Cambria" w:cs="Arial"/>
          <w:sz w:val="24"/>
          <w:szCs w:val="24"/>
        </w:rPr>
        <w:t>Harnessing</w:t>
      </w:r>
      <w:r w:rsidR="00CD050B" w:rsidRPr="00F370E3">
        <w:rPr>
          <w:rFonts w:ascii="Cambria" w:hAnsi="Cambria" w:cs="Arial"/>
          <w:sz w:val="24"/>
          <w:szCs w:val="24"/>
        </w:rPr>
        <w:t xml:space="preserve"> power from </w:t>
      </w:r>
      <w:r w:rsidR="00D65424" w:rsidRPr="00F370E3">
        <w:rPr>
          <w:rFonts w:ascii="Cambria" w:hAnsi="Cambria" w:cs="Arial"/>
          <w:sz w:val="24"/>
          <w:szCs w:val="24"/>
        </w:rPr>
        <w:t>Group Captive</w:t>
      </w:r>
    </w:p>
    <w:p w14:paraId="6553403D" w14:textId="70FF1A26" w:rsidR="00742483" w:rsidRDefault="009E1102" w:rsidP="00C23F37">
      <w:pPr>
        <w:pStyle w:val="Caption"/>
        <w:keepNext/>
        <w:spacing w:beforeLines="100" w:before="240" w:afterLines="100" w:after="240" w:line="360" w:lineRule="auto"/>
        <w:jc w:val="both"/>
        <w:rPr>
          <w:rFonts w:ascii="Cambria" w:hAnsi="Cambria" w:cs="Arial"/>
          <w:sz w:val="24"/>
          <w:szCs w:val="24"/>
        </w:rPr>
      </w:pPr>
      <w:r w:rsidRPr="00F370E3">
        <w:rPr>
          <w:rFonts w:ascii="Cambria" w:hAnsi="Cambria" w:cs="Arial"/>
          <w:sz w:val="24"/>
          <w:szCs w:val="24"/>
          <w:lang w:val="en-US"/>
        </w:rPr>
        <w:t>Although the Licensee, along with the Bulk Supplier, has obtained approval of the Hon’ble Commission in Case No. 53 of 2025 and implemented a tariff rationalization measure to enhance HT sales through the Solar Hour flat tariff mechanism</w:t>
      </w:r>
      <w:r w:rsidR="00F370E3" w:rsidRPr="00F370E3">
        <w:rPr>
          <w:rFonts w:ascii="Cambria" w:hAnsi="Cambria" w:cs="Arial"/>
          <w:sz w:val="24"/>
          <w:szCs w:val="24"/>
          <w:lang w:val="en-US"/>
        </w:rPr>
        <w:t>, the scheme has not yet taken off fully and is expected to gain momentum in the ensuing years</w:t>
      </w:r>
      <w:r w:rsidR="00F370E3">
        <w:rPr>
          <w:rFonts w:ascii="Cambria" w:hAnsi="Cambria" w:cs="Arial"/>
          <w:sz w:val="24"/>
          <w:szCs w:val="24"/>
          <w:lang w:val="en-US"/>
        </w:rPr>
        <w:t>. Hence the scheme is proposed for continuation in the next FY 2026-27.</w:t>
      </w:r>
    </w:p>
    <w:p w14:paraId="5A3DD0CB" w14:textId="534E51CC" w:rsidR="00C35888" w:rsidRDefault="00DF2655" w:rsidP="00C23F37">
      <w:pPr>
        <w:pStyle w:val="Caption"/>
        <w:keepNext/>
        <w:spacing w:beforeLines="100" w:before="240" w:afterLines="100" w:after="240" w:line="360" w:lineRule="auto"/>
        <w:jc w:val="both"/>
        <w:rPr>
          <w:rFonts w:ascii="Cambria" w:hAnsi="Cambria" w:cs="Arial"/>
          <w:sz w:val="24"/>
          <w:szCs w:val="24"/>
        </w:rPr>
      </w:pPr>
      <w:r>
        <w:rPr>
          <w:rFonts w:ascii="Cambria" w:hAnsi="Cambria" w:cs="Arial"/>
          <w:sz w:val="24"/>
          <w:szCs w:val="24"/>
        </w:rPr>
        <w:t xml:space="preserve">One of the major Industry under HT Category namely M/s. Linde Ltd. who was completely dependent upon </w:t>
      </w:r>
      <w:r w:rsidRPr="005E3189">
        <w:rPr>
          <w:rFonts w:ascii="Cambria" w:hAnsi="Cambria" w:cs="Arial"/>
          <w:sz w:val="24"/>
          <w:szCs w:val="24"/>
        </w:rPr>
        <w:t xml:space="preserve">Licensee’s Power </w:t>
      </w:r>
      <w:r w:rsidR="00934574">
        <w:rPr>
          <w:rFonts w:ascii="Cambria" w:hAnsi="Cambria" w:cs="Arial"/>
          <w:sz w:val="24"/>
          <w:szCs w:val="24"/>
        </w:rPr>
        <w:t xml:space="preserve">has started availing power through Open Access from </w:t>
      </w:r>
      <w:proofErr w:type="spellStart"/>
      <w:r w:rsidR="00934574">
        <w:rPr>
          <w:rFonts w:ascii="Cambria" w:hAnsi="Cambria" w:cs="Arial"/>
          <w:sz w:val="24"/>
          <w:szCs w:val="24"/>
        </w:rPr>
        <w:t>it’s</w:t>
      </w:r>
      <w:proofErr w:type="spellEnd"/>
      <w:r w:rsidR="00934574">
        <w:rPr>
          <w:rFonts w:ascii="Cambria" w:hAnsi="Cambria" w:cs="Arial"/>
          <w:sz w:val="24"/>
          <w:szCs w:val="24"/>
        </w:rPr>
        <w:t xml:space="preserve"> Group Captive Companies which poses a threat for </w:t>
      </w:r>
      <w:r>
        <w:rPr>
          <w:rFonts w:ascii="Cambria" w:hAnsi="Cambria" w:cs="Arial"/>
          <w:sz w:val="24"/>
          <w:szCs w:val="24"/>
        </w:rPr>
        <w:t>overall achievement in current year’s HT consumption.</w:t>
      </w:r>
      <w:r w:rsidR="00C35888">
        <w:rPr>
          <w:rFonts w:ascii="Cambria" w:hAnsi="Cambria" w:cs="Arial"/>
          <w:sz w:val="24"/>
          <w:szCs w:val="24"/>
        </w:rPr>
        <w:t xml:space="preserve"> Apart from this as explained earlier, steel &amp; cement market </w:t>
      </w:r>
      <w:r w:rsidR="00F641A4">
        <w:rPr>
          <w:rFonts w:ascii="Cambria" w:hAnsi="Cambria" w:cs="Arial"/>
          <w:sz w:val="24"/>
          <w:szCs w:val="24"/>
        </w:rPr>
        <w:t>has not seen expected growth which has also impacted HT sales volume</w:t>
      </w:r>
      <w:r w:rsidR="00C35888">
        <w:rPr>
          <w:rFonts w:ascii="Cambria" w:hAnsi="Cambria" w:cs="Arial"/>
          <w:sz w:val="24"/>
          <w:szCs w:val="24"/>
        </w:rPr>
        <w:t xml:space="preserve">. </w:t>
      </w:r>
      <w:r w:rsidR="00156DAA" w:rsidRPr="00156DAA">
        <w:rPr>
          <w:rFonts w:ascii="Cambria" w:hAnsi="Cambria" w:cs="Arial"/>
          <w:sz w:val="24"/>
          <w:szCs w:val="24"/>
          <w:lang w:val="en-US"/>
        </w:rPr>
        <w:t>Furthermore, the recent tariff impositions by the</w:t>
      </w:r>
      <w:r w:rsidR="00F641A4">
        <w:rPr>
          <w:rFonts w:ascii="Cambria" w:hAnsi="Cambria" w:cs="Arial"/>
          <w:sz w:val="24"/>
          <w:szCs w:val="24"/>
          <w:lang w:val="en-US"/>
        </w:rPr>
        <w:t xml:space="preserve"> major</w:t>
      </w:r>
      <w:r w:rsidR="00156DAA" w:rsidRPr="00156DAA">
        <w:rPr>
          <w:rFonts w:ascii="Cambria" w:hAnsi="Cambria" w:cs="Arial"/>
          <w:sz w:val="24"/>
          <w:szCs w:val="24"/>
          <w:lang w:val="en-US"/>
        </w:rPr>
        <w:t xml:space="preserve"> </w:t>
      </w:r>
      <w:r w:rsidR="00156DAA">
        <w:rPr>
          <w:rFonts w:ascii="Cambria" w:hAnsi="Cambria" w:cs="Arial"/>
          <w:sz w:val="24"/>
          <w:szCs w:val="24"/>
          <w:lang w:val="en-US"/>
        </w:rPr>
        <w:t>importer countries</w:t>
      </w:r>
      <w:r w:rsidR="00156DAA" w:rsidRPr="00156DAA">
        <w:rPr>
          <w:rFonts w:ascii="Cambria" w:hAnsi="Cambria" w:cs="Arial"/>
          <w:sz w:val="24"/>
          <w:szCs w:val="24"/>
          <w:lang w:val="en-US"/>
        </w:rPr>
        <w:t xml:space="preserve"> </w:t>
      </w:r>
      <w:r w:rsidR="00F641A4">
        <w:rPr>
          <w:rFonts w:ascii="Cambria" w:hAnsi="Cambria" w:cs="Arial"/>
          <w:sz w:val="24"/>
          <w:szCs w:val="24"/>
          <w:lang w:val="en-US"/>
        </w:rPr>
        <w:t xml:space="preserve">has adversely affected the production plan of industries in steel and allied sectors. </w:t>
      </w:r>
      <w:r w:rsidR="00897579">
        <w:rPr>
          <w:rFonts w:ascii="Cambria" w:hAnsi="Cambria" w:cs="Arial"/>
          <w:sz w:val="24"/>
          <w:szCs w:val="24"/>
          <w:lang w:val="en-US"/>
        </w:rPr>
        <w:t>Additionally</w:t>
      </w:r>
      <w:r w:rsidR="00F641A4">
        <w:rPr>
          <w:rFonts w:ascii="Cambria" w:hAnsi="Cambria" w:cs="Arial"/>
          <w:sz w:val="24"/>
          <w:szCs w:val="24"/>
          <w:lang w:val="en-US"/>
        </w:rPr>
        <w:t>, the dumping of the low</w:t>
      </w:r>
      <w:r w:rsidR="00897579">
        <w:rPr>
          <w:rFonts w:ascii="Cambria" w:hAnsi="Cambria" w:cs="Arial"/>
          <w:sz w:val="24"/>
          <w:szCs w:val="24"/>
          <w:lang w:val="en-US"/>
        </w:rPr>
        <w:t>-</w:t>
      </w:r>
      <w:r w:rsidR="00F641A4">
        <w:rPr>
          <w:rFonts w:ascii="Cambria" w:hAnsi="Cambria" w:cs="Arial"/>
          <w:sz w:val="24"/>
          <w:szCs w:val="24"/>
          <w:lang w:val="en-US"/>
        </w:rPr>
        <w:t xml:space="preserve">cost </w:t>
      </w:r>
      <w:r w:rsidR="004F5E6F">
        <w:rPr>
          <w:rFonts w:ascii="Cambria" w:hAnsi="Cambria" w:cs="Arial"/>
          <w:sz w:val="24"/>
          <w:szCs w:val="24"/>
          <w:lang w:val="en-US"/>
        </w:rPr>
        <w:t>C</w:t>
      </w:r>
      <w:r w:rsidR="00F641A4">
        <w:rPr>
          <w:rFonts w:ascii="Cambria" w:hAnsi="Cambria" w:cs="Arial"/>
          <w:sz w:val="24"/>
          <w:szCs w:val="24"/>
          <w:lang w:val="en-US"/>
        </w:rPr>
        <w:t>hines</w:t>
      </w:r>
      <w:r w:rsidR="004F5E6F">
        <w:rPr>
          <w:rFonts w:ascii="Cambria" w:hAnsi="Cambria" w:cs="Arial"/>
          <w:sz w:val="24"/>
          <w:szCs w:val="24"/>
          <w:lang w:val="en-US"/>
        </w:rPr>
        <w:t>e</w:t>
      </w:r>
      <w:r w:rsidR="00F641A4">
        <w:rPr>
          <w:rFonts w:ascii="Cambria" w:hAnsi="Cambria" w:cs="Arial"/>
          <w:sz w:val="24"/>
          <w:szCs w:val="24"/>
          <w:lang w:val="en-US"/>
        </w:rPr>
        <w:t xml:space="preserve"> steel also has </w:t>
      </w:r>
      <w:r w:rsidR="00C83311">
        <w:rPr>
          <w:rFonts w:ascii="Cambria" w:hAnsi="Cambria" w:cs="Arial"/>
          <w:sz w:val="24"/>
          <w:szCs w:val="24"/>
          <w:lang w:val="en-US"/>
        </w:rPr>
        <w:t>severely</w:t>
      </w:r>
      <w:r w:rsidR="00F641A4">
        <w:rPr>
          <w:rFonts w:ascii="Cambria" w:hAnsi="Cambria" w:cs="Arial"/>
          <w:sz w:val="24"/>
          <w:szCs w:val="24"/>
          <w:lang w:val="en-US"/>
        </w:rPr>
        <w:t xml:space="preserve"> </w:t>
      </w:r>
      <w:r w:rsidR="00C83311">
        <w:rPr>
          <w:rFonts w:ascii="Cambria" w:hAnsi="Cambria" w:cs="Arial"/>
          <w:sz w:val="24"/>
          <w:szCs w:val="24"/>
          <w:lang w:val="en-US"/>
        </w:rPr>
        <w:t>affected the domestic production thereby lowering HT industrial consumptions.</w:t>
      </w:r>
      <w:r w:rsidR="00156DAA" w:rsidRPr="00156DAA">
        <w:rPr>
          <w:rFonts w:ascii="Cambria" w:hAnsi="Cambria" w:cs="Arial"/>
          <w:sz w:val="24"/>
          <w:szCs w:val="24"/>
          <w:lang w:val="en-US"/>
        </w:rPr>
        <w:t xml:space="preserve"> Th</w:t>
      </w:r>
      <w:r w:rsidR="00A20854">
        <w:rPr>
          <w:rFonts w:ascii="Cambria" w:hAnsi="Cambria" w:cs="Arial"/>
          <w:sz w:val="24"/>
          <w:szCs w:val="24"/>
          <w:lang w:val="en-US"/>
        </w:rPr>
        <w:t>ese</w:t>
      </w:r>
      <w:r w:rsidR="00156DAA" w:rsidRPr="00156DAA">
        <w:rPr>
          <w:rFonts w:ascii="Cambria" w:hAnsi="Cambria" w:cs="Arial"/>
          <w:sz w:val="24"/>
          <w:szCs w:val="24"/>
          <w:lang w:val="en-US"/>
        </w:rPr>
        <w:t xml:space="preserve"> external factor</w:t>
      </w:r>
      <w:r w:rsidR="00A20854">
        <w:rPr>
          <w:rFonts w:ascii="Cambria" w:hAnsi="Cambria" w:cs="Arial"/>
          <w:sz w:val="24"/>
          <w:szCs w:val="24"/>
          <w:lang w:val="en-US"/>
        </w:rPr>
        <w:t>s</w:t>
      </w:r>
      <w:r w:rsidR="00156DAA" w:rsidRPr="00156DAA">
        <w:rPr>
          <w:rFonts w:ascii="Cambria" w:hAnsi="Cambria" w:cs="Arial"/>
          <w:sz w:val="24"/>
          <w:szCs w:val="24"/>
          <w:lang w:val="en-US"/>
        </w:rPr>
        <w:t xml:space="preserve"> ha</w:t>
      </w:r>
      <w:r w:rsidR="00A20854">
        <w:rPr>
          <w:rFonts w:ascii="Cambria" w:hAnsi="Cambria" w:cs="Arial"/>
          <w:sz w:val="24"/>
          <w:szCs w:val="24"/>
          <w:lang w:val="en-US"/>
        </w:rPr>
        <w:t>ve</w:t>
      </w:r>
      <w:r w:rsidR="00156DAA" w:rsidRPr="00156DAA">
        <w:rPr>
          <w:rFonts w:ascii="Cambria" w:hAnsi="Cambria" w:cs="Arial"/>
          <w:sz w:val="24"/>
          <w:szCs w:val="24"/>
          <w:lang w:val="en-US"/>
        </w:rPr>
        <w:t xml:space="preserve"> indirectly impacted the industrial consumption pattern within the Licensee’s area, especially from large steel-based consumers. </w:t>
      </w:r>
      <w:r w:rsidR="00156DAA">
        <w:rPr>
          <w:rFonts w:ascii="Cambria" w:hAnsi="Cambria" w:cs="Arial"/>
          <w:sz w:val="24"/>
          <w:szCs w:val="24"/>
          <w:lang w:val="en-US"/>
        </w:rPr>
        <w:t xml:space="preserve"> </w:t>
      </w:r>
      <w:r w:rsidR="00C35888">
        <w:rPr>
          <w:rFonts w:ascii="Cambria" w:hAnsi="Cambria" w:cs="Arial"/>
          <w:sz w:val="24"/>
          <w:szCs w:val="24"/>
        </w:rPr>
        <w:t>Therefore, the Licensee is r</w:t>
      </w:r>
      <w:r w:rsidR="00C35888" w:rsidRPr="00B74508">
        <w:rPr>
          <w:rFonts w:ascii="Cambria" w:hAnsi="Cambria" w:cs="Arial"/>
          <w:sz w:val="24"/>
          <w:szCs w:val="24"/>
        </w:rPr>
        <w:t>e-estimating its current year HT sale considering actual sale of H1 (12</w:t>
      </w:r>
      <w:r w:rsidR="003E740F" w:rsidRPr="00B74508">
        <w:rPr>
          <w:rFonts w:ascii="Cambria" w:hAnsi="Cambria" w:cs="Arial"/>
          <w:sz w:val="24"/>
          <w:szCs w:val="24"/>
        </w:rPr>
        <w:t>17</w:t>
      </w:r>
      <w:r w:rsidR="00C35888" w:rsidRPr="00B74508">
        <w:rPr>
          <w:rFonts w:ascii="Cambria" w:hAnsi="Cambria" w:cs="Arial"/>
          <w:sz w:val="24"/>
          <w:szCs w:val="24"/>
        </w:rPr>
        <w:t xml:space="preserve"> MU) as 2</w:t>
      </w:r>
      <w:r w:rsidR="005B0EDD" w:rsidRPr="00B74508">
        <w:rPr>
          <w:rFonts w:ascii="Cambria" w:hAnsi="Cambria" w:cs="Arial"/>
          <w:sz w:val="24"/>
          <w:szCs w:val="24"/>
        </w:rPr>
        <w:t>510</w:t>
      </w:r>
      <w:r w:rsidR="00C35888" w:rsidRPr="00B74508">
        <w:rPr>
          <w:rFonts w:ascii="Cambria" w:hAnsi="Cambria" w:cs="Arial"/>
          <w:sz w:val="24"/>
          <w:szCs w:val="24"/>
        </w:rPr>
        <w:t xml:space="preserve"> MU</w:t>
      </w:r>
      <w:r w:rsidR="00C35888">
        <w:rPr>
          <w:rFonts w:ascii="Cambria" w:hAnsi="Cambria" w:cs="Arial"/>
          <w:sz w:val="24"/>
          <w:szCs w:val="24"/>
        </w:rPr>
        <w:t xml:space="preserve"> instead of approved figure of 2</w:t>
      </w:r>
      <w:r w:rsidR="00697418">
        <w:rPr>
          <w:rFonts w:ascii="Cambria" w:hAnsi="Cambria" w:cs="Arial"/>
          <w:sz w:val="24"/>
          <w:szCs w:val="24"/>
        </w:rPr>
        <w:t>600</w:t>
      </w:r>
      <w:r w:rsidR="00C35888">
        <w:rPr>
          <w:rFonts w:ascii="Cambria" w:hAnsi="Cambria" w:cs="Arial"/>
          <w:sz w:val="24"/>
          <w:szCs w:val="24"/>
        </w:rPr>
        <w:t xml:space="preserve"> MU. </w:t>
      </w:r>
    </w:p>
    <w:p w14:paraId="2BC129CA" w14:textId="1B877A65" w:rsidR="00F16426" w:rsidRPr="00205D9B" w:rsidRDefault="007A3ED9" w:rsidP="00C23F37">
      <w:pPr>
        <w:pStyle w:val="Caption"/>
        <w:keepNext/>
        <w:spacing w:beforeLines="100" w:before="240" w:afterLines="100" w:after="240" w:line="360" w:lineRule="auto"/>
        <w:jc w:val="both"/>
        <w:rPr>
          <w:rFonts w:ascii="Cambria" w:hAnsi="Cambria" w:cs="Arial"/>
          <w:sz w:val="24"/>
          <w:szCs w:val="24"/>
          <w:highlight w:val="yellow"/>
        </w:rPr>
      </w:pPr>
      <w:r>
        <w:rPr>
          <w:rFonts w:ascii="Cambria" w:hAnsi="Cambria" w:cs="Arial"/>
          <w:sz w:val="24"/>
          <w:szCs w:val="24"/>
        </w:rPr>
        <w:t xml:space="preserve"> </w:t>
      </w:r>
      <w:r w:rsidR="2468DA4C" w:rsidRPr="00C66FD4">
        <w:rPr>
          <w:rFonts w:ascii="Cambria" w:hAnsi="Cambria" w:cs="Arial"/>
          <w:sz w:val="24"/>
          <w:szCs w:val="24"/>
        </w:rPr>
        <w:t>However,</w:t>
      </w:r>
      <w:r w:rsidR="7718F30C" w:rsidRPr="00C66FD4">
        <w:rPr>
          <w:rFonts w:ascii="Cambria" w:hAnsi="Cambria" w:cs="Arial"/>
          <w:sz w:val="24"/>
          <w:szCs w:val="24"/>
        </w:rPr>
        <w:t xml:space="preserve"> in case of LT</w:t>
      </w:r>
      <w:r w:rsidR="2F866C95" w:rsidRPr="00C66FD4">
        <w:rPr>
          <w:rFonts w:ascii="Cambria" w:hAnsi="Cambria" w:cs="Arial"/>
          <w:sz w:val="24"/>
          <w:szCs w:val="24"/>
        </w:rPr>
        <w:t>,</w:t>
      </w:r>
      <w:r w:rsidR="7718F30C" w:rsidRPr="00C66FD4">
        <w:rPr>
          <w:rFonts w:ascii="Cambria" w:hAnsi="Cambria" w:cs="Arial"/>
          <w:sz w:val="24"/>
          <w:szCs w:val="24"/>
        </w:rPr>
        <w:t xml:space="preserve"> the </w:t>
      </w:r>
      <w:r w:rsidR="00933848">
        <w:rPr>
          <w:rFonts w:ascii="Cambria" w:hAnsi="Cambria" w:cs="Arial"/>
          <w:sz w:val="24"/>
          <w:szCs w:val="24"/>
        </w:rPr>
        <w:t>L</w:t>
      </w:r>
      <w:r w:rsidR="444006BD" w:rsidRPr="00C66FD4">
        <w:rPr>
          <w:rFonts w:ascii="Cambria" w:hAnsi="Cambria" w:cs="Arial"/>
          <w:sz w:val="24"/>
          <w:szCs w:val="24"/>
        </w:rPr>
        <w:t>icensee</w:t>
      </w:r>
      <w:r w:rsidR="7718F30C" w:rsidRPr="00C66FD4">
        <w:rPr>
          <w:rFonts w:ascii="Cambria" w:hAnsi="Cambria" w:cs="Arial"/>
          <w:sz w:val="24"/>
          <w:szCs w:val="24"/>
        </w:rPr>
        <w:t xml:space="preserve"> has estimated </w:t>
      </w:r>
      <w:r w:rsidR="00DB31D5" w:rsidRPr="00B74508">
        <w:rPr>
          <w:rFonts w:ascii="Cambria" w:hAnsi="Cambria" w:cs="Arial"/>
          <w:sz w:val="24"/>
          <w:szCs w:val="24"/>
        </w:rPr>
        <w:t xml:space="preserve">consumption of </w:t>
      </w:r>
      <w:r w:rsidR="7718F30C" w:rsidRPr="00B74508">
        <w:rPr>
          <w:rFonts w:ascii="Cambria" w:hAnsi="Cambria" w:cs="Arial"/>
          <w:sz w:val="24"/>
          <w:szCs w:val="24"/>
        </w:rPr>
        <w:t>3</w:t>
      </w:r>
      <w:r w:rsidR="004901F4" w:rsidRPr="00B74508">
        <w:rPr>
          <w:rFonts w:ascii="Cambria" w:hAnsi="Cambria" w:cs="Arial"/>
          <w:sz w:val="24"/>
          <w:szCs w:val="24"/>
        </w:rPr>
        <w:t>479</w:t>
      </w:r>
      <w:r w:rsidR="7718F30C" w:rsidRPr="00B74508">
        <w:rPr>
          <w:rFonts w:ascii="Cambria" w:hAnsi="Cambria" w:cs="Arial"/>
          <w:sz w:val="24"/>
          <w:szCs w:val="24"/>
        </w:rPr>
        <w:t xml:space="preserve"> M</w:t>
      </w:r>
      <w:r w:rsidR="00933848" w:rsidRPr="00B74508">
        <w:rPr>
          <w:rFonts w:ascii="Cambria" w:hAnsi="Cambria" w:cs="Arial"/>
          <w:sz w:val="24"/>
          <w:szCs w:val="24"/>
        </w:rPr>
        <w:t>U</w:t>
      </w:r>
      <w:r w:rsidR="7718F30C" w:rsidRPr="00C66FD4">
        <w:rPr>
          <w:rFonts w:ascii="Cambria" w:hAnsi="Cambria" w:cs="Arial"/>
          <w:sz w:val="24"/>
          <w:szCs w:val="24"/>
        </w:rPr>
        <w:t xml:space="preserve"> against approval </w:t>
      </w:r>
      <w:r w:rsidR="7718F30C" w:rsidRPr="00B74508">
        <w:rPr>
          <w:rFonts w:ascii="Cambria" w:hAnsi="Cambria" w:cs="Arial"/>
          <w:sz w:val="24"/>
          <w:szCs w:val="24"/>
        </w:rPr>
        <w:t xml:space="preserve">of </w:t>
      </w:r>
      <w:r w:rsidR="00933848" w:rsidRPr="00B74508">
        <w:rPr>
          <w:rFonts w:ascii="Cambria" w:hAnsi="Cambria" w:cs="Arial"/>
          <w:sz w:val="24"/>
          <w:szCs w:val="24"/>
        </w:rPr>
        <w:t>3</w:t>
      </w:r>
      <w:r w:rsidR="00DC1ECF" w:rsidRPr="00B74508">
        <w:rPr>
          <w:rFonts w:ascii="Cambria" w:hAnsi="Cambria" w:cs="Arial"/>
          <w:sz w:val="24"/>
          <w:szCs w:val="24"/>
        </w:rPr>
        <w:t>712.3</w:t>
      </w:r>
      <w:r w:rsidR="00921CD3" w:rsidRPr="00B74508">
        <w:rPr>
          <w:rFonts w:ascii="Cambria" w:hAnsi="Cambria" w:cs="Arial"/>
          <w:sz w:val="24"/>
          <w:szCs w:val="24"/>
        </w:rPr>
        <w:t>0</w:t>
      </w:r>
      <w:r w:rsidR="2CF23E88" w:rsidRPr="00B74508">
        <w:rPr>
          <w:rFonts w:ascii="Cambria" w:hAnsi="Cambria" w:cs="Arial"/>
          <w:sz w:val="24"/>
          <w:szCs w:val="24"/>
        </w:rPr>
        <w:t xml:space="preserve"> M</w:t>
      </w:r>
      <w:r w:rsidR="00933848" w:rsidRPr="00B74508">
        <w:rPr>
          <w:rFonts w:ascii="Cambria" w:hAnsi="Cambria" w:cs="Arial"/>
          <w:sz w:val="24"/>
          <w:szCs w:val="24"/>
        </w:rPr>
        <w:t>U</w:t>
      </w:r>
      <w:r w:rsidR="00933848">
        <w:rPr>
          <w:rFonts w:ascii="Cambria" w:hAnsi="Cambria" w:cs="Arial"/>
          <w:sz w:val="24"/>
          <w:szCs w:val="24"/>
        </w:rPr>
        <w:t xml:space="preserve"> </w:t>
      </w:r>
      <w:r w:rsidR="00C35888" w:rsidRPr="00D57861">
        <w:rPr>
          <w:rFonts w:ascii="Cambria" w:hAnsi="Cambria" w:cs="Arial"/>
          <w:sz w:val="24"/>
          <w:szCs w:val="24"/>
        </w:rPr>
        <w:t xml:space="preserve">considering ground realities and challenges faced in agricultural segment. </w:t>
      </w:r>
      <w:r w:rsidR="002A66FA" w:rsidRPr="00D57861">
        <w:rPr>
          <w:rFonts w:ascii="Cambria" w:hAnsi="Cambria" w:cs="Arial"/>
          <w:sz w:val="24"/>
          <w:szCs w:val="24"/>
        </w:rPr>
        <w:t>However, the co</w:t>
      </w:r>
      <w:r w:rsidR="002A66FA">
        <w:rPr>
          <w:rFonts w:ascii="Cambria" w:hAnsi="Cambria" w:cs="Arial"/>
          <w:sz w:val="24"/>
          <w:szCs w:val="24"/>
        </w:rPr>
        <w:t xml:space="preserve">mpany is optimistic in reducing the loss through continuance of existing and new initiatives like </w:t>
      </w:r>
      <w:r w:rsidR="00933848">
        <w:rPr>
          <w:rFonts w:ascii="Cambria" w:hAnsi="Cambria" w:cs="Arial"/>
          <w:sz w:val="24"/>
          <w:szCs w:val="24"/>
        </w:rPr>
        <w:t xml:space="preserve">replacement of defective meters, </w:t>
      </w:r>
      <w:r w:rsidR="005E64F9">
        <w:rPr>
          <w:rFonts w:ascii="Cambria" w:hAnsi="Cambria" w:cs="Arial"/>
          <w:sz w:val="24"/>
          <w:szCs w:val="24"/>
        </w:rPr>
        <w:t xml:space="preserve">installation of smart meters, </w:t>
      </w:r>
      <w:r w:rsidR="00933848">
        <w:rPr>
          <w:rFonts w:ascii="Cambria" w:hAnsi="Cambria" w:cs="Arial"/>
          <w:sz w:val="24"/>
          <w:szCs w:val="24"/>
        </w:rPr>
        <w:t>enforcement activities, bill revision, resolution of disputes</w:t>
      </w:r>
      <w:r w:rsidR="006E4BE5">
        <w:rPr>
          <w:rFonts w:ascii="Cambria" w:hAnsi="Cambria" w:cs="Arial"/>
          <w:sz w:val="24"/>
          <w:szCs w:val="24"/>
        </w:rPr>
        <w:t>, implementation of PMSGMBY</w:t>
      </w:r>
      <w:r w:rsidR="00A22600">
        <w:rPr>
          <w:rFonts w:ascii="Cambria" w:hAnsi="Cambria" w:cs="Arial"/>
          <w:sz w:val="24"/>
          <w:szCs w:val="24"/>
        </w:rPr>
        <w:t xml:space="preserve"> through consumer CAPEX model and Utility Led Aggregation Model (ULA) </w:t>
      </w:r>
      <w:r w:rsidR="00933848">
        <w:rPr>
          <w:rFonts w:ascii="Cambria" w:hAnsi="Cambria" w:cs="Arial"/>
          <w:sz w:val="24"/>
          <w:szCs w:val="24"/>
        </w:rPr>
        <w:t>etc.</w:t>
      </w:r>
      <w:r w:rsidR="2CF23E88" w:rsidRPr="00C66FD4">
        <w:rPr>
          <w:rFonts w:ascii="Cambria" w:hAnsi="Cambria" w:cs="Arial"/>
          <w:sz w:val="24"/>
          <w:szCs w:val="24"/>
        </w:rPr>
        <w:t xml:space="preserve"> </w:t>
      </w:r>
      <w:r w:rsidR="003E2D2A" w:rsidRPr="00C66FD4">
        <w:rPr>
          <w:rFonts w:ascii="Cambria" w:hAnsi="Cambria" w:cs="Arial"/>
          <w:sz w:val="24"/>
          <w:szCs w:val="24"/>
        </w:rPr>
        <w:t xml:space="preserve">Accordingly, in the </w:t>
      </w:r>
      <w:r w:rsidR="00F663B0" w:rsidRPr="00C66FD4">
        <w:rPr>
          <w:rFonts w:ascii="Cambria" w:hAnsi="Cambria" w:cs="Arial"/>
          <w:sz w:val="24"/>
          <w:szCs w:val="24"/>
        </w:rPr>
        <w:t>current year T&amp;D loss</w:t>
      </w:r>
      <w:r w:rsidR="003E2D2A" w:rsidRPr="00C66FD4">
        <w:rPr>
          <w:rFonts w:ascii="Cambria" w:hAnsi="Cambria" w:cs="Arial"/>
          <w:sz w:val="24"/>
          <w:szCs w:val="24"/>
        </w:rPr>
        <w:t xml:space="preserve"> has been </w:t>
      </w:r>
      <w:r w:rsidR="00DB31D5" w:rsidRPr="00C66FD4">
        <w:rPr>
          <w:rFonts w:ascii="Cambria" w:hAnsi="Cambria" w:cs="Arial"/>
          <w:sz w:val="24"/>
          <w:szCs w:val="24"/>
        </w:rPr>
        <w:t>estimated a</w:t>
      </w:r>
      <w:r w:rsidR="003E2D2A" w:rsidRPr="00C66FD4">
        <w:rPr>
          <w:rFonts w:ascii="Cambria" w:hAnsi="Cambria" w:cs="Arial"/>
          <w:sz w:val="24"/>
          <w:szCs w:val="24"/>
        </w:rPr>
        <w:t xml:space="preserve">t </w:t>
      </w:r>
      <w:r w:rsidR="002A66FA" w:rsidRPr="00B74508">
        <w:rPr>
          <w:rFonts w:ascii="Cambria" w:hAnsi="Cambria" w:cs="Arial"/>
          <w:sz w:val="24"/>
          <w:szCs w:val="24"/>
        </w:rPr>
        <w:t>1</w:t>
      </w:r>
      <w:r w:rsidR="00F309F8" w:rsidRPr="00B74508">
        <w:rPr>
          <w:rFonts w:ascii="Cambria" w:hAnsi="Cambria" w:cs="Arial"/>
          <w:sz w:val="24"/>
          <w:szCs w:val="24"/>
        </w:rPr>
        <w:t>5</w:t>
      </w:r>
      <w:r w:rsidR="002A66FA" w:rsidRPr="00B74508">
        <w:rPr>
          <w:rFonts w:ascii="Cambria" w:hAnsi="Cambria" w:cs="Arial"/>
          <w:sz w:val="24"/>
          <w:szCs w:val="24"/>
        </w:rPr>
        <w:t>.</w:t>
      </w:r>
      <w:r w:rsidR="00F309F8" w:rsidRPr="00B74508">
        <w:rPr>
          <w:rFonts w:ascii="Cambria" w:hAnsi="Cambria" w:cs="Arial"/>
          <w:sz w:val="24"/>
          <w:szCs w:val="24"/>
        </w:rPr>
        <w:t>05</w:t>
      </w:r>
      <w:r w:rsidR="002A66FA" w:rsidRPr="00B74508">
        <w:rPr>
          <w:rFonts w:ascii="Cambria" w:hAnsi="Cambria" w:cs="Arial"/>
          <w:sz w:val="24"/>
          <w:szCs w:val="24"/>
        </w:rPr>
        <w:t>%</w:t>
      </w:r>
      <w:r w:rsidR="00933848" w:rsidRPr="00B74508">
        <w:rPr>
          <w:rFonts w:ascii="Cambria" w:hAnsi="Cambria" w:cs="Arial"/>
          <w:sz w:val="24"/>
          <w:szCs w:val="24"/>
        </w:rPr>
        <w:t>.</w:t>
      </w:r>
    </w:p>
    <w:p w14:paraId="2C6CF397" w14:textId="3D91F680" w:rsidR="00A5197C" w:rsidRDefault="00883300" w:rsidP="00C23F37">
      <w:pPr>
        <w:pStyle w:val="Caption"/>
        <w:keepNext/>
        <w:spacing w:beforeLines="100" w:before="240" w:afterLines="100" w:after="240" w:line="360" w:lineRule="auto"/>
        <w:jc w:val="both"/>
        <w:rPr>
          <w:rFonts w:ascii="Cambria" w:hAnsi="Cambria" w:cs="Arial"/>
          <w:sz w:val="24"/>
          <w:szCs w:val="24"/>
        </w:rPr>
      </w:pPr>
      <w:r w:rsidRPr="00B74EE1">
        <w:rPr>
          <w:rFonts w:ascii="Cambria" w:hAnsi="Cambria" w:cs="Arial"/>
          <w:sz w:val="24"/>
          <w:szCs w:val="24"/>
        </w:rPr>
        <w:t xml:space="preserve">Now, in line with the </w:t>
      </w:r>
      <w:r w:rsidR="002529DC" w:rsidRPr="00B74EE1">
        <w:rPr>
          <w:rFonts w:ascii="Cambria" w:hAnsi="Cambria" w:cs="Arial"/>
          <w:sz w:val="24"/>
          <w:szCs w:val="24"/>
        </w:rPr>
        <w:t xml:space="preserve">above </w:t>
      </w:r>
      <w:r w:rsidR="003E2D2A" w:rsidRPr="00B74EE1">
        <w:rPr>
          <w:rFonts w:ascii="Cambria" w:hAnsi="Cambria" w:cs="Arial"/>
          <w:sz w:val="24"/>
          <w:szCs w:val="24"/>
        </w:rPr>
        <w:t xml:space="preserve">and with a hope in continuance of concessional tariff to industries and MSME sector </w:t>
      </w:r>
      <w:r w:rsidRPr="00B74EE1">
        <w:rPr>
          <w:rFonts w:ascii="Cambria" w:hAnsi="Cambria" w:cs="Arial"/>
          <w:sz w:val="24"/>
          <w:szCs w:val="24"/>
        </w:rPr>
        <w:t xml:space="preserve">the expected </w:t>
      </w:r>
      <w:r w:rsidR="00B74EE1" w:rsidRPr="00B74EE1">
        <w:rPr>
          <w:rFonts w:ascii="Cambria" w:hAnsi="Cambria" w:cs="Arial"/>
          <w:sz w:val="24"/>
          <w:szCs w:val="24"/>
        </w:rPr>
        <w:t xml:space="preserve">sales projection &amp; </w:t>
      </w:r>
      <w:r w:rsidRPr="00B74EE1">
        <w:rPr>
          <w:rFonts w:ascii="Cambria" w:hAnsi="Cambria" w:cs="Arial"/>
          <w:sz w:val="24"/>
          <w:szCs w:val="24"/>
        </w:rPr>
        <w:t xml:space="preserve">performance in the ensuing </w:t>
      </w:r>
      <w:r w:rsidRPr="005E64F9">
        <w:rPr>
          <w:rFonts w:ascii="Cambria" w:hAnsi="Cambria" w:cs="Arial"/>
          <w:sz w:val="24"/>
          <w:szCs w:val="24"/>
        </w:rPr>
        <w:t xml:space="preserve">year (FY </w:t>
      </w:r>
      <w:r w:rsidR="009A0E63" w:rsidRPr="005E64F9">
        <w:rPr>
          <w:rFonts w:ascii="Cambria" w:hAnsi="Cambria" w:cs="Arial"/>
          <w:sz w:val="24"/>
          <w:szCs w:val="24"/>
        </w:rPr>
        <w:t>2026-27</w:t>
      </w:r>
      <w:r w:rsidRPr="005E64F9">
        <w:rPr>
          <w:rFonts w:ascii="Cambria" w:hAnsi="Cambria" w:cs="Arial"/>
          <w:sz w:val="24"/>
          <w:szCs w:val="24"/>
        </w:rPr>
        <w:t xml:space="preserve">) has been </w:t>
      </w:r>
      <w:r w:rsidR="2E359927" w:rsidRPr="005E64F9">
        <w:rPr>
          <w:rFonts w:ascii="Cambria" w:hAnsi="Cambria" w:cs="Arial"/>
          <w:sz w:val="24"/>
          <w:szCs w:val="24"/>
        </w:rPr>
        <w:t>depicted below</w:t>
      </w:r>
      <w:r w:rsidRPr="005E64F9">
        <w:rPr>
          <w:rFonts w:ascii="Cambria" w:hAnsi="Cambria" w:cs="Arial"/>
          <w:sz w:val="24"/>
          <w:szCs w:val="24"/>
        </w:rPr>
        <w:t xml:space="preserve"> with actual of </w:t>
      </w:r>
      <w:r w:rsidR="00A5197C" w:rsidRPr="005E64F9">
        <w:rPr>
          <w:rFonts w:ascii="Cambria" w:hAnsi="Cambria" w:cs="Arial"/>
          <w:sz w:val="24"/>
          <w:szCs w:val="24"/>
        </w:rPr>
        <w:t xml:space="preserve">previous </w:t>
      </w:r>
      <w:r w:rsidR="00FD33B0" w:rsidRPr="005E64F9">
        <w:rPr>
          <w:rFonts w:ascii="Cambria" w:hAnsi="Cambria" w:cs="Arial"/>
          <w:sz w:val="24"/>
          <w:szCs w:val="24"/>
        </w:rPr>
        <w:t xml:space="preserve">year (FY </w:t>
      </w:r>
      <w:r w:rsidR="00D70284" w:rsidRPr="005E64F9">
        <w:rPr>
          <w:rFonts w:ascii="Cambria" w:hAnsi="Cambria" w:cs="Arial"/>
          <w:sz w:val="24"/>
          <w:szCs w:val="24"/>
        </w:rPr>
        <w:t>20</w:t>
      </w:r>
      <w:r w:rsidR="631A7E30" w:rsidRPr="005E64F9">
        <w:rPr>
          <w:rFonts w:ascii="Cambria" w:hAnsi="Cambria" w:cs="Arial"/>
          <w:sz w:val="24"/>
          <w:szCs w:val="24"/>
        </w:rPr>
        <w:t>2</w:t>
      </w:r>
      <w:r w:rsidR="00D16A14" w:rsidRPr="005E64F9">
        <w:rPr>
          <w:rFonts w:ascii="Cambria" w:hAnsi="Cambria" w:cs="Arial"/>
          <w:sz w:val="24"/>
          <w:szCs w:val="24"/>
        </w:rPr>
        <w:t>4</w:t>
      </w:r>
      <w:r w:rsidR="00A5197C" w:rsidRPr="005E64F9">
        <w:rPr>
          <w:rFonts w:ascii="Cambria" w:hAnsi="Cambria" w:cs="Arial"/>
          <w:sz w:val="24"/>
          <w:szCs w:val="24"/>
        </w:rPr>
        <w:t>-</w:t>
      </w:r>
      <w:r w:rsidR="00BB7F8F" w:rsidRPr="005E64F9">
        <w:rPr>
          <w:rFonts w:ascii="Cambria" w:hAnsi="Cambria" w:cs="Arial"/>
          <w:sz w:val="24"/>
          <w:szCs w:val="24"/>
        </w:rPr>
        <w:t>2</w:t>
      </w:r>
      <w:r w:rsidR="00D16A14" w:rsidRPr="005E64F9">
        <w:rPr>
          <w:rFonts w:ascii="Cambria" w:hAnsi="Cambria" w:cs="Arial"/>
          <w:sz w:val="24"/>
          <w:szCs w:val="24"/>
        </w:rPr>
        <w:t>5</w:t>
      </w:r>
      <w:r w:rsidR="00A5197C" w:rsidRPr="005E64F9">
        <w:rPr>
          <w:rFonts w:ascii="Cambria" w:hAnsi="Cambria" w:cs="Arial"/>
          <w:sz w:val="24"/>
          <w:szCs w:val="24"/>
        </w:rPr>
        <w:t xml:space="preserve">), </w:t>
      </w:r>
      <w:r w:rsidRPr="005E64F9">
        <w:rPr>
          <w:rFonts w:ascii="Cambria" w:hAnsi="Cambria" w:cs="Arial"/>
          <w:sz w:val="24"/>
          <w:szCs w:val="24"/>
        </w:rPr>
        <w:t xml:space="preserve">estimate for </w:t>
      </w:r>
      <w:r w:rsidR="00A5197C" w:rsidRPr="005E64F9">
        <w:rPr>
          <w:rFonts w:ascii="Cambria" w:hAnsi="Cambria" w:cs="Arial"/>
          <w:sz w:val="24"/>
          <w:szCs w:val="24"/>
        </w:rPr>
        <w:t>current year (</w:t>
      </w:r>
      <w:r w:rsidR="00205D9B" w:rsidRPr="005E64F9">
        <w:rPr>
          <w:rFonts w:ascii="Cambria" w:hAnsi="Cambria" w:cs="Arial"/>
          <w:sz w:val="24"/>
          <w:szCs w:val="24"/>
        </w:rPr>
        <w:t xml:space="preserve">FY </w:t>
      </w:r>
      <w:r w:rsidR="00BB7F8F" w:rsidRPr="005E64F9">
        <w:rPr>
          <w:rFonts w:ascii="Cambria" w:hAnsi="Cambria" w:cs="Arial"/>
          <w:sz w:val="24"/>
          <w:szCs w:val="24"/>
        </w:rPr>
        <w:t>202</w:t>
      </w:r>
      <w:r w:rsidR="00280EB2" w:rsidRPr="005E64F9">
        <w:rPr>
          <w:rFonts w:ascii="Cambria" w:hAnsi="Cambria" w:cs="Arial"/>
          <w:sz w:val="24"/>
          <w:szCs w:val="24"/>
        </w:rPr>
        <w:t>5</w:t>
      </w:r>
      <w:r w:rsidR="00A5197C" w:rsidRPr="005E64F9">
        <w:rPr>
          <w:rFonts w:ascii="Cambria" w:hAnsi="Cambria" w:cs="Arial"/>
          <w:sz w:val="24"/>
          <w:szCs w:val="24"/>
        </w:rPr>
        <w:t>-</w:t>
      </w:r>
      <w:r w:rsidR="00536AFF" w:rsidRPr="005E64F9">
        <w:rPr>
          <w:rFonts w:ascii="Cambria" w:hAnsi="Cambria" w:cs="Arial"/>
          <w:sz w:val="24"/>
          <w:szCs w:val="24"/>
        </w:rPr>
        <w:t>2</w:t>
      </w:r>
      <w:r w:rsidR="00280EB2" w:rsidRPr="005E64F9">
        <w:rPr>
          <w:rFonts w:ascii="Cambria" w:hAnsi="Cambria" w:cs="Arial"/>
          <w:sz w:val="24"/>
          <w:szCs w:val="24"/>
        </w:rPr>
        <w:t>6</w:t>
      </w:r>
      <w:r w:rsidR="00A5197C" w:rsidRPr="005E64F9">
        <w:rPr>
          <w:rFonts w:ascii="Cambria" w:hAnsi="Cambria" w:cs="Arial"/>
          <w:sz w:val="24"/>
          <w:szCs w:val="24"/>
        </w:rPr>
        <w:t xml:space="preserve">) as </w:t>
      </w:r>
      <w:r w:rsidR="004853B3" w:rsidRPr="005E64F9">
        <w:rPr>
          <w:rFonts w:ascii="Cambria" w:hAnsi="Cambria" w:cs="Arial"/>
          <w:sz w:val="24"/>
          <w:szCs w:val="24"/>
        </w:rPr>
        <w:t>per below table</w:t>
      </w:r>
      <w:r w:rsidR="00B74EE1" w:rsidRPr="005E64F9">
        <w:rPr>
          <w:rFonts w:ascii="Cambria" w:hAnsi="Cambria" w:cs="Arial"/>
          <w:sz w:val="24"/>
          <w:szCs w:val="24"/>
        </w:rPr>
        <w:t>:</w:t>
      </w:r>
    </w:p>
    <w:p w14:paraId="7AD16FCC" w14:textId="46A0CEFF" w:rsidR="00A5197C" w:rsidRPr="00997864" w:rsidRDefault="00A5197C" w:rsidP="58C29371">
      <w:pPr>
        <w:pStyle w:val="Caption"/>
        <w:keepNext/>
        <w:rPr>
          <w:rFonts w:ascii="Cambria" w:hAnsi="Cambria" w:cs="Arial"/>
          <w:b/>
          <w:bCs/>
          <w:sz w:val="24"/>
          <w:szCs w:val="24"/>
        </w:rPr>
      </w:pPr>
      <w:r w:rsidRPr="58C29371">
        <w:rPr>
          <w:rFonts w:ascii="Cambria" w:hAnsi="Cambria" w:cs="Arial"/>
          <w:b/>
          <w:bCs/>
          <w:sz w:val="24"/>
          <w:szCs w:val="24"/>
        </w:rPr>
        <w:t xml:space="preserve">  </w:t>
      </w:r>
      <w:r>
        <w:tab/>
      </w:r>
      <w:r w:rsidRPr="00095479">
        <w:rPr>
          <w:rFonts w:ascii="Cambria" w:hAnsi="Cambria" w:cs="Arial"/>
          <w:b/>
          <w:bCs/>
          <w:sz w:val="24"/>
          <w:szCs w:val="24"/>
        </w:rPr>
        <w:t xml:space="preserve">Distribution </w:t>
      </w:r>
      <w:r w:rsidR="008170BC" w:rsidRPr="00095479">
        <w:rPr>
          <w:rFonts w:ascii="Cambria" w:hAnsi="Cambria" w:cs="Arial"/>
          <w:b/>
          <w:bCs/>
          <w:sz w:val="24"/>
          <w:szCs w:val="24"/>
        </w:rPr>
        <w:t xml:space="preserve">and AT &amp; C Loss </w:t>
      </w:r>
      <w:r w:rsidRPr="00095479">
        <w:rPr>
          <w:rFonts w:ascii="Cambria" w:hAnsi="Cambria" w:cs="Arial"/>
          <w:b/>
          <w:bCs/>
          <w:sz w:val="24"/>
          <w:szCs w:val="24"/>
        </w:rPr>
        <w:t>FY 20</w:t>
      </w:r>
      <w:r w:rsidR="00B84D73">
        <w:rPr>
          <w:rFonts w:ascii="Cambria" w:hAnsi="Cambria" w:cs="Arial"/>
          <w:b/>
          <w:bCs/>
          <w:sz w:val="24"/>
          <w:szCs w:val="24"/>
        </w:rPr>
        <w:t>23</w:t>
      </w:r>
      <w:r w:rsidR="00124232" w:rsidRPr="00095479">
        <w:rPr>
          <w:rFonts w:ascii="Cambria" w:hAnsi="Cambria" w:cs="Arial"/>
          <w:b/>
          <w:bCs/>
          <w:sz w:val="24"/>
          <w:szCs w:val="24"/>
        </w:rPr>
        <w:t>-</w:t>
      </w:r>
      <w:r w:rsidR="00BB7F8F" w:rsidRPr="00095479">
        <w:rPr>
          <w:rFonts w:ascii="Cambria" w:hAnsi="Cambria" w:cs="Arial"/>
          <w:b/>
          <w:bCs/>
          <w:sz w:val="24"/>
          <w:szCs w:val="24"/>
        </w:rPr>
        <w:t>2</w:t>
      </w:r>
      <w:r w:rsidR="00BA5868">
        <w:rPr>
          <w:rFonts w:ascii="Cambria" w:hAnsi="Cambria" w:cs="Arial"/>
          <w:b/>
          <w:bCs/>
          <w:sz w:val="24"/>
          <w:szCs w:val="24"/>
        </w:rPr>
        <w:t>4</w:t>
      </w:r>
      <w:r w:rsidRPr="00095479">
        <w:rPr>
          <w:rFonts w:ascii="Cambria" w:hAnsi="Cambria" w:cs="Arial"/>
          <w:b/>
          <w:bCs/>
          <w:sz w:val="24"/>
          <w:szCs w:val="24"/>
        </w:rPr>
        <w:t xml:space="preserve"> to FY </w:t>
      </w:r>
      <w:r w:rsidR="009A0E63">
        <w:rPr>
          <w:rFonts w:ascii="Cambria" w:hAnsi="Cambria" w:cs="Arial"/>
          <w:b/>
          <w:bCs/>
          <w:sz w:val="24"/>
          <w:szCs w:val="24"/>
        </w:rPr>
        <w:t>2026-27</w:t>
      </w:r>
    </w:p>
    <w:tbl>
      <w:tblPr>
        <w:tblW w:w="8996" w:type="dxa"/>
        <w:tblInd w:w="19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A0" w:firstRow="1" w:lastRow="0" w:firstColumn="1" w:lastColumn="0" w:noHBand="0" w:noVBand="0"/>
      </w:tblPr>
      <w:tblGrid>
        <w:gridCol w:w="2271"/>
        <w:gridCol w:w="1454"/>
        <w:gridCol w:w="1881"/>
        <w:gridCol w:w="1851"/>
        <w:gridCol w:w="1539"/>
      </w:tblGrid>
      <w:tr w:rsidR="009D5A12" w:rsidRPr="00B74EE1" w14:paraId="308A3EDC" w14:textId="64FE73E3" w:rsidTr="009D5A12">
        <w:trPr>
          <w:trHeight w:val="224"/>
        </w:trPr>
        <w:tc>
          <w:tcPr>
            <w:tcW w:w="2271" w:type="dxa"/>
            <w:shd w:val="clear" w:color="auto" w:fill="C6D9F1" w:themeFill="text2" w:themeFillTint="33"/>
            <w:vAlign w:val="center"/>
          </w:tcPr>
          <w:p w14:paraId="4FBADF64" w14:textId="3624A49E" w:rsidR="009D5A12" w:rsidRPr="00B74EE1" w:rsidRDefault="009D5A12" w:rsidP="009D5A12">
            <w:pPr>
              <w:jc w:val="center"/>
              <w:rPr>
                <w:rFonts w:ascii="Cambria" w:hAnsi="Cambria" w:cs="Arial"/>
                <w:b/>
                <w:bCs/>
                <w:sz w:val="22"/>
                <w:szCs w:val="22"/>
              </w:rPr>
            </w:pPr>
            <w:r w:rsidRPr="00B74EE1">
              <w:rPr>
                <w:rFonts w:ascii="Cambria" w:hAnsi="Cambria" w:cs="Arial"/>
                <w:b/>
                <w:bCs/>
                <w:sz w:val="22"/>
                <w:szCs w:val="22"/>
              </w:rPr>
              <w:t>Particulars</w:t>
            </w:r>
          </w:p>
        </w:tc>
        <w:tc>
          <w:tcPr>
            <w:tcW w:w="1454" w:type="dxa"/>
            <w:shd w:val="clear" w:color="auto" w:fill="C6D9F1" w:themeFill="text2" w:themeFillTint="33"/>
            <w:vAlign w:val="center"/>
          </w:tcPr>
          <w:p w14:paraId="490910EB" w14:textId="788130DA" w:rsidR="009D5A12" w:rsidRDefault="009D5A12" w:rsidP="009D5A12">
            <w:pPr>
              <w:jc w:val="center"/>
              <w:rPr>
                <w:rFonts w:ascii="Cambria" w:hAnsi="Cambria" w:cs="Arial"/>
                <w:b/>
                <w:bCs/>
                <w:sz w:val="22"/>
                <w:szCs w:val="22"/>
              </w:rPr>
            </w:pPr>
            <w:r w:rsidRPr="00B74EE1">
              <w:rPr>
                <w:rFonts w:ascii="Cambria" w:hAnsi="Cambria" w:cs="Arial"/>
                <w:b/>
                <w:bCs/>
                <w:sz w:val="22"/>
                <w:szCs w:val="22"/>
              </w:rPr>
              <w:t>FY 202</w:t>
            </w:r>
            <w:r>
              <w:rPr>
                <w:rFonts w:ascii="Cambria" w:hAnsi="Cambria" w:cs="Arial"/>
                <w:b/>
                <w:bCs/>
                <w:sz w:val="22"/>
                <w:szCs w:val="22"/>
              </w:rPr>
              <w:t>3</w:t>
            </w:r>
            <w:r w:rsidRPr="00B74EE1">
              <w:rPr>
                <w:rFonts w:ascii="Cambria" w:hAnsi="Cambria" w:cs="Arial"/>
                <w:b/>
                <w:bCs/>
                <w:sz w:val="22"/>
                <w:szCs w:val="22"/>
              </w:rPr>
              <w:t>-2</w:t>
            </w:r>
            <w:r>
              <w:rPr>
                <w:rFonts w:ascii="Cambria" w:hAnsi="Cambria" w:cs="Arial"/>
                <w:b/>
                <w:bCs/>
                <w:sz w:val="22"/>
                <w:szCs w:val="22"/>
              </w:rPr>
              <w:t>4</w:t>
            </w:r>
          </w:p>
          <w:p w14:paraId="4F18E9F3" w14:textId="5A3C3607" w:rsidR="009D5A12" w:rsidRPr="00B74EE1" w:rsidRDefault="009D5A12" w:rsidP="009D5A12">
            <w:pPr>
              <w:jc w:val="center"/>
              <w:rPr>
                <w:rFonts w:ascii="Cambria" w:hAnsi="Cambria" w:cs="Arial"/>
                <w:b/>
                <w:bCs/>
                <w:sz w:val="22"/>
                <w:szCs w:val="22"/>
              </w:rPr>
            </w:pPr>
            <w:r>
              <w:rPr>
                <w:rFonts w:ascii="Cambria" w:hAnsi="Cambria" w:cs="Arial"/>
                <w:b/>
                <w:bCs/>
                <w:sz w:val="22"/>
                <w:szCs w:val="22"/>
              </w:rPr>
              <w:t>(Audited)</w:t>
            </w:r>
          </w:p>
        </w:tc>
        <w:tc>
          <w:tcPr>
            <w:tcW w:w="1881" w:type="dxa"/>
            <w:shd w:val="clear" w:color="auto" w:fill="C6D9F1" w:themeFill="text2" w:themeFillTint="33"/>
            <w:vAlign w:val="center"/>
          </w:tcPr>
          <w:p w14:paraId="66F8B4F1" w14:textId="2A938BCB" w:rsidR="009D5A12" w:rsidRPr="00B74EE1" w:rsidRDefault="009D5A12" w:rsidP="009D5A12">
            <w:pPr>
              <w:jc w:val="center"/>
              <w:rPr>
                <w:rFonts w:ascii="Cambria" w:hAnsi="Cambria" w:cs="Arial"/>
                <w:b/>
                <w:bCs/>
                <w:sz w:val="22"/>
                <w:szCs w:val="22"/>
              </w:rPr>
            </w:pPr>
            <w:r w:rsidRPr="00B74EE1">
              <w:rPr>
                <w:rFonts w:ascii="Cambria" w:hAnsi="Cambria" w:cs="Arial"/>
                <w:b/>
                <w:bCs/>
                <w:sz w:val="22"/>
                <w:szCs w:val="22"/>
              </w:rPr>
              <w:t>FY 202</w:t>
            </w:r>
            <w:r>
              <w:rPr>
                <w:rFonts w:ascii="Cambria" w:hAnsi="Cambria" w:cs="Arial"/>
                <w:b/>
                <w:bCs/>
                <w:sz w:val="22"/>
                <w:szCs w:val="22"/>
              </w:rPr>
              <w:t>4</w:t>
            </w:r>
            <w:r w:rsidRPr="00B74EE1">
              <w:rPr>
                <w:rFonts w:ascii="Cambria" w:hAnsi="Cambria" w:cs="Arial"/>
                <w:b/>
                <w:bCs/>
                <w:sz w:val="22"/>
                <w:szCs w:val="22"/>
              </w:rPr>
              <w:t>-2</w:t>
            </w:r>
            <w:r>
              <w:rPr>
                <w:rFonts w:ascii="Cambria" w:hAnsi="Cambria" w:cs="Arial"/>
                <w:b/>
                <w:bCs/>
                <w:sz w:val="22"/>
                <w:szCs w:val="22"/>
              </w:rPr>
              <w:t>5</w:t>
            </w:r>
          </w:p>
          <w:p w14:paraId="09D3FB54" w14:textId="624F48D4" w:rsidR="009D5A12" w:rsidRPr="00B74EE1" w:rsidRDefault="003433DC" w:rsidP="009D5A12">
            <w:pPr>
              <w:jc w:val="center"/>
              <w:rPr>
                <w:rFonts w:ascii="Cambria" w:hAnsi="Cambria" w:cs="Arial"/>
                <w:b/>
                <w:bCs/>
                <w:sz w:val="22"/>
                <w:szCs w:val="22"/>
              </w:rPr>
            </w:pPr>
            <w:r w:rsidRPr="00B74EE1">
              <w:rPr>
                <w:rFonts w:ascii="Cambria" w:hAnsi="Cambria" w:cs="Arial"/>
                <w:b/>
                <w:bCs/>
                <w:sz w:val="22"/>
                <w:szCs w:val="22"/>
              </w:rPr>
              <w:t>(</w:t>
            </w:r>
            <w:r>
              <w:rPr>
                <w:rFonts w:ascii="Cambria" w:hAnsi="Cambria" w:cs="Arial"/>
                <w:b/>
                <w:bCs/>
                <w:sz w:val="22"/>
                <w:szCs w:val="22"/>
              </w:rPr>
              <w:t>Audited</w:t>
            </w:r>
            <w:r w:rsidRPr="00B74EE1">
              <w:rPr>
                <w:rFonts w:ascii="Cambria" w:hAnsi="Cambria" w:cs="Arial"/>
                <w:b/>
                <w:bCs/>
                <w:sz w:val="22"/>
                <w:szCs w:val="22"/>
              </w:rPr>
              <w:t>)</w:t>
            </w:r>
          </w:p>
        </w:tc>
        <w:tc>
          <w:tcPr>
            <w:tcW w:w="1851" w:type="dxa"/>
            <w:shd w:val="clear" w:color="auto" w:fill="C6D9F1" w:themeFill="text2" w:themeFillTint="33"/>
            <w:vAlign w:val="center"/>
          </w:tcPr>
          <w:p w14:paraId="245D7625" w14:textId="6AB688D1" w:rsidR="009D5A12" w:rsidRPr="00B74EE1" w:rsidRDefault="009D5A12" w:rsidP="009D5A12">
            <w:pPr>
              <w:jc w:val="center"/>
              <w:rPr>
                <w:rFonts w:ascii="Cambria" w:hAnsi="Cambria" w:cs="Arial"/>
                <w:b/>
                <w:bCs/>
                <w:sz w:val="22"/>
                <w:szCs w:val="22"/>
              </w:rPr>
            </w:pPr>
            <w:r w:rsidRPr="00B74EE1">
              <w:rPr>
                <w:rFonts w:ascii="Cambria" w:hAnsi="Cambria" w:cs="Arial"/>
                <w:b/>
                <w:bCs/>
                <w:sz w:val="22"/>
                <w:szCs w:val="22"/>
              </w:rPr>
              <w:t xml:space="preserve">FY </w:t>
            </w:r>
            <w:r>
              <w:rPr>
                <w:rFonts w:ascii="Cambria" w:hAnsi="Cambria" w:cs="Arial"/>
                <w:b/>
                <w:bCs/>
                <w:sz w:val="22"/>
                <w:szCs w:val="22"/>
              </w:rPr>
              <w:t>202</w:t>
            </w:r>
            <w:r w:rsidR="0015643C">
              <w:rPr>
                <w:rFonts w:ascii="Cambria" w:hAnsi="Cambria" w:cs="Arial"/>
                <w:b/>
                <w:bCs/>
                <w:sz w:val="22"/>
                <w:szCs w:val="22"/>
              </w:rPr>
              <w:t>5</w:t>
            </w:r>
            <w:r>
              <w:rPr>
                <w:rFonts w:ascii="Cambria" w:hAnsi="Cambria" w:cs="Arial"/>
                <w:b/>
                <w:bCs/>
                <w:sz w:val="22"/>
                <w:szCs w:val="22"/>
              </w:rPr>
              <w:t>-2</w:t>
            </w:r>
            <w:r w:rsidR="0015643C">
              <w:rPr>
                <w:rFonts w:ascii="Cambria" w:hAnsi="Cambria" w:cs="Arial"/>
                <w:b/>
                <w:bCs/>
                <w:sz w:val="22"/>
                <w:szCs w:val="22"/>
              </w:rPr>
              <w:t>6</w:t>
            </w:r>
            <w:r w:rsidRPr="00B74EE1">
              <w:rPr>
                <w:rFonts w:ascii="Cambria" w:hAnsi="Cambria" w:cs="Arial"/>
                <w:b/>
                <w:bCs/>
                <w:sz w:val="22"/>
                <w:szCs w:val="22"/>
              </w:rPr>
              <w:t xml:space="preserve"> </w:t>
            </w:r>
            <w:r w:rsidR="003433DC" w:rsidRPr="00B74EE1">
              <w:rPr>
                <w:rFonts w:ascii="Cambria" w:hAnsi="Cambria" w:cs="Arial"/>
                <w:b/>
                <w:bCs/>
                <w:sz w:val="22"/>
                <w:szCs w:val="22"/>
              </w:rPr>
              <w:t>(</w:t>
            </w:r>
            <w:r w:rsidR="003433DC">
              <w:rPr>
                <w:rFonts w:ascii="Cambria" w:hAnsi="Cambria" w:cs="Arial"/>
                <w:b/>
                <w:bCs/>
                <w:sz w:val="22"/>
                <w:szCs w:val="22"/>
              </w:rPr>
              <w:t xml:space="preserve">Rev. </w:t>
            </w:r>
            <w:r w:rsidR="003433DC" w:rsidRPr="00B74EE1">
              <w:rPr>
                <w:rFonts w:ascii="Cambria" w:hAnsi="Cambria" w:cs="Arial"/>
                <w:b/>
                <w:bCs/>
                <w:sz w:val="22"/>
                <w:szCs w:val="22"/>
              </w:rPr>
              <w:t>Estimate)</w:t>
            </w:r>
          </w:p>
        </w:tc>
        <w:tc>
          <w:tcPr>
            <w:tcW w:w="1539" w:type="dxa"/>
            <w:shd w:val="clear" w:color="auto" w:fill="C6D9F1" w:themeFill="text2" w:themeFillTint="33"/>
            <w:vAlign w:val="center"/>
          </w:tcPr>
          <w:p w14:paraId="2A31F954" w14:textId="6846CB82" w:rsidR="009D5A12" w:rsidRPr="00B74EE1" w:rsidRDefault="009D5A12" w:rsidP="009D5A12">
            <w:pPr>
              <w:jc w:val="center"/>
              <w:rPr>
                <w:rFonts w:ascii="Cambria" w:hAnsi="Cambria" w:cs="Arial"/>
                <w:b/>
                <w:bCs/>
                <w:sz w:val="22"/>
                <w:szCs w:val="22"/>
              </w:rPr>
            </w:pPr>
            <w:r w:rsidRPr="00B74EE1">
              <w:rPr>
                <w:rFonts w:ascii="Cambria" w:hAnsi="Cambria" w:cs="Arial"/>
                <w:b/>
                <w:bCs/>
                <w:sz w:val="22"/>
                <w:szCs w:val="22"/>
              </w:rPr>
              <w:t xml:space="preserve">FY </w:t>
            </w:r>
            <w:r>
              <w:rPr>
                <w:rFonts w:ascii="Cambria" w:hAnsi="Cambria" w:cs="Arial"/>
                <w:b/>
                <w:bCs/>
                <w:sz w:val="22"/>
                <w:szCs w:val="22"/>
              </w:rPr>
              <w:t>2026-27</w:t>
            </w:r>
            <w:r w:rsidRPr="00B74EE1">
              <w:rPr>
                <w:rFonts w:ascii="Cambria" w:hAnsi="Cambria" w:cs="Arial"/>
                <w:b/>
                <w:bCs/>
                <w:sz w:val="22"/>
                <w:szCs w:val="22"/>
              </w:rPr>
              <w:t xml:space="preserve"> (Proposed)</w:t>
            </w:r>
          </w:p>
        </w:tc>
      </w:tr>
      <w:tr w:rsidR="009D5A12" w:rsidRPr="00B74EE1" w14:paraId="2A23B32F" w14:textId="26230DEC" w:rsidTr="009D5A12">
        <w:trPr>
          <w:trHeight w:val="421"/>
        </w:trPr>
        <w:tc>
          <w:tcPr>
            <w:tcW w:w="2271" w:type="dxa"/>
            <w:vAlign w:val="center"/>
          </w:tcPr>
          <w:p w14:paraId="429A5A75" w14:textId="77777777" w:rsidR="009D5A12" w:rsidRPr="00B74EE1" w:rsidRDefault="009D5A12" w:rsidP="009D5A12">
            <w:pPr>
              <w:rPr>
                <w:rFonts w:ascii="Cambria" w:hAnsi="Cambria" w:cs="Arial"/>
                <w:sz w:val="22"/>
                <w:szCs w:val="22"/>
              </w:rPr>
            </w:pPr>
            <w:r w:rsidRPr="00B74EE1">
              <w:rPr>
                <w:rFonts w:ascii="Cambria" w:hAnsi="Cambria" w:cs="Arial"/>
                <w:sz w:val="22"/>
                <w:szCs w:val="22"/>
              </w:rPr>
              <w:t>Energy Sales in MU</w:t>
            </w:r>
          </w:p>
        </w:tc>
        <w:tc>
          <w:tcPr>
            <w:tcW w:w="1454" w:type="dxa"/>
            <w:vAlign w:val="center"/>
          </w:tcPr>
          <w:p w14:paraId="368D20DB" w14:textId="01F4EFBE" w:rsidR="009D5A12" w:rsidRPr="00BE72CD" w:rsidRDefault="009D5A12" w:rsidP="009D5A12">
            <w:pPr>
              <w:jc w:val="center"/>
              <w:rPr>
                <w:rFonts w:ascii="Cambria" w:hAnsi="Cambria" w:cs="Arial"/>
                <w:sz w:val="22"/>
                <w:szCs w:val="22"/>
              </w:rPr>
            </w:pPr>
            <w:r w:rsidRPr="00BE72CD">
              <w:rPr>
                <w:rFonts w:ascii="Cambria" w:hAnsi="Cambria" w:cs="Arial"/>
                <w:sz w:val="22"/>
                <w:szCs w:val="22"/>
              </w:rPr>
              <w:t>10644</w:t>
            </w:r>
          </w:p>
        </w:tc>
        <w:tc>
          <w:tcPr>
            <w:tcW w:w="1881" w:type="dxa"/>
            <w:vAlign w:val="center"/>
          </w:tcPr>
          <w:p w14:paraId="5F32500B" w14:textId="2911D54C" w:rsidR="009D5A12" w:rsidRPr="00BE72CD" w:rsidRDefault="009D5A12" w:rsidP="009D5A12">
            <w:pPr>
              <w:spacing w:line="259" w:lineRule="auto"/>
              <w:jc w:val="center"/>
              <w:rPr>
                <w:rFonts w:ascii="Cambria" w:hAnsi="Cambria" w:cs="Arial"/>
                <w:sz w:val="22"/>
                <w:szCs w:val="22"/>
              </w:rPr>
            </w:pPr>
            <w:r w:rsidRPr="00BE72CD">
              <w:rPr>
                <w:rFonts w:ascii="Cambria" w:hAnsi="Cambria" w:cs="Arial"/>
                <w:sz w:val="22"/>
                <w:szCs w:val="22"/>
              </w:rPr>
              <w:t>9</w:t>
            </w:r>
            <w:r w:rsidR="00BE72CD" w:rsidRPr="00BE72CD">
              <w:rPr>
                <w:rFonts w:ascii="Cambria" w:hAnsi="Cambria" w:cs="Arial"/>
                <w:sz w:val="22"/>
                <w:szCs w:val="22"/>
              </w:rPr>
              <w:t>911.724</w:t>
            </w:r>
          </w:p>
        </w:tc>
        <w:tc>
          <w:tcPr>
            <w:tcW w:w="1851" w:type="dxa"/>
            <w:vAlign w:val="center"/>
          </w:tcPr>
          <w:p w14:paraId="283591B6" w14:textId="12CD1292" w:rsidR="009D5A12" w:rsidRPr="00BE72CD" w:rsidRDefault="009D5A12" w:rsidP="009D5A12">
            <w:pPr>
              <w:spacing w:line="259" w:lineRule="auto"/>
              <w:jc w:val="center"/>
              <w:rPr>
                <w:rFonts w:ascii="Cambria" w:hAnsi="Cambria" w:cs="Arial"/>
                <w:sz w:val="22"/>
                <w:szCs w:val="22"/>
              </w:rPr>
            </w:pPr>
            <w:r w:rsidRPr="00BE72CD">
              <w:rPr>
                <w:rFonts w:ascii="Cambria" w:hAnsi="Cambria" w:cs="Arial"/>
                <w:sz w:val="22"/>
                <w:szCs w:val="22"/>
              </w:rPr>
              <w:t>9</w:t>
            </w:r>
            <w:r w:rsidR="00BE72CD" w:rsidRPr="00BE72CD">
              <w:rPr>
                <w:rFonts w:ascii="Cambria" w:hAnsi="Cambria" w:cs="Arial"/>
                <w:sz w:val="22"/>
                <w:szCs w:val="22"/>
              </w:rPr>
              <w:t>978.382</w:t>
            </w:r>
          </w:p>
        </w:tc>
        <w:tc>
          <w:tcPr>
            <w:tcW w:w="1539" w:type="dxa"/>
            <w:vAlign w:val="center"/>
          </w:tcPr>
          <w:p w14:paraId="7B73822C" w14:textId="6E3D3A91" w:rsidR="009D5A12" w:rsidRPr="00BE72CD" w:rsidRDefault="00BE72CD" w:rsidP="009D5A12">
            <w:pPr>
              <w:spacing w:line="259" w:lineRule="auto"/>
              <w:jc w:val="center"/>
              <w:rPr>
                <w:rFonts w:ascii="Cambria" w:hAnsi="Cambria" w:cs="Arial"/>
                <w:sz w:val="22"/>
                <w:szCs w:val="22"/>
              </w:rPr>
            </w:pPr>
            <w:r w:rsidRPr="00BE72CD">
              <w:rPr>
                <w:rFonts w:ascii="Cambria" w:hAnsi="Cambria" w:cs="Arial"/>
                <w:sz w:val="22"/>
                <w:szCs w:val="22"/>
              </w:rPr>
              <w:t>10322.332</w:t>
            </w:r>
          </w:p>
        </w:tc>
      </w:tr>
      <w:tr w:rsidR="009D5A12" w:rsidRPr="00B74EE1" w14:paraId="6520B801" w14:textId="55F44A82" w:rsidTr="009D5A12">
        <w:trPr>
          <w:trHeight w:val="469"/>
        </w:trPr>
        <w:tc>
          <w:tcPr>
            <w:tcW w:w="2271" w:type="dxa"/>
            <w:vAlign w:val="center"/>
          </w:tcPr>
          <w:p w14:paraId="369DD12A" w14:textId="77777777" w:rsidR="009D5A12" w:rsidRPr="00B74EE1" w:rsidRDefault="009D5A12" w:rsidP="009D5A12">
            <w:pPr>
              <w:rPr>
                <w:rFonts w:ascii="Cambria" w:hAnsi="Cambria" w:cs="Arial"/>
                <w:sz w:val="22"/>
                <w:szCs w:val="22"/>
              </w:rPr>
            </w:pPr>
            <w:r w:rsidRPr="00B74EE1">
              <w:rPr>
                <w:rFonts w:ascii="Cambria" w:hAnsi="Cambria" w:cs="Arial"/>
                <w:sz w:val="22"/>
                <w:szCs w:val="22"/>
              </w:rPr>
              <w:t>Energy Purchased in MU</w:t>
            </w:r>
          </w:p>
        </w:tc>
        <w:tc>
          <w:tcPr>
            <w:tcW w:w="1454" w:type="dxa"/>
            <w:vAlign w:val="center"/>
          </w:tcPr>
          <w:p w14:paraId="5F6E0FD9" w14:textId="75025D1E" w:rsidR="009D5A12" w:rsidRPr="00BE72CD" w:rsidRDefault="009D5A12" w:rsidP="009D5A12">
            <w:pPr>
              <w:jc w:val="center"/>
              <w:rPr>
                <w:rFonts w:ascii="Cambria" w:hAnsi="Cambria" w:cs="Arial"/>
                <w:sz w:val="22"/>
                <w:szCs w:val="22"/>
              </w:rPr>
            </w:pPr>
            <w:r w:rsidRPr="00BE72CD">
              <w:rPr>
                <w:rFonts w:ascii="Cambria" w:hAnsi="Cambria" w:cs="Arial"/>
                <w:sz w:val="22"/>
                <w:szCs w:val="22"/>
              </w:rPr>
              <w:t>12752</w:t>
            </w:r>
          </w:p>
        </w:tc>
        <w:tc>
          <w:tcPr>
            <w:tcW w:w="1881" w:type="dxa"/>
            <w:vAlign w:val="center"/>
          </w:tcPr>
          <w:p w14:paraId="1C62DEA3" w14:textId="1340F5C8" w:rsidR="009D5A12" w:rsidRPr="00BE72CD" w:rsidRDefault="009D5A12" w:rsidP="009D5A12">
            <w:pPr>
              <w:spacing w:line="259" w:lineRule="auto"/>
              <w:jc w:val="center"/>
              <w:rPr>
                <w:rFonts w:ascii="Cambria" w:hAnsi="Cambria" w:cs="Arial"/>
                <w:sz w:val="22"/>
                <w:szCs w:val="22"/>
              </w:rPr>
            </w:pPr>
            <w:r w:rsidRPr="00BE72CD">
              <w:rPr>
                <w:rFonts w:ascii="Cambria" w:hAnsi="Cambria" w:cs="Arial"/>
                <w:sz w:val="22"/>
                <w:szCs w:val="22"/>
              </w:rPr>
              <w:t>11</w:t>
            </w:r>
            <w:r w:rsidR="00BE72CD" w:rsidRPr="00BE72CD">
              <w:rPr>
                <w:rFonts w:ascii="Cambria" w:hAnsi="Cambria" w:cs="Arial"/>
                <w:sz w:val="22"/>
                <w:szCs w:val="22"/>
              </w:rPr>
              <w:t>831.388</w:t>
            </w:r>
          </w:p>
        </w:tc>
        <w:tc>
          <w:tcPr>
            <w:tcW w:w="1851" w:type="dxa"/>
            <w:vAlign w:val="center"/>
          </w:tcPr>
          <w:p w14:paraId="1803CEC9" w14:textId="292A0DA7" w:rsidR="009D5A12" w:rsidRPr="00BE72CD" w:rsidRDefault="009D5A12" w:rsidP="009D5A12">
            <w:pPr>
              <w:spacing w:line="259" w:lineRule="auto"/>
              <w:jc w:val="center"/>
              <w:rPr>
                <w:rFonts w:ascii="Cambria" w:hAnsi="Cambria" w:cs="Arial"/>
                <w:sz w:val="22"/>
                <w:szCs w:val="22"/>
              </w:rPr>
            </w:pPr>
            <w:r w:rsidRPr="00BE72CD">
              <w:rPr>
                <w:rFonts w:ascii="Cambria" w:hAnsi="Cambria" w:cs="Arial"/>
                <w:sz w:val="22"/>
                <w:szCs w:val="22"/>
              </w:rPr>
              <w:t>11</w:t>
            </w:r>
            <w:r w:rsidR="00BE72CD" w:rsidRPr="00BE72CD">
              <w:rPr>
                <w:rFonts w:ascii="Cambria" w:hAnsi="Cambria" w:cs="Arial"/>
                <w:sz w:val="22"/>
                <w:szCs w:val="22"/>
              </w:rPr>
              <w:t>746.003</w:t>
            </w:r>
          </w:p>
        </w:tc>
        <w:tc>
          <w:tcPr>
            <w:tcW w:w="1539" w:type="dxa"/>
            <w:vAlign w:val="center"/>
          </w:tcPr>
          <w:p w14:paraId="74A53B86" w14:textId="40B10F2B" w:rsidR="009D5A12" w:rsidRPr="00BE72CD" w:rsidRDefault="009D5A12" w:rsidP="009D5A12">
            <w:pPr>
              <w:spacing w:line="259" w:lineRule="auto"/>
              <w:jc w:val="center"/>
              <w:rPr>
                <w:rFonts w:ascii="Cambria" w:hAnsi="Cambria" w:cs="Arial"/>
                <w:sz w:val="22"/>
                <w:szCs w:val="22"/>
              </w:rPr>
            </w:pPr>
            <w:r w:rsidRPr="00BE72CD">
              <w:rPr>
                <w:rFonts w:ascii="Cambria" w:hAnsi="Cambria" w:cs="Arial"/>
                <w:sz w:val="22"/>
                <w:szCs w:val="22"/>
              </w:rPr>
              <w:t>11</w:t>
            </w:r>
            <w:r w:rsidR="00BE72CD" w:rsidRPr="00BE72CD">
              <w:rPr>
                <w:rFonts w:ascii="Cambria" w:hAnsi="Cambria" w:cs="Arial"/>
                <w:sz w:val="22"/>
                <w:szCs w:val="22"/>
              </w:rPr>
              <w:t>952.677</w:t>
            </w:r>
          </w:p>
        </w:tc>
      </w:tr>
      <w:tr w:rsidR="009D5A12" w:rsidRPr="00B74EE1" w14:paraId="48575036" w14:textId="11F16C01" w:rsidTr="009D5A12">
        <w:trPr>
          <w:trHeight w:val="408"/>
        </w:trPr>
        <w:tc>
          <w:tcPr>
            <w:tcW w:w="2271" w:type="dxa"/>
            <w:vAlign w:val="center"/>
          </w:tcPr>
          <w:p w14:paraId="333FE70A" w14:textId="77777777" w:rsidR="009D5A12" w:rsidRPr="00B74EE1" w:rsidRDefault="009D5A12" w:rsidP="009D5A12">
            <w:pPr>
              <w:rPr>
                <w:rFonts w:ascii="Cambria" w:hAnsi="Cambria" w:cs="Arial"/>
                <w:sz w:val="22"/>
                <w:szCs w:val="22"/>
              </w:rPr>
            </w:pPr>
            <w:r w:rsidRPr="00B74EE1">
              <w:rPr>
                <w:rFonts w:ascii="Cambria" w:hAnsi="Cambria" w:cs="Arial"/>
                <w:sz w:val="22"/>
                <w:szCs w:val="22"/>
              </w:rPr>
              <w:t>Overall Distribution loss%</w:t>
            </w:r>
          </w:p>
        </w:tc>
        <w:tc>
          <w:tcPr>
            <w:tcW w:w="1454" w:type="dxa"/>
            <w:vAlign w:val="center"/>
          </w:tcPr>
          <w:p w14:paraId="358F3AF5" w14:textId="7AAF6CB3" w:rsidR="009D5A12" w:rsidRPr="00BE72CD" w:rsidRDefault="009D5A12" w:rsidP="009D5A12">
            <w:pPr>
              <w:jc w:val="center"/>
              <w:rPr>
                <w:rFonts w:ascii="Cambria" w:hAnsi="Cambria" w:cs="Arial"/>
                <w:sz w:val="22"/>
                <w:szCs w:val="22"/>
              </w:rPr>
            </w:pPr>
            <w:r w:rsidRPr="00BE72CD">
              <w:rPr>
                <w:rFonts w:ascii="Cambria" w:hAnsi="Cambria" w:cs="Arial"/>
                <w:sz w:val="22"/>
                <w:szCs w:val="22"/>
              </w:rPr>
              <w:t>16.54%</w:t>
            </w:r>
          </w:p>
        </w:tc>
        <w:tc>
          <w:tcPr>
            <w:tcW w:w="1881" w:type="dxa"/>
            <w:vAlign w:val="center"/>
          </w:tcPr>
          <w:p w14:paraId="52D5980D" w14:textId="33FED492" w:rsidR="009D5A12" w:rsidRPr="00BE72CD" w:rsidRDefault="009D5A12" w:rsidP="009D5A12">
            <w:pPr>
              <w:spacing w:line="259" w:lineRule="auto"/>
              <w:jc w:val="center"/>
              <w:rPr>
                <w:rFonts w:ascii="Cambria" w:hAnsi="Cambria" w:cs="Arial"/>
                <w:sz w:val="22"/>
                <w:szCs w:val="22"/>
              </w:rPr>
            </w:pPr>
            <w:r w:rsidRPr="00BE72CD">
              <w:rPr>
                <w:rFonts w:ascii="Cambria" w:hAnsi="Cambria" w:cs="Arial"/>
                <w:sz w:val="22"/>
                <w:szCs w:val="22"/>
              </w:rPr>
              <w:t>1</w:t>
            </w:r>
            <w:r w:rsidR="00BE72CD" w:rsidRPr="00BE72CD">
              <w:rPr>
                <w:rFonts w:ascii="Cambria" w:hAnsi="Cambria" w:cs="Arial"/>
                <w:sz w:val="22"/>
                <w:szCs w:val="22"/>
              </w:rPr>
              <w:t>6</w:t>
            </w:r>
            <w:r w:rsidRPr="00BE72CD">
              <w:rPr>
                <w:rFonts w:ascii="Cambria" w:hAnsi="Cambria" w:cs="Arial"/>
                <w:sz w:val="22"/>
                <w:szCs w:val="22"/>
              </w:rPr>
              <w:t>.</w:t>
            </w:r>
            <w:r w:rsidR="00BE72CD" w:rsidRPr="00BE72CD">
              <w:rPr>
                <w:rFonts w:ascii="Cambria" w:hAnsi="Cambria" w:cs="Arial"/>
                <w:sz w:val="22"/>
                <w:szCs w:val="22"/>
              </w:rPr>
              <w:t>23</w:t>
            </w:r>
            <w:r w:rsidRPr="00BE72CD">
              <w:rPr>
                <w:rFonts w:ascii="Cambria" w:hAnsi="Cambria" w:cs="Arial"/>
                <w:sz w:val="22"/>
                <w:szCs w:val="22"/>
              </w:rPr>
              <w:t>%</w:t>
            </w:r>
          </w:p>
        </w:tc>
        <w:tc>
          <w:tcPr>
            <w:tcW w:w="1851" w:type="dxa"/>
            <w:vAlign w:val="center"/>
          </w:tcPr>
          <w:p w14:paraId="67371CC3" w14:textId="0A586034" w:rsidR="009D5A12" w:rsidRPr="00BE72CD" w:rsidRDefault="009D5A12" w:rsidP="009D5A12">
            <w:pPr>
              <w:spacing w:line="259" w:lineRule="auto"/>
              <w:jc w:val="center"/>
              <w:rPr>
                <w:rFonts w:ascii="Cambria" w:hAnsi="Cambria" w:cs="Arial"/>
                <w:sz w:val="22"/>
                <w:szCs w:val="22"/>
              </w:rPr>
            </w:pPr>
            <w:r w:rsidRPr="00BE72CD">
              <w:rPr>
                <w:rFonts w:ascii="Cambria" w:hAnsi="Cambria" w:cs="Arial"/>
                <w:sz w:val="22"/>
                <w:szCs w:val="22"/>
              </w:rPr>
              <w:t>15.05%</w:t>
            </w:r>
          </w:p>
        </w:tc>
        <w:tc>
          <w:tcPr>
            <w:tcW w:w="1539" w:type="dxa"/>
            <w:vAlign w:val="center"/>
          </w:tcPr>
          <w:p w14:paraId="4159DCAA" w14:textId="2E038275" w:rsidR="009D5A12" w:rsidRPr="00BE72CD" w:rsidRDefault="009D5A12" w:rsidP="009D5A12">
            <w:pPr>
              <w:spacing w:line="259" w:lineRule="auto"/>
              <w:jc w:val="center"/>
              <w:rPr>
                <w:rFonts w:ascii="Cambria" w:hAnsi="Cambria" w:cs="Arial"/>
                <w:sz w:val="22"/>
                <w:szCs w:val="22"/>
              </w:rPr>
            </w:pPr>
            <w:r w:rsidRPr="00BE72CD">
              <w:rPr>
                <w:rFonts w:ascii="Cambria" w:hAnsi="Cambria" w:cs="Arial"/>
                <w:sz w:val="22"/>
                <w:szCs w:val="22"/>
              </w:rPr>
              <w:t>1</w:t>
            </w:r>
            <w:r w:rsidR="00BE72CD" w:rsidRPr="00BE72CD">
              <w:rPr>
                <w:rFonts w:ascii="Cambria" w:hAnsi="Cambria" w:cs="Arial"/>
                <w:sz w:val="22"/>
                <w:szCs w:val="22"/>
              </w:rPr>
              <w:t>3</w:t>
            </w:r>
            <w:r w:rsidRPr="00BE72CD">
              <w:rPr>
                <w:rFonts w:ascii="Cambria" w:hAnsi="Cambria" w:cs="Arial"/>
                <w:sz w:val="22"/>
                <w:szCs w:val="22"/>
              </w:rPr>
              <w:t>.</w:t>
            </w:r>
            <w:r w:rsidR="00BE72CD" w:rsidRPr="00BE72CD">
              <w:rPr>
                <w:rFonts w:ascii="Cambria" w:hAnsi="Cambria" w:cs="Arial"/>
                <w:sz w:val="22"/>
                <w:szCs w:val="22"/>
              </w:rPr>
              <w:t>64</w:t>
            </w:r>
            <w:r w:rsidRPr="00BE72CD">
              <w:rPr>
                <w:rFonts w:ascii="Cambria" w:hAnsi="Cambria" w:cs="Arial"/>
                <w:sz w:val="22"/>
                <w:szCs w:val="22"/>
              </w:rPr>
              <w:t>%</w:t>
            </w:r>
          </w:p>
        </w:tc>
      </w:tr>
      <w:tr w:rsidR="009D5A12" w:rsidRPr="00B74EE1" w14:paraId="5DE60333" w14:textId="0AF4B3C1" w:rsidTr="009D5A12">
        <w:trPr>
          <w:trHeight w:val="408"/>
        </w:trPr>
        <w:tc>
          <w:tcPr>
            <w:tcW w:w="2271" w:type="dxa"/>
            <w:vAlign w:val="center"/>
          </w:tcPr>
          <w:p w14:paraId="58AD0C9F" w14:textId="77777777" w:rsidR="009D5A12" w:rsidRPr="00B74EE1" w:rsidRDefault="009D5A12" w:rsidP="009D5A12">
            <w:pPr>
              <w:rPr>
                <w:rFonts w:ascii="Cambria" w:hAnsi="Cambria" w:cs="Arial"/>
                <w:sz w:val="22"/>
                <w:szCs w:val="22"/>
              </w:rPr>
            </w:pPr>
            <w:r w:rsidRPr="00B74EE1">
              <w:rPr>
                <w:rFonts w:ascii="Cambria" w:hAnsi="Cambria" w:cs="Arial"/>
                <w:sz w:val="22"/>
                <w:szCs w:val="22"/>
              </w:rPr>
              <w:t>Collection Efficiency%</w:t>
            </w:r>
          </w:p>
        </w:tc>
        <w:tc>
          <w:tcPr>
            <w:tcW w:w="1454" w:type="dxa"/>
            <w:vAlign w:val="center"/>
          </w:tcPr>
          <w:p w14:paraId="01CA03E9" w14:textId="36EA19A5" w:rsidR="009D5A12" w:rsidRPr="000239DA" w:rsidRDefault="009D5A12" w:rsidP="009D5A12">
            <w:pPr>
              <w:jc w:val="center"/>
              <w:rPr>
                <w:rFonts w:ascii="Cambria" w:hAnsi="Cambria" w:cs="Arial"/>
                <w:sz w:val="22"/>
                <w:szCs w:val="22"/>
              </w:rPr>
            </w:pPr>
            <w:r w:rsidRPr="000239DA">
              <w:rPr>
                <w:rFonts w:ascii="Cambria" w:hAnsi="Cambria" w:cs="Arial"/>
                <w:sz w:val="22"/>
                <w:szCs w:val="22"/>
              </w:rPr>
              <w:t>101.23%</w:t>
            </w:r>
          </w:p>
        </w:tc>
        <w:tc>
          <w:tcPr>
            <w:tcW w:w="1881" w:type="dxa"/>
            <w:vAlign w:val="center"/>
          </w:tcPr>
          <w:p w14:paraId="3E04B472" w14:textId="09A96933" w:rsidR="009D5A12" w:rsidRPr="000239DA" w:rsidRDefault="009D5A12" w:rsidP="009D5A12">
            <w:pPr>
              <w:spacing w:line="259" w:lineRule="auto"/>
              <w:jc w:val="center"/>
              <w:rPr>
                <w:rFonts w:ascii="Cambria" w:hAnsi="Cambria" w:cs="Arial"/>
                <w:sz w:val="22"/>
                <w:szCs w:val="22"/>
              </w:rPr>
            </w:pPr>
            <w:r w:rsidRPr="000239DA">
              <w:rPr>
                <w:rFonts w:ascii="Cambria" w:hAnsi="Cambria" w:cs="Arial"/>
                <w:sz w:val="22"/>
                <w:szCs w:val="22"/>
              </w:rPr>
              <w:t>99</w:t>
            </w:r>
            <w:r w:rsidR="000239DA">
              <w:rPr>
                <w:rFonts w:ascii="Cambria" w:hAnsi="Cambria" w:cs="Arial"/>
                <w:sz w:val="22"/>
                <w:szCs w:val="22"/>
              </w:rPr>
              <w:t>.99</w:t>
            </w:r>
            <w:r w:rsidRPr="000239DA">
              <w:rPr>
                <w:rFonts w:ascii="Cambria" w:hAnsi="Cambria" w:cs="Arial"/>
                <w:sz w:val="22"/>
                <w:szCs w:val="22"/>
              </w:rPr>
              <w:t>%</w:t>
            </w:r>
          </w:p>
        </w:tc>
        <w:tc>
          <w:tcPr>
            <w:tcW w:w="1851" w:type="dxa"/>
            <w:vAlign w:val="center"/>
          </w:tcPr>
          <w:p w14:paraId="558B5919" w14:textId="18B5BD9E" w:rsidR="009D5A12" w:rsidRPr="000239DA" w:rsidRDefault="009D5A12" w:rsidP="009D5A12">
            <w:pPr>
              <w:jc w:val="center"/>
              <w:rPr>
                <w:rFonts w:ascii="Cambria" w:hAnsi="Cambria" w:cs="Arial"/>
                <w:sz w:val="22"/>
                <w:szCs w:val="22"/>
              </w:rPr>
            </w:pPr>
            <w:r w:rsidRPr="000239DA">
              <w:rPr>
                <w:rFonts w:ascii="Cambria" w:hAnsi="Cambria" w:cs="Arial"/>
                <w:sz w:val="22"/>
                <w:szCs w:val="22"/>
              </w:rPr>
              <w:t>99</w:t>
            </w:r>
            <w:r w:rsidR="00271425">
              <w:rPr>
                <w:rFonts w:ascii="Cambria" w:hAnsi="Cambria" w:cs="Arial"/>
                <w:sz w:val="22"/>
                <w:szCs w:val="22"/>
              </w:rPr>
              <w:t>.00</w:t>
            </w:r>
            <w:r w:rsidRPr="000239DA">
              <w:rPr>
                <w:rFonts w:ascii="Cambria" w:hAnsi="Cambria" w:cs="Arial"/>
                <w:sz w:val="22"/>
                <w:szCs w:val="22"/>
              </w:rPr>
              <w:t>%</w:t>
            </w:r>
          </w:p>
        </w:tc>
        <w:tc>
          <w:tcPr>
            <w:tcW w:w="1539" w:type="dxa"/>
            <w:vAlign w:val="center"/>
          </w:tcPr>
          <w:p w14:paraId="510E586E" w14:textId="49EA9D5C" w:rsidR="009D5A12" w:rsidRPr="000239DA" w:rsidRDefault="009D5A12" w:rsidP="009D5A12">
            <w:pPr>
              <w:jc w:val="center"/>
              <w:rPr>
                <w:rFonts w:ascii="Cambria" w:hAnsi="Cambria" w:cs="Arial"/>
                <w:sz w:val="22"/>
                <w:szCs w:val="22"/>
              </w:rPr>
            </w:pPr>
            <w:r w:rsidRPr="000239DA">
              <w:rPr>
                <w:rFonts w:ascii="Cambria" w:hAnsi="Cambria" w:cs="Arial"/>
                <w:sz w:val="22"/>
                <w:szCs w:val="22"/>
              </w:rPr>
              <w:t>99</w:t>
            </w:r>
            <w:r w:rsidR="00271425">
              <w:rPr>
                <w:rFonts w:ascii="Cambria" w:hAnsi="Cambria" w:cs="Arial"/>
                <w:sz w:val="22"/>
                <w:szCs w:val="22"/>
              </w:rPr>
              <w:t>.00</w:t>
            </w:r>
            <w:r w:rsidRPr="000239DA">
              <w:rPr>
                <w:rFonts w:ascii="Cambria" w:hAnsi="Cambria" w:cs="Arial"/>
                <w:sz w:val="22"/>
                <w:szCs w:val="22"/>
              </w:rPr>
              <w:t>%</w:t>
            </w:r>
          </w:p>
        </w:tc>
      </w:tr>
      <w:tr w:rsidR="009D5A12" w:rsidRPr="00B74EE1" w14:paraId="19CCC1EC" w14:textId="6DAA6FB8" w:rsidTr="009D5A12">
        <w:trPr>
          <w:trHeight w:val="408"/>
        </w:trPr>
        <w:tc>
          <w:tcPr>
            <w:tcW w:w="2271" w:type="dxa"/>
            <w:vAlign w:val="center"/>
          </w:tcPr>
          <w:p w14:paraId="5C15A3AD" w14:textId="77777777" w:rsidR="009D5A12" w:rsidRPr="00B74EE1" w:rsidRDefault="009D5A12" w:rsidP="009D5A12">
            <w:pPr>
              <w:rPr>
                <w:rFonts w:ascii="Cambria" w:hAnsi="Cambria" w:cs="Arial"/>
                <w:sz w:val="22"/>
                <w:szCs w:val="22"/>
              </w:rPr>
            </w:pPr>
            <w:r w:rsidRPr="00B74EE1">
              <w:rPr>
                <w:rFonts w:ascii="Cambria" w:hAnsi="Cambria" w:cs="Arial"/>
                <w:sz w:val="22"/>
                <w:szCs w:val="22"/>
              </w:rPr>
              <w:t>AT&amp; C loss %</w:t>
            </w:r>
          </w:p>
        </w:tc>
        <w:tc>
          <w:tcPr>
            <w:tcW w:w="1454" w:type="dxa"/>
            <w:vAlign w:val="center"/>
          </w:tcPr>
          <w:p w14:paraId="4535101E" w14:textId="4DE6AA47" w:rsidR="009D5A12" w:rsidRPr="000239DA" w:rsidRDefault="009D5A12" w:rsidP="009D5A12">
            <w:pPr>
              <w:jc w:val="center"/>
              <w:rPr>
                <w:rFonts w:ascii="Cambria" w:hAnsi="Cambria" w:cs="Arial"/>
                <w:sz w:val="22"/>
                <w:szCs w:val="22"/>
              </w:rPr>
            </w:pPr>
            <w:r w:rsidRPr="000239DA">
              <w:rPr>
                <w:rFonts w:ascii="Cambria" w:hAnsi="Cambria" w:cs="Arial"/>
                <w:sz w:val="22"/>
                <w:szCs w:val="22"/>
              </w:rPr>
              <w:t>15.51%</w:t>
            </w:r>
          </w:p>
        </w:tc>
        <w:tc>
          <w:tcPr>
            <w:tcW w:w="1881" w:type="dxa"/>
            <w:vAlign w:val="center"/>
          </w:tcPr>
          <w:p w14:paraId="1FB83ACC" w14:textId="2D502D0E" w:rsidR="009D5A12" w:rsidRPr="000239DA" w:rsidRDefault="009D5A12" w:rsidP="009D5A12">
            <w:pPr>
              <w:jc w:val="center"/>
              <w:rPr>
                <w:rFonts w:ascii="Cambria" w:hAnsi="Cambria" w:cs="Arial"/>
                <w:sz w:val="22"/>
                <w:szCs w:val="22"/>
              </w:rPr>
            </w:pPr>
            <w:r w:rsidRPr="000239DA">
              <w:rPr>
                <w:rFonts w:ascii="Cambria" w:hAnsi="Cambria" w:cs="Arial"/>
                <w:sz w:val="22"/>
                <w:szCs w:val="22"/>
              </w:rPr>
              <w:t>1</w:t>
            </w:r>
            <w:r w:rsidR="000239DA" w:rsidRPr="000239DA">
              <w:rPr>
                <w:rFonts w:ascii="Cambria" w:hAnsi="Cambria" w:cs="Arial"/>
                <w:sz w:val="22"/>
                <w:szCs w:val="22"/>
              </w:rPr>
              <w:t>6</w:t>
            </w:r>
            <w:r w:rsidRPr="000239DA">
              <w:rPr>
                <w:rFonts w:ascii="Cambria" w:hAnsi="Cambria" w:cs="Arial"/>
                <w:sz w:val="22"/>
                <w:szCs w:val="22"/>
              </w:rPr>
              <w:t>.</w:t>
            </w:r>
            <w:r w:rsidR="000239DA" w:rsidRPr="000239DA">
              <w:rPr>
                <w:rFonts w:ascii="Cambria" w:hAnsi="Cambria" w:cs="Arial"/>
                <w:sz w:val="22"/>
                <w:szCs w:val="22"/>
              </w:rPr>
              <w:t>2</w:t>
            </w:r>
            <w:r w:rsidRPr="000239DA">
              <w:rPr>
                <w:rFonts w:ascii="Cambria" w:hAnsi="Cambria" w:cs="Arial"/>
                <w:sz w:val="22"/>
                <w:szCs w:val="22"/>
              </w:rPr>
              <w:t>3%</w:t>
            </w:r>
          </w:p>
        </w:tc>
        <w:tc>
          <w:tcPr>
            <w:tcW w:w="1851" w:type="dxa"/>
            <w:vAlign w:val="center"/>
          </w:tcPr>
          <w:p w14:paraId="79B46D29" w14:textId="24169711" w:rsidR="009D5A12" w:rsidRPr="000239DA" w:rsidRDefault="009D5A12" w:rsidP="009D5A12">
            <w:pPr>
              <w:jc w:val="center"/>
              <w:rPr>
                <w:rFonts w:ascii="Cambria" w:hAnsi="Cambria" w:cs="Arial"/>
                <w:sz w:val="22"/>
                <w:szCs w:val="22"/>
              </w:rPr>
            </w:pPr>
            <w:r w:rsidRPr="000239DA">
              <w:rPr>
                <w:rFonts w:ascii="Cambria" w:hAnsi="Cambria" w:cs="Arial"/>
                <w:sz w:val="22"/>
                <w:szCs w:val="22"/>
              </w:rPr>
              <w:t>15.90%</w:t>
            </w:r>
          </w:p>
        </w:tc>
        <w:tc>
          <w:tcPr>
            <w:tcW w:w="1539" w:type="dxa"/>
            <w:vAlign w:val="center"/>
          </w:tcPr>
          <w:p w14:paraId="56CB9528" w14:textId="7485A805" w:rsidR="009D5A12" w:rsidRPr="000239DA" w:rsidRDefault="009D5A12" w:rsidP="009D5A12">
            <w:pPr>
              <w:jc w:val="center"/>
              <w:rPr>
                <w:rFonts w:ascii="Cambria" w:hAnsi="Cambria" w:cs="Arial"/>
                <w:sz w:val="22"/>
                <w:szCs w:val="22"/>
              </w:rPr>
            </w:pPr>
            <w:r w:rsidRPr="000239DA">
              <w:rPr>
                <w:rFonts w:ascii="Cambria" w:hAnsi="Cambria" w:cs="Arial"/>
                <w:sz w:val="22"/>
                <w:szCs w:val="22"/>
              </w:rPr>
              <w:t>1</w:t>
            </w:r>
            <w:r w:rsidR="000239DA" w:rsidRPr="000239DA">
              <w:rPr>
                <w:rFonts w:ascii="Cambria" w:hAnsi="Cambria" w:cs="Arial"/>
                <w:sz w:val="22"/>
                <w:szCs w:val="22"/>
              </w:rPr>
              <w:t>4</w:t>
            </w:r>
            <w:r w:rsidRPr="000239DA">
              <w:rPr>
                <w:rFonts w:ascii="Cambria" w:hAnsi="Cambria" w:cs="Arial"/>
                <w:sz w:val="22"/>
                <w:szCs w:val="22"/>
              </w:rPr>
              <w:t>.</w:t>
            </w:r>
            <w:r w:rsidR="000239DA" w:rsidRPr="000239DA">
              <w:rPr>
                <w:rFonts w:ascii="Cambria" w:hAnsi="Cambria" w:cs="Arial"/>
                <w:sz w:val="22"/>
                <w:szCs w:val="22"/>
              </w:rPr>
              <w:t>5</w:t>
            </w:r>
            <w:r w:rsidRPr="000239DA">
              <w:rPr>
                <w:rFonts w:ascii="Cambria" w:hAnsi="Cambria" w:cs="Arial"/>
                <w:sz w:val="22"/>
                <w:szCs w:val="22"/>
              </w:rPr>
              <w:t>0%</w:t>
            </w:r>
          </w:p>
        </w:tc>
      </w:tr>
    </w:tbl>
    <w:p w14:paraId="5F38304E" w14:textId="24137F4F" w:rsidR="00A5197C" w:rsidRPr="00380822" w:rsidRDefault="12530C7E" w:rsidP="00380822">
      <w:pPr>
        <w:pStyle w:val="ListParagraph"/>
        <w:spacing w:line="360" w:lineRule="auto"/>
        <w:ind w:left="142"/>
        <w:jc w:val="both"/>
        <w:rPr>
          <w:rFonts w:ascii="Symbol" w:eastAsia="Symbol" w:hAnsi="Symbol" w:cs="Symbol"/>
          <w:i/>
          <w:iCs/>
          <w:sz w:val="24"/>
          <w:szCs w:val="24"/>
        </w:rPr>
      </w:pPr>
      <w:r w:rsidRPr="58C29371">
        <w:t xml:space="preserve"> </w:t>
      </w:r>
    </w:p>
    <w:p w14:paraId="00681023" w14:textId="7570711E" w:rsidR="00095479" w:rsidRDefault="00D70284" w:rsidP="00C23F37">
      <w:pPr>
        <w:spacing w:beforeLines="100" w:before="240" w:afterLines="100" w:after="240" w:line="360" w:lineRule="auto"/>
        <w:ind w:left="91"/>
        <w:jc w:val="both"/>
        <w:rPr>
          <w:rFonts w:ascii="Cambria" w:hAnsi="Cambria" w:cs="Arial"/>
        </w:rPr>
      </w:pPr>
      <w:r w:rsidRPr="00095479">
        <w:rPr>
          <w:rFonts w:ascii="Cambria" w:hAnsi="Cambria" w:cs="Arial"/>
        </w:rPr>
        <w:t xml:space="preserve">The </w:t>
      </w:r>
      <w:r w:rsidR="00024CF8" w:rsidRPr="00380822">
        <w:rPr>
          <w:rFonts w:ascii="Cambria" w:hAnsi="Cambria" w:cs="Arial"/>
        </w:rPr>
        <w:t xml:space="preserve">Hon’ble Commission has approved </w:t>
      </w:r>
      <w:r w:rsidR="00E564ED" w:rsidRPr="00380822">
        <w:rPr>
          <w:rFonts w:ascii="Cambria" w:hAnsi="Cambria" w:cs="Arial"/>
        </w:rPr>
        <w:t>input of</w:t>
      </w:r>
      <w:r w:rsidR="00205D9B" w:rsidRPr="00380822">
        <w:rPr>
          <w:rFonts w:ascii="Cambria" w:hAnsi="Cambria" w:cs="Arial"/>
        </w:rPr>
        <w:t xml:space="preserve"> </w:t>
      </w:r>
      <w:r w:rsidR="009E0D5C" w:rsidRPr="009E0D5C">
        <w:rPr>
          <w:rFonts w:ascii="Cambria" w:hAnsi="Cambria" w:cs="Arial"/>
        </w:rPr>
        <w:t>12378</w:t>
      </w:r>
      <w:r w:rsidR="009E0D5C">
        <w:rPr>
          <w:rFonts w:ascii="Cambria" w:hAnsi="Cambria" w:cs="Arial"/>
        </w:rPr>
        <w:t xml:space="preserve"> </w:t>
      </w:r>
      <w:r w:rsidR="00024CF8" w:rsidRPr="00380822">
        <w:rPr>
          <w:rFonts w:ascii="Cambria" w:hAnsi="Cambria" w:cs="Arial"/>
        </w:rPr>
        <w:t xml:space="preserve">MU for the current year against proposal of </w:t>
      </w:r>
      <w:r w:rsidR="00586A41" w:rsidRPr="00586A41">
        <w:rPr>
          <w:rFonts w:ascii="Cambria" w:hAnsi="Cambria" w:cs="Arial"/>
        </w:rPr>
        <w:t>11550</w:t>
      </w:r>
      <w:r w:rsidR="005F6D6C" w:rsidRPr="00380822">
        <w:rPr>
          <w:rFonts w:ascii="Cambria" w:hAnsi="Cambria" w:cs="Arial"/>
        </w:rPr>
        <w:t xml:space="preserve"> </w:t>
      </w:r>
      <w:r w:rsidR="00024CF8" w:rsidRPr="00380822">
        <w:rPr>
          <w:rFonts w:ascii="Cambria" w:hAnsi="Cambria" w:cs="Arial"/>
        </w:rPr>
        <w:t xml:space="preserve">MU by the </w:t>
      </w:r>
      <w:r w:rsidR="008646D1" w:rsidRPr="00380822">
        <w:rPr>
          <w:rFonts w:ascii="Cambria" w:hAnsi="Cambria" w:cs="Arial"/>
        </w:rPr>
        <w:t>L</w:t>
      </w:r>
      <w:r w:rsidR="7AA90FDA" w:rsidRPr="00380822">
        <w:rPr>
          <w:rFonts w:ascii="Cambria" w:hAnsi="Cambria" w:cs="Arial"/>
        </w:rPr>
        <w:t>icensee</w:t>
      </w:r>
      <w:r w:rsidR="00A5197C" w:rsidRPr="00380822">
        <w:rPr>
          <w:rFonts w:ascii="Cambria" w:hAnsi="Cambria" w:cs="Arial"/>
        </w:rPr>
        <w:t>.</w:t>
      </w:r>
      <w:r w:rsidR="00024CF8" w:rsidRPr="00380822">
        <w:rPr>
          <w:rFonts w:ascii="Cambria" w:hAnsi="Cambria" w:cs="Arial"/>
        </w:rPr>
        <w:t xml:space="preserve"> </w:t>
      </w:r>
      <w:r w:rsidR="00380822">
        <w:rPr>
          <w:rFonts w:ascii="Cambria" w:hAnsi="Cambria" w:cs="Arial"/>
        </w:rPr>
        <w:t>Now</w:t>
      </w:r>
      <w:r w:rsidR="00095479" w:rsidRPr="00380822">
        <w:rPr>
          <w:rFonts w:ascii="Cambria" w:hAnsi="Cambria" w:cs="Arial"/>
        </w:rPr>
        <w:t>, the revised estimate has been considered as 1</w:t>
      </w:r>
      <w:r w:rsidR="005F6D6C" w:rsidRPr="00380822">
        <w:rPr>
          <w:rFonts w:ascii="Cambria" w:hAnsi="Cambria" w:cs="Arial"/>
        </w:rPr>
        <w:t>1</w:t>
      </w:r>
      <w:r w:rsidR="0002321E">
        <w:rPr>
          <w:rFonts w:ascii="Cambria" w:hAnsi="Cambria" w:cs="Arial"/>
        </w:rPr>
        <w:t>746</w:t>
      </w:r>
      <w:r w:rsidR="00095479" w:rsidRPr="00380822">
        <w:rPr>
          <w:rFonts w:ascii="Cambria" w:hAnsi="Cambria" w:cs="Arial"/>
        </w:rPr>
        <w:t xml:space="preserve"> MU due</w:t>
      </w:r>
      <w:r w:rsidR="00095479">
        <w:rPr>
          <w:rFonts w:ascii="Cambria" w:hAnsi="Cambria" w:cs="Arial"/>
        </w:rPr>
        <w:t xml:space="preserve"> to the reasons as explained in the above paragraphs.</w:t>
      </w:r>
    </w:p>
    <w:p w14:paraId="09A21BAC" w14:textId="3B8FB65C" w:rsidR="00A5197C" w:rsidRPr="004A79FF" w:rsidRDefault="00380822" w:rsidP="00C23F37">
      <w:pPr>
        <w:spacing w:beforeLines="100" w:before="240" w:afterLines="100" w:after="240" w:line="360" w:lineRule="auto"/>
        <w:ind w:left="91"/>
        <w:jc w:val="both"/>
        <w:rPr>
          <w:rFonts w:ascii="Cambria" w:hAnsi="Cambria" w:cs="Arial"/>
        </w:rPr>
      </w:pPr>
      <w:r>
        <w:rPr>
          <w:rFonts w:ascii="Cambria" w:hAnsi="Cambria" w:cs="Arial"/>
        </w:rPr>
        <w:t>Similarly</w:t>
      </w:r>
      <w:r w:rsidR="00D024BA" w:rsidRPr="00095479">
        <w:rPr>
          <w:rFonts w:ascii="Cambria" w:hAnsi="Cambria" w:cs="Arial"/>
        </w:rPr>
        <w:t xml:space="preserve">, </w:t>
      </w:r>
      <w:r w:rsidR="00D024BA" w:rsidRPr="00380822">
        <w:rPr>
          <w:rFonts w:ascii="Cambria" w:hAnsi="Cambria" w:cs="Arial"/>
        </w:rPr>
        <w:t xml:space="preserve">the </w:t>
      </w:r>
      <w:r w:rsidR="62850067" w:rsidRPr="00380822">
        <w:rPr>
          <w:rFonts w:ascii="Cambria" w:hAnsi="Cambria" w:cs="Arial"/>
        </w:rPr>
        <w:t>drawl</w:t>
      </w:r>
      <w:r w:rsidR="00D024BA" w:rsidRPr="00380822">
        <w:rPr>
          <w:rFonts w:ascii="Cambria" w:hAnsi="Cambria" w:cs="Arial"/>
        </w:rPr>
        <w:t xml:space="preserve"> of HT </w:t>
      </w:r>
      <w:r w:rsidR="20A827E6" w:rsidRPr="00380822">
        <w:rPr>
          <w:rFonts w:ascii="Cambria" w:hAnsi="Cambria" w:cs="Arial"/>
        </w:rPr>
        <w:t>industries for</w:t>
      </w:r>
      <w:r w:rsidR="00D024BA" w:rsidRPr="00380822">
        <w:rPr>
          <w:rFonts w:ascii="Cambria" w:hAnsi="Cambria" w:cs="Arial"/>
        </w:rPr>
        <w:t xml:space="preserve"> 1</w:t>
      </w:r>
      <w:r w:rsidR="29A22183" w:rsidRPr="00380822">
        <w:rPr>
          <w:rFonts w:ascii="Cambria" w:hAnsi="Cambria" w:cs="Arial"/>
          <w:vertAlign w:val="superscript"/>
        </w:rPr>
        <w:t>st</w:t>
      </w:r>
      <w:r w:rsidR="00F49E07" w:rsidRPr="00380822">
        <w:rPr>
          <w:rFonts w:ascii="Cambria" w:hAnsi="Cambria" w:cs="Arial"/>
        </w:rPr>
        <w:t xml:space="preserve"> half of the current year </w:t>
      </w:r>
      <w:r w:rsidR="00C75DC0" w:rsidRPr="00380822">
        <w:rPr>
          <w:rFonts w:ascii="Cambria" w:hAnsi="Cambria" w:cs="Arial"/>
        </w:rPr>
        <w:t xml:space="preserve">is </w:t>
      </w:r>
      <w:r w:rsidRPr="00380822">
        <w:rPr>
          <w:rFonts w:ascii="Cambria" w:hAnsi="Cambria" w:cs="Arial"/>
        </w:rPr>
        <w:t>not expected up to the level as earlier for the reasons as explained above</w:t>
      </w:r>
      <w:r w:rsidR="00C75DC0" w:rsidRPr="00380822">
        <w:rPr>
          <w:rFonts w:ascii="Cambria" w:hAnsi="Cambria" w:cs="Arial"/>
        </w:rPr>
        <w:t xml:space="preserve">, if the </w:t>
      </w:r>
      <w:proofErr w:type="spellStart"/>
      <w:r w:rsidR="00C75DC0" w:rsidRPr="00380822">
        <w:rPr>
          <w:rFonts w:ascii="Cambria" w:hAnsi="Cambria" w:cs="Arial"/>
        </w:rPr>
        <w:t>drawal</w:t>
      </w:r>
      <w:proofErr w:type="spellEnd"/>
      <w:r w:rsidR="00C75DC0" w:rsidRPr="00380822">
        <w:rPr>
          <w:rFonts w:ascii="Cambria" w:hAnsi="Cambria" w:cs="Arial"/>
        </w:rPr>
        <w:t xml:space="preserve"> of </w:t>
      </w:r>
      <w:r w:rsidR="00F49E07" w:rsidRPr="00380822">
        <w:rPr>
          <w:rFonts w:ascii="Cambria" w:hAnsi="Cambria" w:cs="Arial"/>
        </w:rPr>
        <w:t xml:space="preserve">Steel </w:t>
      </w:r>
      <w:r w:rsidRPr="00380822">
        <w:rPr>
          <w:rFonts w:ascii="Cambria" w:hAnsi="Cambria" w:cs="Arial"/>
        </w:rPr>
        <w:t>&amp; Cement segment w</w:t>
      </w:r>
      <w:r w:rsidR="00C75DC0" w:rsidRPr="00380822">
        <w:rPr>
          <w:rFonts w:ascii="Cambria" w:hAnsi="Cambria" w:cs="Arial"/>
        </w:rPr>
        <w:t xml:space="preserve">ill continue </w:t>
      </w:r>
      <w:r w:rsidRPr="00380822">
        <w:rPr>
          <w:rFonts w:ascii="Cambria" w:hAnsi="Cambria" w:cs="Arial"/>
        </w:rPr>
        <w:t>with some higher</w:t>
      </w:r>
      <w:r w:rsidR="00C75DC0" w:rsidRPr="00380822">
        <w:rPr>
          <w:rFonts w:ascii="Cambria" w:hAnsi="Cambria" w:cs="Arial"/>
        </w:rPr>
        <w:t xml:space="preserve"> pace</w:t>
      </w:r>
      <w:r w:rsidRPr="00380822">
        <w:rPr>
          <w:rFonts w:ascii="Cambria" w:hAnsi="Cambria" w:cs="Arial"/>
        </w:rPr>
        <w:t xml:space="preserve">, HT sale will be ending up </w:t>
      </w:r>
      <w:r w:rsidRPr="00196E9B">
        <w:rPr>
          <w:rFonts w:ascii="Cambria" w:hAnsi="Cambria" w:cs="Arial"/>
        </w:rPr>
        <w:t>with 2</w:t>
      </w:r>
      <w:r w:rsidR="00B64297" w:rsidRPr="00196E9B">
        <w:rPr>
          <w:rFonts w:ascii="Cambria" w:hAnsi="Cambria" w:cs="Arial"/>
        </w:rPr>
        <w:t>510</w:t>
      </w:r>
      <w:r w:rsidRPr="00380822">
        <w:rPr>
          <w:rFonts w:ascii="Cambria" w:hAnsi="Cambria" w:cs="Arial"/>
        </w:rPr>
        <w:t xml:space="preserve"> MU</w:t>
      </w:r>
      <w:r w:rsidR="00C75DC0" w:rsidRPr="00380822">
        <w:rPr>
          <w:rFonts w:ascii="Cambria" w:hAnsi="Cambria" w:cs="Arial"/>
        </w:rPr>
        <w:t>.</w:t>
      </w:r>
      <w:r w:rsidR="57AE76C0" w:rsidRPr="00380822">
        <w:rPr>
          <w:rFonts w:ascii="Cambria" w:hAnsi="Cambria" w:cs="Arial"/>
        </w:rPr>
        <w:t xml:space="preserve"> </w:t>
      </w:r>
      <w:r w:rsidR="00E564ED" w:rsidRPr="00380822">
        <w:rPr>
          <w:rFonts w:ascii="Cambria" w:hAnsi="Cambria" w:cs="Arial"/>
        </w:rPr>
        <w:t xml:space="preserve"> </w:t>
      </w:r>
      <w:r w:rsidR="00A5197C" w:rsidRPr="00380822">
        <w:rPr>
          <w:rFonts w:ascii="Cambria" w:hAnsi="Cambria" w:cs="Arial"/>
        </w:rPr>
        <w:t xml:space="preserve">Considering the actual </w:t>
      </w:r>
      <w:r w:rsidR="007F4273" w:rsidRPr="00380822">
        <w:rPr>
          <w:rFonts w:ascii="Cambria" w:hAnsi="Cambria" w:cs="Arial"/>
        </w:rPr>
        <w:t xml:space="preserve">drawl </w:t>
      </w:r>
      <w:r w:rsidR="00A5197C" w:rsidRPr="00380822">
        <w:rPr>
          <w:rFonts w:ascii="Cambria" w:hAnsi="Cambria" w:cs="Arial"/>
        </w:rPr>
        <w:t xml:space="preserve">till September </w:t>
      </w:r>
      <w:r w:rsidR="00B07298" w:rsidRPr="00380822">
        <w:rPr>
          <w:rFonts w:ascii="Cambria" w:hAnsi="Cambria" w:cs="Arial"/>
        </w:rPr>
        <w:t>20</w:t>
      </w:r>
      <w:r w:rsidR="001F772C" w:rsidRPr="00380822">
        <w:rPr>
          <w:rFonts w:ascii="Cambria" w:hAnsi="Cambria" w:cs="Arial"/>
        </w:rPr>
        <w:t>2</w:t>
      </w:r>
      <w:r w:rsidR="00247BB5">
        <w:rPr>
          <w:rFonts w:ascii="Cambria" w:hAnsi="Cambria" w:cs="Arial"/>
        </w:rPr>
        <w:t>5</w:t>
      </w:r>
      <w:r w:rsidR="00A5197C" w:rsidRPr="00380822">
        <w:rPr>
          <w:rFonts w:ascii="Cambria" w:hAnsi="Cambria" w:cs="Arial"/>
        </w:rPr>
        <w:t xml:space="preserve">, </w:t>
      </w:r>
      <w:r w:rsidR="00C40CF6" w:rsidRPr="00380822">
        <w:rPr>
          <w:rFonts w:ascii="Cambria" w:hAnsi="Cambria" w:cs="Arial"/>
        </w:rPr>
        <w:t xml:space="preserve">continuance of special concessional tariff </w:t>
      </w:r>
      <w:r w:rsidR="00C40CF6" w:rsidRPr="000E545F">
        <w:rPr>
          <w:rFonts w:ascii="Cambria" w:hAnsi="Cambria" w:cs="Arial"/>
        </w:rPr>
        <w:t xml:space="preserve">for FY </w:t>
      </w:r>
      <w:r w:rsidR="009A0E63" w:rsidRPr="000E545F">
        <w:rPr>
          <w:rFonts w:ascii="Cambria" w:hAnsi="Cambria" w:cs="Arial"/>
        </w:rPr>
        <w:t>2026-27</w:t>
      </w:r>
      <w:r w:rsidR="00A553CA" w:rsidRPr="000E545F">
        <w:rPr>
          <w:rFonts w:ascii="Cambria" w:hAnsi="Cambria" w:cs="Arial"/>
        </w:rPr>
        <w:t>,</w:t>
      </w:r>
      <w:r w:rsidR="00C40CF6" w:rsidRPr="000E545F">
        <w:rPr>
          <w:rFonts w:ascii="Cambria" w:hAnsi="Cambria" w:cs="Arial"/>
        </w:rPr>
        <w:t xml:space="preserve"> </w:t>
      </w:r>
      <w:r w:rsidR="00A5197C" w:rsidRPr="000E545F">
        <w:rPr>
          <w:rFonts w:ascii="Cambria" w:hAnsi="Cambria" w:cs="Arial"/>
        </w:rPr>
        <w:t xml:space="preserve">the </w:t>
      </w:r>
      <w:r w:rsidR="221F54D4" w:rsidRPr="000E545F">
        <w:rPr>
          <w:rFonts w:ascii="Cambria" w:hAnsi="Cambria" w:cs="Arial"/>
        </w:rPr>
        <w:t>Licensee</w:t>
      </w:r>
      <w:r w:rsidR="00A5197C" w:rsidRPr="000E545F">
        <w:rPr>
          <w:rFonts w:ascii="Cambria" w:hAnsi="Cambria" w:cs="Arial"/>
        </w:rPr>
        <w:t xml:space="preserve"> has </w:t>
      </w:r>
      <w:r w:rsidRPr="000E545F">
        <w:rPr>
          <w:rFonts w:ascii="Cambria" w:hAnsi="Cambria" w:cs="Arial"/>
        </w:rPr>
        <w:t>projecte</w:t>
      </w:r>
      <w:r w:rsidR="00A5197C" w:rsidRPr="000E545F">
        <w:rPr>
          <w:rFonts w:ascii="Cambria" w:hAnsi="Cambria" w:cs="Arial"/>
        </w:rPr>
        <w:t xml:space="preserve">d distribution loss of </w:t>
      </w:r>
      <w:r w:rsidR="00DF5D7A" w:rsidRPr="000E545F">
        <w:rPr>
          <w:rFonts w:ascii="Cambria" w:hAnsi="Cambria" w:cs="Arial"/>
        </w:rPr>
        <w:t>1</w:t>
      </w:r>
      <w:r w:rsidR="000E545F" w:rsidRPr="000E545F">
        <w:rPr>
          <w:rFonts w:ascii="Cambria" w:hAnsi="Cambria" w:cs="Arial"/>
        </w:rPr>
        <w:t>3</w:t>
      </w:r>
      <w:r w:rsidR="004B793D" w:rsidRPr="000E545F">
        <w:rPr>
          <w:rFonts w:ascii="Cambria" w:hAnsi="Cambria" w:cs="Arial"/>
        </w:rPr>
        <w:t>.</w:t>
      </w:r>
      <w:r w:rsidR="000E545F" w:rsidRPr="000E545F">
        <w:rPr>
          <w:rFonts w:ascii="Cambria" w:hAnsi="Cambria" w:cs="Arial"/>
        </w:rPr>
        <w:t>64</w:t>
      </w:r>
      <w:r w:rsidR="00C40CF6" w:rsidRPr="000E545F">
        <w:rPr>
          <w:rFonts w:ascii="Cambria" w:hAnsi="Cambria" w:cs="Arial"/>
        </w:rPr>
        <w:t>%</w:t>
      </w:r>
      <w:r w:rsidR="00A5197C" w:rsidRPr="000E545F">
        <w:rPr>
          <w:rFonts w:ascii="Cambria" w:hAnsi="Cambria" w:cs="Arial"/>
        </w:rPr>
        <w:t xml:space="preserve"> </w:t>
      </w:r>
      <w:r w:rsidR="71EE6507" w:rsidRPr="000E545F">
        <w:rPr>
          <w:rFonts w:ascii="Cambria" w:hAnsi="Cambria" w:cs="Arial"/>
        </w:rPr>
        <w:t xml:space="preserve">&amp; AT&amp;C loss of </w:t>
      </w:r>
      <w:r w:rsidR="0014528F" w:rsidRPr="000E545F">
        <w:rPr>
          <w:rFonts w:ascii="Cambria" w:hAnsi="Cambria" w:cs="Arial"/>
        </w:rPr>
        <w:t>1</w:t>
      </w:r>
      <w:r w:rsidR="00CB228B" w:rsidRPr="000E545F">
        <w:rPr>
          <w:rFonts w:ascii="Cambria" w:hAnsi="Cambria" w:cs="Arial"/>
        </w:rPr>
        <w:t>4</w:t>
      </w:r>
      <w:r w:rsidR="004B793D" w:rsidRPr="000E545F">
        <w:rPr>
          <w:rFonts w:ascii="Cambria" w:hAnsi="Cambria" w:cs="Arial"/>
        </w:rPr>
        <w:t>.</w:t>
      </w:r>
      <w:r w:rsidR="00CB228B" w:rsidRPr="000E545F">
        <w:rPr>
          <w:rFonts w:ascii="Cambria" w:hAnsi="Cambria" w:cs="Arial"/>
        </w:rPr>
        <w:t>5</w:t>
      </w:r>
      <w:r w:rsidR="004B793D" w:rsidRPr="000E545F">
        <w:rPr>
          <w:rFonts w:ascii="Cambria" w:hAnsi="Cambria" w:cs="Arial"/>
        </w:rPr>
        <w:t>0</w:t>
      </w:r>
      <w:r w:rsidR="71EE6507" w:rsidRPr="000E545F">
        <w:rPr>
          <w:rFonts w:ascii="Cambria" w:hAnsi="Cambria" w:cs="Arial"/>
        </w:rPr>
        <w:t xml:space="preserve">% </w:t>
      </w:r>
      <w:r w:rsidR="00A5197C" w:rsidRPr="000E545F">
        <w:rPr>
          <w:rFonts w:ascii="Cambria" w:hAnsi="Cambria" w:cs="Arial"/>
        </w:rPr>
        <w:t xml:space="preserve">for FY </w:t>
      </w:r>
      <w:r w:rsidR="009A0E63" w:rsidRPr="000E545F">
        <w:rPr>
          <w:rFonts w:ascii="Cambria" w:hAnsi="Cambria" w:cs="Arial"/>
        </w:rPr>
        <w:t>2026-27</w:t>
      </w:r>
      <w:r w:rsidR="049DF612" w:rsidRPr="00380822">
        <w:rPr>
          <w:rFonts w:ascii="Cambria" w:hAnsi="Cambria" w:cs="Arial"/>
        </w:rPr>
        <w:t>.</w:t>
      </w:r>
    </w:p>
    <w:p w14:paraId="2B0C4836" w14:textId="55FC80C7" w:rsidR="003012C6" w:rsidRPr="00904B4F" w:rsidRDefault="003012C6" w:rsidP="00905A04">
      <w:pPr>
        <w:pStyle w:val="Heading2"/>
        <w:numPr>
          <w:ilvl w:val="1"/>
          <w:numId w:val="1"/>
        </w:numPr>
        <w:tabs>
          <w:tab w:val="clear" w:pos="432"/>
          <w:tab w:val="num" w:pos="426"/>
        </w:tabs>
        <w:ind w:hanging="574"/>
        <w:rPr>
          <w:rFonts w:asciiTheme="majorHAnsi" w:hAnsiTheme="majorHAnsi"/>
          <w:i w:val="0"/>
          <w:iCs w:val="0"/>
          <w:sz w:val="24"/>
          <w:szCs w:val="24"/>
        </w:rPr>
      </w:pPr>
      <w:bookmarkStart w:id="7" w:name="_Toc152180070"/>
      <w:bookmarkStart w:id="8" w:name="_Toc183204682"/>
      <w:bookmarkStart w:id="9" w:name="_Toc215250606"/>
      <w:r w:rsidRPr="00904B4F">
        <w:rPr>
          <w:rFonts w:asciiTheme="majorHAnsi" w:hAnsiTheme="majorHAnsi"/>
          <w:i w:val="0"/>
          <w:iCs w:val="0"/>
          <w:sz w:val="24"/>
          <w:szCs w:val="24"/>
        </w:rPr>
        <w:t>Data Sources</w:t>
      </w:r>
      <w:bookmarkEnd w:id="7"/>
      <w:bookmarkEnd w:id="8"/>
      <w:bookmarkEnd w:id="9"/>
    </w:p>
    <w:p w14:paraId="113B1856" w14:textId="1F05AA2E" w:rsidR="003012C6" w:rsidRPr="000C2942" w:rsidRDefault="003012C6" w:rsidP="0029607A">
      <w:pPr>
        <w:pStyle w:val="ARR-normalbody"/>
      </w:pPr>
      <w:r w:rsidRPr="58C29371">
        <w:t xml:space="preserve">The </w:t>
      </w:r>
      <w:r w:rsidR="3AB4AECB" w:rsidRPr="58C29371">
        <w:t>Licensee</w:t>
      </w:r>
      <w:r w:rsidRPr="58C29371">
        <w:t xml:space="preserve"> is </w:t>
      </w:r>
      <w:r w:rsidR="000A0A43" w:rsidRPr="58C29371">
        <w:t xml:space="preserve">duty bound in </w:t>
      </w:r>
      <w:r w:rsidRPr="58C29371">
        <w:t xml:space="preserve">complying with the information requirements of the Hon’ble Commission for </w:t>
      </w:r>
      <w:r w:rsidR="00D70284">
        <w:t>A</w:t>
      </w:r>
      <w:r w:rsidR="000A0A43" w:rsidRPr="58C29371">
        <w:t xml:space="preserve">ggregate </w:t>
      </w:r>
      <w:r w:rsidR="00D70284">
        <w:t>R</w:t>
      </w:r>
      <w:r w:rsidRPr="58C29371">
        <w:t xml:space="preserve">evenue </w:t>
      </w:r>
      <w:r w:rsidR="00D70284">
        <w:t>R</w:t>
      </w:r>
      <w:r w:rsidRPr="58C29371">
        <w:t xml:space="preserve">equirement and tariff for the year </w:t>
      </w:r>
      <w:r w:rsidR="009A0E63">
        <w:t>2026-27</w:t>
      </w:r>
      <w:r w:rsidRPr="58C29371">
        <w:t xml:space="preserve">. The schedule of formats submitted along with this proposal is shown in the Table of Contents. </w:t>
      </w:r>
      <w:r w:rsidR="0014528F">
        <w:t xml:space="preserve">The </w:t>
      </w:r>
      <w:r w:rsidR="00095479">
        <w:t>A</w:t>
      </w:r>
      <w:r w:rsidR="0014528F">
        <w:t xml:space="preserve">pplicant has relied upon </w:t>
      </w:r>
      <w:r w:rsidR="1CB2E99A" w:rsidRPr="58C29371">
        <w:t>audited accounts</w:t>
      </w:r>
      <w:r w:rsidR="0014528F">
        <w:t xml:space="preserve"> </w:t>
      </w:r>
      <w:r w:rsidR="007275EE">
        <w:t xml:space="preserve">(OERC format) </w:t>
      </w:r>
      <w:r w:rsidR="0014528F">
        <w:t xml:space="preserve">of FY </w:t>
      </w:r>
      <w:r w:rsidR="003C262A">
        <w:t>20</w:t>
      </w:r>
      <w:r w:rsidR="0014528F">
        <w:t>2</w:t>
      </w:r>
      <w:r w:rsidR="009039E6">
        <w:t>4</w:t>
      </w:r>
      <w:r w:rsidR="0014528F">
        <w:t>-2</w:t>
      </w:r>
      <w:r w:rsidR="009039E6">
        <w:t>5</w:t>
      </w:r>
      <w:r w:rsidR="0014528F">
        <w:t xml:space="preserve"> and actual till </w:t>
      </w:r>
      <w:r w:rsidR="003C262A">
        <w:t>S</w:t>
      </w:r>
      <w:r w:rsidR="0014528F">
        <w:t>ep-2</w:t>
      </w:r>
      <w:r w:rsidR="008D24DF">
        <w:t>5</w:t>
      </w:r>
      <w:r w:rsidR="0014528F">
        <w:t xml:space="preserve"> </w:t>
      </w:r>
      <w:r w:rsidRPr="58C29371">
        <w:t>for data</w:t>
      </w:r>
      <w:r w:rsidR="007275EE">
        <w:t xml:space="preserve"> </w:t>
      </w:r>
      <w:r w:rsidR="007275EE" w:rsidRPr="58C29371">
        <w:t>compilation</w:t>
      </w:r>
      <w:r w:rsidRPr="58C29371">
        <w:t xml:space="preserve"> and preparation of this ARR.</w:t>
      </w:r>
      <w:r w:rsidR="00D909AC" w:rsidRPr="58C29371">
        <w:t xml:space="preserve"> </w:t>
      </w:r>
    </w:p>
    <w:p w14:paraId="2321511E" w14:textId="73DC9285" w:rsidR="003012C6" w:rsidRPr="000C2942" w:rsidRDefault="003012C6" w:rsidP="0029607A">
      <w:pPr>
        <w:pStyle w:val="ARR-normalbody"/>
      </w:pPr>
      <w:r w:rsidRPr="58C29371">
        <w:t xml:space="preserve">The </w:t>
      </w:r>
      <w:r w:rsidR="00095479">
        <w:t>L</w:t>
      </w:r>
      <w:r w:rsidR="16C24C3E" w:rsidRPr="58C29371">
        <w:t>icensee</w:t>
      </w:r>
      <w:r w:rsidRPr="58C29371">
        <w:t xml:space="preserve"> would like to submit that the input cost is </w:t>
      </w:r>
      <w:r w:rsidR="007275EE">
        <w:t>the major</w:t>
      </w:r>
      <w:r w:rsidRPr="58C29371">
        <w:t xml:space="preserve"> cost </w:t>
      </w:r>
      <w:r w:rsidR="007275EE">
        <w:t>component</w:t>
      </w:r>
      <w:r w:rsidR="00756969" w:rsidRPr="58C29371">
        <w:t xml:space="preserve"> </w:t>
      </w:r>
      <w:r w:rsidRPr="58C29371">
        <w:t>for</w:t>
      </w:r>
      <w:r w:rsidR="007275EE">
        <w:t xml:space="preserve"> the</w:t>
      </w:r>
      <w:r w:rsidRPr="58C29371">
        <w:t xml:space="preserve"> </w:t>
      </w:r>
      <w:r w:rsidR="00756969" w:rsidRPr="58C29371">
        <w:t>distribution business</w:t>
      </w:r>
      <w:r w:rsidRPr="58C29371">
        <w:t>. For authentication of input cost, the BSP bills on the basis of scheduled energy</w:t>
      </w:r>
      <w:r w:rsidR="0016272D" w:rsidRPr="58C29371">
        <w:t xml:space="preserve"> received from the Bulk S</w:t>
      </w:r>
      <w:r w:rsidRPr="58C29371">
        <w:t>upplier</w:t>
      </w:r>
      <w:r w:rsidR="00095479">
        <w:t xml:space="preserve"> (</w:t>
      </w:r>
      <w:r w:rsidRPr="58C29371">
        <w:t>GRIDCO</w:t>
      </w:r>
      <w:r w:rsidR="00095479">
        <w:t>)</w:t>
      </w:r>
      <w:r w:rsidRPr="58C29371">
        <w:t xml:space="preserve"> </w:t>
      </w:r>
      <w:r w:rsidR="002752BD" w:rsidRPr="58C29371">
        <w:t>and Transmission</w:t>
      </w:r>
      <w:r w:rsidRPr="58C29371">
        <w:t xml:space="preserve"> Charges on the basis of actual energy received from OPTCL, SLDC charges received from SLDC</w:t>
      </w:r>
      <w:r w:rsidR="00E14001">
        <w:t xml:space="preserve"> has been taken</w:t>
      </w:r>
      <w:r w:rsidR="00D909AC" w:rsidRPr="58C29371">
        <w:t xml:space="preserve">. The </w:t>
      </w:r>
      <w:r w:rsidR="00095479">
        <w:t>L</w:t>
      </w:r>
      <w:r w:rsidR="6B587C6B" w:rsidRPr="58C29371">
        <w:t>icensee</w:t>
      </w:r>
      <w:r w:rsidR="00D909AC" w:rsidRPr="58C29371">
        <w:t xml:space="preserve"> </w:t>
      </w:r>
      <w:r w:rsidR="00E14001" w:rsidRPr="58C29371">
        <w:t>expects</w:t>
      </w:r>
      <w:r w:rsidR="00D909AC" w:rsidRPr="58C29371">
        <w:t xml:space="preserve"> no deviation from the schedule hence provision for deviation has </w:t>
      </w:r>
      <w:r w:rsidR="00E14001">
        <w:t xml:space="preserve">not </w:t>
      </w:r>
      <w:r w:rsidR="00D909AC" w:rsidRPr="58C29371">
        <w:t>been considered in the ensuing year.</w:t>
      </w:r>
    </w:p>
    <w:p w14:paraId="5031B660" w14:textId="3EE251C7" w:rsidR="003012C6" w:rsidRDefault="003012C6" w:rsidP="0029607A">
      <w:pPr>
        <w:pStyle w:val="ARR-normalbody"/>
      </w:pPr>
      <w:r w:rsidRPr="00DF5D7A">
        <w:t>Thus</w:t>
      </w:r>
      <w:r w:rsidRPr="58C29371">
        <w:t xml:space="preserve">, the </w:t>
      </w:r>
      <w:r w:rsidR="00095479">
        <w:t>L</w:t>
      </w:r>
      <w:r w:rsidR="10DFE7FC" w:rsidRPr="58C29371">
        <w:t>icensee</w:t>
      </w:r>
      <w:r w:rsidRPr="58C29371">
        <w:t xml:space="preserve"> submit</w:t>
      </w:r>
      <w:r w:rsidR="007C50C6" w:rsidRPr="58C29371">
        <w:t>s</w:t>
      </w:r>
      <w:r w:rsidR="002752BD" w:rsidRPr="58C29371">
        <w:t xml:space="preserve"> that the data given are</w:t>
      </w:r>
      <w:r w:rsidRPr="58C29371">
        <w:t xml:space="preserve"> authentic and reliable for formulation of </w:t>
      </w:r>
      <w:r w:rsidR="004C0CFF" w:rsidRPr="58C29371">
        <w:t xml:space="preserve">Aggregate </w:t>
      </w:r>
      <w:r w:rsidRPr="58C29371">
        <w:t xml:space="preserve">Revenue Requirement and Tariff Application for the year </w:t>
      </w:r>
      <w:r w:rsidR="009A0E63">
        <w:t>2026-27</w:t>
      </w:r>
      <w:r w:rsidRPr="58C29371">
        <w:t>.</w:t>
      </w:r>
    </w:p>
    <w:p w14:paraId="2114D29D" w14:textId="61893E9D" w:rsidR="00161A2E" w:rsidRPr="00904B4F" w:rsidRDefault="004276A0" w:rsidP="00905A04">
      <w:pPr>
        <w:pStyle w:val="Heading2"/>
        <w:numPr>
          <w:ilvl w:val="1"/>
          <w:numId w:val="1"/>
        </w:numPr>
        <w:tabs>
          <w:tab w:val="clear" w:pos="432"/>
          <w:tab w:val="num" w:pos="426"/>
        </w:tabs>
        <w:ind w:hanging="574"/>
        <w:rPr>
          <w:rFonts w:asciiTheme="majorHAnsi" w:hAnsiTheme="majorHAnsi"/>
          <w:i w:val="0"/>
          <w:iCs w:val="0"/>
          <w:sz w:val="24"/>
          <w:szCs w:val="24"/>
        </w:rPr>
      </w:pPr>
      <w:bookmarkStart w:id="10" w:name="_Toc152180071"/>
      <w:bookmarkStart w:id="11" w:name="_Toc183204683"/>
      <w:bookmarkStart w:id="12" w:name="_Toc215250607"/>
      <w:r w:rsidRPr="00904B4F">
        <w:rPr>
          <w:rFonts w:asciiTheme="majorHAnsi" w:hAnsiTheme="majorHAnsi"/>
          <w:i w:val="0"/>
          <w:iCs w:val="0"/>
          <w:sz w:val="24"/>
          <w:szCs w:val="24"/>
        </w:rPr>
        <w:t xml:space="preserve">Sales </w:t>
      </w:r>
      <w:bookmarkEnd w:id="10"/>
      <w:r w:rsidR="0018616B" w:rsidRPr="00904B4F">
        <w:rPr>
          <w:rFonts w:asciiTheme="majorHAnsi" w:hAnsiTheme="majorHAnsi"/>
          <w:i w:val="0"/>
          <w:iCs w:val="0"/>
          <w:sz w:val="24"/>
          <w:szCs w:val="24"/>
        </w:rPr>
        <w:t>Projection</w:t>
      </w:r>
      <w:bookmarkEnd w:id="11"/>
      <w:bookmarkEnd w:id="12"/>
    </w:p>
    <w:p w14:paraId="20054A77" w14:textId="5151B9BC" w:rsidR="0095020A" w:rsidRDefault="00EB47D7" w:rsidP="0029607A">
      <w:pPr>
        <w:pStyle w:val="ARR-normalbody"/>
      </w:pPr>
      <w:r>
        <w:t xml:space="preserve">The </w:t>
      </w:r>
      <w:r w:rsidR="00095479">
        <w:t>L</w:t>
      </w:r>
      <w:r>
        <w:t xml:space="preserve">icensee has projected </w:t>
      </w:r>
      <w:r w:rsidR="004276A0" w:rsidRPr="00161A2E">
        <w:t>the consumption of different categories</w:t>
      </w:r>
      <w:r w:rsidR="007C50C6" w:rsidRPr="00161A2E">
        <w:t xml:space="preserve"> on</w:t>
      </w:r>
      <w:r w:rsidR="004276A0" w:rsidRPr="00161A2E">
        <w:t xml:space="preserve"> the </w:t>
      </w:r>
      <w:r w:rsidR="00A821BF">
        <w:t xml:space="preserve">basis of </w:t>
      </w:r>
      <w:r w:rsidR="004276A0" w:rsidRPr="00161A2E">
        <w:t xml:space="preserve">past trends </w:t>
      </w:r>
      <w:r w:rsidR="00A821BF">
        <w:t xml:space="preserve">and </w:t>
      </w:r>
      <w:r w:rsidR="002752BD">
        <w:t xml:space="preserve">consumption pattern for </w:t>
      </w:r>
      <w:r w:rsidR="004276A0" w:rsidRPr="00161A2E">
        <w:t>first six months of FY 20</w:t>
      </w:r>
      <w:r w:rsidR="002752BD">
        <w:t>2</w:t>
      </w:r>
      <w:r w:rsidR="00E62AAA">
        <w:t>5</w:t>
      </w:r>
      <w:r w:rsidR="004276A0" w:rsidRPr="00161A2E">
        <w:t>-</w:t>
      </w:r>
      <w:r w:rsidR="00F35316">
        <w:t>2</w:t>
      </w:r>
      <w:r w:rsidR="00E62AAA">
        <w:t>6</w:t>
      </w:r>
      <w:r w:rsidR="007C50C6" w:rsidRPr="00161A2E">
        <w:t>,</w:t>
      </w:r>
      <w:r w:rsidR="00F95589">
        <w:t xml:space="preserve"> </w:t>
      </w:r>
      <w:r w:rsidR="004276A0" w:rsidRPr="00BF0E9D">
        <w:t>actual addition</w:t>
      </w:r>
      <w:r w:rsidR="00073332">
        <w:t>/reduction</w:t>
      </w:r>
      <w:r w:rsidR="004276A0" w:rsidRPr="00BF0E9D">
        <w:t xml:space="preserve"> of loads and other </w:t>
      </w:r>
      <w:r w:rsidR="009E56FB">
        <w:t xml:space="preserve">important aspect of </w:t>
      </w:r>
      <w:r w:rsidR="0014528F">
        <w:t>market condition</w:t>
      </w:r>
      <w:r w:rsidR="004276A0" w:rsidRPr="00BF0E9D">
        <w:t>.</w:t>
      </w:r>
      <w:r w:rsidR="007D402A">
        <w:t xml:space="preserve"> Under Domestic cat</w:t>
      </w:r>
      <w:r w:rsidR="00CC7229">
        <w:t xml:space="preserve">egory around </w:t>
      </w:r>
      <w:r w:rsidR="00915711" w:rsidRPr="00537004">
        <w:t>68284</w:t>
      </w:r>
      <w:r w:rsidR="00CC7229" w:rsidRPr="0050561A">
        <w:t xml:space="preserve"> new connections </w:t>
      </w:r>
      <w:r w:rsidR="007C5B8D" w:rsidRPr="0050561A">
        <w:t>have</w:t>
      </w:r>
      <w:r w:rsidR="00CC7229" w:rsidRPr="0050561A">
        <w:t xml:space="preserve"> been </w:t>
      </w:r>
      <w:r w:rsidR="00F72787" w:rsidRPr="0050561A">
        <w:t xml:space="preserve">estimated &amp; in General purpose category around </w:t>
      </w:r>
      <w:r w:rsidR="005A00AD">
        <w:t>15096</w:t>
      </w:r>
      <w:r w:rsidR="00F72787" w:rsidRPr="0050561A">
        <w:t xml:space="preserve"> connections </w:t>
      </w:r>
      <w:r w:rsidR="007C5B8D" w:rsidRPr="0050561A">
        <w:t>have</w:t>
      </w:r>
      <w:r w:rsidR="00F72787" w:rsidRPr="0050561A">
        <w:t xml:space="preserve"> been proposed.</w:t>
      </w:r>
      <w:r w:rsidR="004276A0" w:rsidRPr="0050561A">
        <w:t xml:space="preserve"> </w:t>
      </w:r>
      <w:r w:rsidR="0050561A">
        <w:t>The activity of data sanitization is going on and also a continual activity for removal of Ghost consumers from the billing fold</w:t>
      </w:r>
      <w:r w:rsidR="00EF188A" w:rsidRPr="0050561A">
        <w:t xml:space="preserve"> through field </w:t>
      </w:r>
      <w:r w:rsidR="00EF188A" w:rsidRPr="006A3DE7">
        <w:t>verifications</w:t>
      </w:r>
      <w:r w:rsidR="00BA11D9">
        <w:t xml:space="preserve"> </w:t>
      </w:r>
      <w:r w:rsidR="004456BA">
        <w:t>is in progress</w:t>
      </w:r>
      <w:r w:rsidR="00EF188A" w:rsidRPr="006A3DE7">
        <w:t xml:space="preserve">. Around </w:t>
      </w:r>
      <w:r w:rsidR="006A3DE7">
        <w:t>2.5</w:t>
      </w:r>
      <w:r w:rsidR="00EF188A" w:rsidRPr="006A3DE7">
        <w:t xml:space="preserve"> lakhs </w:t>
      </w:r>
      <w:r w:rsidR="00554AE1" w:rsidRPr="006A3DE7">
        <w:t xml:space="preserve">of </w:t>
      </w:r>
      <w:r w:rsidR="00EF188A" w:rsidRPr="006A3DE7">
        <w:t xml:space="preserve">ghost consumers have </w:t>
      </w:r>
      <w:r w:rsidR="0050561A" w:rsidRPr="006A3DE7">
        <w:t xml:space="preserve">already </w:t>
      </w:r>
      <w:r w:rsidR="00EF188A" w:rsidRPr="006A3DE7">
        <w:t xml:space="preserve">been identified </w:t>
      </w:r>
      <w:r w:rsidR="0050561A" w:rsidRPr="006A3DE7">
        <w:t>and removed from the database in the past.</w:t>
      </w:r>
      <w:r w:rsidR="00EF188A" w:rsidRPr="006A3DE7">
        <w:t xml:space="preserve"> As</w:t>
      </w:r>
      <w:r w:rsidR="00EF188A" w:rsidRPr="0050561A">
        <w:t xml:space="preserve"> a result, the</w:t>
      </w:r>
      <w:r w:rsidR="0050561A">
        <w:t xml:space="preserve"> increase in consumer base has</w:t>
      </w:r>
      <w:r w:rsidR="00EF188A">
        <w:t xml:space="preserve"> shown</w:t>
      </w:r>
      <w:r w:rsidR="0050561A">
        <w:t xml:space="preserve"> </w:t>
      </w:r>
      <w:r w:rsidR="006A3DE7">
        <w:t>in</w:t>
      </w:r>
      <w:r w:rsidR="0050561A">
        <w:t xml:space="preserve">significant movement </w:t>
      </w:r>
      <w:r w:rsidR="00EF188A">
        <w:t xml:space="preserve">as compared to previous year. </w:t>
      </w:r>
      <w:r w:rsidR="007C5B8D">
        <w:t>C</w:t>
      </w:r>
      <w:r w:rsidR="00C77FA8">
        <w:t xml:space="preserve">onsumer growth under irrigation category </w:t>
      </w:r>
      <w:r w:rsidR="004C0CFF">
        <w:t xml:space="preserve">particularly mega lift point </w:t>
      </w:r>
      <w:r w:rsidR="00C77FA8">
        <w:t xml:space="preserve">has been envisaged during ensuing year as per </w:t>
      </w:r>
      <w:r w:rsidR="007C5B8D">
        <w:t>mega lift</w:t>
      </w:r>
      <w:r w:rsidR="00C77FA8">
        <w:t xml:space="preserve"> scheme of Govt. of Odisha. </w:t>
      </w:r>
    </w:p>
    <w:p w14:paraId="36E08A5B" w14:textId="1B6305A4" w:rsidR="003C73DE" w:rsidRDefault="009E56FB" w:rsidP="0029607A">
      <w:pPr>
        <w:pStyle w:val="ARR-normalbody"/>
      </w:pPr>
      <w:r>
        <w:t xml:space="preserve">In absence of separate </w:t>
      </w:r>
      <w:r w:rsidR="003C73DE">
        <w:t>category for Irrigation under EHT</w:t>
      </w:r>
      <w:r w:rsidR="0095020A">
        <w:t xml:space="preserve"> </w:t>
      </w:r>
      <w:r w:rsidR="00DB7CFA">
        <w:t>category a</w:t>
      </w:r>
      <w:r w:rsidR="003C73DE">
        <w:t xml:space="preserve"> mega lift consumer with supply voltage </w:t>
      </w:r>
      <w:r w:rsidR="00DB7CFA">
        <w:t>at</w:t>
      </w:r>
      <w:r w:rsidR="003C73DE">
        <w:t xml:space="preserve"> EHT </w:t>
      </w:r>
      <w:r w:rsidR="0095020A">
        <w:t xml:space="preserve">level </w:t>
      </w:r>
      <w:r w:rsidR="00DA2E12">
        <w:t xml:space="preserve">with </w:t>
      </w:r>
      <w:r w:rsidR="003C73DE">
        <w:t xml:space="preserve">load of </w:t>
      </w:r>
      <w:r w:rsidR="003C73DE" w:rsidRPr="0050561A">
        <w:t xml:space="preserve">13500 </w:t>
      </w:r>
      <w:r w:rsidR="006019AD" w:rsidRPr="0050561A">
        <w:t>kVA</w:t>
      </w:r>
      <w:r w:rsidR="003C73DE">
        <w:t xml:space="preserve"> </w:t>
      </w:r>
      <w:r w:rsidR="00DA2E12">
        <w:t xml:space="preserve">is being billed under </w:t>
      </w:r>
      <w:r w:rsidR="003C73DE">
        <w:t>HT category tariff</w:t>
      </w:r>
      <w:r w:rsidR="00DA2E12">
        <w:t xml:space="preserve"> and also added under HT</w:t>
      </w:r>
      <w:r w:rsidR="002D11B0">
        <w:t xml:space="preserve"> in the projection</w:t>
      </w:r>
      <w:r w:rsidR="003C73DE">
        <w:t xml:space="preserve">. </w:t>
      </w:r>
      <w:r w:rsidR="003C73DE" w:rsidRPr="003C73DE">
        <w:t xml:space="preserve">The mega lift point has been energized under Kalahandi </w:t>
      </w:r>
      <w:r w:rsidR="0002102D">
        <w:t>W</w:t>
      </w:r>
      <w:r w:rsidR="003C73DE" w:rsidRPr="003C73DE">
        <w:t>est Electrical Division</w:t>
      </w:r>
      <w:r w:rsidR="003C73DE" w:rsidRPr="00A24C4F">
        <w:t xml:space="preserve">. </w:t>
      </w:r>
      <w:r w:rsidR="002D60C5" w:rsidRPr="00A24C4F">
        <w:t xml:space="preserve">Now, </w:t>
      </w:r>
      <w:r w:rsidR="00097C33">
        <w:t xml:space="preserve">for </w:t>
      </w:r>
      <w:r w:rsidR="0050561A">
        <w:t>last couple of years the Hon’ble Commission i</w:t>
      </w:r>
      <w:r w:rsidR="002D60C5" w:rsidRPr="00A24C4F">
        <w:t xml:space="preserve">n </w:t>
      </w:r>
      <w:r w:rsidR="0050561A">
        <w:t xml:space="preserve">the </w:t>
      </w:r>
      <w:r w:rsidR="002D60C5" w:rsidRPr="00A24C4F">
        <w:t>RST order</w:t>
      </w:r>
      <w:r w:rsidR="0050561A">
        <w:t>s have been approving</w:t>
      </w:r>
      <w:r w:rsidR="002D60C5" w:rsidRPr="00A24C4F">
        <w:t xml:space="preserve"> all mega lift </w:t>
      </w:r>
      <w:r w:rsidR="002C18EC">
        <w:t xml:space="preserve">points </w:t>
      </w:r>
      <w:r w:rsidR="002D60C5" w:rsidRPr="00A24C4F">
        <w:t>not covered under irrigation pumping and agriculture category of the regulation points to be billed under GP category including HT &amp; EHT without levy of demand charges and eligible for rebate of Rs.2 per</w:t>
      </w:r>
      <w:r w:rsidR="00DC0FCE" w:rsidRPr="00A24C4F">
        <w:t xml:space="preserve"> </w:t>
      </w:r>
      <w:r w:rsidR="002D60C5" w:rsidRPr="00A24C4F">
        <w:t>unit</w:t>
      </w:r>
      <w:r w:rsidR="00897125" w:rsidRPr="00A24C4F">
        <w:t>.</w:t>
      </w:r>
      <w:r w:rsidR="003C73DE" w:rsidRPr="00A24C4F">
        <w:t xml:space="preserve"> </w:t>
      </w:r>
      <w:r w:rsidR="00A24C4F" w:rsidRPr="00A24C4F">
        <w:t xml:space="preserve">However, the Licensee </w:t>
      </w:r>
      <w:r w:rsidR="002C18EC">
        <w:t xml:space="preserve">once again </w:t>
      </w:r>
      <w:r w:rsidR="00A24C4F" w:rsidRPr="00A24C4F">
        <w:t xml:space="preserve">requests Hon’ble Commission for creation of a separate category for Mega Lift under EHT </w:t>
      </w:r>
      <w:r w:rsidR="002C18EC">
        <w:t>as</w:t>
      </w:r>
      <w:r w:rsidR="006A3DE7">
        <w:t xml:space="preserve"> per the suggested rationalization measures since</w:t>
      </w:r>
      <w:r w:rsidR="002C18EC">
        <w:t xml:space="preserve"> it is creating difficulties in Energy Accounting</w:t>
      </w:r>
      <w:r w:rsidR="00A24C4F" w:rsidRPr="00A24C4F">
        <w:t>.</w:t>
      </w:r>
    </w:p>
    <w:p w14:paraId="55E31C22" w14:textId="7767B146" w:rsidR="00B60141" w:rsidRPr="00554AE1" w:rsidRDefault="0029607A" w:rsidP="0029607A">
      <w:pPr>
        <w:pStyle w:val="ARR-normalbody"/>
      </w:pPr>
      <w:r w:rsidRPr="00554AE1">
        <w:t>Two major HT consumers have installed behind-the-meter solar Distributed Renewable Energy (DRE) plants, while several others are in the process of setting up solar plants to offset their grid consumption</w:t>
      </w:r>
      <w:r w:rsidR="006A3DE7">
        <w:t xml:space="preserve"> and meet the RCO requirement</w:t>
      </w:r>
      <w:r w:rsidRPr="00554AE1">
        <w:t xml:space="preserve">. Considering this emerging scenario, the Licensee implemented a Solar Hour Flat Tariff Scheme at Rs. 4.30 per unit, subject to the condition that consumers ensure at least 80% </w:t>
      </w:r>
      <w:proofErr w:type="spellStart"/>
      <w:r w:rsidRPr="00554AE1">
        <w:t>drawal</w:t>
      </w:r>
      <w:proofErr w:type="spellEnd"/>
      <w:r w:rsidRPr="00554AE1">
        <w:t xml:space="preserve"> dur</w:t>
      </w:r>
      <w:r w:rsidRPr="00554AE1">
        <w:rPr>
          <w:color w:val="000000" w:themeColor="text1"/>
        </w:rPr>
        <w:t>ing solar hours. One consumer initially availed the scheme</w:t>
      </w:r>
      <w:r w:rsidR="006A3DE7">
        <w:rPr>
          <w:color w:val="000000" w:themeColor="text1"/>
        </w:rPr>
        <w:t>,</w:t>
      </w:r>
      <w:r w:rsidRPr="00554AE1">
        <w:rPr>
          <w:color w:val="000000" w:themeColor="text1"/>
        </w:rPr>
        <w:t xml:space="preserve"> however, from December</w:t>
      </w:r>
      <w:r w:rsidR="00554AE1" w:rsidRPr="00554AE1">
        <w:rPr>
          <w:color w:val="000000" w:themeColor="text1"/>
        </w:rPr>
        <w:t xml:space="preserve"> 2025</w:t>
      </w:r>
      <w:r w:rsidRPr="00554AE1">
        <w:rPr>
          <w:color w:val="000000" w:themeColor="text1"/>
        </w:rPr>
        <w:t xml:space="preserve"> onwards, the same consumer </w:t>
      </w:r>
      <w:r w:rsidR="00554AE1" w:rsidRPr="00554AE1">
        <w:rPr>
          <w:color w:val="000000" w:themeColor="text1"/>
        </w:rPr>
        <w:t xml:space="preserve">has decided to discontinue </w:t>
      </w:r>
      <w:r w:rsidR="00A20854">
        <w:rPr>
          <w:color w:val="000000" w:themeColor="text1"/>
        </w:rPr>
        <w:t xml:space="preserve">drawl </w:t>
      </w:r>
      <w:r w:rsidRPr="00554AE1">
        <w:rPr>
          <w:color w:val="000000" w:themeColor="text1"/>
        </w:rPr>
        <w:t xml:space="preserve">under the Solar Hour Flat Tariff Scheme and </w:t>
      </w:r>
      <w:r w:rsidR="00A20854">
        <w:rPr>
          <w:color w:val="000000" w:themeColor="text1"/>
        </w:rPr>
        <w:t xml:space="preserve">decided to </w:t>
      </w:r>
      <w:r w:rsidRPr="00554AE1">
        <w:rPr>
          <w:color w:val="000000" w:themeColor="text1"/>
        </w:rPr>
        <w:t>proceed with installation of a captive solar plant</w:t>
      </w:r>
      <w:r w:rsidR="00554AE1">
        <w:rPr>
          <w:color w:val="000000" w:themeColor="text1"/>
        </w:rPr>
        <w:t xml:space="preserve"> instead</w:t>
      </w:r>
      <w:r w:rsidRPr="00554AE1">
        <w:rPr>
          <w:color w:val="000000" w:themeColor="text1"/>
        </w:rPr>
        <w:t>.</w:t>
      </w:r>
      <w:r w:rsidR="009C35B2" w:rsidRPr="00554AE1">
        <w:rPr>
          <w:color w:val="000000" w:themeColor="text1"/>
        </w:rPr>
        <w:t xml:space="preserve"> </w:t>
      </w:r>
    </w:p>
    <w:p w14:paraId="5F289D2C" w14:textId="0DA2B094" w:rsidR="009E56FB" w:rsidRDefault="00F35316" w:rsidP="0029607A">
      <w:pPr>
        <w:pStyle w:val="ARR-normalbody"/>
      </w:pPr>
      <w:r w:rsidRPr="00961267">
        <w:t>Similarly, under LT cat</w:t>
      </w:r>
      <w:r w:rsidR="00D2767D" w:rsidRPr="00961267">
        <w:t>e</w:t>
      </w:r>
      <w:r w:rsidRPr="00961267">
        <w:t xml:space="preserve">gory </w:t>
      </w:r>
      <w:r w:rsidR="00903FDD" w:rsidRPr="00961267">
        <w:t xml:space="preserve">the irrigation load </w:t>
      </w:r>
      <w:r w:rsidRPr="00961267">
        <w:t xml:space="preserve">was </w:t>
      </w:r>
      <w:r w:rsidR="00A86497" w:rsidRPr="00961267">
        <w:t>288 MW as on Mar-24</w:t>
      </w:r>
      <w:r w:rsidRPr="00961267">
        <w:t xml:space="preserve">, which has increased to </w:t>
      </w:r>
      <w:r w:rsidR="00961267" w:rsidRPr="00961267">
        <w:t>324</w:t>
      </w:r>
      <w:r w:rsidR="00897125" w:rsidRPr="00961267">
        <w:t xml:space="preserve"> M</w:t>
      </w:r>
      <w:r w:rsidR="00301819" w:rsidRPr="00961267">
        <w:t>W</w:t>
      </w:r>
      <w:r w:rsidRPr="00961267">
        <w:t xml:space="preserve"> </w:t>
      </w:r>
      <w:r w:rsidR="003C73DE" w:rsidRPr="00961267">
        <w:t>as on Mar-2</w:t>
      </w:r>
      <w:r w:rsidR="00A86497" w:rsidRPr="00961267">
        <w:t>5</w:t>
      </w:r>
      <w:r w:rsidR="003C73DE" w:rsidRPr="00961267">
        <w:t xml:space="preserve"> </w:t>
      </w:r>
      <w:r w:rsidRPr="00961267">
        <w:t>and now in Sep-</w:t>
      </w:r>
      <w:r w:rsidR="003C73DE" w:rsidRPr="00961267">
        <w:t>2</w:t>
      </w:r>
      <w:r w:rsidR="00A43AAD">
        <w:t>5</w:t>
      </w:r>
      <w:r w:rsidRPr="00961267">
        <w:t xml:space="preserve"> it is</w:t>
      </w:r>
      <w:r w:rsidR="00301819" w:rsidRPr="00961267">
        <w:t xml:space="preserve"> </w:t>
      </w:r>
      <w:r w:rsidR="00961267" w:rsidRPr="00961267">
        <w:t>344</w:t>
      </w:r>
      <w:r w:rsidR="00897125" w:rsidRPr="00961267">
        <w:t xml:space="preserve"> M</w:t>
      </w:r>
      <w:r w:rsidR="00B40D79" w:rsidRPr="00961267">
        <w:t>W</w:t>
      </w:r>
      <w:r w:rsidR="00301819" w:rsidRPr="00961267">
        <w:t xml:space="preserve">, with estimated addition of around </w:t>
      </w:r>
      <w:r w:rsidR="00961267">
        <w:t>18462</w:t>
      </w:r>
      <w:r w:rsidR="00301819" w:rsidRPr="00961267">
        <w:t xml:space="preserve"> connections under LT category</w:t>
      </w:r>
      <w:r w:rsidR="00F31660">
        <w:t xml:space="preserve"> it is expected to touch 382MW</w:t>
      </w:r>
      <w:r w:rsidR="00D2767D" w:rsidRPr="00961267">
        <w:t>.</w:t>
      </w:r>
      <w:r w:rsidR="00D2767D">
        <w:t xml:space="preserve"> </w:t>
      </w:r>
    </w:p>
    <w:p w14:paraId="34229234" w14:textId="327F4BB3" w:rsidR="004276A0" w:rsidRDefault="004276A0" w:rsidP="00194184">
      <w:pPr>
        <w:pStyle w:val="ARR-normalbody"/>
      </w:pPr>
      <w:r w:rsidRPr="00BF0E9D">
        <w:t xml:space="preserve">The </w:t>
      </w:r>
      <w:r w:rsidR="007C50C6">
        <w:t>category-wise</w:t>
      </w:r>
      <w:r w:rsidRPr="00BF0E9D">
        <w:t xml:space="preserve"> consumption projected for FY </w:t>
      </w:r>
      <w:r w:rsidR="009A0E63">
        <w:t>2026-27</w:t>
      </w:r>
      <w:r w:rsidRPr="00BF0E9D">
        <w:t xml:space="preserve"> </w:t>
      </w:r>
      <w:r w:rsidR="00B31FDF">
        <w:t xml:space="preserve">has been </w:t>
      </w:r>
      <w:r w:rsidR="00C729AF">
        <w:t xml:space="preserve">provided </w:t>
      </w:r>
      <w:r w:rsidRPr="00BF0E9D">
        <w:t>in following sections.</w:t>
      </w:r>
    </w:p>
    <w:p w14:paraId="2D4F99FA" w14:textId="77777777" w:rsidR="004276A0" w:rsidRPr="00BF0E9D" w:rsidRDefault="004276A0" w:rsidP="004276A0">
      <w:pPr>
        <w:pStyle w:val="BodyText2"/>
        <w:spacing w:line="360" w:lineRule="auto"/>
        <w:jc w:val="both"/>
        <w:rPr>
          <w:rFonts w:ascii="Cambria" w:hAnsi="Cambria"/>
          <w:b/>
          <w:sz w:val="24"/>
          <w:szCs w:val="24"/>
        </w:rPr>
      </w:pPr>
      <w:r w:rsidRPr="00250355">
        <w:rPr>
          <w:rFonts w:ascii="Cambria" w:hAnsi="Cambria"/>
          <w:b/>
          <w:sz w:val="24"/>
          <w:szCs w:val="24"/>
        </w:rPr>
        <w:t>LT Category</w:t>
      </w:r>
    </w:p>
    <w:p w14:paraId="61D2D16D" w14:textId="7657D2C7" w:rsidR="004276A0" w:rsidRPr="00D6051B" w:rsidRDefault="00D2767D" w:rsidP="00194184">
      <w:pPr>
        <w:pStyle w:val="ARR-normalbody"/>
      </w:pPr>
      <w:r>
        <w:t xml:space="preserve">The utility </w:t>
      </w:r>
      <w:r w:rsidR="00C729AF">
        <w:t xml:space="preserve">has made </w:t>
      </w:r>
      <w:r>
        <w:t xml:space="preserve">all-out effort to bring the entire consumers into billing fold, for which its billing performance has increased in LT sector. </w:t>
      </w:r>
      <w:r w:rsidR="004276A0" w:rsidRPr="00BF0E9D">
        <w:t xml:space="preserve">The growth in the domestic category has been estimated </w:t>
      </w:r>
      <w:r w:rsidR="004276A0" w:rsidRPr="00D6051B">
        <w:t xml:space="preserve">at </w:t>
      </w:r>
      <w:r w:rsidR="00587043" w:rsidRPr="00587043">
        <w:t>10</w:t>
      </w:r>
      <w:r w:rsidR="000B55F7" w:rsidRPr="00587043">
        <w:t>.</w:t>
      </w:r>
      <w:r w:rsidR="00587043" w:rsidRPr="00587043">
        <w:t>17</w:t>
      </w:r>
      <w:r w:rsidR="009E0A36" w:rsidRPr="00587043">
        <w:t>%</w:t>
      </w:r>
      <w:r w:rsidR="00AD4149" w:rsidRPr="00587043">
        <w:t xml:space="preserve"> during</w:t>
      </w:r>
      <w:r w:rsidR="00AD4149" w:rsidRPr="00D6051B">
        <w:t xml:space="preserve"> FY </w:t>
      </w:r>
      <w:r w:rsidR="009A0E63">
        <w:t>2026-27</w:t>
      </w:r>
      <w:r w:rsidR="004276A0" w:rsidRPr="00D6051B">
        <w:t>.</w:t>
      </w:r>
      <w:r w:rsidR="00DE0126" w:rsidRPr="00D6051B">
        <w:t xml:space="preserve"> The reason of higher </w:t>
      </w:r>
      <w:r w:rsidR="0086222A" w:rsidRPr="00D6051B">
        <w:t xml:space="preserve">consumption </w:t>
      </w:r>
      <w:r w:rsidR="00DE0126" w:rsidRPr="00D6051B">
        <w:t>in Domestic sector is on account of replacement of defective meters and electro-mechanical meters in the consumer premises</w:t>
      </w:r>
      <w:r w:rsidR="001F3711" w:rsidRPr="00D6051B">
        <w:t xml:space="preserve"> as well as installation of new meters where consumers were availing power supply without meter.</w:t>
      </w:r>
      <w:r w:rsidR="00DE0126" w:rsidRPr="00D6051B">
        <w:t xml:space="preserve"> </w:t>
      </w:r>
    </w:p>
    <w:p w14:paraId="6FB938FB" w14:textId="7A32CAE2" w:rsidR="004276A0" w:rsidRPr="0000171F" w:rsidRDefault="004276A0" w:rsidP="00A51BFF">
      <w:pPr>
        <w:pStyle w:val="ARR-normalbody"/>
        <w:spacing w:after="120"/>
        <w:ind w:left="448"/>
        <w:contextualSpacing/>
      </w:pPr>
      <w:r w:rsidRPr="00D6051B">
        <w:t xml:space="preserve">The growth in the sales of other categories in the LT sector has been estimated in the range of </w:t>
      </w:r>
      <w:r w:rsidR="00F71BC7">
        <w:t>4.27</w:t>
      </w:r>
      <w:r w:rsidRPr="00F71BC7">
        <w:t>%</w:t>
      </w:r>
      <w:r w:rsidRPr="00D6051B">
        <w:t xml:space="preserve"> during </w:t>
      </w:r>
      <w:r w:rsidR="00F44BAD" w:rsidRPr="00D6051B">
        <w:t xml:space="preserve">FY </w:t>
      </w:r>
      <w:r w:rsidR="009A0E63">
        <w:t>2026-27</w:t>
      </w:r>
      <w:r w:rsidR="00A846B2" w:rsidRPr="00D6051B">
        <w:t xml:space="preserve"> considering the past trends except Irrigation</w:t>
      </w:r>
      <w:r w:rsidR="00167776" w:rsidRPr="00D6051B">
        <w:t xml:space="preserve"> &amp; Pumping</w:t>
      </w:r>
      <w:r w:rsidR="00DE0126" w:rsidRPr="00D6051B">
        <w:t xml:space="preserve"> </w:t>
      </w:r>
      <w:r w:rsidR="00A846B2" w:rsidRPr="00D6051B">
        <w:t xml:space="preserve">category of consumers where growth of </w:t>
      </w:r>
      <w:r w:rsidR="00E67B17">
        <w:t>5</w:t>
      </w:r>
      <w:r w:rsidR="004D384A" w:rsidRPr="00F71BC7">
        <w:t>.</w:t>
      </w:r>
      <w:r w:rsidR="00E67B17">
        <w:t>00</w:t>
      </w:r>
      <w:r w:rsidR="00167776" w:rsidRPr="00F71BC7">
        <w:t>%</w:t>
      </w:r>
      <w:r w:rsidR="00167776" w:rsidRPr="00D6051B">
        <w:t xml:space="preserve"> </w:t>
      </w:r>
      <w:r w:rsidR="00A846B2" w:rsidRPr="00D6051B">
        <w:t>has been taken</w:t>
      </w:r>
      <w:r w:rsidR="00DE0126" w:rsidRPr="00D6051B">
        <w:t xml:space="preserve"> up. The irrigation growth is due to </w:t>
      </w:r>
      <w:r w:rsidR="00A846B2" w:rsidRPr="00D6051B">
        <w:t xml:space="preserve">addition </w:t>
      </w:r>
      <w:r w:rsidR="00167776" w:rsidRPr="00D6051B">
        <w:t xml:space="preserve">of </w:t>
      </w:r>
      <w:r w:rsidR="00DE0126" w:rsidRPr="00D6051B">
        <w:t>loads as well as metering.</w:t>
      </w:r>
      <w:r w:rsidR="00167776" w:rsidRPr="00D6051B">
        <w:t xml:space="preserve"> </w:t>
      </w:r>
      <w:r w:rsidR="0000171F" w:rsidRPr="00D6051B">
        <w:t xml:space="preserve">So, the overall growth under LT has been considered as </w:t>
      </w:r>
      <w:r w:rsidR="00F71BC7" w:rsidRPr="00F71BC7">
        <w:t>7.00</w:t>
      </w:r>
      <w:r w:rsidR="0000171F" w:rsidRPr="00F71BC7">
        <w:t>%.</w:t>
      </w:r>
    </w:p>
    <w:p w14:paraId="628C879D" w14:textId="0043ADDF" w:rsidR="00200C76" w:rsidRPr="0000171F" w:rsidRDefault="004276A0" w:rsidP="00194184">
      <w:pPr>
        <w:pStyle w:val="ARR-normalbody"/>
      </w:pPr>
      <w:r w:rsidRPr="0000171F">
        <w:t>The summary of sales projections for LT category is given in following:</w:t>
      </w:r>
    </w:p>
    <w:tbl>
      <w:tblPr>
        <w:tblW w:w="859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7"/>
        <w:gridCol w:w="1870"/>
        <w:gridCol w:w="1769"/>
        <w:gridCol w:w="1723"/>
      </w:tblGrid>
      <w:tr w:rsidR="007E5289" w:rsidRPr="00124794" w14:paraId="4A62B56B" w14:textId="77777777" w:rsidTr="00BB2BE8">
        <w:trPr>
          <w:trHeight w:val="127"/>
          <w:tblHeader/>
        </w:trPr>
        <w:tc>
          <w:tcPr>
            <w:tcW w:w="3237" w:type="dxa"/>
            <w:shd w:val="clear" w:color="auto" w:fill="C6D9F1" w:themeFill="text2" w:themeFillTint="33"/>
            <w:noWrap/>
            <w:vAlign w:val="center"/>
          </w:tcPr>
          <w:p w14:paraId="443B6C40" w14:textId="77777777" w:rsidR="007E5289" w:rsidRPr="00124794" w:rsidRDefault="007E5289" w:rsidP="008172E7">
            <w:pPr>
              <w:spacing w:line="240" w:lineRule="atLeast"/>
              <w:contextualSpacing/>
              <w:jc w:val="center"/>
              <w:rPr>
                <w:rFonts w:asciiTheme="majorHAnsi" w:hAnsiTheme="majorHAnsi" w:cs="Arial"/>
                <w:b/>
                <w:bCs/>
                <w:sz w:val="22"/>
                <w:szCs w:val="22"/>
              </w:rPr>
            </w:pPr>
            <w:bookmarkStart w:id="13" w:name="OLE_LINK1"/>
            <w:r w:rsidRPr="00124794">
              <w:rPr>
                <w:rFonts w:asciiTheme="majorHAnsi" w:hAnsiTheme="majorHAnsi" w:cs="Arial"/>
                <w:b/>
                <w:bCs/>
                <w:sz w:val="22"/>
                <w:szCs w:val="22"/>
              </w:rPr>
              <w:t>Sales(MU)</w:t>
            </w:r>
          </w:p>
        </w:tc>
        <w:tc>
          <w:tcPr>
            <w:tcW w:w="1870" w:type="dxa"/>
            <w:shd w:val="clear" w:color="auto" w:fill="C6D9F1" w:themeFill="text2" w:themeFillTint="33"/>
            <w:noWrap/>
            <w:vAlign w:val="center"/>
          </w:tcPr>
          <w:p w14:paraId="36B4A167" w14:textId="41685F4A" w:rsidR="007E5289" w:rsidRPr="00124794" w:rsidRDefault="3A0E2B0A" w:rsidP="008172E7">
            <w:pPr>
              <w:spacing w:line="240" w:lineRule="atLeast"/>
              <w:contextualSpacing/>
              <w:jc w:val="center"/>
              <w:rPr>
                <w:rFonts w:asciiTheme="majorHAnsi" w:hAnsiTheme="majorHAnsi" w:cs="Arial"/>
                <w:b/>
                <w:bCs/>
                <w:sz w:val="22"/>
                <w:szCs w:val="22"/>
              </w:rPr>
            </w:pPr>
            <w:r w:rsidRPr="00124794">
              <w:rPr>
                <w:rFonts w:asciiTheme="majorHAnsi" w:hAnsiTheme="majorHAnsi" w:cs="Arial"/>
                <w:b/>
                <w:bCs/>
                <w:sz w:val="22"/>
                <w:szCs w:val="22"/>
              </w:rPr>
              <w:t>FY 20</w:t>
            </w:r>
            <w:r w:rsidR="1310577E" w:rsidRPr="00124794">
              <w:rPr>
                <w:rFonts w:asciiTheme="majorHAnsi" w:hAnsiTheme="majorHAnsi" w:cs="Arial"/>
                <w:b/>
                <w:bCs/>
                <w:sz w:val="22"/>
                <w:szCs w:val="22"/>
              </w:rPr>
              <w:t>2</w:t>
            </w:r>
            <w:r w:rsidR="004E7BCA" w:rsidRPr="00124794">
              <w:rPr>
                <w:rFonts w:asciiTheme="majorHAnsi" w:hAnsiTheme="majorHAnsi" w:cs="Arial"/>
                <w:b/>
                <w:bCs/>
                <w:sz w:val="22"/>
                <w:szCs w:val="22"/>
              </w:rPr>
              <w:t>4</w:t>
            </w:r>
            <w:r w:rsidRPr="00124794">
              <w:rPr>
                <w:rFonts w:asciiTheme="majorHAnsi" w:hAnsiTheme="majorHAnsi" w:cs="Arial"/>
                <w:b/>
                <w:bCs/>
                <w:sz w:val="22"/>
                <w:szCs w:val="22"/>
              </w:rPr>
              <w:t>-2</w:t>
            </w:r>
            <w:r w:rsidR="004E7BCA" w:rsidRPr="00124794">
              <w:rPr>
                <w:rFonts w:asciiTheme="majorHAnsi" w:hAnsiTheme="majorHAnsi" w:cs="Arial"/>
                <w:b/>
                <w:bCs/>
                <w:sz w:val="22"/>
                <w:szCs w:val="22"/>
              </w:rPr>
              <w:t>5</w:t>
            </w:r>
          </w:p>
        </w:tc>
        <w:tc>
          <w:tcPr>
            <w:tcW w:w="1769" w:type="dxa"/>
            <w:shd w:val="clear" w:color="auto" w:fill="C6D9F1" w:themeFill="text2" w:themeFillTint="33"/>
            <w:vAlign w:val="center"/>
          </w:tcPr>
          <w:p w14:paraId="4AA0B134" w14:textId="426B0BDF" w:rsidR="007E5289" w:rsidRPr="00124794" w:rsidRDefault="3A0E2B0A" w:rsidP="008172E7">
            <w:pPr>
              <w:spacing w:line="240" w:lineRule="atLeast"/>
              <w:contextualSpacing/>
              <w:jc w:val="center"/>
              <w:rPr>
                <w:rFonts w:asciiTheme="majorHAnsi" w:hAnsiTheme="majorHAnsi" w:cs="Arial"/>
                <w:b/>
                <w:bCs/>
                <w:sz w:val="22"/>
                <w:szCs w:val="22"/>
              </w:rPr>
            </w:pPr>
            <w:r w:rsidRPr="00124794">
              <w:rPr>
                <w:rFonts w:asciiTheme="majorHAnsi" w:hAnsiTheme="majorHAnsi" w:cs="Arial"/>
                <w:b/>
                <w:bCs/>
                <w:sz w:val="22"/>
                <w:szCs w:val="22"/>
              </w:rPr>
              <w:t>FY 202</w:t>
            </w:r>
            <w:r w:rsidR="004E7BCA" w:rsidRPr="00124794">
              <w:rPr>
                <w:rFonts w:asciiTheme="majorHAnsi" w:hAnsiTheme="majorHAnsi" w:cs="Arial"/>
                <w:b/>
                <w:bCs/>
                <w:sz w:val="22"/>
                <w:szCs w:val="22"/>
              </w:rPr>
              <w:t>5</w:t>
            </w:r>
            <w:r w:rsidRPr="00124794">
              <w:rPr>
                <w:rFonts w:asciiTheme="majorHAnsi" w:hAnsiTheme="majorHAnsi" w:cs="Arial"/>
                <w:b/>
                <w:bCs/>
                <w:sz w:val="22"/>
                <w:szCs w:val="22"/>
              </w:rPr>
              <w:t>-2</w:t>
            </w:r>
            <w:r w:rsidR="004E7BCA" w:rsidRPr="00124794">
              <w:rPr>
                <w:rFonts w:asciiTheme="majorHAnsi" w:hAnsiTheme="majorHAnsi" w:cs="Arial"/>
                <w:b/>
                <w:bCs/>
                <w:sz w:val="22"/>
                <w:szCs w:val="22"/>
              </w:rPr>
              <w:t>6</w:t>
            </w:r>
          </w:p>
        </w:tc>
        <w:tc>
          <w:tcPr>
            <w:tcW w:w="1723" w:type="dxa"/>
            <w:shd w:val="clear" w:color="auto" w:fill="C6D9F1" w:themeFill="text2" w:themeFillTint="33"/>
            <w:vAlign w:val="center"/>
          </w:tcPr>
          <w:p w14:paraId="11BAE7FE" w14:textId="1E81F2A0" w:rsidR="007E5289" w:rsidRPr="00124794" w:rsidRDefault="3A0E2B0A" w:rsidP="008172E7">
            <w:pPr>
              <w:spacing w:line="240" w:lineRule="atLeast"/>
              <w:contextualSpacing/>
              <w:jc w:val="center"/>
              <w:rPr>
                <w:rFonts w:asciiTheme="majorHAnsi" w:hAnsiTheme="majorHAnsi" w:cs="Arial"/>
                <w:b/>
                <w:bCs/>
                <w:sz w:val="22"/>
                <w:szCs w:val="22"/>
              </w:rPr>
            </w:pPr>
            <w:r w:rsidRPr="00124794">
              <w:rPr>
                <w:rFonts w:asciiTheme="majorHAnsi" w:hAnsiTheme="majorHAnsi" w:cs="Arial"/>
                <w:b/>
                <w:bCs/>
                <w:sz w:val="22"/>
                <w:szCs w:val="22"/>
              </w:rPr>
              <w:t xml:space="preserve">FY </w:t>
            </w:r>
            <w:r w:rsidR="009A0E63" w:rsidRPr="00124794">
              <w:rPr>
                <w:rFonts w:asciiTheme="majorHAnsi" w:hAnsiTheme="majorHAnsi" w:cs="Arial"/>
                <w:b/>
                <w:bCs/>
                <w:sz w:val="22"/>
                <w:szCs w:val="22"/>
              </w:rPr>
              <w:t>2026-27</w:t>
            </w:r>
          </w:p>
        </w:tc>
      </w:tr>
      <w:tr w:rsidR="001F3711" w:rsidRPr="00124794" w14:paraId="6519FF6D" w14:textId="77777777" w:rsidTr="00BB2BE8">
        <w:trPr>
          <w:trHeight w:val="127"/>
        </w:trPr>
        <w:tc>
          <w:tcPr>
            <w:tcW w:w="3237" w:type="dxa"/>
            <w:noWrap/>
            <w:vAlign w:val="center"/>
          </w:tcPr>
          <w:p w14:paraId="47D6A1E9" w14:textId="572D122D" w:rsidR="001F3711" w:rsidRPr="00124794" w:rsidRDefault="001F3711"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 xml:space="preserve">Domestic including </w:t>
            </w:r>
            <w:proofErr w:type="spellStart"/>
            <w:r w:rsidR="00347CBA" w:rsidRPr="00124794">
              <w:rPr>
                <w:rFonts w:asciiTheme="majorHAnsi" w:hAnsiTheme="majorHAnsi" w:cs="Arial"/>
                <w:sz w:val="22"/>
                <w:szCs w:val="22"/>
              </w:rPr>
              <w:t>K</w:t>
            </w:r>
            <w:r w:rsidRPr="00124794">
              <w:rPr>
                <w:rFonts w:asciiTheme="majorHAnsi" w:hAnsiTheme="majorHAnsi" w:cs="Arial"/>
                <w:sz w:val="22"/>
                <w:szCs w:val="22"/>
              </w:rPr>
              <w:t>utir</w:t>
            </w:r>
            <w:r w:rsidR="00E83C1F" w:rsidRPr="00124794">
              <w:rPr>
                <w:rFonts w:asciiTheme="majorHAnsi" w:hAnsiTheme="majorHAnsi" w:cs="Arial"/>
                <w:sz w:val="22"/>
                <w:szCs w:val="22"/>
              </w:rPr>
              <w:t>jy</w:t>
            </w:r>
            <w:r w:rsidRPr="00124794">
              <w:rPr>
                <w:rFonts w:asciiTheme="majorHAnsi" w:hAnsiTheme="majorHAnsi" w:cs="Arial"/>
                <w:sz w:val="22"/>
                <w:szCs w:val="22"/>
              </w:rPr>
              <w:t>oti</w:t>
            </w:r>
            <w:proofErr w:type="spellEnd"/>
          </w:p>
        </w:tc>
        <w:tc>
          <w:tcPr>
            <w:tcW w:w="1870" w:type="dxa"/>
            <w:noWrap/>
            <w:vAlign w:val="center"/>
          </w:tcPr>
          <w:p w14:paraId="100E51E5" w14:textId="07A5FE13"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2029.956</w:t>
            </w:r>
          </w:p>
        </w:tc>
        <w:tc>
          <w:tcPr>
            <w:tcW w:w="1769" w:type="dxa"/>
            <w:vAlign w:val="center"/>
          </w:tcPr>
          <w:p w14:paraId="10688766" w14:textId="454A8BE7"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2252.105</w:t>
            </w:r>
          </w:p>
        </w:tc>
        <w:tc>
          <w:tcPr>
            <w:tcW w:w="1723" w:type="dxa"/>
            <w:vAlign w:val="center"/>
          </w:tcPr>
          <w:p w14:paraId="151F194B" w14:textId="5A967EA6"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2481.250</w:t>
            </w:r>
          </w:p>
        </w:tc>
      </w:tr>
      <w:tr w:rsidR="001F3711" w:rsidRPr="00124794" w14:paraId="2DD72936" w14:textId="77777777" w:rsidTr="00BB2BE8">
        <w:trPr>
          <w:trHeight w:val="127"/>
        </w:trPr>
        <w:tc>
          <w:tcPr>
            <w:tcW w:w="3237" w:type="dxa"/>
            <w:noWrap/>
            <w:vAlign w:val="center"/>
          </w:tcPr>
          <w:p w14:paraId="3168E6BE" w14:textId="1487A9DE" w:rsidR="001F3711" w:rsidRPr="00124794" w:rsidRDefault="001F3711"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 xml:space="preserve">General Purpose&lt;100 </w:t>
            </w:r>
            <w:r w:rsidR="006019AD" w:rsidRPr="00124794">
              <w:rPr>
                <w:rFonts w:asciiTheme="majorHAnsi" w:hAnsiTheme="majorHAnsi" w:cs="Arial"/>
                <w:sz w:val="22"/>
                <w:szCs w:val="22"/>
              </w:rPr>
              <w:t>kW</w:t>
            </w:r>
          </w:p>
        </w:tc>
        <w:tc>
          <w:tcPr>
            <w:tcW w:w="1870" w:type="dxa"/>
            <w:noWrap/>
            <w:vAlign w:val="center"/>
          </w:tcPr>
          <w:p w14:paraId="2068E150" w14:textId="58AABA95"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532.338</w:t>
            </w:r>
          </w:p>
        </w:tc>
        <w:tc>
          <w:tcPr>
            <w:tcW w:w="1769" w:type="dxa"/>
            <w:vAlign w:val="center"/>
          </w:tcPr>
          <w:p w14:paraId="72988F2E" w14:textId="0E5F239B"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570</w:t>
            </w:r>
            <w:r w:rsidR="009767FD" w:rsidRPr="00124794">
              <w:rPr>
                <w:rFonts w:asciiTheme="majorHAnsi" w:hAnsiTheme="majorHAnsi" w:cs="Arial"/>
                <w:sz w:val="22"/>
                <w:szCs w:val="22"/>
              </w:rPr>
              <w:t>.000</w:t>
            </w:r>
          </w:p>
        </w:tc>
        <w:tc>
          <w:tcPr>
            <w:tcW w:w="1723" w:type="dxa"/>
            <w:vAlign w:val="center"/>
          </w:tcPr>
          <w:p w14:paraId="61B9BEBC" w14:textId="20B4B9B9"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584</w:t>
            </w:r>
            <w:r w:rsidR="009767FD" w:rsidRPr="00124794">
              <w:rPr>
                <w:rFonts w:asciiTheme="majorHAnsi" w:hAnsiTheme="majorHAnsi" w:cs="Arial"/>
                <w:sz w:val="22"/>
                <w:szCs w:val="22"/>
              </w:rPr>
              <w:t>.000</w:t>
            </w:r>
          </w:p>
        </w:tc>
      </w:tr>
      <w:tr w:rsidR="001F3711" w:rsidRPr="00124794" w14:paraId="18234D1C" w14:textId="77777777" w:rsidTr="00BB2BE8">
        <w:trPr>
          <w:trHeight w:val="127"/>
        </w:trPr>
        <w:tc>
          <w:tcPr>
            <w:tcW w:w="3237" w:type="dxa"/>
            <w:noWrap/>
            <w:vAlign w:val="center"/>
          </w:tcPr>
          <w:p w14:paraId="3254BA36" w14:textId="77777777" w:rsidR="001F3711" w:rsidRPr="00124794" w:rsidRDefault="001F3711"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Specified public purpose</w:t>
            </w:r>
          </w:p>
        </w:tc>
        <w:tc>
          <w:tcPr>
            <w:tcW w:w="1870" w:type="dxa"/>
            <w:noWrap/>
            <w:vAlign w:val="center"/>
          </w:tcPr>
          <w:p w14:paraId="777868EE" w14:textId="66D05414"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66.081</w:t>
            </w:r>
          </w:p>
        </w:tc>
        <w:tc>
          <w:tcPr>
            <w:tcW w:w="1769" w:type="dxa"/>
            <w:vAlign w:val="center"/>
          </w:tcPr>
          <w:p w14:paraId="615E5EF5" w14:textId="34CDB609"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69.068</w:t>
            </w:r>
          </w:p>
        </w:tc>
        <w:tc>
          <w:tcPr>
            <w:tcW w:w="1723" w:type="dxa"/>
            <w:vAlign w:val="center"/>
          </w:tcPr>
          <w:p w14:paraId="7C6DB770" w14:textId="7910AEB0"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72</w:t>
            </w:r>
            <w:r w:rsidR="009767FD" w:rsidRPr="00124794">
              <w:rPr>
                <w:rFonts w:asciiTheme="majorHAnsi" w:hAnsiTheme="majorHAnsi" w:cs="Arial"/>
                <w:sz w:val="22"/>
                <w:szCs w:val="22"/>
              </w:rPr>
              <w:t>.000</w:t>
            </w:r>
          </w:p>
        </w:tc>
      </w:tr>
      <w:tr w:rsidR="001F3711" w:rsidRPr="00124794" w14:paraId="7B39134F" w14:textId="77777777" w:rsidTr="00BB2BE8">
        <w:trPr>
          <w:trHeight w:val="127"/>
        </w:trPr>
        <w:tc>
          <w:tcPr>
            <w:tcW w:w="3237" w:type="dxa"/>
            <w:noWrap/>
            <w:vAlign w:val="center"/>
          </w:tcPr>
          <w:p w14:paraId="1D51E3BF" w14:textId="77777777" w:rsidR="001F3711" w:rsidRPr="00124794" w:rsidRDefault="001F3711"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Irrigation</w:t>
            </w:r>
          </w:p>
        </w:tc>
        <w:tc>
          <w:tcPr>
            <w:tcW w:w="1870" w:type="dxa"/>
            <w:noWrap/>
            <w:vAlign w:val="center"/>
          </w:tcPr>
          <w:p w14:paraId="699ACF2E" w14:textId="1843E939"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395.450</w:t>
            </w:r>
          </w:p>
        </w:tc>
        <w:tc>
          <w:tcPr>
            <w:tcW w:w="1769" w:type="dxa"/>
            <w:vAlign w:val="center"/>
          </w:tcPr>
          <w:p w14:paraId="730B0BC6" w14:textId="678B7332"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349.940</w:t>
            </w:r>
          </w:p>
        </w:tc>
        <w:tc>
          <w:tcPr>
            <w:tcW w:w="1723" w:type="dxa"/>
            <w:vAlign w:val="center"/>
          </w:tcPr>
          <w:p w14:paraId="09CF92A2" w14:textId="6016ADB4"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336</w:t>
            </w:r>
            <w:r w:rsidR="009767FD" w:rsidRPr="00124794">
              <w:rPr>
                <w:rFonts w:asciiTheme="majorHAnsi" w:hAnsiTheme="majorHAnsi" w:cs="Arial"/>
                <w:sz w:val="22"/>
                <w:szCs w:val="22"/>
              </w:rPr>
              <w:t>.000</w:t>
            </w:r>
          </w:p>
        </w:tc>
      </w:tr>
      <w:tr w:rsidR="001F3711" w:rsidRPr="00124794" w14:paraId="2BE78C77" w14:textId="77777777" w:rsidTr="00BB2BE8">
        <w:trPr>
          <w:trHeight w:val="127"/>
        </w:trPr>
        <w:tc>
          <w:tcPr>
            <w:tcW w:w="3237" w:type="dxa"/>
            <w:noWrap/>
            <w:vAlign w:val="center"/>
          </w:tcPr>
          <w:p w14:paraId="57A6C252" w14:textId="77777777" w:rsidR="001F3711" w:rsidRPr="00124794" w:rsidRDefault="001F3711"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 xml:space="preserve">Allied </w:t>
            </w:r>
            <w:proofErr w:type="spellStart"/>
            <w:r w:rsidRPr="00124794">
              <w:rPr>
                <w:rFonts w:asciiTheme="majorHAnsi" w:hAnsiTheme="majorHAnsi" w:cs="Arial"/>
                <w:sz w:val="22"/>
                <w:szCs w:val="22"/>
              </w:rPr>
              <w:t>Agro</w:t>
            </w:r>
            <w:proofErr w:type="spellEnd"/>
            <w:r w:rsidRPr="00124794">
              <w:rPr>
                <w:rFonts w:asciiTheme="majorHAnsi" w:hAnsiTheme="majorHAnsi" w:cs="Arial"/>
                <w:sz w:val="22"/>
                <w:szCs w:val="22"/>
              </w:rPr>
              <w:t xml:space="preserve"> Activities</w:t>
            </w:r>
          </w:p>
        </w:tc>
        <w:tc>
          <w:tcPr>
            <w:tcW w:w="1870" w:type="dxa"/>
            <w:noWrap/>
            <w:vAlign w:val="center"/>
          </w:tcPr>
          <w:p w14:paraId="3379B11C" w14:textId="0CF59C16"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15.665</w:t>
            </w:r>
          </w:p>
        </w:tc>
        <w:tc>
          <w:tcPr>
            <w:tcW w:w="1769" w:type="dxa"/>
            <w:vAlign w:val="center"/>
          </w:tcPr>
          <w:p w14:paraId="5E8C5989" w14:textId="29751ACF"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14.5</w:t>
            </w:r>
            <w:r w:rsidR="009767FD" w:rsidRPr="00124794">
              <w:rPr>
                <w:rFonts w:asciiTheme="majorHAnsi" w:hAnsiTheme="majorHAnsi" w:cs="Arial"/>
                <w:sz w:val="22"/>
                <w:szCs w:val="22"/>
              </w:rPr>
              <w:t>00</w:t>
            </w:r>
          </w:p>
        </w:tc>
        <w:tc>
          <w:tcPr>
            <w:tcW w:w="1723" w:type="dxa"/>
            <w:vAlign w:val="center"/>
          </w:tcPr>
          <w:p w14:paraId="4953B8DB" w14:textId="01FB5C10"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15.425</w:t>
            </w:r>
          </w:p>
        </w:tc>
      </w:tr>
      <w:tr w:rsidR="001F3711" w:rsidRPr="00124794" w14:paraId="5165F5E5" w14:textId="77777777" w:rsidTr="00BB2BE8">
        <w:trPr>
          <w:trHeight w:val="127"/>
        </w:trPr>
        <w:tc>
          <w:tcPr>
            <w:tcW w:w="3237" w:type="dxa"/>
            <w:noWrap/>
            <w:vAlign w:val="center"/>
          </w:tcPr>
          <w:p w14:paraId="6D048213" w14:textId="77777777" w:rsidR="001F3711" w:rsidRPr="00124794" w:rsidRDefault="001F3711"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 xml:space="preserve">Allied </w:t>
            </w:r>
            <w:proofErr w:type="spellStart"/>
            <w:r w:rsidRPr="00124794">
              <w:rPr>
                <w:rFonts w:asciiTheme="majorHAnsi" w:hAnsiTheme="majorHAnsi" w:cs="Arial"/>
                <w:sz w:val="22"/>
                <w:szCs w:val="22"/>
              </w:rPr>
              <w:t>Agro</w:t>
            </w:r>
            <w:proofErr w:type="spellEnd"/>
            <w:r w:rsidRPr="00124794">
              <w:rPr>
                <w:rFonts w:asciiTheme="majorHAnsi" w:hAnsiTheme="majorHAnsi" w:cs="Arial"/>
                <w:sz w:val="22"/>
                <w:szCs w:val="22"/>
              </w:rPr>
              <w:t xml:space="preserve"> Industrial</w:t>
            </w:r>
          </w:p>
        </w:tc>
        <w:tc>
          <w:tcPr>
            <w:tcW w:w="1870" w:type="dxa"/>
            <w:noWrap/>
            <w:vAlign w:val="center"/>
          </w:tcPr>
          <w:p w14:paraId="60FF12BA" w14:textId="6553DAB7"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3.604</w:t>
            </w:r>
          </w:p>
        </w:tc>
        <w:tc>
          <w:tcPr>
            <w:tcW w:w="1769" w:type="dxa"/>
            <w:vAlign w:val="center"/>
          </w:tcPr>
          <w:p w14:paraId="347E6547" w14:textId="61619F27"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4.5</w:t>
            </w:r>
            <w:r w:rsidR="009767FD" w:rsidRPr="00124794">
              <w:rPr>
                <w:rFonts w:asciiTheme="majorHAnsi" w:hAnsiTheme="majorHAnsi" w:cs="Arial"/>
                <w:sz w:val="22"/>
                <w:szCs w:val="22"/>
              </w:rPr>
              <w:t>00</w:t>
            </w:r>
          </w:p>
        </w:tc>
        <w:tc>
          <w:tcPr>
            <w:tcW w:w="1723" w:type="dxa"/>
            <w:vAlign w:val="center"/>
          </w:tcPr>
          <w:p w14:paraId="70002A5C" w14:textId="6B86CCE7"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4.992</w:t>
            </w:r>
          </w:p>
        </w:tc>
      </w:tr>
      <w:tr w:rsidR="001F3711" w:rsidRPr="00124794" w14:paraId="32EA2494" w14:textId="77777777" w:rsidTr="00BB2BE8">
        <w:trPr>
          <w:trHeight w:val="127"/>
        </w:trPr>
        <w:tc>
          <w:tcPr>
            <w:tcW w:w="3237" w:type="dxa"/>
            <w:noWrap/>
            <w:vAlign w:val="center"/>
          </w:tcPr>
          <w:p w14:paraId="4F973060" w14:textId="77777777" w:rsidR="001F3711" w:rsidRPr="00124794" w:rsidRDefault="001F3711"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LT Industrial</w:t>
            </w:r>
          </w:p>
        </w:tc>
        <w:tc>
          <w:tcPr>
            <w:tcW w:w="1870" w:type="dxa"/>
            <w:noWrap/>
            <w:vAlign w:val="center"/>
          </w:tcPr>
          <w:p w14:paraId="7627B913" w14:textId="1D6B432E"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73.259</w:t>
            </w:r>
          </w:p>
        </w:tc>
        <w:tc>
          <w:tcPr>
            <w:tcW w:w="1769" w:type="dxa"/>
            <w:vAlign w:val="center"/>
          </w:tcPr>
          <w:p w14:paraId="6CF404D0" w14:textId="5234FBC0"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79.045</w:t>
            </w:r>
          </w:p>
        </w:tc>
        <w:tc>
          <w:tcPr>
            <w:tcW w:w="1723" w:type="dxa"/>
            <w:vAlign w:val="center"/>
          </w:tcPr>
          <w:p w14:paraId="68698397" w14:textId="3DAFB0C5"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82</w:t>
            </w:r>
            <w:r w:rsidR="009767FD" w:rsidRPr="00124794">
              <w:rPr>
                <w:rFonts w:asciiTheme="majorHAnsi" w:hAnsiTheme="majorHAnsi" w:cs="Arial"/>
                <w:sz w:val="22"/>
                <w:szCs w:val="22"/>
              </w:rPr>
              <w:t>.000</w:t>
            </w:r>
          </w:p>
        </w:tc>
      </w:tr>
      <w:tr w:rsidR="001F3711" w:rsidRPr="00124794" w14:paraId="62B2EB37" w14:textId="77777777" w:rsidTr="00BB2BE8">
        <w:trPr>
          <w:trHeight w:val="127"/>
        </w:trPr>
        <w:tc>
          <w:tcPr>
            <w:tcW w:w="3237" w:type="dxa"/>
            <w:noWrap/>
            <w:vAlign w:val="center"/>
          </w:tcPr>
          <w:p w14:paraId="5B8A0ABF" w14:textId="77777777" w:rsidR="001F3711" w:rsidRPr="00124794" w:rsidRDefault="001F3711"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Public water works</w:t>
            </w:r>
          </w:p>
        </w:tc>
        <w:tc>
          <w:tcPr>
            <w:tcW w:w="1870" w:type="dxa"/>
            <w:noWrap/>
            <w:vAlign w:val="center"/>
          </w:tcPr>
          <w:p w14:paraId="59CB1814" w14:textId="20E0A51C"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70.784</w:t>
            </w:r>
          </w:p>
        </w:tc>
        <w:tc>
          <w:tcPr>
            <w:tcW w:w="1769" w:type="dxa"/>
            <w:vAlign w:val="center"/>
          </w:tcPr>
          <w:p w14:paraId="5F67972C" w14:textId="2440D403"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75</w:t>
            </w:r>
            <w:r w:rsidR="009767FD" w:rsidRPr="00124794">
              <w:rPr>
                <w:rFonts w:asciiTheme="majorHAnsi" w:hAnsiTheme="majorHAnsi" w:cs="Arial"/>
                <w:sz w:val="22"/>
                <w:szCs w:val="22"/>
              </w:rPr>
              <w:t>.000</w:t>
            </w:r>
          </w:p>
        </w:tc>
        <w:tc>
          <w:tcPr>
            <w:tcW w:w="1723" w:type="dxa"/>
            <w:vAlign w:val="center"/>
          </w:tcPr>
          <w:p w14:paraId="241F6002" w14:textId="2B537B9E"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77</w:t>
            </w:r>
            <w:r w:rsidR="009767FD" w:rsidRPr="00124794">
              <w:rPr>
                <w:rFonts w:asciiTheme="majorHAnsi" w:hAnsiTheme="majorHAnsi" w:cs="Arial"/>
                <w:sz w:val="22"/>
                <w:szCs w:val="22"/>
              </w:rPr>
              <w:t>.000</w:t>
            </w:r>
          </w:p>
        </w:tc>
      </w:tr>
      <w:tr w:rsidR="001F3711" w:rsidRPr="00124794" w14:paraId="43AC2BE5" w14:textId="77777777" w:rsidTr="00BB2BE8">
        <w:trPr>
          <w:trHeight w:val="127"/>
        </w:trPr>
        <w:tc>
          <w:tcPr>
            <w:tcW w:w="3237" w:type="dxa"/>
            <w:noWrap/>
            <w:vAlign w:val="center"/>
          </w:tcPr>
          <w:p w14:paraId="04F6898E" w14:textId="77777777" w:rsidR="001F3711" w:rsidRPr="00124794" w:rsidRDefault="001F3711"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Public Lighting</w:t>
            </w:r>
          </w:p>
        </w:tc>
        <w:tc>
          <w:tcPr>
            <w:tcW w:w="1870" w:type="dxa"/>
            <w:noWrap/>
            <w:vAlign w:val="center"/>
          </w:tcPr>
          <w:p w14:paraId="0107C7A2" w14:textId="32D572E3"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64.481</w:t>
            </w:r>
          </w:p>
        </w:tc>
        <w:tc>
          <w:tcPr>
            <w:tcW w:w="1769" w:type="dxa"/>
            <w:vAlign w:val="center"/>
          </w:tcPr>
          <w:p w14:paraId="22824A6D" w14:textId="4F4EC560"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65.140</w:t>
            </w:r>
          </w:p>
        </w:tc>
        <w:tc>
          <w:tcPr>
            <w:tcW w:w="1723" w:type="dxa"/>
            <w:vAlign w:val="center"/>
          </w:tcPr>
          <w:p w14:paraId="7B6DF064" w14:textId="18D5FF4B" w:rsidR="001F3711" w:rsidRPr="00124794" w:rsidRDefault="00E17D26" w:rsidP="008172E7">
            <w:pPr>
              <w:spacing w:line="240" w:lineRule="atLeast"/>
              <w:contextualSpacing/>
              <w:jc w:val="center"/>
              <w:rPr>
                <w:rFonts w:asciiTheme="majorHAnsi" w:hAnsiTheme="majorHAnsi" w:cs="Arial"/>
                <w:sz w:val="22"/>
                <w:szCs w:val="22"/>
              </w:rPr>
            </w:pPr>
            <w:r w:rsidRPr="00124794">
              <w:rPr>
                <w:rFonts w:asciiTheme="majorHAnsi" w:hAnsiTheme="majorHAnsi" w:cs="Arial"/>
                <w:sz w:val="22"/>
                <w:szCs w:val="22"/>
              </w:rPr>
              <w:t>70.181</w:t>
            </w:r>
          </w:p>
        </w:tc>
      </w:tr>
      <w:tr w:rsidR="001F3711" w:rsidRPr="00124794" w14:paraId="63711942" w14:textId="77777777" w:rsidTr="00BB2BE8">
        <w:trPr>
          <w:trHeight w:val="127"/>
        </w:trPr>
        <w:tc>
          <w:tcPr>
            <w:tcW w:w="3237" w:type="dxa"/>
            <w:noWrap/>
            <w:vAlign w:val="center"/>
          </w:tcPr>
          <w:p w14:paraId="3F1CC04A" w14:textId="77777777" w:rsidR="001F3711" w:rsidRPr="00124794" w:rsidRDefault="001F3711" w:rsidP="008172E7">
            <w:pPr>
              <w:spacing w:line="240" w:lineRule="atLeast"/>
              <w:contextualSpacing/>
              <w:jc w:val="center"/>
              <w:rPr>
                <w:rFonts w:asciiTheme="majorHAnsi" w:hAnsiTheme="majorHAnsi" w:cs="Arial"/>
                <w:b/>
                <w:bCs/>
                <w:sz w:val="22"/>
                <w:szCs w:val="22"/>
              </w:rPr>
            </w:pPr>
            <w:r w:rsidRPr="00124794">
              <w:rPr>
                <w:rFonts w:asciiTheme="majorHAnsi" w:hAnsiTheme="majorHAnsi" w:cs="Arial"/>
                <w:b/>
                <w:bCs/>
                <w:sz w:val="22"/>
                <w:szCs w:val="22"/>
              </w:rPr>
              <w:t>Total</w:t>
            </w:r>
          </w:p>
        </w:tc>
        <w:tc>
          <w:tcPr>
            <w:tcW w:w="1870" w:type="dxa"/>
            <w:noWrap/>
            <w:vAlign w:val="center"/>
          </w:tcPr>
          <w:p w14:paraId="4D09B764" w14:textId="4A225DEB" w:rsidR="001F3711" w:rsidRPr="00124794" w:rsidRDefault="00E17D26" w:rsidP="008172E7">
            <w:pPr>
              <w:spacing w:line="240" w:lineRule="atLeast"/>
              <w:contextualSpacing/>
              <w:jc w:val="center"/>
              <w:rPr>
                <w:rFonts w:asciiTheme="majorHAnsi" w:hAnsiTheme="majorHAnsi" w:cs="Arial"/>
                <w:b/>
                <w:bCs/>
                <w:sz w:val="22"/>
                <w:szCs w:val="22"/>
              </w:rPr>
            </w:pPr>
            <w:r w:rsidRPr="00124794">
              <w:rPr>
                <w:rFonts w:asciiTheme="majorHAnsi" w:hAnsiTheme="majorHAnsi" w:cs="Arial"/>
                <w:b/>
                <w:bCs/>
                <w:sz w:val="22"/>
                <w:szCs w:val="22"/>
              </w:rPr>
              <w:t>3251.618</w:t>
            </w:r>
          </w:p>
        </w:tc>
        <w:tc>
          <w:tcPr>
            <w:tcW w:w="1769" w:type="dxa"/>
            <w:vAlign w:val="center"/>
          </w:tcPr>
          <w:p w14:paraId="08CD4F5F" w14:textId="4F2BFA26" w:rsidR="001F3711" w:rsidRPr="00124794" w:rsidRDefault="00E17D26" w:rsidP="008172E7">
            <w:pPr>
              <w:spacing w:line="240" w:lineRule="atLeast"/>
              <w:contextualSpacing/>
              <w:jc w:val="center"/>
              <w:rPr>
                <w:rFonts w:asciiTheme="majorHAnsi" w:hAnsiTheme="majorHAnsi" w:cs="Arial"/>
                <w:b/>
                <w:bCs/>
                <w:sz w:val="22"/>
                <w:szCs w:val="22"/>
              </w:rPr>
            </w:pPr>
            <w:r w:rsidRPr="00124794">
              <w:rPr>
                <w:rFonts w:asciiTheme="majorHAnsi" w:hAnsiTheme="majorHAnsi" w:cs="Arial"/>
                <w:b/>
                <w:bCs/>
                <w:sz w:val="22"/>
                <w:szCs w:val="22"/>
              </w:rPr>
              <w:t>3479.297</w:t>
            </w:r>
          </w:p>
        </w:tc>
        <w:tc>
          <w:tcPr>
            <w:tcW w:w="1723" w:type="dxa"/>
            <w:vAlign w:val="center"/>
          </w:tcPr>
          <w:p w14:paraId="476AB366" w14:textId="671BAFE7" w:rsidR="001F3711" w:rsidRPr="00124794" w:rsidRDefault="00E17D26" w:rsidP="008172E7">
            <w:pPr>
              <w:spacing w:line="240" w:lineRule="atLeast"/>
              <w:contextualSpacing/>
              <w:jc w:val="center"/>
              <w:rPr>
                <w:rFonts w:asciiTheme="majorHAnsi" w:hAnsiTheme="majorHAnsi" w:cs="Arial"/>
                <w:b/>
                <w:bCs/>
                <w:sz w:val="22"/>
                <w:szCs w:val="22"/>
              </w:rPr>
            </w:pPr>
            <w:r w:rsidRPr="00124794">
              <w:rPr>
                <w:rFonts w:asciiTheme="majorHAnsi" w:hAnsiTheme="majorHAnsi" w:cs="Arial"/>
                <w:b/>
                <w:bCs/>
                <w:sz w:val="22"/>
                <w:szCs w:val="22"/>
              </w:rPr>
              <w:t>3722.848</w:t>
            </w:r>
          </w:p>
        </w:tc>
      </w:tr>
    </w:tbl>
    <w:bookmarkEnd w:id="13"/>
    <w:p w14:paraId="0F67AEF3" w14:textId="06A513DE" w:rsidR="00836D00" w:rsidRPr="00C23F37" w:rsidRDefault="00247880" w:rsidP="00EB26CD">
      <w:pPr>
        <w:pStyle w:val="BodyText2"/>
        <w:spacing w:before="0" w:after="0"/>
        <w:ind w:left="425" w:right="278"/>
        <w:contextualSpacing/>
        <w:jc w:val="both"/>
        <w:rPr>
          <w:rFonts w:ascii="Cambria" w:hAnsi="Cambria"/>
          <w:b/>
          <w:i/>
          <w:sz w:val="22"/>
          <w:szCs w:val="24"/>
        </w:rPr>
      </w:pPr>
      <w:r w:rsidRPr="005D0156">
        <w:rPr>
          <w:rFonts w:ascii="Cambria" w:hAnsi="Cambria"/>
          <w:b/>
          <w:i/>
          <w:sz w:val="22"/>
          <w:szCs w:val="24"/>
        </w:rPr>
        <w:t xml:space="preserve">* </w:t>
      </w:r>
      <w:r w:rsidR="005D0156" w:rsidRPr="00AA1DDA">
        <w:rPr>
          <w:rFonts w:ascii="Cambria" w:hAnsi="Cambria"/>
          <w:i/>
          <w:sz w:val="22"/>
          <w:szCs w:val="24"/>
        </w:rPr>
        <w:t>T</w:t>
      </w:r>
      <w:r w:rsidRPr="005D0156">
        <w:rPr>
          <w:rFonts w:ascii="Cambria" w:hAnsi="Cambria"/>
          <w:bCs/>
          <w:i/>
          <w:sz w:val="22"/>
          <w:szCs w:val="24"/>
        </w:rPr>
        <w:t xml:space="preserve">he Irrigation billing in the current year has been hampered due to mass </w:t>
      </w:r>
      <w:r w:rsidR="00EB26CD">
        <w:rPr>
          <w:rFonts w:ascii="Cambria" w:hAnsi="Cambria"/>
          <w:bCs/>
          <w:i/>
          <w:sz w:val="22"/>
          <w:szCs w:val="24"/>
        </w:rPr>
        <w:t>protest</w:t>
      </w:r>
      <w:r w:rsidRPr="005D0156">
        <w:rPr>
          <w:rFonts w:ascii="Cambria" w:hAnsi="Cambria"/>
          <w:bCs/>
          <w:i/>
          <w:sz w:val="22"/>
          <w:szCs w:val="24"/>
        </w:rPr>
        <w:t xml:space="preserve"> of agricultural consumers and </w:t>
      </w:r>
      <w:r w:rsidR="00EB26CD">
        <w:rPr>
          <w:rFonts w:ascii="Cambria" w:hAnsi="Cambria"/>
          <w:bCs/>
          <w:i/>
          <w:sz w:val="22"/>
          <w:szCs w:val="24"/>
        </w:rPr>
        <w:t xml:space="preserve">unauthorized </w:t>
      </w:r>
      <w:r w:rsidRPr="005D0156">
        <w:rPr>
          <w:rFonts w:ascii="Cambria" w:hAnsi="Cambria"/>
          <w:bCs/>
          <w:i/>
          <w:sz w:val="22"/>
          <w:szCs w:val="24"/>
        </w:rPr>
        <w:t>removal of meters from the premises.</w:t>
      </w:r>
      <w:r w:rsidRPr="005D0156">
        <w:rPr>
          <w:rFonts w:ascii="Cambria" w:hAnsi="Cambria"/>
          <w:b/>
          <w:i/>
          <w:sz w:val="22"/>
          <w:szCs w:val="24"/>
        </w:rPr>
        <w:t xml:space="preserve"> </w:t>
      </w:r>
      <w:r w:rsidRPr="005D0156">
        <w:rPr>
          <w:rFonts w:ascii="Cambria" w:hAnsi="Cambria"/>
          <w:bCs/>
          <w:i/>
          <w:sz w:val="22"/>
          <w:szCs w:val="24"/>
        </w:rPr>
        <w:t>Similarly, in case of LT Industries some of the Industries</w:t>
      </w:r>
      <w:r w:rsidR="00EB26CD">
        <w:rPr>
          <w:rFonts w:ascii="Cambria" w:hAnsi="Cambria"/>
          <w:bCs/>
          <w:i/>
          <w:sz w:val="22"/>
          <w:szCs w:val="24"/>
        </w:rPr>
        <w:t xml:space="preserve"> have</w:t>
      </w:r>
      <w:r w:rsidRPr="005D0156">
        <w:rPr>
          <w:rFonts w:ascii="Cambria" w:hAnsi="Cambria"/>
          <w:bCs/>
          <w:i/>
          <w:sz w:val="22"/>
          <w:szCs w:val="24"/>
        </w:rPr>
        <w:t xml:space="preserve"> shifted to HT segment due to load enhancement.</w:t>
      </w:r>
    </w:p>
    <w:p w14:paraId="17AF6810" w14:textId="77777777" w:rsidR="002A6606" w:rsidRPr="0000171F" w:rsidRDefault="002A6606" w:rsidP="004276A0">
      <w:pPr>
        <w:pStyle w:val="BodyText2"/>
        <w:spacing w:before="0" w:after="0" w:line="360" w:lineRule="auto"/>
        <w:jc w:val="both"/>
        <w:rPr>
          <w:rFonts w:ascii="Cambria" w:hAnsi="Cambria"/>
          <w:b/>
          <w:sz w:val="8"/>
          <w:szCs w:val="8"/>
        </w:rPr>
      </w:pPr>
    </w:p>
    <w:p w14:paraId="3F37E1BD" w14:textId="77777777" w:rsidR="004276A0" w:rsidRPr="0000171F" w:rsidRDefault="004276A0" w:rsidP="004276A0">
      <w:pPr>
        <w:pStyle w:val="BodyText2"/>
        <w:spacing w:before="0" w:after="0" w:line="360" w:lineRule="auto"/>
        <w:jc w:val="both"/>
        <w:rPr>
          <w:rFonts w:ascii="Cambria" w:hAnsi="Cambria"/>
          <w:b/>
          <w:sz w:val="24"/>
          <w:szCs w:val="24"/>
        </w:rPr>
      </w:pPr>
      <w:r w:rsidRPr="0000171F">
        <w:rPr>
          <w:rFonts w:ascii="Cambria" w:hAnsi="Cambria"/>
          <w:b/>
          <w:sz w:val="24"/>
          <w:szCs w:val="24"/>
        </w:rPr>
        <w:t xml:space="preserve">HT Category </w:t>
      </w:r>
    </w:p>
    <w:p w14:paraId="5DDBE4C7" w14:textId="6391E9F5" w:rsidR="004276A0" w:rsidRDefault="00C77FA8" w:rsidP="009D7D3A">
      <w:pPr>
        <w:pStyle w:val="ARR-normalbody"/>
      </w:pPr>
      <w:r w:rsidRPr="0000171F">
        <w:t xml:space="preserve">While </w:t>
      </w:r>
      <w:r w:rsidR="007C50C6" w:rsidRPr="0000171F">
        <w:t xml:space="preserve">projecting the sales in HT Category, the </w:t>
      </w:r>
      <w:r w:rsidR="00E32B14">
        <w:t>L</w:t>
      </w:r>
      <w:r w:rsidR="001F3711" w:rsidRPr="0000171F">
        <w:t>icense</w:t>
      </w:r>
      <w:r w:rsidR="00F44BAD" w:rsidRPr="0000171F">
        <w:t>e</w:t>
      </w:r>
      <w:r w:rsidR="007C50C6" w:rsidRPr="0000171F">
        <w:t xml:space="preserve"> </w:t>
      </w:r>
      <w:r w:rsidR="00F44BAD" w:rsidRPr="0000171F">
        <w:t xml:space="preserve">had </w:t>
      </w:r>
      <w:proofErr w:type="spellStart"/>
      <w:r w:rsidR="007C50C6" w:rsidRPr="0000171F">
        <w:t>analy</w:t>
      </w:r>
      <w:r w:rsidR="00E83C1F">
        <w:t>z</w:t>
      </w:r>
      <w:r w:rsidR="007C50C6" w:rsidRPr="0000171F">
        <w:t>e</w:t>
      </w:r>
      <w:r w:rsidR="00F44BAD" w:rsidRPr="0000171F">
        <w:t>d</w:t>
      </w:r>
      <w:proofErr w:type="spellEnd"/>
      <w:r w:rsidR="007C50C6" w:rsidRPr="0000171F">
        <w:t xml:space="preserve"> the consumption pattern of each HT consumer</w:t>
      </w:r>
      <w:r w:rsidR="000E51D7" w:rsidRPr="0000171F">
        <w:t xml:space="preserve"> with con</w:t>
      </w:r>
      <w:r w:rsidR="000E51D7">
        <w:t>tract demand of more than 1 MVA</w:t>
      </w:r>
      <w:r w:rsidR="007C50C6">
        <w:t xml:space="preserve">. </w:t>
      </w:r>
      <w:r w:rsidR="004276A0" w:rsidRPr="00BF0E9D">
        <w:t>The average sale</w:t>
      </w:r>
      <w:r w:rsidR="00EB26CD">
        <w:t>s growth</w:t>
      </w:r>
      <w:r w:rsidR="004276A0" w:rsidRPr="00BF0E9D">
        <w:t xml:space="preserve"> </w:t>
      </w:r>
      <w:r>
        <w:t xml:space="preserve">under </w:t>
      </w:r>
      <w:r w:rsidR="004276A0" w:rsidRPr="00BF0E9D">
        <w:t xml:space="preserve">HT category consumers has been estimated </w:t>
      </w:r>
      <w:r w:rsidR="00B72392" w:rsidRPr="00297C8F">
        <w:t xml:space="preserve">@ </w:t>
      </w:r>
      <w:r w:rsidR="00B36389" w:rsidRPr="00297C8F">
        <w:t>4</w:t>
      </w:r>
      <w:r w:rsidR="00B72392" w:rsidRPr="00297C8F">
        <w:t>%</w:t>
      </w:r>
      <w:r w:rsidR="00B72392" w:rsidRPr="00247880">
        <w:t xml:space="preserve"> </w:t>
      </w:r>
      <w:r w:rsidR="004276A0" w:rsidRPr="00247880">
        <w:t>f</w:t>
      </w:r>
      <w:r w:rsidR="004276A0" w:rsidRPr="00BF0E9D">
        <w:t>or the ensuing year and is based on the trend of the FY 20</w:t>
      </w:r>
      <w:r w:rsidR="00C31CCE">
        <w:t>2</w:t>
      </w:r>
      <w:r w:rsidR="00C56EA8">
        <w:t>4</w:t>
      </w:r>
      <w:r w:rsidR="004276A0" w:rsidRPr="00BF0E9D">
        <w:t>-</w:t>
      </w:r>
      <w:r w:rsidR="00350EBE">
        <w:t>2</w:t>
      </w:r>
      <w:r w:rsidR="00C56EA8">
        <w:t>5</w:t>
      </w:r>
      <w:r w:rsidR="004276A0" w:rsidRPr="00BF0E9D">
        <w:t xml:space="preserve"> and actual load for the </w:t>
      </w:r>
      <w:r>
        <w:t>1</w:t>
      </w:r>
      <w:r w:rsidRPr="00C77FA8">
        <w:rPr>
          <w:vertAlign w:val="superscript"/>
        </w:rPr>
        <w:t>st</w:t>
      </w:r>
      <w:r>
        <w:t xml:space="preserve"> six month</w:t>
      </w:r>
      <w:r w:rsidR="00EB26CD">
        <w:t>s</w:t>
      </w:r>
      <w:r>
        <w:t xml:space="preserve"> of current </w:t>
      </w:r>
      <w:r w:rsidR="004276A0" w:rsidRPr="00BF0E9D">
        <w:t>year ending Sept’</w:t>
      </w:r>
      <w:r w:rsidR="00350EBE">
        <w:t>2</w:t>
      </w:r>
      <w:r w:rsidR="00695FB9">
        <w:t>5</w:t>
      </w:r>
      <w:r w:rsidR="004276A0" w:rsidRPr="00BF0E9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8"/>
        <w:gridCol w:w="1375"/>
        <w:gridCol w:w="1375"/>
        <w:gridCol w:w="1375"/>
      </w:tblGrid>
      <w:tr w:rsidR="00297C8F" w:rsidRPr="00791446" w14:paraId="347996F4" w14:textId="77777777" w:rsidTr="00D57861">
        <w:trPr>
          <w:trHeight w:val="57"/>
          <w:tblHeader/>
          <w:jc w:val="center"/>
        </w:trPr>
        <w:tc>
          <w:tcPr>
            <w:tcW w:w="0" w:type="auto"/>
            <w:shd w:val="clear" w:color="auto" w:fill="C6D9F1" w:themeFill="text2" w:themeFillTint="33"/>
            <w:noWrap/>
            <w:vAlign w:val="bottom"/>
          </w:tcPr>
          <w:p w14:paraId="760E5342" w14:textId="77777777" w:rsidR="00297C8F" w:rsidRPr="00791446" w:rsidRDefault="00297C8F" w:rsidP="00C77FA8">
            <w:pPr>
              <w:spacing w:line="360" w:lineRule="auto"/>
              <w:jc w:val="center"/>
              <w:rPr>
                <w:rFonts w:ascii="Cambria" w:hAnsi="Cambria" w:cs="Arial"/>
                <w:b/>
                <w:bCs/>
                <w:sz w:val="22"/>
                <w:szCs w:val="22"/>
              </w:rPr>
            </w:pPr>
            <w:r w:rsidRPr="00791446">
              <w:rPr>
                <w:rFonts w:ascii="Cambria" w:hAnsi="Cambria" w:cs="Arial"/>
                <w:b/>
                <w:bCs/>
                <w:sz w:val="22"/>
                <w:szCs w:val="22"/>
              </w:rPr>
              <w:t>Sales (MU)</w:t>
            </w:r>
          </w:p>
        </w:tc>
        <w:tc>
          <w:tcPr>
            <w:tcW w:w="0" w:type="auto"/>
            <w:shd w:val="clear" w:color="auto" w:fill="C6D9F1" w:themeFill="text2" w:themeFillTint="33"/>
            <w:noWrap/>
            <w:vAlign w:val="bottom"/>
          </w:tcPr>
          <w:p w14:paraId="1E9D0E54" w14:textId="2E998F25" w:rsidR="00297C8F" w:rsidRPr="00791446" w:rsidRDefault="00297C8F" w:rsidP="006D2771">
            <w:pPr>
              <w:spacing w:line="360" w:lineRule="auto"/>
              <w:jc w:val="center"/>
              <w:rPr>
                <w:rFonts w:ascii="Cambria" w:hAnsi="Cambria" w:cs="Arial"/>
                <w:b/>
                <w:bCs/>
                <w:sz w:val="22"/>
                <w:szCs w:val="22"/>
              </w:rPr>
            </w:pPr>
            <w:r w:rsidRPr="00791446">
              <w:rPr>
                <w:rFonts w:ascii="Cambria" w:hAnsi="Cambria" w:cs="Arial"/>
                <w:b/>
                <w:bCs/>
                <w:sz w:val="22"/>
                <w:szCs w:val="22"/>
              </w:rPr>
              <w:t>FY 202</w:t>
            </w:r>
            <w:r>
              <w:rPr>
                <w:rFonts w:ascii="Cambria" w:hAnsi="Cambria" w:cs="Arial"/>
                <w:b/>
                <w:bCs/>
                <w:sz w:val="22"/>
                <w:szCs w:val="22"/>
              </w:rPr>
              <w:t>4</w:t>
            </w:r>
            <w:r w:rsidRPr="00791446">
              <w:rPr>
                <w:rFonts w:ascii="Cambria" w:hAnsi="Cambria" w:cs="Arial"/>
                <w:b/>
                <w:bCs/>
                <w:sz w:val="22"/>
                <w:szCs w:val="22"/>
              </w:rPr>
              <w:t>-2</w:t>
            </w:r>
            <w:r>
              <w:rPr>
                <w:rFonts w:ascii="Cambria" w:hAnsi="Cambria" w:cs="Arial"/>
                <w:b/>
                <w:bCs/>
                <w:sz w:val="22"/>
                <w:szCs w:val="22"/>
              </w:rPr>
              <w:t>5</w:t>
            </w:r>
          </w:p>
        </w:tc>
        <w:tc>
          <w:tcPr>
            <w:tcW w:w="0" w:type="auto"/>
            <w:shd w:val="clear" w:color="auto" w:fill="C6D9F1" w:themeFill="text2" w:themeFillTint="33"/>
            <w:noWrap/>
            <w:vAlign w:val="bottom"/>
          </w:tcPr>
          <w:p w14:paraId="39A87887" w14:textId="50D409E0" w:rsidR="00297C8F" w:rsidRPr="00791446" w:rsidRDefault="00297C8F" w:rsidP="58C29371">
            <w:pPr>
              <w:spacing w:line="360" w:lineRule="auto"/>
              <w:jc w:val="center"/>
              <w:rPr>
                <w:rFonts w:ascii="Cambria" w:hAnsi="Cambria" w:cs="Arial"/>
                <w:b/>
                <w:bCs/>
                <w:sz w:val="22"/>
                <w:szCs w:val="22"/>
              </w:rPr>
            </w:pPr>
            <w:r w:rsidRPr="00791446">
              <w:rPr>
                <w:rFonts w:ascii="Cambria" w:hAnsi="Cambria" w:cs="Arial"/>
                <w:b/>
                <w:bCs/>
                <w:sz w:val="22"/>
                <w:szCs w:val="22"/>
              </w:rPr>
              <w:t>FY 202</w:t>
            </w:r>
            <w:r>
              <w:rPr>
                <w:rFonts w:ascii="Cambria" w:hAnsi="Cambria" w:cs="Arial"/>
                <w:b/>
                <w:bCs/>
                <w:sz w:val="22"/>
                <w:szCs w:val="22"/>
              </w:rPr>
              <w:t>5</w:t>
            </w:r>
            <w:r w:rsidRPr="00791446">
              <w:rPr>
                <w:rFonts w:ascii="Cambria" w:hAnsi="Cambria" w:cs="Arial"/>
                <w:b/>
                <w:bCs/>
                <w:sz w:val="22"/>
                <w:szCs w:val="22"/>
              </w:rPr>
              <w:t>-2</w:t>
            </w:r>
            <w:r>
              <w:rPr>
                <w:rFonts w:ascii="Cambria" w:hAnsi="Cambria" w:cs="Arial"/>
                <w:b/>
                <w:bCs/>
                <w:sz w:val="22"/>
                <w:szCs w:val="22"/>
              </w:rPr>
              <w:t>6</w:t>
            </w:r>
          </w:p>
        </w:tc>
        <w:tc>
          <w:tcPr>
            <w:tcW w:w="0" w:type="auto"/>
            <w:shd w:val="clear" w:color="auto" w:fill="C6D9F1" w:themeFill="text2" w:themeFillTint="33"/>
          </w:tcPr>
          <w:p w14:paraId="14916416" w14:textId="367671B7" w:rsidR="00297C8F" w:rsidRPr="00791446" w:rsidRDefault="00297C8F" w:rsidP="58C29371">
            <w:pPr>
              <w:spacing w:line="360" w:lineRule="auto"/>
              <w:jc w:val="center"/>
              <w:rPr>
                <w:rFonts w:ascii="Cambria" w:hAnsi="Cambria" w:cs="Arial"/>
                <w:b/>
                <w:bCs/>
                <w:sz w:val="22"/>
                <w:szCs w:val="22"/>
              </w:rPr>
            </w:pPr>
            <w:r w:rsidRPr="00791446">
              <w:rPr>
                <w:rFonts w:ascii="Cambria" w:hAnsi="Cambria" w:cs="Arial"/>
                <w:b/>
                <w:bCs/>
                <w:sz w:val="22"/>
                <w:szCs w:val="22"/>
              </w:rPr>
              <w:t xml:space="preserve">FY </w:t>
            </w:r>
            <w:r>
              <w:rPr>
                <w:rFonts w:ascii="Cambria" w:hAnsi="Cambria" w:cs="Arial"/>
                <w:b/>
                <w:bCs/>
                <w:sz w:val="22"/>
                <w:szCs w:val="22"/>
              </w:rPr>
              <w:t>2026-27</w:t>
            </w:r>
          </w:p>
        </w:tc>
      </w:tr>
      <w:tr w:rsidR="00297C8F" w:rsidRPr="00791446" w14:paraId="250E7754" w14:textId="77777777" w:rsidTr="00D57861">
        <w:trPr>
          <w:trHeight w:val="70"/>
          <w:jc w:val="center"/>
        </w:trPr>
        <w:tc>
          <w:tcPr>
            <w:tcW w:w="0" w:type="auto"/>
            <w:noWrap/>
            <w:vAlign w:val="bottom"/>
          </w:tcPr>
          <w:p w14:paraId="37A0E82E" w14:textId="77777777" w:rsidR="00297C8F" w:rsidRPr="00791446" w:rsidRDefault="00297C8F" w:rsidP="007A36F6">
            <w:pPr>
              <w:pStyle w:val="BodyText2"/>
              <w:spacing w:before="0" w:after="0" w:line="360" w:lineRule="auto"/>
              <w:jc w:val="both"/>
              <w:rPr>
                <w:rFonts w:ascii="Cambria" w:hAnsi="Cambria"/>
                <w:sz w:val="22"/>
                <w:szCs w:val="22"/>
              </w:rPr>
            </w:pPr>
            <w:r w:rsidRPr="00791446">
              <w:rPr>
                <w:rFonts w:ascii="Cambria" w:hAnsi="Cambria"/>
                <w:sz w:val="22"/>
                <w:szCs w:val="22"/>
              </w:rPr>
              <w:t>Large Industry</w:t>
            </w:r>
          </w:p>
        </w:tc>
        <w:tc>
          <w:tcPr>
            <w:tcW w:w="0" w:type="auto"/>
            <w:noWrap/>
            <w:vAlign w:val="center"/>
          </w:tcPr>
          <w:p w14:paraId="32F808E0" w14:textId="1754F37E" w:rsidR="00297C8F" w:rsidRPr="00247880" w:rsidRDefault="00297C8F" w:rsidP="007A36F6">
            <w:pPr>
              <w:pStyle w:val="BodyText2"/>
              <w:spacing w:before="0" w:after="0" w:line="360" w:lineRule="auto"/>
              <w:jc w:val="center"/>
              <w:rPr>
                <w:rFonts w:ascii="Cambria" w:hAnsi="Cambria"/>
                <w:sz w:val="22"/>
                <w:szCs w:val="22"/>
              </w:rPr>
            </w:pPr>
            <w:r>
              <w:rPr>
                <w:rFonts w:ascii="Cambria" w:hAnsi="Cambria"/>
                <w:sz w:val="22"/>
                <w:szCs w:val="22"/>
              </w:rPr>
              <w:t>1145.213</w:t>
            </w:r>
          </w:p>
        </w:tc>
        <w:tc>
          <w:tcPr>
            <w:tcW w:w="0" w:type="auto"/>
            <w:noWrap/>
            <w:vAlign w:val="center"/>
          </w:tcPr>
          <w:p w14:paraId="76219D30" w14:textId="78FC6EB2" w:rsidR="00297C8F" w:rsidRPr="00247880" w:rsidRDefault="00297C8F" w:rsidP="007A36F6">
            <w:pPr>
              <w:pStyle w:val="BodyText2"/>
              <w:spacing w:before="0" w:after="0" w:line="360" w:lineRule="auto"/>
              <w:jc w:val="center"/>
              <w:rPr>
                <w:rFonts w:ascii="Cambria" w:hAnsi="Cambria"/>
                <w:sz w:val="22"/>
                <w:szCs w:val="22"/>
              </w:rPr>
            </w:pPr>
            <w:r>
              <w:rPr>
                <w:rFonts w:ascii="Cambria" w:hAnsi="Cambria"/>
                <w:sz w:val="22"/>
                <w:szCs w:val="22"/>
              </w:rPr>
              <w:t>1185.000</w:t>
            </w:r>
          </w:p>
        </w:tc>
        <w:tc>
          <w:tcPr>
            <w:tcW w:w="0" w:type="auto"/>
            <w:vAlign w:val="center"/>
          </w:tcPr>
          <w:p w14:paraId="02983AA5" w14:textId="5388759D" w:rsidR="00297C8F" w:rsidRPr="00247880" w:rsidRDefault="00297C8F" w:rsidP="007A36F6">
            <w:pPr>
              <w:pStyle w:val="BodyText2"/>
              <w:spacing w:before="0" w:after="0" w:line="360" w:lineRule="auto"/>
              <w:jc w:val="center"/>
              <w:rPr>
                <w:rFonts w:ascii="Cambria" w:hAnsi="Cambria"/>
                <w:sz w:val="22"/>
                <w:szCs w:val="22"/>
              </w:rPr>
            </w:pPr>
            <w:r>
              <w:rPr>
                <w:rFonts w:ascii="Cambria" w:hAnsi="Cambria"/>
                <w:sz w:val="22"/>
                <w:szCs w:val="22"/>
              </w:rPr>
              <w:t>1237.516</w:t>
            </w:r>
          </w:p>
        </w:tc>
      </w:tr>
      <w:tr w:rsidR="00297C8F" w:rsidRPr="00791446" w14:paraId="0E7C9F4C" w14:textId="77777777" w:rsidTr="00D57861">
        <w:trPr>
          <w:trHeight w:val="57"/>
          <w:jc w:val="center"/>
        </w:trPr>
        <w:tc>
          <w:tcPr>
            <w:tcW w:w="0" w:type="auto"/>
            <w:noWrap/>
            <w:vAlign w:val="bottom"/>
          </w:tcPr>
          <w:p w14:paraId="37048B83" w14:textId="77777777" w:rsidR="00297C8F" w:rsidRPr="00791446" w:rsidRDefault="00297C8F" w:rsidP="007A36F6">
            <w:pPr>
              <w:pStyle w:val="BodyText2"/>
              <w:spacing w:before="0" w:after="0" w:line="360" w:lineRule="auto"/>
              <w:jc w:val="both"/>
              <w:rPr>
                <w:rFonts w:ascii="Cambria" w:hAnsi="Cambria"/>
                <w:sz w:val="22"/>
                <w:szCs w:val="22"/>
              </w:rPr>
            </w:pPr>
            <w:r w:rsidRPr="00791446">
              <w:rPr>
                <w:rFonts w:ascii="Cambria" w:hAnsi="Cambria"/>
                <w:sz w:val="22"/>
                <w:szCs w:val="22"/>
              </w:rPr>
              <w:t>Power intensive</w:t>
            </w:r>
          </w:p>
        </w:tc>
        <w:tc>
          <w:tcPr>
            <w:tcW w:w="0" w:type="auto"/>
            <w:noWrap/>
            <w:vAlign w:val="center"/>
          </w:tcPr>
          <w:p w14:paraId="446901B2" w14:textId="0FF9D630" w:rsidR="00297C8F" w:rsidRPr="00247880" w:rsidRDefault="00297C8F" w:rsidP="007A36F6">
            <w:pPr>
              <w:pStyle w:val="BodyText2"/>
              <w:spacing w:before="0" w:after="0" w:line="360" w:lineRule="auto"/>
              <w:jc w:val="center"/>
              <w:rPr>
                <w:rFonts w:ascii="Cambria" w:hAnsi="Cambria"/>
                <w:sz w:val="22"/>
                <w:szCs w:val="22"/>
              </w:rPr>
            </w:pPr>
            <w:r>
              <w:rPr>
                <w:rFonts w:ascii="Cambria" w:hAnsi="Cambria"/>
                <w:sz w:val="22"/>
                <w:szCs w:val="22"/>
              </w:rPr>
              <w:t>541.424</w:t>
            </w:r>
          </w:p>
        </w:tc>
        <w:tc>
          <w:tcPr>
            <w:tcW w:w="0" w:type="auto"/>
            <w:noWrap/>
            <w:vAlign w:val="center"/>
          </w:tcPr>
          <w:p w14:paraId="53E482A2" w14:textId="7499E30C" w:rsidR="00297C8F" w:rsidRPr="00247880" w:rsidRDefault="00297C8F" w:rsidP="007A36F6">
            <w:pPr>
              <w:pStyle w:val="BodyText2"/>
              <w:spacing w:before="0" w:after="0" w:line="360" w:lineRule="auto"/>
              <w:jc w:val="center"/>
              <w:rPr>
                <w:rFonts w:ascii="Cambria" w:hAnsi="Cambria"/>
                <w:sz w:val="22"/>
                <w:szCs w:val="22"/>
              </w:rPr>
            </w:pPr>
            <w:r>
              <w:rPr>
                <w:rFonts w:ascii="Cambria" w:hAnsi="Cambria"/>
                <w:sz w:val="22"/>
                <w:szCs w:val="22"/>
              </w:rPr>
              <w:t>580.000</w:t>
            </w:r>
          </w:p>
        </w:tc>
        <w:tc>
          <w:tcPr>
            <w:tcW w:w="0" w:type="auto"/>
            <w:vAlign w:val="center"/>
          </w:tcPr>
          <w:p w14:paraId="0074736C" w14:textId="23D1D77B" w:rsidR="00297C8F" w:rsidRPr="00247880" w:rsidRDefault="00297C8F" w:rsidP="007A36F6">
            <w:pPr>
              <w:pStyle w:val="BodyText2"/>
              <w:spacing w:before="0" w:after="0" w:line="360" w:lineRule="auto"/>
              <w:jc w:val="center"/>
              <w:rPr>
                <w:rFonts w:ascii="Cambria" w:hAnsi="Cambria"/>
                <w:sz w:val="22"/>
                <w:szCs w:val="22"/>
              </w:rPr>
            </w:pPr>
            <w:r>
              <w:rPr>
                <w:rFonts w:ascii="Cambria" w:hAnsi="Cambria"/>
                <w:sz w:val="22"/>
                <w:szCs w:val="22"/>
              </w:rPr>
              <w:t>610.000</w:t>
            </w:r>
          </w:p>
        </w:tc>
      </w:tr>
      <w:tr w:rsidR="00297C8F" w:rsidRPr="00791446" w14:paraId="76F82096" w14:textId="77777777" w:rsidTr="00D57861">
        <w:trPr>
          <w:trHeight w:val="57"/>
          <w:jc w:val="center"/>
        </w:trPr>
        <w:tc>
          <w:tcPr>
            <w:tcW w:w="0" w:type="auto"/>
            <w:noWrap/>
            <w:vAlign w:val="bottom"/>
          </w:tcPr>
          <w:p w14:paraId="5DF7EEC4" w14:textId="77777777" w:rsidR="00297C8F" w:rsidRPr="00791446" w:rsidRDefault="00297C8F" w:rsidP="007A36F6">
            <w:pPr>
              <w:pStyle w:val="BodyText2"/>
              <w:spacing w:before="0" w:after="0" w:line="360" w:lineRule="auto"/>
              <w:jc w:val="both"/>
              <w:rPr>
                <w:rFonts w:ascii="Cambria" w:hAnsi="Cambria"/>
                <w:sz w:val="22"/>
                <w:szCs w:val="22"/>
              </w:rPr>
            </w:pPr>
            <w:r w:rsidRPr="00791446">
              <w:rPr>
                <w:rFonts w:ascii="Cambria" w:hAnsi="Cambria"/>
                <w:sz w:val="22"/>
                <w:szCs w:val="22"/>
              </w:rPr>
              <w:t>Mini Steel</w:t>
            </w:r>
          </w:p>
        </w:tc>
        <w:tc>
          <w:tcPr>
            <w:tcW w:w="0" w:type="auto"/>
            <w:noWrap/>
            <w:vAlign w:val="center"/>
          </w:tcPr>
          <w:p w14:paraId="0B8FB77A" w14:textId="0A797EF9" w:rsidR="00297C8F" w:rsidRPr="00247880" w:rsidRDefault="00297C8F" w:rsidP="007A36F6">
            <w:pPr>
              <w:pStyle w:val="BodyText2"/>
              <w:spacing w:before="0" w:after="0" w:line="360" w:lineRule="auto"/>
              <w:jc w:val="center"/>
              <w:rPr>
                <w:rFonts w:ascii="Cambria" w:hAnsi="Cambria"/>
                <w:sz w:val="22"/>
                <w:szCs w:val="22"/>
              </w:rPr>
            </w:pPr>
            <w:r>
              <w:rPr>
                <w:rFonts w:ascii="Cambria" w:hAnsi="Cambria"/>
                <w:sz w:val="22"/>
                <w:szCs w:val="22"/>
              </w:rPr>
              <w:t>256.836</w:t>
            </w:r>
          </w:p>
        </w:tc>
        <w:tc>
          <w:tcPr>
            <w:tcW w:w="0" w:type="auto"/>
            <w:noWrap/>
            <w:vAlign w:val="center"/>
          </w:tcPr>
          <w:p w14:paraId="44053446" w14:textId="51A1881C" w:rsidR="00297C8F" w:rsidRPr="00247880" w:rsidRDefault="00297C8F" w:rsidP="007A36F6">
            <w:pPr>
              <w:pStyle w:val="BodyText2"/>
              <w:spacing w:before="0" w:after="0" w:line="360" w:lineRule="auto"/>
              <w:jc w:val="center"/>
              <w:rPr>
                <w:rFonts w:ascii="Cambria" w:hAnsi="Cambria"/>
                <w:sz w:val="22"/>
                <w:szCs w:val="22"/>
              </w:rPr>
            </w:pPr>
            <w:r>
              <w:rPr>
                <w:rFonts w:ascii="Cambria" w:hAnsi="Cambria"/>
                <w:sz w:val="22"/>
                <w:szCs w:val="22"/>
              </w:rPr>
              <w:t>245.576</w:t>
            </w:r>
          </w:p>
        </w:tc>
        <w:tc>
          <w:tcPr>
            <w:tcW w:w="0" w:type="auto"/>
            <w:vAlign w:val="center"/>
          </w:tcPr>
          <w:p w14:paraId="16B348AF" w14:textId="2A74C1A0" w:rsidR="00297C8F" w:rsidRPr="00247880" w:rsidRDefault="00297C8F" w:rsidP="007A36F6">
            <w:pPr>
              <w:pStyle w:val="BodyText2"/>
              <w:spacing w:before="0" w:after="0" w:line="360" w:lineRule="auto"/>
              <w:jc w:val="center"/>
              <w:rPr>
                <w:rFonts w:ascii="Cambria" w:hAnsi="Cambria"/>
                <w:sz w:val="22"/>
                <w:szCs w:val="22"/>
              </w:rPr>
            </w:pPr>
            <w:r>
              <w:rPr>
                <w:rFonts w:ascii="Cambria" w:hAnsi="Cambria"/>
                <w:sz w:val="22"/>
                <w:szCs w:val="22"/>
              </w:rPr>
              <w:t>250.000</w:t>
            </w:r>
          </w:p>
        </w:tc>
      </w:tr>
      <w:tr w:rsidR="00297C8F" w:rsidRPr="00791446" w14:paraId="01456023" w14:textId="77777777" w:rsidTr="00D57861">
        <w:trPr>
          <w:trHeight w:val="57"/>
          <w:jc w:val="center"/>
        </w:trPr>
        <w:tc>
          <w:tcPr>
            <w:tcW w:w="0" w:type="auto"/>
            <w:noWrap/>
            <w:vAlign w:val="bottom"/>
          </w:tcPr>
          <w:p w14:paraId="5C003A64" w14:textId="77777777" w:rsidR="00297C8F" w:rsidRPr="00791446" w:rsidRDefault="00297C8F" w:rsidP="008B7F15">
            <w:pPr>
              <w:pStyle w:val="BodyText2"/>
              <w:spacing w:before="0" w:after="0" w:line="360" w:lineRule="auto"/>
              <w:jc w:val="both"/>
              <w:rPr>
                <w:rFonts w:ascii="Cambria" w:hAnsi="Cambria"/>
                <w:sz w:val="22"/>
                <w:szCs w:val="22"/>
              </w:rPr>
            </w:pPr>
            <w:r w:rsidRPr="00791446">
              <w:rPr>
                <w:rFonts w:ascii="Cambria" w:hAnsi="Cambria"/>
                <w:sz w:val="22"/>
                <w:szCs w:val="22"/>
              </w:rPr>
              <w:t>Others</w:t>
            </w:r>
          </w:p>
        </w:tc>
        <w:tc>
          <w:tcPr>
            <w:tcW w:w="0" w:type="auto"/>
            <w:noWrap/>
          </w:tcPr>
          <w:p w14:paraId="0FCCF090" w14:textId="33DEFBCF" w:rsidR="00297C8F" w:rsidRPr="00247880" w:rsidRDefault="00297C8F" w:rsidP="008B7F15">
            <w:pPr>
              <w:pStyle w:val="BodyText2"/>
              <w:spacing w:before="0" w:after="0" w:line="360" w:lineRule="auto"/>
              <w:jc w:val="center"/>
              <w:rPr>
                <w:rFonts w:asciiTheme="majorHAnsi" w:hAnsiTheme="majorHAnsi"/>
                <w:sz w:val="22"/>
                <w:szCs w:val="22"/>
              </w:rPr>
            </w:pPr>
            <w:r>
              <w:rPr>
                <w:rFonts w:asciiTheme="majorHAnsi" w:hAnsiTheme="majorHAnsi"/>
                <w:sz w:val="22"/>
                <w:szCs w:val="22"/>
              </w:rPr>
              <w:t>483.905</w:t>
            </w:r>
          </w:p>
        </w:tc>
        <w:tc>
          <w:tcPr>
            <w:tcW w:w="0" w:type="auto"/>
            <w:noWrap/>
          </w:tcPr>
          <w:p w14:paraId="5301E964" w14:textId="17CF5597" w:rsidR="00297C8F" w:rsidRPr="00247880" w:rsidRDefault="00297C8F" w:rsidP="008B7F15">
            <w:pPr>
              <w:pStyle w:val="BodyText2"/>
              <w:spacing w:before="0" w:after="0" w:line="360" w:lineRule="auto"/>
              <w:jc w:val="center"/>
              <w:rPr>
                <w:rFonts w:asciiTheme="majorHAnsi" w:hAnsiTheme="majorHAnsi"/>
                <w:sz w:val="22"/>
                <w:szCs w:val="22"/>
              </w:rPr>
            </w:pPr>
            <w:r>
              <w:rPr>
                <w:rFonts w:asciiTheme="majorHAnsi" w:hAnsiTheme="majorHAnsi"/>
                <w:sz w:val="22"/>
                <w:szCs w:val="22"/>
              </w:rPr>
              <w:t>499.410</w:t>
            </w:r>
          </w:p>
        </w:tc>
        <w:tc>
          <w:tcPr>
            <w:tcW w:w="0" w:type="auto"/>
          </w:tcPr>
          <w:p w14:paraId="0B637327" w14:textId="477CDB73" w:rsidR="00297C8F" w:rsidRPr="00247880" w:rsidRDefault="00297C8F" w:rsidP="008B7F15">
            <w:pPr>
              <w:pStyle w:val="BodyText2"/>
              <w:spacing w:before="0" w:after="0" w:line="360" w:lineRule="auto"/>
              <w:jc w:val="center"/>
              <w:rPr>
                <w:rFonts w:asciiTheme="majorHAnsi" w:hAnsiTheme="majorHAnsi"/>
                <w:sz w:val="22"/>
                <w:szCs w:val="22"/>
              </w:rPr>
            </w:pPr>
            <w:r>
              <w:rPr>
                <w:rFonts w:asciiTheme="majorHAnsi" w:hAnsiTheme="majorHAnsi"/>
                <w:sz w:val="22"/>
                <w:szCs w:val="22"/>
              </w:rPr>
              <w:t>512.869</w:t>
            </w:r>
          </w:p>
        </w:tc>
      </w:tr>
      <w:tr w:rsidR="00297C8F" w:rsidRPr="00791446" w14:paraId="7BF09F12" w14:textId="77777777" w:rsidTr="00D57861">
        <w:trPr>
          <w:trHeight w:val="57"/>
          <w:jc w:val="center"/>
        </w:trPr>
        <w:tc>
          <w:tcPr>
            <w:tcW w:w="0" w:type="auto"/>
            <w:noWrap/>
            <w:vAlign w:val="bottom"/>
          </w:tcPr>
          <w:p w14:paraId="5D85BE55" w14:textId="77777777" w:rsidR="00297C8F" w:rsidRPr="00791446" w:rsidRDefault="00297C8F" w:rsidP="00E83C1F">
            <w:pPr>
              <w:pStyle w:val="BodyText2"/>
              <w:spacing w:before="0" w:after="0" w:line="360" w:lineRule="auto"/>
              <w:jc w:val="center"/>
              <w:rPr>
                <w:rFonts w:ascii="Cambria" w:hAnsi="Cambria"/>
                <w:b/>
                <w:sz w:val="22"/>
                <w:szCs w:val="22"/>
              </w:rPr>
            </w:pPr>
            <w:r w:rsidRPr="00791446">
              <w:rPr>
                <w:rFonts w:ascii="Cambria" w:hAnsi="Cambria"/>
                <w:b/>
                <w:sz w:val="22"/>
                <w:szCs w:val="22"/>
              </w:rPr>
              <w:t>Total</w:t>
            </w:r>
          </w:p>
        </w:tc>
        <w:tc>
          <w:tcPr>
            <w:tcW w:w="0" w:type="auto"/>
            <w:noWrap/>
            <w:vAlign w:val="center"/>
          </w:tcPr>
          <w:p w14:paraId="6EE3B5BE" w14:textId="455EA0D9" w:rsidR="00297C8F" w:rsidRPr="00247880" w:rsidRDefault="00297C8F" w:rsidP="00E83C1F">
            <w:pPr>
              <w:pStyle w:val="BodyText2"/>
              <w:spacing w:before="0" w:after="0" w:line="360" w:lineRule="auto"/>
              <w:jc w:val="center"/>
              <w:rPr>
                <w:rFonts w:ascii="Cambria" w:hAnsi="Cambria"/>
                <w:b/>
                <w:bCs/>
                <w:sz w:val="22"/>
                <w:szCs w:val="22"/>
              </w:rPr>
            </w:pPr>
            <w:r>
              <w:rPr>
                <w:rFonts w:ascii="Cambria" w:hAnsi="Cambria"/>
                <w:b/>
                <w:bCs/>
                <w:sz w:val="22"/>
                <w:szCs w:val="22"/>
              </w:rPr>
              <w:t>2427.378</w:t>
            </w:r>
          </w:p>
        </w:tc>
        <w:tc>
          <w:tcPr>
            <w:tcW w:w="0" w:type="auto"/>
            <w:noWrap/>
            <w:vAlign w:val="center"/>
          </w:tcPr>
          <w:p w14:paraId="581C651C" w14:textId="0B484A70" w:rsidR="00297C8F" w:rsidRPr="00247880" w:rsidRDefault="00297C8F" w:rsidP="00E83C1F">
            <w:pPr>
              <w:pStyle w:val="BodyText2"/>
              <w:spacing w:before="0" w:after="0" w:line="360" w:lineRule="auto"/>
              <w:jc w:val="center"/>
              <w:rPr>
                <w:rFonts w:ascii="Cambria" w:hAnsi="Cambria"/>
                <w:b/>
                <w:bCs/>
                <w:sz w:val="22"/>
                <w:szCs w:val="22"/>
              </w:rPr>
            </w:pPr>
            <w:r>
              <w:rPr>
                <w:rFonts w:ascii="Cambria" w:hAnsi="Cambria"/>
                <w:b/>
                <w:bCs/>
                <w:sz w:val="22"/>
                <w:szCs w:val="22"/>
              </w:rPr>
              <w:t>2509.986</w:t>
            </w:r>
          </w:p>
        </w:tc>
        <w:tc>
          <w:tcPr>
            <w:tcW w:w="0" w:type="auto"/>
            <w:vAlign w:val="center"/>
          </w:tcPr>
          <w:p w14:paraId="545FD80F" w14:textId="74A10040" w:rsidR="00297C8F" w:rsidRPr="00247880" w:rsidRDefault="00297C8F" w:rsidP="00E83C1F">
            <w:pPr>
              <w:pStyle w:val="BodyText2"/>
              <w:spacing w:before="0" w:after="0" w:line="360" w:lineRule="auto"/>
              <w:jc w:val="center"/>
              <w:rPr>
                <w:rFonts w:ascii="Cambria" w:hAnsi="Cambria"/>
                <w:b/>
                <w:bCs/>
                <w:sz w:val="22"/>
                <w:szCs w:val="22"/>
              </w:rPr>
            </w:pPr>
            <w:r>
              <w:rPr>
                <w:rFonts w:ascii="Cambria" w:hAnsi="Cambria"/>
                <w:b/>
                <w:bCs/>
                <w:sz w:val="22"/>
                <w:szCs w:val="22"/>
              </w:rPr>
              <w:t>2610.385</w:t>
            </w:r>
          </w:p>
        </w:tc>
      </w:tr>
    </w:tbl>
    <w:p w14:paraId="59137DC2" w14:textId="331534A2" w:rsidR="005053AB" w:rsidRDefault="00A21427" w:rsidP="0077210D">
      <w:pPr>
        <w:pStyle w:val="BodyText2"/>
        <w:spacing w:before="0" w:after="0"/>
        <w:ind w:left="142" w:right="-4"/>
        <w:jc w:val="both"/>
        <w:rPr>
          <w:rFonts w:ascii="Cambria" w:hAnsi="Cambria"/>
          <w:i/>
          <w:sz w:val="22"/>
          <w:szCs w:val="24"/>
        </w:rPr>
      </w:pPr>
      <w:r w:rsidRPr="00C23F37">
        <w:rPr>
          <w:rFonts w:ascii="Cambria" w:hAnsi="Cambria"/>
          <w:i/>
          <w:sz w:val="22"/>
          <w:szCs w:val="24"/>
        </w:rPr>
        <w:t>*The consumption pattern of Mini Steel</w:t>
      </w:r>
      <w:r w:rsidR="00EB26CD">
        <w:rPr>
          <w:rFonts w:ascii="Cambria" w:hAnsi="Cambria"/>
          <w:i/>
          <w:sz w:val="22"/>
          <w:szCs w:val="24"/>
        </w:rPr>
        <w:t xml:space="preserve"> Plants</w:t>
      </w:r>
      <w:r w:rsidRPr="00C23F37">
        <w:rPr>
          <w:rFonts w:ascii="Cambria" w:hAnsi="Cambria"/>
          <w:i/>
          <w:sz w:val="22"/>
          <w:szCs w:val="24"/>
        </w:rPr>
        <w:t xml:space="preserve"> shows </w:t>
      </w:r>
      <w:r w:rsidR="00EB26CD">
        <w:rPr>
          <w:rFonts w:ascii="Cambria" w:hAnsi="Cambria"/>
          <w:i/>
          <w:sz w:val="22"/>
          <w:szCs w:val="24"/>
        </w:rPr>
        <w:t xml:space="preserve">a </w:t>
      </w:r>
      <w:r w:rsidRPr="00C23F37">
        <w:rPr>
          <w:rFonts w:ascii="Cambria" w:hAnsi="Cambria"/>
          <w:i/>
          <w:sz w:val="22"/>
          <w:szCs w:val="24"/>
        </w:rPr>
        <w:t>declined trend due to recession in steel &amp; cement segment. In addition to this, couple of high value HT Industries have established their own CGPs</w:t>
      </w:r>
      <w:r w:rsidR="003841D1">
        <w:rPr>
          <w:rFonts w:ascii="Cambria" w:hAnsi="Cambria"/>
          <w:i/>
          <w:sz w:val="22"/>
          <w:szCs w:val="24"/>
        </w:rPr>
        <w:t>/behind the meter solar</w:t>
      </w:r>
      <w:r w:rsidR="00D147DC">
        <w:rPr>
          <w:rFonts w:ascii="Cambria" w:hAnsi="Cambria"/>
          <w:i/>
          <w:sz w:val="22"/>
          <w:szCs w:val="24"/>
        </w:rPr>
        <w:t xml:space="preserve"> plant</w:t>
      </w:r>
      <w:r w:rsidR="003841D1">
        <w:rPr>
          <w:rFonts w:ascii="Cambria" w:hAnsi="Cambria"/>
          <w:i/>
          <w:sz w:val="22"/>
          <w:szCs w:val="24"/>
        </w:rPr>
        <w:t>.</w:t>
      </w:r>
      <w:r w:rsidRPr="00C23F37">
        <w:rPr>
          <w:rFonts w:ascii="Cambria" w:hAnsi="Cambria"/>
          <w:i/>
          <w:sz w:val="22"/>
          <w:szCs w:val="24"/>
        </w:rPr>
        <w:t xml:space="preserve"> </w:t>
      </w:r>
    </w:p>
    <w:p w14:paraId="5E140033" w14:textId="77777777" w:rsidR="00BB2BE8" w:rsidRPr="00C23F37" w:rsidRDefault="00BB2BE8" w:rsidP="00C23F37">
      <w:pPr>
        <w:pStyle w:val="BodyText2"/>
        <w:spacing w:before="0" w:after="0"/>
        <w:ind w:left="142" w:right="705"/>
        <w:jc w:val="both"/>
        <w:rPr>
          <w:rFonts w:ascii="Cambria" w:hAnsi="Cambria"/>
          <w:i/>
          <w:sz w:val="22"/>
          <w:szCs w:val="24"/>
        </w:rPr>
      </w:pPr>
    </w:p>
    <w:p w14:paraId="645FC1E0" w14:textId="27F090D2" w:rsidR="004D7B6B" w:rsidRDefault="004D7B6B" w:rsidP="009D7D3A">
      <w:pPr>
        <w:pStyle w:val="ARR-normalbody"/>
      </w:pPr>
      <w:r>
        <w:t xml:space="preserve">The above consumption </w:t>
      </w:r>
      <w:r w:rsidR="007A36F6">
        <w:t>is</w:t>
      </w:r>
      <w:r>
        <w:t xml:space="preserve"> in </w:t>
      </w:r>
      <w:r w:rsidR="006019AD">
        <w:t>kWh</w:t>
      </w:r>
      <w:r>
        <w:t xml:space="preserve">, </w:t>
      </w:r>
      <w:r w:rsidR="007A36F6">
        <w:t>however</w:t>
      </w:r>
      <w:r>
        <w:t xml:space="preserve">, the category wise </w:t>
      </w:r>
      <w:r w:rsidR="006019AD">
        <w:t>kWh</w:t>
      </w:r>
      <w:r>
        <w:t xml:space="preserve"> vis-à-vis </w:t>
      </w:r>
      <w:proofErr w:type="spellStart"/>
      <w:r w:rsidR="006019AD">
        <w:t>kVAh</w:t>
      </w:r>
      <w:proofErr w:type="spellEnd"/>
      <w:r>
        <w:t xml:space="preserve"> billing has been provided by the licensee in OERC prescribed </w:t>
      </w:r>
      <w:r w:rsidRPr="006D67F3">
        <w:rPr>
          <w:b/>
          <w:bCs/>
          <w:u w:val="single"/>
        </w:rPr>
        <w:t>format T-1</w:t>
      </w:r>
      <w:r>
        <w:t>.</w:t>
      </w:r>
    </w:p>
    <w:p w14:paraId="5BCC5E02" w14:textId="66937D91" w:rsidR="00064FE2" w:rsidRDefault="005D558F" w:rsidP="009D7D3A">
      <w:pPr>
        <w:pStyle w:val="ARR-normalbody"/>
      </w:pPr>
      <w:r w:rsidRPr="00A21427">
        <w:t xml:space="preserve">During </w:t>
      </w:r>
      <w:r w:rsidR="003D1C6D" w:rsidRPr="00A21427">
        <w:t>current year</w:t>
      </w:r>
      <w:r w:rsidR="00DD4930" w:rsidRPr="00A21427">
        <w:t>,</w:t>
      </w:r>
      <w:r w:rsidR="003D1C6D" w:rsidRPr="00A21427">
        <w:t xml:space="preserve"> in the 1</w:t>
      </w:r>
      <w:r w:rsidR="003D1C6D" w:rsidRPr="00A21427">
        <w:rPr>
          <w:vertAlign w:val="superscript"/>
        </w:rPr>
        <w:t>st</w:t>
      </w:r>
      <w:r w:rsidR="003D1C6D" w:rsidRPr="00A21427">
        <w:t xml:space="preserve"> six</w:t>
      </w:r>
      <w:r w:rsidR="00F44BAD" w:rsidRPr="00A21427">
        <w:t>-</w:t>
      </w:r>
      <w:r w:rsidR="003D1C6D" w:rsidRPr="00A21427">
        <w:t>month</w:t>
      </w:r>
      <w:r w:rsidR="00EB26CD">
        <w:t>s</w:t>
      </w:r>
      <w:r w:rsidR="00F44BAD" w:rsidRPr="00A21427">
        <w:t>, consumption</w:t>
      </w:r>
      <w:r w:rsidR="003D1C6D" w:rsidRPr="00A21427">
        <w:t xml:space="preserve"> </w:t>
      </w:r>
      <w:r w:rsidR="003D1C6D" w:rsidRPr="006650F2">
        <w:t xml:space="preserve">reached </w:t>
      </w:r>
      <w:r w:rsidR="006650F2" w:rsidRPr="006650F2">
        <w:t xml:space="preserve">1217.388 </w:t>
      </w:r>
      <w:r w:rsidR="003D1C6D" w:rsidRPr="006650F2">
        <w:t>MU</w:t>
      </w:r>
      <w:r w:rsidR="004D7B6B" w:rsidRPr="006650F2">
        <w:t xml:space="preserve"> in terms of </w:t>
      </w:r>
      <w:r w:rsidR="006019AD" w:rsidRPr="006650F2">
        <w:t>kWh</w:t>
      </w:r>
      <w:r w:rsidR="004D7B6B" w:rsidRPr="006650F2">
        <w:t xml:space="preserve">, at the same time </w:t>
      </w:r>
      <w:proofErr w:type="spellStart"/>
      <w:r w:rsidR="006019AD" w:rsidRPr="006650F2">
        <w:t>kVAh</w:t>
      </w:r>
      <w:proofErr w:type="spellEnd"/>
      <w:r w:rsidR="004D7B6B" w:rsidRPr="006650F2">
        <w:t xml:space="preserve"> consumption is </w:t>
      </w:r>
      <w:r w:rsidR="006650F2" w:rsidRPr="006650F2">
        <w:t>1250.727</w:t>
      </w:r>
      <w:r w:rsidR="004D7B6B" w:rsidRPr="006650F2">
        <w:t xml:space="preserve"> MU</w:t>
      </w:r>
      <w:r w:rsidR="003D1C6D" w:rsidRPr="006650F2">
        <w:t>.</w:t>
      </w:r>
      <w:r w:rsidR="003D1C6D" w:rsidRPr="00A21427">
        <w:t xml:space="preserve"> </w:t>
      </w:r>
      <w:r w:rsidR="00A21427">
        <w:t xml:space="preserve">Even though there is </w:t>
      </w:r>
      <w:r w:rsidR="00EB26CD">
        <w:t>cyclic</w:t>
      </w:r>
      <w:r w:rsidR="00A21427">
        <w:t xml:space="preserve"> recession in steel segment</w:t>
      </w:r>
      <w:r w:rsidR="00EB26CD">
        <w:t>,</w:t>
      </w:r>
      <w:r w:rsidR="00A21427">
        <w:t xml:space="preserve"> many steel industries are</w:t>
      </w:r>
      <w:r w:rsidR="00EB26CD">
        <w:t xml:space="preserve"> optimistic of favourable schemes from the </w:t>
      </w:r>
      <w:r w:rsidR="00A21427">
        <w:t xml:space="preserve">Hon’ble Commission </w:t>
      </w:r>
      <w:r w:rsidR="003023CE" w:rsidRPr="00A21427">
        <w:t xml:space="preserve">for stability &amp; continuance of </w:t>
      </w:r>
      <w:r w:rsidR="00073DEE">
        <w:t>their operation.</w:t>
      </w:r>
      <w:r w:rsidR="00B37518" w:rsidRPr="00A21427">
        <w:t xml:space="preserve"> </w:t>
      </w:r>
      <w:r w:rsidR="003023CE" w:rsidRPr="00A21427">
        <w:t xml:space="preserve"> T</w:t>
      </w:r>
      <w:r w:rsidR="00B37518" w:rsidRPr="00A21427">
        <w:t xml:space="preserve">he </w:t>
      </w:r>
      <w:r w:rsidR="00DD4930" w:rsidRPr="00A21427">
        <w:t>L</w:t>
      </w:r>
      <w:r w:rsidR="00B37518" w:rsidRPr="00A21427">
        <w:t>icensee has</w:t>
      </w:r>
      <w:r w:rsidR="00B37518">
        <w:t xml:space="preserve"> </w:t>
      </w:r>
      <w:r w:rsidR="003023CE">
        <w:t xml:space="preserve">also </w:t>
      </w:r>
      <w:r w:rsidR="00DD4930">
        <w:t>proposed</w:t>
      </w:r>
      <w:r w:rsidR="003023CE">
        <w:t xml:space="preserve"> continuance of the existing concessional tariff with few other </w:t>
      </w:r>
      <w:r w:rsidR="00B37518">
        <w:t xml:space="preserve">schemes in </w:t>
      </w:r>
      <w:proofErr w:type="spellStart"/>
      <w:r w:rsidR="00B37518">
        <w:t>it</w:t>
      </w:r>
      <w:r w:rsidR="00073DEE">
        <w:t>’</w:t>
      </w:r>
      <w:r w:rsidR="00B37518">
        <w:t>s</w:t>
      </w:r>
      <w:proofErr w:type="spellEnd"/>
      <w:r w:rsidR="00B37518">
        <w:t xml:space="preserve"> proposal to retain the industries, </w:t>
      </w:r>
      <w:r w:rsidR="00F44BAD">
        <w:t xml:space="preserve">the </w:t>
      </w:r>
      <w:r w:rsidR="00B37518">
        <w:t>Hon’ble Commission’s decision in this regard may help to a larger extent.</w:t>
      </w:r>
      <w:r w:rsidR="009D2029" w:rsidRPr="58C29371">
        <w:t xml:space="preserve"> </w:t>
      </w:r>
      <w:r w:rsidR="00526286" w:rsidRPr="58C29371">
        <w:t>So</w:t>
      </w:r>
      <w:r w:rsidR="00664051" w:rsidRPr="58C29371">
        <w:t>,</w:t>
      </w:r>
      <w:r w:rsidR="00526286" w:rsidRPr="58C29371">
        <w:t xml:space="preserve"> </w:t>
      </w:r>
      <w:r w:rsidR="003922F7">
        <w:t>c</w:t>
      </w:r>
      <w:r w:rsidR="00664051" w:rsidRPr="58C29371">
        <w:t>o</w:t>
      </w:r>
      <w:r w:rsidR="00B01A16" w:rsidRPr="58C29371">
        <w:t xml:space="preserve">nsidering the </w:t>
      </w:r>
      <w:r w:rsidR="009D2029" w:rsidRPr="58C29371">
        <w:t>normal trend</w:t>
      </w:r>
      <w:r w:rsidR="003922F7">
        <w:t xml:space="preserve"> projection for</w:t>
      </w:r>
      <w:r w:rsidR="009D2029" w:rsidRPr="58C29371">
        <w:t xml:space="preserve"> the ensuing year with </w:t>
      </w:r>
      <w:r w:rsidR="00B01A16" w:rsidRPr="58C29371">
        <w:t>additional load</w:t>
      </w:r>
      <w:r w:rsidR="00021D0C">
        <w:t xml:space="preserve"> (considering both </w:t>
      </w:r>
      <w:r w:rsidR="00021D0C" w:rsidRPr="006650F2">
        <w:t>increase and decrease)</w:t>
      </w:r>
      <w:r w:rsidR="00B01A16" w:rsidRPr="006650F2">
        <w:t xml:space="preserve"> growth as well as possibility of </w:t>
      </w:r>
      <w:r w:rsidR="009D2029" w:rsidRPr="006650F2">
        <w:t xml:space="preserve">some </w:t>
      </w:r>
      <w:r w:rsidR="0035445C" w:rsidRPr="006650F2">
        <w:t xml:space="preserve">new industries the utility has estimated </w:t>
      </w:r>
      <w:r w:rsidR="00DD4930" w:rsidRPr="006650F2">
        <w:t>2</w:t>
      </w:r>
      <w:r w:rsidR="005846F2" w:rsidRPr="006650F2">
        <w:t>6</w:t>
      </w:r>
      <w:r w:rsidR="006650F2" w:rsidRPr="006650F2">
        <w:t>10.385</w:t>
      </w:r>
      <w:r w:rsidR="0035445C" w:rsidRPr="006650F2">
        <w:t xml:space="preserve"> MU for FY </w:t>
      </w:r>
      <w:r w:rsidR="009A0E63" w:rsidRPr="006650F2">
        <w:t>2026-27</w:t>
      </w:r>
      <w:r w:rsidR="0035445C" w:rsidRPr="006650F2">
        <w:t>.</w:t>
      </w:r>
      <w:r w:rsidR="00836D00" w:rsidRPr="006650F2">
        <w:t xml:space="preserve"> </w:t>
      </w:r>
      <w:r w:rsidR="00664051" w:rsidRPr="006650F2">
        <w:t>The ove</w:t>
      </w:r>
      <w:r w:rsidR="009D2029" w:rsidRPr="006650F2">
        <w:t>rall growth has been taken a</w:t>
      </w:r>
      <w:r w:rsidR="00305D5C" w:rsidRPr="006650F2">
        <w:t>s</w:t>
      </w:r>
      <w:r w:rsidR="009D2029" w:rsidRPr="006650F2">
        <w:t xml:space="preserve"> </w:t>
      </w:r>
      <w:r w:rsidR="00846595" w:rsidRPr="006650F2">
        <w:t>4</w:t>
      </w:r>
      <w:r w:rsidR="00836D00" w:rsidRPr="006650F2">
        <w:t>%.</w:t>
      </w:r>
      <w:r w:rsidR="00305D5C" w:rsidRPr="006650F2">
        <w:t xml:space="preserve"> </w:t>
      </w:r>
      <w:r w:rsidR="00DF2655" w:rsidRPr="006650F2">
        <w:t>The</w:t>
      </w:r>
      <w:r w:rsidR="00DF2655">
        <w:t xml:space="preserve"> Licensee has also estimated </w:t>
      </w:r>
      <w:r w:rsidR="00DF2655" w:rsidRPr="006650F2">
        <w:t xml:space="preserve">around </w:t>
      </w:r>
      <w:r w:rsidR="0093523C">
        <w:t>120</w:t>
      </w:r>
      <w:r w:rsidR="00DF2655" w:rsidRPr="006650F2">
        <w:t xml:space="preserve"> MVA</w:t>
      </w:r>
      <w:r w:rsidR="00DF2655">
        <w:t xml:space="preserve"> of </w:t>
      </w:r>
      <w:r w:rsidR="0093523C">
        <w:t xml:space="preserve">new </w:t>
      </w:r>
      <w:r w:rsidR="00DF2655">
        <w:t xml:space="preserve">load </w:t>
      </w:r>
      <w:r w:rsidR="00A20854">
        <w:t xml:space="preserve">addition </w:t>
      </w:r>
      <w:r w:rsidR="00DF2655">
        <w:t xml:space="preserve">in the ensuing year. The details of such expected Load are also provided in </w:t>
      </w:r>
      <w:r w:rsidR="00DF2655" w:rsidRPr="006D67F3">
        <w:rPr>
          <w:b/>
          <w:bCs/>
          <w:u w:val="single"/>
        </w:rPr>
        <w:t>Format T-9</w:t>
      </w:r>
      <w:r w:rsidR="00DF2655">
        <w:t xml:space="preserve">. </w:t>
      </w:r>
    </w:p>
    <w:p w14:paraId="4A3F4718" w14:textId="29B2988D" w:rsidR="00223142" w:rsidRDefault="00664051" w:rsidP="009D7D3A">
      <w:pPr>
        <w:pStyle w:val="ARR-normalbody"/>
      </w:pPr>
      <w:r>
        <w:t xml:space="preserve">The </w:t>
      </w:r>
      <w:r w:rsidRPr="00DF2655">
        <w:t xml:space="preserve">drawl under HT category includes </w:t>
      </w:r>
      <w:proofErr w:type="spellStart"/>
      <w:r w:rsidRPr="00DF2655">
        <w:t>drawal</w:t>
      </w:r>
      <w:proofErr w:type="spellEnd"/>
      <w:r w:rsidRPr="00DF2655">
        <w:t xml:space="preserve"> of </w:t>
      </w:r>
      <w:r w:rsidR="00B01A16" w:rsidRPr="00DF2655">
        <w:t>M/</w:t>
      </w:r>
      <w:r w:rsidR="00DF2655" w:rsidRPr="00DF2655">
        <w:t>s.</w:t>
      </w:r>
      <w:r w:rsidR="00B01A16" w:rsidRPr="00DF2655">
        <w:t xml:space="preserve"> Linde India ltd</w:t>
      </w:r>
      <w:r w:rsidR="00F44BAD" w:rsidRPr="00DF2655">
        <w:t>.,</w:t>
      </w:r>
      <w:r w:rsidR="00B01A16" w:rsidRPr="00DF2655">
        <w:t xml:space="preserve"> who is availing power supply through tripartite agreement between RSP, Linde &amp; </w:t>
      </w:r>
      <w:r w:rsidR="003922F7" w:rsidRPr="00DF2655">
        <w:t>TPWODL</w:t>
      </w:r>
      <w:r w:rsidR="00B01A16" w:rsidRPr="00DF2655">
        <w:t xml:space="preserve"> from MSDS VI of RSP which is inside </w:t>
      </w:r>
      <w:r w:rsidR="00073DEE">
        <w:t xml:space="preserve">the </w:t>
      </w:r>
      <w:r w:rsidR="00B01A16" w:rsidRPr="00DF2655">
        <w:t>premises of RSP.</w:t>
      </w:r>
      <w:r w:rsidRPr="00DF2655">
        <w:t xml:space="preserve"> This </w:t>
      </w:r>
      <w:r w:rsidR="009D2029" w:rsidRPr="00DF2655">
        <w:t xml:space="preserve">is </w:t>
      </w:r>
      <w:r w:rsidR="00F44BAD" w:rsidRPr="00DF2655">
        <w:t xml:space="preserve">the </w:t>
      </w:r>
      <w:r w:rsidRPr="00DF2655">
        <w:t xml:space="preserve">only industry </w:t>
      </w:r>
      <w:r w:rsidR="00F44BAD" w:rsidRPr="00DF2655">
        <w:t xml:space="preserve">which </w:t>
      </w:r>
      <w:r w:rsidR="00DF2655" w:rsidRPr="00DF2655">
        <w:t xml:space="preserve">was earlier </w:t>
      </w:r>
      <w:r w:rsidRPr="00DF2655">
        <w:t>contribut</w:t>
      </w:r>
      <w:r w:rsidR="00DF2655" w:rsidRPr="00DF2655">
        <w:t>ing</w:t>
      </w:r>
      <w:r w:rsidRPr="00DF2655">
        <w:t xml:space="preserve"> around 1</w:t>
      </w:r>
      <w:r w:rsidR="00DD4930" w:rsidRPr="00DF2655">
        <w:t>3</w:t>
      </w:r>
      <w:r w:rsidRPr="00DF2655">
        <w:t xml:space="preserve">% of the entire HT consumption </w:t>
      </w:r>
      <w:r w:rsidR="00DF2655" w:rsidRPr="00DF2655">
        <w:t xml:space="preserve">but has reduced its </w:t>
      </w:r>
      <w:proofErr w:type="spellStart"/>
      <w:r w:rsidR="00DF2655" w:rsidRPr="00DF2655">
        <w:t>drawal</w:t>
      </w:r>
      <w:proofErr w:type="spellEnd"/>
      <w:r w:rsidR="00DF2655" w:rsidRPr="00DF2655">
        <w:t xml:space="preserve"> on account of </w:t>
      </w:r>
      <w:r w:rsidR="00DF2655" w:rsidRPr="00A25B76">
        <w:t>Open Access Consumption. As a result, the current year estimated consumption will be around 2</w:t>
      </w:r>
      <w:r w:rsidR="00206FC4" w:rsidRPr="00A25B76">
        <w:t>45</w:t>
      </w:r>
      <w:r w:rsidR="00DF2655" w:rsidRPr="00A25B76">
        <w:t xml:space="preserve"> MU which will be around 1</w:t>
      </w:r>
      <w:r w:rsidR="00206FC4" w:rsidRPr="00A25B76">
        <w:t>0</w:t>
      </w:r>
      <w:r w:rsidR="00DF2655" w:rsidRPr="00A25B76">
        <w:t>%</w:t>
      </w:r>
      <w:r w:rsidR="00073DEE">
        <w:t xml:space="preserve"> of the total HT sale</w:t>
      </w:r>
      <w:r w:rsidR="00DF2655" w:rsidRPr="00A25B76">
        <w:t xml:space="preserve">. </w:t>
      </w:r>
      <w:r w:rsidR="00B01A16" w:rsidRPr="00A25B76">
        <w:t xml:space="preserve"> </w:t>
      </w:r>
      <w:r w:rsidR="000C7D33" w:rsidRPr="00A25B76">
        <w:t xml:space="preserve">The CD of the consumer is 43 MVA &amp; the Licensee has projected </w:t>
      </w:r>
      <w:r w:rsidR="00DF2655" w:rsidRPr="00A25B76">
        <w:t>2</w:t>
      </w:r>
      <w:r w:rsidR="00A25B76" w:rsidRPr="00A25B76">
        <w:t>70</w:t>
      </w:r>
      <w:r w:rsidR="000C7D33" w:rsidRPr="00A25B76">
        <w:t xml:space="preserve"> MU</w:t>
      </w:r>
      <w:r w:rsidR="00F44BAD" w:rsidRPr="00A25B76">
        <w:t>s</w:t>
      </w:r>
      <w:r w:rsidR="000C7D33" w:rsidRPr="00A25B76">
        <w:t xml:space="preserve"> to</w:t>
      </w:r>
      <w:r w:rsidR="000C7D33" w:rsidRPr="00DF2655">
        <w:t xml:space="preserve"> be sold </w:t>
      </w:r>
      <w:r w:rsidR="0035445C" w:rsidRPr="00DF2655">
        <w:t>under P</w:t>
      </w:r>
      <w:r w:rsidR="00073DEE">
        <w:t>ower Intensive</w:t>
      </w:r>
      <w:r w:rsidR="0035445C" w:rsidRPr="00DF2655">
        <w:t xml:space="preserve"> category for </w:t>
      </w:r>
      <w:r w:rsidR="000C7D33" w:rsidRPr="00DF2655">
        <w:t>the above consumer during ensuing year considering actual monthly drawl in the current</w:t>
      </w:r>
      <w:r w:rsidR="000C7D33">
        <w:t xml:space="preserve"> year. </w:t>
      </w:r>
      <w:r w:rsidR="008A1014">
        <w:t>In addition to same</w:t>
      </w:r>
      <w:r w:rsidR="00C90665">
        <w:t>,</w:t>
      </w:r>
      <w:r w:rsidR="008A1014">
        <w:t xml:space="preserve"> one more tripartite agreement has been executed between RSP, </w:t>
      </w:r>
      <w:r w:rsidR="0080303A">
        <w:t>TPWODL</w:t>
      </w:r>
      <w:r w:rsidR="008A1014">
        <w:t xml:space="preserve"> and SE Railway for power supply for their railway sliding inside the premises of RSP. The tripartite agreement has already been approved by Hon’ble </w:t>
      </w:r>
      <w:r w:rsidR="00AB212F">
        <w:t>C</w:t>
      </w:r>
      <w:r w:rsidR="008A1014">
        <w:t xml:space="preserve">ommission and railway </w:t>
      </w:r>
      <w:r w:rsidR="00633C84">
        <w:t xml:space="preserve">has </w:t>
      </w:r>
      <w:r w:rsidR="001561B3">
        <w:t xml:space="preserve">already </w:t>
      </w:r>
      <w:r w:rsidR="00633C84">
        <w:t xml:space="preserve">executed the </w:t>
      </w:r>
      <w:r w:rsidR="008A1014">
        <w:t>agreement</w:t>
      </w:r>
      <w:r w:rsidR="00EC5B42">
        <w:t>.</w:t>
      </w:r>
      <w:r w:rsidR="008A1014">
        <w:t xml:space="preserve"> The consumer </w:t>
      </w:r>
      <w:r w:rsidR="00671077">
        <w:t xml:space="preserve">is being </w:t>
      </w:r>
      <w:r w:rsidR="008A1014">
        <w:t>billed under EHT category</w:t>
      </w:r>
      <w:r w:rsidR="005928CF">
        <w:t xml:space="preserve"> at 132 </w:t>
      </w:r>
      <w:r w:rsidR="006019AD">
        <w:t>kV</w:t>
      </w:r>
      <w:r w:rsidR="005928CF">
        <w:t xml:space="preserve"> level. So, m</w:t>
      </w:r>
      <w:r w:rsidR="000C7D33">
        <w:t xml:space="preserve">onthly </w:t>
      </w:r>
      <w:r w:rsidR="005928CF">
        <w:t>b</w:t>
      </w:r>
      <w:r w:rsidR="000C7D33">
        <w:t xml:space="preserve">illing for the </w:t>
      </w:r>
      <w:r w:rsidR="005928CF">
        <w:t xml:space="preserve">three </w:t>
      </w:r>
      <w:r w:rsidR="000C7D33">
        <w:t xml:space="preserve">consumers </w:t>
      </w:r>
      <w:r w:rsidR="00E333BA">
        <w:t>is</w:t>
      </w:r>
      <w:r w:rsidR="000C7D33">
        <w:t xml:space="preserve"> being generated </w:t>
      </w:r>
      <w:r w:rsidR="005928CF">
        <w:t xml:space="preserve">through </w:t>
      </w:r>
      <w:r w:rsidR="000C7D33">
        <w:t>bifurcati</w:t>
      </w:r>
      <w:r w:rsidR="005928CF">
        <w:t>on</w:t>
      </w:r>
      <w:r w:rsidR="00E333BA">
        <w:t xml:space="preserve"> mechanism</w:t>
      </w:r>
      <w:r w:rsidR="005928CF">
        <w:t xml:space="preserve">. M/S Linde &amp; Railway are being billed on the basis of their consumption and thereafter </w:t>
      </w:r>
      <w:r w:rsidR="000C7D33">
        <w:t xml:space="preserve">M/s RSP’s </w:t>
      </w:r>
      <w:r w:rsidR="00E333BA">
        <w:t>billing is made</w:t>
      </w:r>
      <w:r w:rsidR="00073DEE">
        <w:t xml:space="preserve"> by</w:t>
      </w:r>
      <w:r w:rsidR="00E333BA">
        <w:t xml:space="preserve"> subtracting the quantum of </w:t>
      </w:r>
      <w:r w:rsidR="00991F83">
        <w:t>consumption of ab</w:t>
      </w:r>
      <w:r w:rsidR="00E333BA">
        <w:t xml:space="preserve">ove two consumers from </w:t>
      </w:r>
      <w:r w:rsidR="000C7D33">
        <w:t>total consumption</w:t>
      </w:r>
      <w:r w:rsidR="00E333BA">
        <w:t xml:space="preserve"> recorded at </w:t>
      </w:r>
      <w:proofErr w:type="spellStart"/>
      <w:r w:rsidR="00C90665">
        <w:t>T</w:t>
      </w:r>
      <w:r w:rsidR="00E333BA">
        <w:t>arkera</w:t>
      </w:r>
      <w:proofErr w:type="spellEnd"/>
      <w:r w:rsidR="00E333BA">
        <w:t xml:space="preserve"> grid of OPTCL</w:t>
      </w:r>
      <w:r w:rsidR="000C7D33">
        <w:t xml:space="preserve">, which is being done through monthly </w:t>
      </w:r>
      <w:r w:rsidR="0035445C">
        <w:t>meter data</w:t>
      </w:r>
      <w:r w:rsidR="000C7D33">
        <w:t>.</w:t>
      </w:r>
      <w:r w:rsidR="00B01A16">
        <w:t xml:space="preserve"> </w:t>
      </w:r>
      <w:r w:rsidR="00671077">
        <w:t>With RSP</w:t>
      </w:r>
      <w:r w:rsidR="00C90665">
        <w:t>s</w:t>
      </w:r>
      <w:r w:rsidR="00671077">
        <w:t xml:space="preserve"> CD </w:t>
      </w:r>
      <w:r w:rsidR="00C90665">
        <w:t xml:space="preserve">at </w:t>
      </w:r>
      <w:r w:rsidR="00671077" w:rsidRPr="00D65BD4">
        <w:t>170</w:t>
      </w:r>
      <w:r w:rsidR="00671077">
        <w:t xml:space="preserve"> MVA, the </w:t>
      </w:r>
      <w:proofErr w:type="spellStart"/>
      <w:r w:rsidR="00671077">
        <w:t>drawal</w:t>
      </w:r>
      <w:proofErr w:type="spellEnd"/>
      <w:r w:rsidR="00671077">
        <w:t xml:space="preserve"> of other two consumers are operating at </w:t>
      </w:r>
      <w:r w:rsidR="009A0616">
        <w:t>their CD. It is believed that, Hon’ble Commission has approved the tripartite agreement in principle, due to non-</w:t>
      </w:r>
      <w:r w:rsidR="00073DEE">
        <w:t>availability</w:t>
      </w:r>
      <w:r w:rsidR="009A0616">
        <w:t xml:space="preserve"> of direct power supply from the GRID</w:t>
      </w:r>
      <w:r w:rsidR="00C90665">
        <w:t>.</w:t>
      </w:r>
      <w:r w:rsidR="009A0616">
        <w:t xml:space="preserve"> </w:t>
      </w:r>
      <w:r w:rsidR="00C90665">
        <w:t>H</w:t>
      </w:r>
      <w:r w:rsidR="009A0616">
        <w:t>owever</w:t>
      </w:r>
      <w:r w:rsidR="00AB212F">
        <w:t>,</w:t>
      </w:r>
      <w:r w:rsidR="009A0616">
        <w:t xml:space="preserve"> </w:t>
      </w:r>
      <w:r w:rsidR="0041392E">
        <w:t xml:space="preserve">while disposing Case No-86/2023, Hon’ble Commission has directed all the stakeholders for arrangement of direct Grid </w:t>
      </w:r>
      <w:r w:rsidR="00073DEE">
        <w:t>Connectivity</w:t>
      </w:r>
      <w:r w:rsidR="0041392E">
        <w:t xml:space="preserve"> to the above two consumers wherein M/s. OPTCL has been assigned the responsibility along with DISCOM. As regards</w:t>
      </w:r>
      <w:r w:rsidR="0004799D">
        <w:t xml:space="preserve"> to surplus generation </w:t>
      </w:r>
      <w:r w:rsidR="0041392E">
        <w:t xml:space="preserve">of </w:t>
      </w:r>
      <w:r w:rsidR="0004799D">
        <w:t>RSP</w:t>
      </w:r>
      <w:r w:rsidR="00231940">
        <w:t xml:space="preserve"> and not accounted for by TPWODL, Hon’ble Commission has upheld the </w:t>
      </w:r>
      <w:r w:rsidR="00694FBE">
        <w:t>existing terms and conditions as per</w:t>
      </w:r>
      <w:r w:rsidR="00231940">
        <w:t xml:space="preserve"> TPA </w:t>
      </w:r>
      <w:r w:rsidR="00694FBE">
        <w:t xml:space="preserve">till direct power supply is facilitated. Subsequently, GRIDCO also preferred through another </w:t>
      </w:r>
      <w:r w:rsidR="00694FBE" w:rsidRPr="00694FBE">
        <w:t>petition (C-10/2024)</w:t>
      </w:r>
      <w:r w:rsidR="00694FBE">
        <w:t xml:space="preserve"> for harnessing inadvertent surplus power of M/s. RSP wherein Hon’ble Commission has upheld the decision taken in Case No- 86/2023. </w:t>
      </w:r>
      <w:r w:rsidR="00F76727" w:rsidRPr="00F76727">
        <w:rPr>
          <w:lang w:val="en-US"/>
        </w:rPr>
        <w:t xml:space="preserve">In a similar line, M/s. </w:t>
      </w:r>
      <w:proofErr w:type="spellStart"/>
      <w:r w:rsidR="00F76727" w:rsidRPr="00F76727">
        <w:rPr>
          <w:lang w:val="en-US"/>
        </w:rPr>
        <w:t>Rungta</w:t>
      </w:r>
      <w:proofErr w:type="spellEnd"/>
      <w:r w:rsidR="00F76727" w:rsidRPr="00F76727">
        <w:rPr>
          <w:lang w:val="en-US"/>
        </w:rPr>
        <w:t xml:space="preserve"> Mines Ltd. has also filed an application seeking approval of a Tripartite Agreement (TPA), wherein an additional load of around 15 MVA under the HT category is expected to materialize in a phased manner over the coming years. The Hon’ble Commission, vide its Order dated 17.12.2024 in Case No. 75 of 2024, approved the said proposal. In compliance with the Commission’s directions, a Tripartite Agreement has been executed among </w:t>
      </w:r>
      <w:r w:rsidR="00F76727" w:rsidRPr="00633D38">
        <w:rPr>
          <w:lang w:val="en-US"/>
        </w:rPr>
        <w:t xml:space="preserve">TPWODL, </w:t>
      </w:r>
      <w:proofErr w:type="spellStart"/>
      <w:r w:rsidR="00F76727" w:rsidRPr="00633D38">
        <w:rPr>
          <w:lang w:val="en-US"/>
        </w:rPr>
        <w:t>Rungta</w:t>
      </w:r>
      <w:proofErr w:type="spellEnd"/>
      <w:r w:rsidR="00F76727" w:rsidRPr="00633D38">
        <w:rPr>
          <w:lang w:val="en-US"/>
        </w:rPr>
        <w:t xml:space="preserve"> Mines Ltd.</w:t>
      </w:r>
      <w:r w:rsidR="00ED2DF1" w:rsidRPr="00633D38">
        <w:rPr>
          <w:lang w:val="en-US"/>
        </w:rPr>
        <w:t xml:space="preserve"> </w:t>
      </w:r>
      <w:proofErr w:type="spellStart"/>
      <w:r w:rsidR="00ED2DF1" w:rsidRPr="00633D38">
        <w:rPr>
          <w:lang w:val="en-US"/>
        </w:rPr>
        <w:t>Barbil</w:t>
      </w:r>
      <w:proofErr w:type="spellEnd"/>
      <w:r w:rsidR="00F76727" w:rsidRPr="00633D38">
        <w:rPr>
          <w:lang w:val="en-US"/>
        </w:rPr>
        <w:t xml:space="preserve">, and </w:t>
      </w:r>
      <w:proofErr w:type="spellStart"/>
      <w:r w:rsidR="00ED2DF1" w:rsidRPr="00633D38">
        <w:rPr>
          <w:lang w:val="en-US"/>
        </w:rPr>
        <w:t>Rungta</w:t>
      </w:r>
      <w:proofErr w:type="spellEnd"/>
      <w:r w:rsidR="00ED2DF1" w:rsidRPr="00633D38">
        <w:rPr>
          <w:lang w:val="en-US"/>
        </w:rPr>
        <w:t xml:space="preserve"> Mines </w:t>
      </w:r>
      <w:proofErr w:type="spellStart"/>
      <w:r w:rsidR="00ED2DF1" w:rsidRPr="00633D38">
        <w:rPr>
          <w:lang w:val="en-US"/>
        </w:rPr>
        <w:t>Kamanda</w:t>
      </w:r>
      <w:proofErr w:type="spellEnd"/>
      <w:r w:rsidR="00ED2DF1" w:rsidRPr="00633D38">
        <w:rPr>
          <w:lang w:val="en-US"/>
        </w:rPr>
        <w:t xml:space="preserve"> Steel Plant</w:t>
      </w:r>
      <w:r w:rsidR="00F76727" w:rsidRPr="00633D38">
        <w:rPr>
          <w:lang w:val="en-US"/>
        </w:rPr>
        <w:t xml:space="preserve">. Consequently, </w:t>
      </w:r>
      <w:proofErr w:type="spellStart"/>
      <w:r w:rsidR="00F76727" w:rsidRPr="00633D38">
        <w:rPr>
          <w:lang w:val="en-US"/>
        </w:rPr>
        <w:t>Rungta</w:t>
      </w:r>
      <w:proofErr w:type="spellEnd"/>
      <w:r w:rsidR="00F76727" w:rsidRPr="00633D38">
        <w:rPr>
          <w:lang w:val="en-US"/>
        </w:rPr>
        <w:t xml:space="preserve"> Mines Ltd. </w:t>
      </w:r>
      <w:proofErr w:type="spellStart"/>
      <w:r w:rsidR="00E95E65" w:rsidRPr="00633D38">
        <w:rPr>
          <w:lang w:val="en-US"/>
        </w:rPr>
        <w:t>B</w:t>
      </w:r>
      <w:r w:rsidR="00AF3CB0" w:rsidRPr="00633D38">
        <w:rPr>
          <w:lang w:val="en-US"/>
        </w:rPr>
        <w:t>arbil</w:t>
      </w:r>
      <w:proofErr w:type="spellEnd"/>
      <w:r w:rsidR="00AF3CB0" w:rsidRPr="00633D38">
        <w:rPr>
          <w:lang w:val="en-US"/>
        </w:rPr>
        <w:t xml:space="preserve"> </w:t>
      </w:r>
      <w:r w:rsidR="006B0443">
        <w:rPr>
          <w:lang w:val="en-US"/>
        </w:rPr>
        <w:t>going to</w:t>
      </w:r>
      <w:r w:rsidR="00F76727" w:rsidRPr="00633D38">
        <w:rPr>
          <w:lang w:val="en-US"/>
        </w:rPr>
        <w:t xml:space="preserve"> commence availing power supply of 3 MW</w:t>
      </w:r>
      <w:r w:rsidR="006B0443">
        <w:rPr>
          <w:lang w:val="en-US"/>
        </w:rPr>
        <w:t xml:space="preserve"> from Jan 2026</w:t>
      </w:r>
      <w:r w:rsidR="00F76727" w:rsidRPr="00633D38">
        <w:rPr>
          <w:lang w:val="en-US"/>
        </w:rPr>
        <w:t>, which is expected to progressively increase up to 15 MW in phases. The proposed HT sales under this arrangement</w:t>
      </w:r>
      <w:r w:rsidR="00F76727" w:rsidRPr="00F76727">
        <w:rPr>
          <w:lang w:val="en-US"/>
        </w:rPr>
        <w:t xml:space="preserve"> are also interlinked with and have a bearing on the approved TPA framework.</w:t>
      </w:r>
      <w:r w:rsidR="00443C07">
        <w:t xml:space="preserve"> </w:t>
      </w:r>
    </w:p>
    <w:p w14:paraId="602985B4" w14:textId="77777777" w:rsidR="004276A0" w:rsidRPr="00872B8D" w:rsidRDefault="004276A0" w:rsidP="004276A0">
      <w:pPr>
        <w:pStyle w:val="BodyText2"/>
        <w:spacing w:line="360" w:lineRule="auto"/>
        <w:jc w:val="both"/>
        <w:rPr>
          <w:rFonts w:ascii="Cambria" w:hAnsi="Cambria"/>
          <w:b/>
          <w:sz w:val="24"/>
          <w:szCs w:val="24"/>
        </w:rPr>
      </w:pPr>
      <w:r w:rsidRPr="00872B8D">
        <w:rPr>
          <w:rFonts w:ascii="Cambria" w:hAnsi="Cambria"/>
          <w:b/>
          <w:sz w:val="24"/>
          <w:szCs w:val="24"/>
        </w:rPr>
        <w:t>EHT Category</w:t>
      </w:r>
    </w:p>
    <w:p w14:paraId="33FB23A2" w14:textId="0DFEC833" w:rsidR="00C04372" w:rsidRPr="00872B8D" w:rsidRDefault="004276A0" w:rsidP="009D7D3A">
      <w:pPr>
        <w:pStyle w:val="ARR-normalbody"/>
      </w:pPr>
      <w:r w:rsidRPr="00872B8D">
        <w:t xml:space="preserve">The </w:t>
      </w:r>
      <w:r w:rsidR="006C38E9" w:rsidRPr="00872B8D">
        <w:t>Utility</w:t>
      </w:r>
      <w:r w:rsidRPr="00872B8D">
        <w:t xml:space="preserve"> has projected </w:t>
      </w:r>
      <w:r w:rsidR="00073DEE" w:rsidRPr="00872B8D">
        <w:t>3989.099</w:t>
      </w:r>
      <w:r w:rsidR="00BA176A" w:rsidRPr="00872B8D">
        <w:t xml:space="preserve"> </w:t>
      </w:r>
      <w:r w:rsidRPr="00872B8D">
        <w:t>MU of sales in the ensuing year</w:t>
      </w:r>
      <w:r w:rsidR="00B21CBE" w:rsidRPr="00872B8D">
        <w:t xml:space="preserve"> </w:t>
      </w:r>
      <w:proofErr w:type="spellStart"/>
      <w:r w:rsidR="00B21CBE" w:rsidRPr="00872B8D">
        <w:t>analyzing</w:t>
      </w:r>
      <w:proofErr w:type="spellEnd"/>
      <w:r w:rsidR="00B21CBE" w:rsidRPr="00872B8D">
        <w:t xml:space="preserve"> the consumption pattern of each EHT consumer</w:t>
      </w:r>
      <w:r w:rsidRPr="00872B8D">
        <w:t xml:space="preserve">. </w:t>
      </w:r>
      <w:r w:rsidR="005211FF" w:rsidRPr="00872B8D">
        <w:t xml:space="preserve">While estimating EHT sale, no TPA sale has been considered. </w:t>
      </w:r>
      <w:r w:rsidR="00C22F9B" w:rsidRPr="00872B8D">
        <w:t xml:space="preserve">Out of </w:t>
      </w:r>
      <w:r w:rsidR="00073DEE" w:rsidRPr="00872B8D">
        <w:t>58</w:t>
      </w:r>
      <w:r w:rsidR="002C7050" w:rsidRPr="00872B8D">
        <w:t xml:space="preserve"> Nos.</w:t>
      </w:r>
      <w:r w:rsidR="00730318" w:rsidRPr="00872B8D">
        <w:t xml:space="preserve"> consumers</w:t>
      </w:r>
      <w:r w:rsidR="002C7050" w:rsidRPr="00872B8D">
        <w:t xml:space="preserve">, </w:t>
      </w:r>
      <w:r w:rsidR="00C22F9B" w:rsidRPr="00872B8D">
        <w:t>there are 2</w:t>
      </w:r>
      <w:r w:rsidR="00073DEE" w:rsidRPr="00872B8D">
        <w:t>1</w:t>
      </w:r>
      <w:r w:rsidR="00C22F9B" w:rsidRPr="00872B8D">
        <w:t xml:space="preserve"> nos. Railway Traction, </w:t>
      </w:r>
      <w:r w:rsidR="002C7050" w:rsidRPr="00872B8D">
        <w:t xml:space="preserve">1 No. </w:t>
      </w:r>
      <w:proofErr w:type="spellStart"/>
      <w:r w:rsidR="002C7050" w:rsidRPr="00872B8D">
        <w:t>Megalift</w:t>
      </w:r>
      <w:proofErr w:type="spellEnd"/>
      <w:r w:rsidR="002C7050" w:rsidRPr="00872B8D">
        <w:t xml:space="preserve"> </w:t>
      </w:r>
      <w:r w:rsidR="000112AC" w:rsidRPr="00872B8D">
        <w:t>Connection,</w:t>
      </w:r>
      <w:r w:rsidR="002C7050" w:rsidRPr="00872B8D">
        <w:t xml:space="preserve"> also availing power supply at 132 </w:t>
      </w:r>
      <w:r w:rsidR="006019AD" w:rsidRPr="00872B8D">
        <w:t>KV</w:t>
      </w:r>
      <w:r w:rsidR="002C7050" w:rsidRPr="00872B8D">
        <w:t xml:space="preserve"> level but due to </w:t>
      </w:r>
      <w:r w:rsidR="0071764D" w:rsidRPr="00872B8D">
        <w:t>non-availability</w:t>
      </w:r>
      <w:r w:rsidR="002C7050" w:rsidRPr="00872B8D">
        <w:t xml:space="preserve"> of tariff category</w:t>
      </w:r>
      <w:r w:rsidR="00C750E7" w:rsidRPr="00872B8D">
        <w:t>,</w:t>
      </w:r>
      <w:r w:rsidR="002C7050" w:rsidRPr="00872B8D">
        <w:t xml:space="preserve"> </w:t>
      </w:r>
      <w:r w:rsidR="00465116" w:rsidRPr="00872B8D">
        <w:t xml:space="preserve">projection of sales under EHT has been made with balance </w:t>
      </w:r>
      <w:r w:rsidR="00C22F9B" w:rsidRPr="00872B8D">
        <w:t>26</w:t>
      </w:r>
      <w:r w:rsidR="00465116" w:rsidRPr="00872B8D">
        <w:t xml:space="preserve"> Nos. of consumers. The consumer availing power supply </w:t>
      </w:r>
      <w:r w:rsidR="006E1E6D" w:rsidRPr="00872B8D">
        <w:t xml:space="preserve">under </w:t>
      </w:r>
      <w:proofErr w:type="spellStart"/>
      <w:r w:rsidR="006E1E6D" w:rsidRPr="00872B8D">
        <w:t>Megalift</w:t>
      </w:r>
      <w:proofErr w:type="spellEnd"/>
      <w:r w:rsidR="006E1E6D" w:rsidRPr="00872B8D">
        <w:t xml:space="preserve"> is being billed under HT tariff as explained in earlier sections.</w:t>
      </w:r>
      <w:r w:rsidR="00065835" w:rsidRPr="00872B8D">
        <w:t xml:space="preserve"> </w:t>
      </w:r>
      <w:r w:rsidRPr="00872B8D">
        <w:t>Out of the other 2</w:t>
      </w:r>
      <w:r w:rsidR="00C22F9B" w:rsidRPr="00872B8D">
        <w:t>6</w:t>
      </w:r>
      <w:r w:rsidRPr="00872B8D">
        <w:t xml:space="preserve"> nos</w:t>
      </w:r>
      <w:r w:rsidR="00C750E7" w:rsidRPr="00872B8D">
        <w:t>.</w:t>
      </w:r>
      <w:r w:rsidRPr="00872B8D">
        <w:t xml:space="preserve">, </w:t>
      </w:r>
      <w:r w:rsidR="006F54E1" w:rsidRPr="00872B8D">
        <w:t>2</w:t>
      </w:r>
      <w:r w:rsidR="00872B8D" w:rsidRPr="00872B8D">
        <w:t xml:space="preserve">0 </w:t>
      </w:r>
      <w:r w:rsidRPr="00872B8D">
        <w:t>no</w:t>
      </w:r>
      <w:r w:rsidR="00C750E7" w:rsidRPr="00872B8D">
        <w:t>s.</w:t>
      </w:r>
      <w:r w:rsidRPr="00872B8D">
        <w:t xml:space="preserve"> of industries </w:t>
      </w:r>
      <w:r w:rsidR="00C22F9B" w:rsidRPr="00872B8D">
        <w:t>have</w:t>
      </w:r>
      <w:r w:rsidRPr="00872B8D">
        <w:t xml:space="preserve"> their own C</w:t>
      </w:r>
      <w:r w:rsidR="00C508F1" w:rsidRPr="00872B8D">
        <w:t>G</w:t>
      </w:r>
      <w:r w:rsidRPr="00872B8D">
        <w:t>P</w:t>
      </w:r>
      <w:r w:rsidR="00907066" w:rsidRPr="00872B8D">
        <w:t xml:space="preserve"> (total 31 </w:t>
      </w:r>
      <w:proofErr w:type="spellStart"/>
      <w:r w:rsidR="00907066" w:rsidRPr="00872B8D">
        <w:t>nos</w:t>
      </w:r>
      <w:proofErr w:type="spellEnd"/>
      <w:r w:rsidR="00907066" w:rsidRPr="00872B8D">
        <w:t xml:space="preserve"> of CGP HT and EHT)</w:t>
      </w:r>
      <w:r w:rsidRPr="00872B8D">
        <w:t>.</w:t>
      </w:r>
      <w:r w:rsidR="00925C89" w:rsidRPr="00872B8D">
        <w:t xml:space="preserve"> </w:t>
      </w:r>
      <w:r w:rsidRPr="00872B8D">
        <w:t xml:space="preserve">The </w:t>
      </w:r>
      <w:proofErr w:type="spellStart"/>
      <w:r w:rsidRPr="00872B8D">
        <w:t>drawal</w:t>
      </w:r>
      <w:proofErr w:type="spellEnd"/>
      <w:r w:rsidRPr="00872B8D">
        <w:t xml:space="preserve"> made </w:t>
      </w:r>
      <w:r w:rsidR="00B70ED0" w:rsidRPr="00872B8D">
        <w:t xml:space="preserve">under </w:t>
      </w:r>
      <w:r w:rsidRPr="00872B8D">
        <w:t xml:space="preserve">EHT category </w:t>
      </w:r>
      <w:r w:rsidR="00C750E7" w:rsidRPr="00872B8D">
        <w:t xml:space="preserve">are </w:t>
      </w:r>
      <w:r w:rsidRPr="00872B8D">
        <w:t xml:space="preserve">mainly towards consumption of Railway, MCL, </w:t>
      </w:r>
      <w:r w:rsidR="008705FE">
        <w:t xml:space="preserve">JSW </w:t>
      </w:r>
      <w:r w:rsidR="00B507F5">
        <w:t xml:space="preserve">Steel &amp; Power (erstwhile </w:t>
      </w:r>
      <w:r w:rsidR="00925C89" w:rsidRPr="00872B8D">
        <w:t>Bhusan</w:t>
      </w:r>
      <w:r w:rsidR="00925C89" w:rsidRPr="00443C07">
        <w:t xml:space="preserve"> Steel &amp; Power</w:t>
      </w:r>
      <w:r w:rsidR="00B507F5">
        <w:t>)</w:t>
      </w:r>
      <w:r w:rsidR="00925C89" w:rsidRPr="00443C07">
        <w:t xml:space="preserve">, </w:t>
      </w:r>
      <w:r w:rsidR="004565FA" w:rsidRPr="00443C07">
        <w:t xml:space="preserve">Vedanta (partially), </w:t>
      </w:r>
      <w:r w:rsidR="0042679F" w:rsidRPr="00443C07">
        <w:t xml:space="preserve">RSP (partially) </w:t>
      </w:r>
      <w:r w:rsidRPr="00443C07">
        <w:t xml:space="preserve">and </w:t>
      </w:r>
      <w:r w:rsidR="00570602" w:rsidRPr="00443C07">
        <w:t>Ultratech Cement</w:t>
      </w:r>
      <w:r w:rsidRPr="00443C07">
        <w:t xml:space="preserve"> only. </w:t>
      </w:r>
      <w:r w:rsidR="00BA176A" w:rsidRPr="00443C07">
        <w:t xml:space="preserve">Ordinance Factory </w:t>
      </w:r>
      <w:proofErr w:type="spellStart"/>
      <w:r w:rsidR="00BA176A" w:rsidRPr="00443C07">
        <w:t>Badamal</w:t>
      </w:r>
      <w:proofErr w:type="spellEnd"/>
      <w:r w:rsidR="00BA176A" w:rsidRPr="00443C07">
        <w:t xml:space="preserve"> has </w:t>
      </w:r>
      <w:r w:rsidR="00EF791B" w:rsidRPr="00443C07">
        <w:t>already</w:t>
      </w:r>
      <w:r w:rsidR="00EF791B" w:rsidRPr="00B70ED0">
        <w:t xml:space="preserve"> </w:t>
      </w:r>
      <w:r w:rsidR="00BA176A" w:rsidRPr="00B70ED0">
        <w:t xml:space="preserve">set up </w:t>
      </w:r>
      <w:proofErr w:type="spellStart"/>
      <w:r w:rsidR="002675A2" w:rsidRPr="00B70ED0">
        <w:t>it’s</w:t>
      </w:r>
      <w:proofErr w:type="spellEnd"/>
      <w:r w:rsidR="00BA176A" w:rsidRPr="00B70ED0">
        <w:t xml:space="preserve"> own solar plant of 10MW </w:t>
      </w:r>
      <w:r w:rsidR="00A30797" w:rsidRPr="00B70ED0">
        <w:t xml:space="preserve">for which </w:t>
      </w:r>
      <w:r w:rsidR="00A30797" w:rsidRPr="00872B8D">
        <w:t xml:space="preserve">it’s </w:t>
      </w:r>
      <w:proofErr w:type="spellStart"/>
      <w:r w:rsidR="00A30797" w:rsidRPr="00872B8D">
        <w:t>drawal</w:t>
      </w:r>
      <w:proofErr w:type="spellEnd"/>
      <w:r w:rsidR="00A30797" w:rsidRPr="00872B8D">
        <w:t xml:space="preserve"> is very less. </w:t>
      </w:r>
      <w:r w:rsidR="00443C07" w:rsidRPr="00872B8D">
        <w:t>Similarly, MCL has also set up a 50 MW solar plant in Bolangir district for own consumption out of which around 25 MW is under energization</w:t>
      </w:r>
      <w:r w:rsidR="008C3121" w:rsidRPr="00872B8D">
        <w:t xml:space="preserve"> which will affect the EHT consumption also to some extent. </w:t>
      </w:r>
    </w:p>
    <w:p w14:paraId="7F0D98E4" w14:textId="57A11201" w:rsidR="008C3121" w:rsidRPr="00872B8D" w:rsidRDefault="00B3030B" w:rsidP="009D7D3A">
      <w:pPr>
        <w:pStyle w:val="ARR-normalbody"/>
      </w:pPr>
      <w:r w:rsidRPr="00872B8D">
        <w:t>Earlier</w:t>
      </w:r>
      <w:r w:rsidR="008C3121" w:rsidRPr="00872B8D">
        <w:t>, M/s. SAIL (RSP) was contributing substantial quantum under EHT sale.</w:t>
      </w:r>
      <w:r w:rsidR="006D75AC" w:rsidRPr="00872B8D">
        <w:t xml:space="preserve"> However,</w:t>
      </w:r>
      <w:r w:rsidR="008C3121" w:rsidRPr="00872B8D">
        <w:t xml:space="preserve"> up</w:t>
      </w:r>
      <w:r w:rsidR="006D75AC" w:rsidRPr="00872B8D">
        <w:t xml:space="preserve">on synchronization of 250 MW CGP, the </w:t>
      </w:r>
      <w:proofErr w:type="spellStart"/>
      <w:r w:rsidR="006D75AC" w:rsidRPr="00872B8D">
        <w:t>drawal</w:t>
      </w:r>
      <w:proofErr w:type="spellEnd"/>
      <w:r w:rsidR="006D75AC" w:rsidRPr="00872B8D">
        <w:t xml:space="preserve"> </w:t>
      </w:r>
      <w:r w:rsidR="008C3121" w:rsidRPr="00872B8D">
        <w:t>has drastically dropped</w:t>
      </w:r>
      <w:r w:rsidR="006D75AC" w:rsidRPr="00872B8D">
        <w:t xml:space="preserve">. </w:t>
      </w:r>
      <w:r w:rsidR="007B10E2" w:rsidRPr="00872B8D">
        <w:t>No doubt during FY 2</w:t>
      </w:r>
      <w:r w:rsidR="008C3121" w:rsidRPr="00872B8D">
        <w:t>3-24</w:t>
      </w:r>
      <w:r w:rsidR="007B10E2" w:rsidRPr="00872B8D">
        <w:t xml:space="preserve">, due to TPA and intake of other EHT consumers, </w:t>
      </w:r>
      <w:r w:rsidR="008C3121" w:rsidRPr="00872B8D">
        <w:t xml:space="preserve">the </w:t>
      </w:r>
      <w:r w:rsidR="007B10E2" w:rsidRPr="00872B8D">
        <w:t>input of FY</w:t>
      </w:r>
      <w:r w:rsidR="008C3121" w:rsidRPr="00872B8D">
        <w:t xml:space="preserve"> 23-24 was </w:t>
      </w:r>
      <w:r w:rsidR="007B10E2" w:rsidRPr="00872B8D">
        <w:t>in higher trend.</w:t>
      </w:r>
      <w:r w:rsidR="008C3121" w:rsidRPr="00872B8D">
        <w:t xml:space="preserve"> However, </w:t>
      </w:r>
      <w:r w:rsidR="007B10E2" w:rsidRPr="00872B8D">
        <w:t>the same trend</w:t>
      </w:r>
      <w:r w:rsidR="008C3121" w:rsidRPr="00872B8D">
        <w:t xml:space="preserve"> has declined now in </w:t>
      </w:r>
      <w:r w:rsidR="003D22D7" w:rsidRPr="00872B8D">
        <w:t xml:space="preserve">FY </w:t>
      </w:r>
      <w:r w:rsidR="00D42161" w:rsidRPr="00872B8D">
        <w:t xml:space="preserve">24-25 </w:t>
      </w:r>
      <w:r w:rsidR="002C602A" w:rsidRPr="00872B8D">
        <w:t xml:space="preserve">due to discontinuation </w:t>
      </w:r>
      <w:r w:rsidRPr="00872B8D">
        <w:t xml:space="preserve">of </w:t>
      </w:r>
      <w:r w:rsidR="002C602A" w:rsidRPr="00872B8D">
        <w:t>Green Power certification mechanism for CGPs.</w:t>
      </w:r>
      <w:r w:rsidR="00751B6A" w:rsidRPr="00872B8D">
        <w:t xml:space="preserve"> In </w:t>
      </w:r>
      <w:r w:rsidR="008C3121" w:rsidRPr="00872B8D">
        <w:t xml:space="preserve">current year </w:t>
      </w:r>
      <w:r w:rsidR="00281818" w:rsidRPr="00872B8D">
        <w:t xml:space="preserve">TPA mechanism has been modified as per request of EHT industries. </w:t>
      </w:r>
      <w:r w:rsidR="00347A44" w:rsidRPr="00872B8D">
        <w:t>Accordingly,</w:t>
      </w:r>
      <w:r w:rsidR="00281818" w:rsidRPr="00872B8D">
        <w:t xml:space="preserve"> the </w:t>
      </w:r>
      <w:r w:rsidR="00013CF2" w:rsidRPr="00872B8D">
        <w:t>Guaranteed</w:t>
      </w:r>
      <w:r w:rsidR="009C487D" w:rsidRPr="00872B8D">
        <w:t xml:space="preserve"> Load factor g</w:t>
      </w:r>
      <w:r w:rsidRPr="00872B8D">
        <w:t>o</w:t>
      </w:r>
      <w:r w:rsidR="009C487D" w:rsidRPr="00872B8D">
        <w:t xml:space="preserve">t reduced from 80% to 60% </w:t>
      </w:r>
      <w:r w:rsidR="00013CF2" w:rsidRPr="00872B8D">
        <w:t xml:space="preserve">and TPA </w:t>
      </w:r>
      <w:r w:rsidR="00347A44" w:rsidRPr="00872B8D">
        <w:t xml:space="preserve">mechanism </w:t>
      </w:r>
      <w:r w:rsidR="00013CF2" w:rsidRPr="00872B8D">
        <w:t xml:space="preserve">was </w:t>
      </w:r>
      <w:r w:rsidR="00347A44" w:rsidRPr="00872B8D">
        <w:t xml:space="preserve">availed by only </w:t>
      </w:r>
      <w:r w:rsidRPr="00872B8D">
        <w:t xml:space="preserve">M/s. </w:t>
      </w:r>
      <w:r w:rsidR="00347A44" w:rsidRPr="00872B8D">
        <w:t>Vedanta</w:t>
      </w:r>
      <w:r w:rsidR="006F286A" w:rsidRPr="00872B8D">
        <w:t xml:space="preserve"> for one month</w:t>
      </w:r>
      <w:r w:rsidR="00347A44" w:rsidRPr="00872B8D">
        <w:t>.</w:t>
      </w:r>
      <w:r w:rsidR="009B7136" w:rsidRPr="00872B8D">
        <w:t xml:space="preserve"> </w:t>
      </w:r>
      <w:r w:rsidR="00D86C31" w:rsidRPr="00872B8D">
        <w:t xml:space="preserve">Hence, </w:t>
      </w:r>
      <w:r w:rsidR="008C3121" w:rsidRPr="00872B8D">
        <w:t>due to absence of TPA for the balance period (</w:t>
      </w:r>
      <w:r w:rsidR="0083436A" w:rsidRPr="00872B8D">
        <w:t>Sep</w:t>
      </w:r>
      <w:r w:rsidR="008C3121" w:rsidRPr="00872B8D">
        <w:t>-2</w:t>
      </w:r>
      <w:r w:rsidR="0083436A" w:rsidRPr="00872B8D">
        <w:t>5</w:t>
      </w:r>
      <w:r w:rsidR="008C3121" w:rsidRPr="00872B8D">
        <w:t xml:space="preserve"> onwards) as well as </w:t>
      </w:r>
      <w:r w:rsidR="00A20854">
        <w:t xml:space="preserve">lower </w:t>
      </w:r>
      <w:r w:rsidR="008C3121" w:rsidRPr="00872B8D">
        <w:t xml:space="preserve">off-take of M/s. Vedanta Ltd. has been </w:t>
      </w:r>
      <w:r w:rsidRPr="00872B8D">
        <w:t>considered less du</w:t>
      </w:r>
      <w:r w:rsidR="008C3121" w:rsidRPr="00872B8D">
        <w:t xml:space="preserve">e to absence of </w:t>
      </w:r>
      <w:r w:rsidR="009B7136" w:rsidRPr="00872B8D">
        <w:t>6</w:t>
      </w:r>
      <w:r w:rsidR="008C3121" w:rsidRPr="00872B8D">
        <w:t>0% guaranteed power.</w:t>
      </w:r>
    </w:p>
    <w:p w14:paraId="0BDE56B1" w14:textId="3B3922CA" w:rsidR="00296FFC" w:rsidRDefault="00872B8D" w:rsidP="00296FFC">
      <w:pPr>
        <w:pStyle w:val="ARR-normalbody"/>
      </w:pPr>
      <w:r w:rsidRPr="00872B8D">
        <w:t>The EHT demand in the TPWODL area is primarily driven by</w:t>
      </w:r>
      <w:r>
        <w:t xml:space="preserve"> Vedanta, JSW (Bhushan), RSP and Railway Traction. Owing to the highly variable </w:t>
      </w:r>
      <w:proofErr w:type="spellStart"/>
      <w:r>
        <w:t>drawal</w:t>
      </w:r>
      <w:proofErr w:type="spellEnd"/>
      <w:r>
        <w:t xml:space="preserve"> pattern of these major consumers, the EHT sales experience significant fluctuations. It is </w:t>
      </w:r>
      <w:r w:rsidR="002613EC">
        <w:t xml:space="preserve">to be </w:t>
      </w:r>
      <w:r>
        <w:t xml:space="preserve">noted that Vedanta has acquired the 2×600 MW Athena Chhattisgarh Power Ltd. plant at </w:t>
      </w:r>
      <w:proofErr w:type="spellStart"/>
      <w:r>
        <w:t>Jhanjgir</w:t>
      </w:r>
      <w:proofErr w:type="spellEnd"/>
      <w:r>
        <w:t>, Chhattisgarh and has also operationalized its a</w:t>
      </w:r>
      <w:r w:rsidR="00A20854">
        <w:t>greement</w:t>
      </w:r>
      <w:r>
        <w:t xml:space="preserve"> with </w:t>
      </w:r>
      <w:proofErr w:type="spellStart"/>
      <w:r>
        <w:t>Serentica</w:t>
      </w:r>
      <w:proofErr w:type="spellEnd"/>
      <w:r>
        <w:t xml:space="preserve"> Renewables for RE power under the Group Captive model from September 2025. Consequently, Vedanta’s power requirement and </w:t>
      </w:r>
      <w:proofErr w:type="spellStart"/>
      <w:r>
        <w:t>drawal</w:t>
      </w:r>
      <w:proofErr w:type="spellEnd"/>
      <w:r>
        <w:t xml:space="preserve"> pattern may vary depending on its own generation and renewable energy availability.</w:t>
      </w:r>
    </w:p>
    <w:p w14:paraId="31F04260" w14:textId="183FCCE0" w:rsidR="00185E6A" w:rsidRDefault="000A771E" w:rsidP="00296FFC">
      <w:pPr>
        <w:pStyle w:val="ARR-normalbody"/>
      </w:pPr>
      <w:r>
        <w:t>The Railway matter which is sub-</w:t>
      </w:r>
      <w:proofErr w:type="spellStart"/>
      <w:r>
        <w:t>judice</w:t>
      </w:r>
      <w:proofErr w:type="spellEnd"/>
      <w:r>
        <w:t xml:space="preserve"> at Hon’ble Supreme Co</w:t>
      </w:r>
      <w:r w:rsidR="00C12228">
        <w:t>u</w:t>
      </w:r>
      <w:r>
        <w:t>rt</w:t>
      </w:r>
      <w:r w:rsidR="00C12228">
        <w:t xml:space="preserve"> </w:t>
      </w:r>
      <w:r w:rsidR="00585388">
        <w:t xml:space="preserve">of India </w:t>
      </w:r>
      <w:r w:rsidR="00C12228">
        <w:t xml:space="preserve">about the </w:t>
      </w:r>
      <w:r w:rsidR="00430BC1">
        <w:t>Deemed Distribution Licensee (</w:t>
      </w:r>
      <w:r w:rsidR="00C12228">
        <w:t>DDL</w:t>
      </w:r>
      <w:r w:rsidR="00430BC1">
        <w:t>)</w:t>
      </w:r>
      <w:r w:rsidR="00C12228">
        <w:t xml:space="preserve"> status may further </w:t>
      </w:r>
      <w:r w:rsidR="0023719A">
        <w:t xml:space="preserve">hamper the EHT sales volume of the Licensee significantly in the future years. In </w:t>
      </w:r>
      <w:r w:rsidR="0001573A">
        <w:t>view of the same</w:t>
      </w:r>
      <w:r w:rsidR="00F911C3">
        <w:t>,</w:t>
      </w:r>
      <w:r w:rsidR="0001573A">
        <w:t xml:space="preserve"> the Hon’ble Commission is requested to take suitable measures to safeguard the </w:t>
      </w:r>
      <w:r w:rsidR="00D66AEA">
        <w:t xml:space="preserve">interest of the </w:t>
      </w:r>
      <w:r w:rsidR="0001573A">
        <w:t>consumers of the state at large.</w:t>
      </w:r>
    </w:p>
    <w:p w14:paraId="305A885C" w14:textId="1F185440" w:rsidR="00872B8D" w:rsidRDefault="00872B8D" w:rsidP="00872B8D">
      <w:pPr>
        <w:pStyle w:val="ARR-normalbody"/>
      </w:pPr>
      <w:r>
        <w:t>In view of this, the Licensee has projected EHT sales without factoring in TPA sales. However, any surplus power available with GRIDCO may be availed by other industries through DISCOMs during the ensuing year</w:t>
      </w:r>
      <w:r w:rsidR="00AE1D7B">
        <w:t xml:space="preserve"> through different mechanism</w:t>
      </w:r>
      <w:r w:rsidR="00A20854">
        <w:t xml:space="preserve"> as proposed</w:t>
      </w:r>
      <w:r>
        <w:t>. Therefore, the provision for TPA sales may kindly be retained, subject to quantum commitment from prospective consumers. Additionally, allocation of Green Power under the TPA mechanism may also be permitted.</w:t>
      </w:r>
    </w:p>
    <w:p w14:paraId="41414C67" w14:textId="37F3B017" w:rsidR="00391EC8" w:rsidRPr="00B70ED0" w:rsidRDefault="00671CE5" w:rsidP="009D7D3A">
      <w:pPr>
        <w:pStyle w:val="ARR-normalbody"/>
      </w:pPr>
      <w:r w:rsidRPr="001927D8">
        <w:t>Following HT &amp;</w:t>
      </w:r>
      <w:r w:rsidR="003837D9" w:rsidRPr="001927D8">
        <w:t xml:space="preserve"> EHT consumers </w:t>
      </w:r>
      <w:r w:rsidRPr="001927D8">
        <w:t xml:space="preserve">have their own CGP </w:t>
      </w:r>
      <w:r w:rsidR="003837D9" w:rsidRPr="001927D8">
        <w:t>for</w:t>
      </w:r>
      <w:r w:rsidR="003837D9" w:rsidRPr="00B70ED0">
        <w:t xml:space="preserve"> which the </w:t>
      </w:r>
      <w:r w:rsidR="00583FBD" w:rsidRPr="00B70ED0">
        <w:t xml:space="preserve">applicant </w:t>
      </w:r>
      <w:r w:rsidR="003837D9" w:rsidRPr="00B70ED0">
        <w:t xml:space="preserve">has </w:t>
      </w:r>
      <w:r w:rsidR="00583FBD" w:rsidRPr="00B70ED0">
        <w:t xml:space="preserve">the risk of </w:t>
      </w:r>
      <w:r w:rsidR="00F50198" w:rsidRPr="00B70ED0">
        <w:t xml:space="preserve">change in </w:t>
      </w:r>
      <w:proofErr w:type="spellStart"/>
      <w:r w:rsidR="00F50198" w:rsidRPr="00B70ED0">
        <w:t>draw</w:t>
      </w:r>
      <w:r w:rsidR="00391EC8" w:rsidRPr="00B70ED0">
        <w:t>al</w:t>
      </w:r>
      <w:proofErr w:type="spellEnd"/>
      <w:r w:rsidR="00391EC8" w:rsidRPr="00B70ED0">
        <w:t xml:space="preserve"> pattern under </w:t>
      </w:r>
      <w:r w:rsidR="00391EC8">
        <w:t>Industrial</w:t>
      </w:r>
      <w:r w:rsidR="00391EC8" w:rsidRPr="00B70ED0">
        <w:t xml:space="preserve"> category</w:t>
      </w:r>
      <w:r w:rsidR="00391EC8">
        <w:t>:</w:t>
      </w:r>
    </w:p>
    <w:tbl>
      <w:tblPr>
        <w:tblW w:w="9454" w:type="dxa"/>
        <w:tblInd w:w="-294" w:type="dxa"/>
        <w:tblLook w:val="04A0" w:firstRow="1" w:lastRow="0" w:firstColumn="1" w:lastColumn="0" w:noHBand="0" w:noVBand="1"/>
      </w:tblPr>
      <w:tblGrid>
        <w:gridCol w:w="740"/>
        <w:gridCol w:w="4495"/>
        <w:gridCol w:w="1380"/>
        <w:gridCol w:w="1480"/>
        <w:gridCol w:w="1359"/>
      </w:tblGrid>
      <w:tr w:rsidR="00391EC8" w14:paraId="0250FF8B" w14:textId="77777777" w:rsidTr="00391EC8">
        <w:trPr>
          <w:trHeight w:val="600"/>
          <w:tblHeader/>
        </w:trPr>
        <w:tc>
          <w:tcPr>
            <w:tcW w:w="740" w:type="dxa"/>
            <w:vMerge w:val="restart"/>
            <w:tcBorders>
              <w:top w:val="single" w:sz="8" w:space="0" w:color="auto"/>
              <w:left w:val="single" w:sz="8" w:space="0" w:color="auto"/>
              <w:bottom w:val="single" w:sz="4" w:space="0" w:color="auto"/>
              <w:right w:val="single" w:sz="4" w:space="0" w:color="auto"/>
            </w:tcBorders>
            <w:shd w:val="clear" w:color="000000" w:fill="DDEBF7"/>
            <w:noWrap/>
            <w:vAlign w:val="center"/>
            <w:hideMark/>
          </w:tcPr>
          <w:p w14:paraId="011CF2C0" w14:textId="77777777" w:rsidR="00391EC8" w:rsidRDefault="00391EC8">
            <w:pPr>
              <w:jc w:val="center"/>
              <w:rPr>
                <w:rFonts w:ascii="Calibri" w:hAnsi="Calibri" w:cs="Calibri"/>
                <w:b/>
                <w:bCs/>
                <w:color w:val="000000"/>
                <w:sz w:val="22"/>
                <w:szCs w:val="22"/>
                <w:lang w:val="en-IN" w:eastAsia="en-IN"/>
              </w:rPr>
            </w:pPr>
            <w:r>
              <w:rPr>
                <w:rFonts w:ascii="Calibri" w:hAnsi="Calibri" w:cs="Calibri"/>
                <w:b/>
                <w:bCs/>
                <w:color w:val="000000"/>
                <w:sz w:val="22"/>
                <w:szCs w:val="22"/>
              </w:rPr>
              <w:t>Sl. No</w:t>
            </w:r>
          </w:p>
        </w:tc>
        <w:tc>
          <w:tcPr>
            <w:tcW w:w="4495" w:type="dxa"/>
            <w:vMerge w:val="restart"/>
            <w:tcBorders>
              <w:top w:val="single" w:sz="8" w:space="0" w:color="auto"/>
              <w:left w:val="single" w:sz="4" w:space="0" w:color="auto"/>
              <w:bottom w:val="single" w:sz="4" w:space="0" w:color="auto"/>
              <w:right w:val="single" w:sz="4" w:space="0" w:color="auto"/>
            </w:tcBorders>
            <w:shd w:val="clear" w:color="000000" w:fill="DDEBF7"/>
            <w:noWrap/>
            <w:vAlign w:val="center"/>
            <w:hideMark/>
          </w:tcPr>
          <w:p w14:paraId="4E994F5F" w14:textId="77777777" w:rsidR="00391EC8" w:rsidRDefault="00391EC8">
            <w:pPr>
              <w:jc w:val="center"/>
              <w:rPr>
                <w:rFonts w:ascii="Calibri" w:hAnsi="Calibri" w:cs="Calibri"/>
                <w:b/>
                <w:bCs/>
                <w:color w:val="000000"/>
                <w:sz w:val="22"/>
                <w:szCs w:val="22"/>
              </w:rPr>
            </w:pPr>
            <w:r>
              <w:rPr>
                <w:rFonts w:ascii="Calibri" w:hAnsi="Calibri" w:cs="Calibri"/>
                <w:b/>
                <w:bCs/>
                <w:color w:val="000000"/>
                <w:sz w:val="22"/>
                <w:szCs w:val="22"/>
              </w:rPr>
              <w:t>Name of the Industries</w:t>
            </w:r>
          </w:p>
        </w:tc>
        <w:tc>
          <w:tcPr>
            <w:tcW w:w="1380" w:type="dxa"/>
            <w:tcBorders>
              <w:top w:val="single" w:sz="8" w:space="0" w:color="auto"/>
              <w:left w:val="nil"/>
              <w:bottom w:val="single" w:sz="4" w:space="0" w:color="auto"/>
              <w:right w:val="single" w:sz="4" w:space="0" w:color="auto"/>
            </w:tcBorders>
            <w:shd w:val="clear" w:color="000000" w:fill="DDEBF7"/>
            <w:vAlign w:val="center"/>
            <w:hideMark/>
          </w:tcPr>
          <w:p w14:paraId="6A86BC03" w14:textId="77777777" w:rsidR="00391EC8" w:rsidRDefault="00391EC8">
            <w:pPr>
              <w:jc w:val="center"/>
              <w:rPr>
                <w:rFonts w:ascii="Calibri" w:hAnsi="Calibri" w:cs="Calibri"/>
                <w:b/>
                <w:bCs/>
                <w:color w:val="000000"/>
                <w:sz w:val="22"/>
                <w:szCs w:val="22"/>
              </w:rPr>
            </w:pPr>
            <w:r>
              <w:rPr>
                <w:rFonts w:ascii="Calibri" w:hAnsi="Calibri" w:cs="Calibri"/>
                <w:b/>
                <w:bCs/>
                <w:color w:val="000000"/>
                <w:sz w:val="22"/>
                <w:szCs w:val="22"/>
              </w:rPr>
              <w:t>Captive Plant Capacity</w:t>
            </w:r>
          </w:p>
        </w:tc>
        <w:tc>
          <w:tcPr>
            <w:tcW w:w="1480" w:type="dxa"/>
            <w:tcBorders>
              <w:top w:val="single" w:sz="8" w:space="0" w:color="auto"/>
              <w:left w:val="nil"/>
              <w:bottom w:val="single" w:sz="4" w:space="0" w:color="auto"/>
              <w:right w:val="single" w:sz="4" w:space="0" w:color="auto"/>
            </w:tcBorders>
            <w:shd w:val="clear" w:color="000000" w:fill="DDEBF7"/>
            <w:vAlign w:val="center"/>
            <w:hideMark/>
          </w:tcPr>
          <w:p w14:paraId="4DE7B5DA" w14:textId="77777777" w:rsidR="00391EC8" w:rsidRDefault="00391EC8">
            <w:pPr>
              <w:jc w:val="center"/>
              <w:rPr>
                <w:rFonts w:ascii="Calibri" w:hAnsi="Calibri" w:cs="Calibri"/>
                <w:b/>
                <w:bCs/>
                <w:color w:val="000000"/>
                <w:sz w:val="22"/>
                <w:szCs w:val="22"/>
              </w:rPr>
            </w:pPr>
            <w:r>
              <w:rPr>
                <w:rFonts w:ascii="Calibri" w:hAnsi="Calibri" w:cs="Calibri"/>
                <w:b/>
                <w:bCs/>
                <w:color w:val="000000"/>
                <w:sz w:val="22"/>
                <w:szCs w:val="22"/>
              </w:rPr>
              <w:t>Contract Demand</w:t>
            </w:r>
          </w:p>
        </w:tc>
        <w:tc>
          <w:tcPr>
            <w:tcW w:w="1359" w:type="dxa"/>
            <w:tcBorders>
              <w:top w:val="single" w:sz="8" w:space="0" w:color="auto"/>
              <w:left w:val="nil"/>
              <w:bottom w:val="single" w:sz="4" w:space="0" w:color="auto"/>
              <w:right w:val="single" w:sz="8" w:space="0" w:color="auto"/>
            </w:tcBorders>
            <w:shd w:val="clear" w:color="000000" w:fill="DDEBF7"/>
            <w:noWrap/>
            <w:vAlign w:val="center"/>
            <w:hideMark/>
          </w:tcPr>
          <w:p w14:paraId="4D384236" w14:textId="77777777" w:rsidR="00391EC8" w:rsidRDefault="00391EC8">
            <w:pPr>
              <w:jc w:val="center"/>
              <w:rPr>
                <w:rFonts w:ascii="Calibri" w:hAnsi="Calibri" w:cs="Calibri"/>
                <w:b/>
                <w:bCs/>
                <w:color w:val="000000"/>
                <w:sz w:val="22"/>
                <w:szCs w:val="22"/>
              </w:rPr>
            </w:pPr>
            <w:r>
              <w:rPr>
                <w:rFonts w:ascii="Calibri" w:hAnsi="Calibri" w:cs="Calibri"/>
                <w:b/>
                <w:bCs/>
                <w:color w:val="000000"/>
                <w:sz w:val="22"/>
                <w:szCs w:val="22"/>
              </w:rPr>
              <w:t>Connectivity</w:t>
            </w:r>
          </w:p>
        </w:tc>
      </w:tr>
      <w:tr w:rsidR="00391EC8" w14:paraId="030F6E52" w14:textId="77777777" w:rsidTr="00391EC8">
        <w:trPr>
          <w:trHeight w:val="300"/>
          <w:tblHeader/>
        </w:trPr>
        <w:tc>
          <w:tcPr>
            <w:tcW w:w="740" w:type="dxa"/>
            <w:vMerge/>
            <w:tcBorders>
              <w:top w:val="single" w:sz="8" w:space="0" w:color="auto"/>
              <w:left w:val="single" w:sz="8" w:space="0" w:color="auto"/>
              <w:bottom w:val="single" w:sz="4" w:space="0" w:color="auto"/>
              <w:right w:val="single" w:sz="4" w:space="0" w:color="auto"/>
            </w:tcBorders>
            <w:vAlign w:val="center"/>
            <w:hideMark/>
          </w:tcPr>
          <w:p w14:paraId="78681683" w14:textId="77777777" w:rsidR="00391EC8" w:rsidRDefault="00391EC8">
            <w:pPr>
              <w:rPr>
                <w:rFonts w:ascii="Calibri" w:hAnsi="Calibri" w:cs="Calibri"/>
                <w:b/>
                <w:bCs/>
                <w:color w:val="000000"/>
                <w:sz w:val="22"/>
                <w:szCs w:val="22"/>
              </w:rPr>
            </w:pPr>
          </w:p>
        </w:tc>
        <w:tc>
          <w:tcPr>
            <w:tcW w:w="4495" w:type="dxa"/>
            <w:vMerge/>
            <w:tcBorders>
              <w:top w:val="single" w:sz="8" w:space="0" w:color="auto"/>
              <w:left w:val="single" w:sz="4" w:space="0" w:color="auto"/>
              <w:bottom w:val="single" w:sz="4" w:space="0" w:color="auto"/>
              <w:right w:val="single" w:sz="4" w:space="0" w:color="auto"/>
            </w:tcBorders>
            <w:vAlign w:val="center"/>
            <w:hideMark/>
          </w:tcPr>
          <w:p w14:paraId="4C34A770" w14:textId="77777777" w:rsidR="00391EC8" w:rsidRDefault="00391EC8">
            <w:pPr>
              <w:rPr>
                <w:rFonts w:ascii="Calibri" w:hAnsi="Calibri" w:cs="Calibri"/>
                <w:b/>
                <w:bCs/>
                <w:color w:val="000000"/>
                <w:sz w:val="22"/>
                <w:szCs w:val="22"/>
              </w:rPr>
            </w:pPr>
          </w:p>
        </w:tc>
        <w:tc>
          <w:tcPr>
            <w:tcW w:w="1380" w:type="dxa"/>
            <w:tcBorders>
              <w:top w:val="nil"/>
              <w:left w:val="nil"/>
              <w:bottom w:val="single" w:sz="4" w:space="0" w:color="auto"/>
              <w:right w:val="single" w:sz="4" w:space="0" w:color="auto"/>
            </w:tcBorders>
            <w:shd w:val="clear" w:color="000000" w:fill="DDEBF7"/>
            <w:noWrap/>
            <w:vAlign w:val="center"/>
            <w:hideMark/>
          </w:tcPr>
          <w:p w14:paraId="1B084A3B" w14:textId="77777777" w:rsidR="00391EC8" w:rsidRDefault="00391EC8">
            <w:pPr>
              <w:jc w:val="center"/>
              <w:rPr>
                <w:rFonts w:ascii="Calibri" w:hAnsi="Calibri" w:cs="Calibri"/>
                <w:b/>
                <w:bCs/>
                <w:color w:val="000000"/>
                <w:sz w:val="22"/>
                <w:szCs w:val="22"/>
              </w:rPr>
            </w:pPr>
            <w:r>
              <w:rPr>
                <w:rFonts w:ascii="Calibri" w:hAnsi="Calibri" w:cs="Calibri"/>
                <w:b/>
                <w:bCs/>
                <w:color w:val="000000"/>
                <w:sz w:val="22"/>
                <w:szCs w:val="22"/>
              </w:rPr>
              <w:t>(MW)</w:t>
            </w:r>
          </w:p>
        </w:tc>
        <w:tc>
          <w:tcPr>
            <w:tcW w:w="1480" w:type="dxa"/>
            <w:tcBorders>
              <w:top w:val="nil"/>
              <w:left w:val="nil"/>
              <w:bottom w:val="single" w:sz="4" w:space="0" w:color="auto"/>
              <w:right w:val="single" w:sz="4" w:space="0" w:color="auto"/>
            </w:tcBorders>
            <w:shd w:val="clear" w:color="000000" w:fill="DDEBF7"/>
            <w:noWrap/>
            <w:vAlign w:val="center"/>
            <w:hideMark/>
          </w:tcPr>
          <w:p w14:paraId="28148B68" w14:textId="77777777" w:rsidR="00391EC8" w:rsidRDefault="00391EC8">
            <w:pPr>
              <w:jc w:val="center"/>
              <w:rPr>
                <w:rFonts w:ascii="Calibri" w:hAnsi="Calibri" w:cs="Calibri"/>
                <w:b/>
                <w:bCs/>
                <w:color w:val="000000"/>
                <w:sz w:val="22"/>
                <w:szCs w:val="22"/>
              </w:rPr>
            </w:pPr>
            <w:r>
              <w:rPr>
                <w:rFonts w:ascii="Calibri" w:hAnsi="Calibri" w:cs="Calibri"/>
                <w:b/>
                <w:bCs/>
                <w:color w:val="000000"/>
                <w:sz w:val="22"/>
                <w:szCs w:val="22"/>
              </w:rPr>
              <w:t>(kW/kVA)</w:t>
            </w:r>
          </w:p>
        </w:tc>
        <w:tc>
          <w:tcPr>
            <w:tcW w:w="1359" w:type="dxa"/>
            <w:tcBorders>
              <w:top w:val="nil"/>
              <w:left w:val="nil"/>
              <w:bottom w:val="single" w:sz="4" w:space="0" w:color="auto"/>
              <w:right w:val="single" w:sz="8" w:space="0" w:color="auto"/>
            </w:tcBorders>
            <w:shd w:val="clear" w:color="000000" w:fill="DDEBF7"/>
            <w:noWrap/>
            <w:vAlign w:val="center"/>
            <w:hideMark/>
          </w:tcPr>
          <w:p w14:paraId="3734E3AE" w14:textId="77777777" w:rsidR="00391EC8" w:rsidRDefault="00391EC8">
            <w:pPr>
              <w:jc w:val="center"/>
              <w:rPr>
                <w:rFonts w:ascii="Calibri" w:hAnsi="Calibri" w:cs="Calibri"/>
                <w:b/>
                <w:bCs/>
                <w:color w:val="000000"/>
                <w:sz w:val="22"/>
                <w:szCs w:val="22"/>
              </w:rPr>
            </w:pPr>
            <w:r>
              <w:rPr>
                <w:rFonts w:ascii="Calibri" w:hAnsi="Calibri" w:cs="Calibri"/>
                <w:b/>
                <w:bCs/>
                <w:color w:val="000000"/>
                <w:sz w:val="22"/>
                <w:szCs w:val="22"/>
              </w:rPr>
              <w:t>(HT/EHT)</w:t>
            </w:r>
          </w:p>
        </w:tc>
      </w:tr>
      <w:tr w:rsidR="00391EC8" w14:paraId="3AC859F8"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0207E6AE"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1</w:t>
            </w:r>
          </w:p>
        </w:tc>
        <w:tc>
          <w:tcPr>
            <w:tcW w:w="4495" w:type="dxa"/>
            <w:tcBorders>
              <w:top w:val="nil"/>
              <w:left w:val="nil"/>
              <w:bottom w:val="single" w:sz="4" w:space="0" w:color="auto"/>
              <w:right w:val="single" w:sz="4" w:space="0" w:color="auto"/>
            </w:tcBorders>
            <w:noWrap/>
            <w:vAlign w:val="center"/>
            <w:hideMark/>
          </w:tcPr>
          <w:p w14:paraId="04295F1C" w14:textId="77777777" w:rsidR="00391EC8" w:rsidRDefault="00391EC8">
            <w:pPr>
              <w:rPr>
                <w:rFonts w:ascii="Calibri" w:hAnsi="Calibri" w:cs="Calibri"/>
                <w:sz w:val="22"/>
                <w:szCs w:val="22"/>
              </w:rPr>
            </w:pPr>
            <w:r>
              <w:rPr>
                <w:rFonts w:ascii="Calibri" w:hAnsi="Calibri" w:cs="Calibri"/>
                <w:sz w:val="22"/>
                <w:szCs w:val="22"/>
              </w:rPr>
              <w:t>ACC Ltd</w:t>
            </w:r>
          </w:p>
        </w:tc>
        <w:tc>
          <w:tcPr>
            <w:tcW w:w="1380" w:type="dxa"/>
            <w:tcBorders>
              <w:top w:val="nil"/>
              <w:left w:val="nil"/>
              <w:bottom w:val="single" w:sz="4" w:space="0" w:color="auto"/>
              <w:right w:val="single" w:sz="4" w:space="0" w:color="auto"/>
            </w:tcBorders>
            <w:noWrap/>
            <w:vAlign w:val="center"/>
            <w:hideMark/>
          </w:tcPr>
          <w:p w14:paraId="42325AA2" w14:textId="77777777" w:rsidR="00391EC8" w:rsidRDefault="00391EC8">
            <w:pPr>
              <w:jc w:val="center"/>
              <w:rPr>
                <w:rFonts w:ascii="Calibri" w:hAnsi="Calibri" w:cs="Calibri"/>
                <w:sz w:val="22"/>
                <w:szCs w:val="22"/>
              </w:rPr>
            </w:pPr>
            <w:r>
              <w:rPr>
                <w:rFonts w:ascii="Calibri" w:hAnsi="Calibri" w:cs="Calibri"/>
                <w:sz w:val="22"/>
                <w:szCs w:val="22"/>
              </w:rPr>
              <w:t>30</w:t>
            </w:r>
          </w:p>
        </w:tc>
        <w:tc>
          <w:tcPr>
            <w:tcW w:w="1480" w:type="dxa"/>
            <w:tcBorders>
              <w:top w:val="nil"/>
              <w:left w:val="nil"/>
              <w:bottom w:val="single" w:sz="4" w:space="0" w:color="auto"/>
              <w:right w:val="single" w:sz="4" w:space="0" w:color="auto"/>
            </w:tcBorders>
            <w:noWrap/>
            <w:vAlign w:val="center"/>
            <w:hideMark/>
          </w:tcPr>
          <w:p w14:paraId="20CBC42C" w14:textId="77777777" w:rsidR="00391EC8" w:rsidRDefault="00391EC8">
            <w:pPr>
              <w:jc w:val="center"/>
              <w:rPr>
                <w:rFonts w:ascii="Calibri" w:hAnsi="Calibri" w:cs="Calibri"/>
                <w:sz w:val="22"/>
                <w:szCs w:val="22"/>
              </w:rPr>
            </w:pPr>
            <w:r>
              <w:rPr>
                <w:rFonts w:ascii="Calibri" w:hAnsi="Calibri" w:cs="Calibri"/>
                <w:sz w:val="22"/>
                <w:szCs w:val="22"/>
              </w:rPr>
              <w:t>5000</w:t>
            </w:r>
          </w:p>
        </w:tc>
        <w:tc>
          <w:tcPr>
            <w:tcW w:w="1359" w:type="dxa"/>
            <w:tcBorders>
              <w:top w:val="nil"/>
              <w:left w:val="nil"/>
              <w:bottom w:val="single" w:sz="4" w:space="0" w:color="auto"/>
              <w:right w:val="single" w:sz="8" w:space="0" w:color="auto"/>
            </w:tcBorders>
            <w:noWrap/>
            <w:vAlign w:val="center"/>
            <w:hideMark/>
          </w:tcPr>
          <w:p w14:paraId="44318501"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EHT</w:t>
            </w:r>
          </w:p>
        </w:tc>
      </w:tr>
      <w:tr w:rsidR="00391EC8" w14:paraId="0BDD0866"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33305A6F"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2</w:t>
            </w:r>
          </w:p>
        </w:tc>
        <w:tc>
          <w:tcPr>
            <w:tcW w:w="4495" w:type="dxa"/>
            <w:tcBorders>
              <w:top w:val="nil"/>
              <w:left w:val="nil"/>
              <w:bottom w:val="single" w:sz="4" w:space="0" w:color="auto"/>
              <w:right w:val="single" w:sz="4" w:space="0" w:color="auto"/>
            </w:tcBorders>
            <w:noWrap/>
            <w:vAlign w:val="center"/>
            <w:hideMark/>
          </w:tcPr>
          <w:p w14:paraId="610A17E8" w14:textId="77777777" w:rsidR="00391EC8" w:rsidRDefault="00391EC8">
            <w:pPr>
              <w:rPr>
                <w:rFonts w:ascii="Calibri" w:hAnsi="Calibri" w:cs="Calibri"/>
                <w:sz w:val="22"/>
                <w:szCs w:val="22"/>
              </w:rPr>
            </w:pPr>
            <w:proofErr w:type="spellStart"/>
            <w:r>
              <w:rPr>
                <w:rFonts w:ascii="Calibri" w:hAnsi="Calibri" w:cs="Calibri"/>
                <w:sz w:val="22"/>
                <w:szCs w:val="22"/>
              </w:rPr>
              <w:t>Adhunik</w:t>
            </w:r>
            <w:proofErr w:type="spellEnd"/>
            <w:r>
              <w:rPr>
                <w:rFonts w:ascii="Calibri" w:hAnsi="Calibri" w:cs="Calibri"/>
                <w:sz w:val="22"/>
                <w:szCs w:val="22"/>
              </w:rPr>
              <w:t xml:space="preserve"> </w:t>
            </w:r>
            <w:proofErr w:type="spellStart"/>
            <w:r>
              <w:rPr>
                <w:rFonts w:ascii="Calibri" w:hAnsi="Calibri" w:cs="Calibri"/>
                <w:sz w:val="22"/>
                <w:szCs w:val="22"/>
              </w:rPr>
              <w:t>Metalicks</w:t>
            </w:r>
            <w:proofErr w:type="spellEnd"/>
            <w:r>
              <w:rPr>
                <w:rFonts w:ascii="Calibri" w:hAnsi="Calibri" w:cs="Calibri"/>
                <w:sz w:val="22"/>
                <w:szCs w:val="22"/>
              </w:rPr>
              <w:t xml:space="preserve"> Ltd.</w:t>
            </w:r>
          </w:p>
        </w:tc>
        <w:tc>
          <w:tcPr>
            <w:tcW w:w="1380" w:type="dxa"/>
            <w:tcBorders>
              <w:top w:val="nil"/>
              <w:left w:val="nil"/>
              <w:bottom w:val="single" w:sz="4" w:space="0" w:color="auto"/>
              <w:right w:val="single" w:sz="4" w:space="0" w:color="auto"/>
            </w:tcBorders>
            <w:noWrap/>
            <w:vAlign w:val="center"/>
            <w:hideMark/>
          </w:tcPr>
          <w:p w14:paraId="5B441957" w14:textId="77777777" w:rsidR="00391EC8" w:rsidRDefault="00391EC8">
            <w:pPr>
              <w:jc w:val="center"/>
              <w:rPr>
                <w:rFonts w:ascii="Calibri" w:hAnsi="Calibri" w:cs="Calibri"/>
                <w:sz w:val="22"/>
                <w:szCs w:val="22"/>
              </w:rPr>
            </w:pPr>
            <w:r>
              <w:rPr>
                <w:rFonts w:ascii="Calibri" w:hAnsi="Calibri" w:cs="Calibri"/>
                <w:sz w:val="22"/>
                <w:szCs w:val="22"/>
              </w:rPr>
              <w:t>36</w:t>
            </w:r>
          </w:p>
        </w:tc>
        <w:tc>
          <w:tcPr>
            <w:tcW w:w="1480" w:type="dxa"/>
            <w:tcBorders>
              <w:top w:val="nil"/>
              <w:left w:val="nil"/>
              <w:bottom w:val="single" w:sz="4" w:space="0" w:color="auto"/>
              <w:right w:val="single" w:sz="4" w:space="0" w:color="auto"/>
            </w:tcBorders>
            <w:noWrap/>
            <w:vAlign w:val="center"/>
            <w:hideMark/>
          </w:tcPr>
          <w:p w14:paraId="5E8CF452" w14:textId="77777777" w:rsidR="00391EC8" w:rsidRDefault="00391EC8">
            <w:pPr>
              <w:jc w:val="center"/>
              <w:rPr>
                <w:rFonts w:ascii="Calibri" w:hAnsi="Calibri" w:cs="Calibri"/>
                <w:sz w:val="22"/>
                <w:szCs w:val="22"/>
              </w:rPr>
            </w:pPr>
            <w:r>
              <w:rPr>
                <w:rFonts w:ascii="Calibri" w:hAnsi="Calibri" w:cs="Calibri"/>
                <w:sz w:val="22"/>
                <w:szCs w:val="22"/>
              </w:rPr>
              <w:t>23000</w:t>
            </w:r>
          </w:p>
        </w:tc>
        <w:tc>
          <w:tcPr>
            <w:tcW w:w="1359" w:type="dxa"/>
            <w:tcBorders>
              <w:top w:val="nil"/>
              <w:left w:val="nil"/>
              <w:bottom w:val="single" w:sz="4" w:space="0" w:color="auto"/>
              <w:right w:val="single" w:sz="8" w:space="0" w:color="auto"/>
            </w:tcBorders>
            <w:noWrap/>
            <w:vAlign w:val="center"/>
            <w:hideMark/>
          </w:tcPr>
          <w:p w14:paraId="6085E632"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EHT</w:t>
            </w:r>
          </w:p>
        </w:tc>
      </w:tr>
      <w:tr w:rsidR="00391EC8" w14:paraId="47FFD550"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3997EAAD"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3</w:t>
            </w:r>
          </w:p>
        </w:tc>
        <w:tc>
          <w:tcPr>
            <w:tcW w:w="4495" w:type="dxa"/>
            <w:tcBorders>
              <w:top w:val="nil"/>
              <w:left w:val="nil"/>
              <w:bottom w:val="single" w:sz="4" w:space="0" w:color="auto"/>
              <w:right w:val="single" w:sz="4" w:space="0" w:color="auto"/>
            </w:tcBorders>
            <w:noWrap/>
            <w:vAlign w:val="center"/>
            <w:hideMark/>
          </w:tcPr>
          <w:p w14:paraId="1412BC7A" w14:textId="77777777" w:rsidR="00391EC8" w:rsidRDefault="00391EC8">
            <w:pPr>
              <w:rPr>
                <w:rFonts w:ascii="Calibri" w:hAnsi="Calibri" w:cs="Calibri"/>
                <w:sz w:val="22"/>
                <w:szCs w:val="22"/>
              </w:rPr>
            </w:pPr>
            <w:r>
              <w:rPr>
                <w:rFonts w:ascii="Calibri" w:hAnsi="Calibri" w:cs="Calibri"/>
                <w:sz w:val="22"/>
                <w:szCs w:val="22"/>
              </w:rPr>
              <w:t xml:space="preserve">Aditya Aluminum Ltd.- </w:t>
            </w:r>
            <w:proofErr w:type="spellStart"/>
            <w:r>
              <w:rPr>
                <w:rFonts w:ascii="Calibri" w:hAnsi="Calibri" w:cs="Calibri"/>
                <w:sz w:val="22"/>
                <w:szCs w:val="22"/>
              </w:rPr>
              <w:t>Lapanga</w:t>
            </w:r>
            <w:proofErr w:type="spellEnd"/>
          </w:p>
        </w:tc>
        <w:tc>
          <w:tcPr>
            <w:tcW w:w="1380" w:type="dxa"/>
            <w:tcBorders>
              <w:top w:val="nil"/>
              <w:left w:val="nil"/>
              <w:bottom w:val="single" w:sz="4" w:space="0" w:color="auto"/>
              <w:right w:val="single" w:sz="4" w:space="0" w:color="auto"/>
            </w:tcBorders>
            <w:noWrap/>
            <w:vAlign w:val="center"/>
            <w:hideMark/>
          </w:tcPr>
          <w:p w14:paraId="2DD54EB1" w14:textId="77777777" w:rsidR="00391EC8" w:rsidRDefault="00391EC8">
            <w:pPr>
              <w:jc w:val="center"/>
              <w:rPr>
                <w:rFonts w:ascii="Calibri" w:hAnsi="Calibri" w:cs="Calibri"/>
                <w:sz w:val="22"/>
                <w:szCs w:val="22"/>
              </w:rPr>
            </w:pPr>
            <w:r>
              <w:rPr>
                <w:rFonts w:ascii="Calibri" w:hAnsi="Calibri" w:cs="Calibri"/>
                <w:sz w:val="22"/>
                <w:szCs w:val="22"/>
              </w:rPr>
              <w:t>900</w:t>
            </w:r>
          </w:p>
        </w:tc>
        <w:tc>
          <w:tcPr>
            <w:tcW w:w="1480" w:type="dxa"/>
            <w:tcBorders>
              <w:top w:val="nil"/>
              <w:left w:val="nil"/>
              <w:bottom w:val="single" w:sz="4" w:space="0" w:color="auto"/>
              <w:right w:val="single" w:sz="4" w:space="0" w:color="auto"/>
            </w:tcBorders>
            <w:noWrap/>
            <w:vAlign w:val="center"/>
            <w:hideMark/>
          </w:tcPr>
          <w:p w14:paraId="6B38A2E2" w14:textId="77777777" w:rsidR="00391EC8" w:rsidRDefault="00391EC8">
            <w:pPr>
              <w:jc w:val="center"/>
              <w:rPr>
                <w:rFonts w:ascii="Calibri" w:hAnsi="Calibri" w:cs="Calibri"/>
                <w:sz w:val="22"/>
                <w:szCs w:val="22"/>
              </w:rPr>
            </w:pPr>
            <w:r>
              <w:rPr>
                <w:rFonts w:ascii="Calibri" w:hAnsi="Calibri" w:cs="Calibri"/>
                <w:sz w:val="22"/>
                <w:szCs w:val="22"/>
              </w:rPr>
              <w:t>55556</w:t>
            </w:r>
          </w:p>
        </w:tc>
        <w:tc>
          <w:tcPr>
            <w:tcW w:w="1359" w:type="dxa"/>
            <w:tcBorders>
              <w:top w:val="nil"/>
              <w:left w:val="nil"/>
              <w:bottom w:val="single" w:sz="4" w:space="0" w:color="auto"/>
              <w:right w:val="single" w:sz="8" w:space="0" w:color="auto"/>
            </w:tcBorders>
            <w:noWrap/>
            <w:vAlign w:val="center"/>
            <w:hideMark/>
          </w:tcPr>
          <w:p w14:paraId="76CD95FC"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EHT</w:t>
            </w:r>
          </w:p>
        </w:tc>
      </w:tr>
      <w:tr w:rsidR="00391EC8" w14:paraId="21694BDA"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3CA74623"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4</w:t>
            </w:r>
          </w:p>
        </w:tc>
        <w:tc>
          <w:tcPr>
            <w:tcW w:w="4495" w:type="dxa"/>
            <w:tcBorders>
              <w:top w:val="nil"/>
              <w:left w:val="nil"/>
              <w:bottom w:val="single" w:sz="4" w:space="0" w:color="auto"/>
              <w:right w:val="single" w:sz="4" w:space="0" w:color="auto"/>
            </w:tcBorders>
            <w:noWrap/>
            <w:vAlign w:val="center"/>
            <w:hideMark/>
          </w:tcPr>
          <w:p w14:paraId="783A9204" w14:textId="77777777" w:rsidR="00391EC8" w:rsidRDefault="00391EC8">
            <w:pPr>
              <w:rPr>
                <w:rFonts w:ascii="Calibri" w:hAnsi="Calibri" w:cs="Calibri"/>
                <w:sz w:val="22"/>
                <w:szCs w:val="22"/>
              </w:rPr>
            </w:pPr>
            <w:r>
              <w:rPr>
                <w:rFonts w:ascii="Calibri" w:hAnsi="Calibri" w:cs="Calibri"/>
                <w:sz w:val="22"/>
                <w:szCs w:val="22"/>
              </w:rPr>
              <w:t xml:space="preserve">Aryan </w:t>
            </w:r>
            <w:proofErr w:type="spellStart"/>
            <w:r>
              <w:rPr>
                <w:rFonts w:ascii="Calibri" w:hAnsi="Calibri" w:cs="Calibri"/>
                <w:sz w:val="22"/>
                <w:szCs w:val="22"/>
              </w:rPr>
              <w:t>Ispat</w:t>
            </w:r>
            <w:proofErr w:type="spellEnd"/>
            <w:r>
              <w:rPr>
                <w:rFonts w:ascii="Calibri" w:hAnsi="Calibri" w:cs="Calibri"/>
                <w:sz w:val="22"/>
                <w:szCs w:val="22"/>
              </w:rPr>
              <w:t xml:space="preserve"> &amp; Power Ltd.</w:t>
            </w:r>
          </w:p>
        </w:tc>
        <w:tc>
          <w:tcPr>
            <w:tcW w:w="1380" w:type="dxa"/>
            <w:tcBorders>
              <w:top w:val="nil"/>
              <w:left w:val="nil"/>
              <w:bottom w:val="single" w:sz="4" w:space="0" w:color="auto"/>
              <w:right w:val="single" w:sz="4" w:space="0" w:color="auto"/>
            </w:tcBorders>
            <w:noWrap/>
            <w:vAlign w:val="center"/>
            <w:hideMark/>
          </w:tcPr>
          <w:p w14:paraId="7A009378" w14:textId="77777777" w:rsidR="00391EC8" w:rsidRDefault="00391EC8">
            <w:pPr>
              <w:jc w:val="center"/>
              <w:rPr>
                <w:rFonts w:ascii="Calibri" w:hAnsi="Calibri" w:cs="Calibri"/>
                <w:sz w:val="22"/>
                <w:szCs w:val="22"/>
              </w:rPr>
            </w:pPr>
            <w:r>
              <w:rPr>
                <w:rFonts w:ascii="Calibri" w:hAnsi="Calibri" w:cs="Calibri"/>
                <w:sz w:val="22"/>
                <w:szCs w:val="22"/>
              </w:rPr>
              <w:t>18</w:t>
            </w:r>
          </w:p>
        </w:tc>
        <w:tc>
          <w:tcPr>
            <w:tcW w:w="1480" w:type="dxa"/>
            <w:tcBorders>
              <w:top w:val="nil"/>
              <w:left w:val="nil"/>
              <w:bottom w:val="single" w:sz="4" w:space="0" w:color="auto"/>
              <w:right w:val="single" w:sz="4" w:space="0" w:color="auto"/>
            </w:tcBorders>
            <w:noWrap/>
            <w:vAlign w:val="center"/>
            <w:hideMark/>
          </w:tcPr>
          <w:p w14:paraId="032651B7" w14:textId="77777777" w:rsidR="00391EC8" w:rsidRDefault="00391EC8">
            <w:pPr>
              <w:jc w:val="center"/>
              <w:rPr>
                <w:rFonts w:ascii="Calibri" w:hAnsi="Calibri" w:cs="Calibri"/>
                <w:sz w:val="22"/>
                <w:szCs w:val="22"/>
              </w:rPr>
            </w:pPr>
            <w:r>
              <w:rPr>
                <w:rFonts w:ascii="Calibri" w:hAnsi="Calibri" w:cs="Calibri"/>
                <w:sz w:val="22"/>
                <w:szCs w:val="22"/>
              </w:rPr>
              <w:t>5000</w:t>
            </w:r>
          </w:p>
        </w:tc>
        <w:tc>
          <w:tcPr>
            <w:tcW w:w="1359" w:type="dxa"/>
            <w:tcBorders>
              <w:top w:val="nil"/>
              <w:left w:val="nil"/>
              <w:bottom w:val="single" w:sz="4" w:space="0" w:color="auto"/>
              <w:right w:val="single" w:sz="8" w:space="0" w:color="auto"/>
            </w:tcBorders>
            <w:noWrap/>
            <w:vAlign w:val="center"/>
            <w:hideMark/>
          </w:tcPr>
          <w:p w14:paraId="70199B57"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EHT</w:t>
            </w:r>
          </w:p>
        </w:tc>
      </w:tr>
      <w:tr w:rsidR="00391EC8" w14:paraId="0CD288ED"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5F8F9C52"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5</w:t>
            </w:r>
          </w:p>
        </w:tc>
        <w:tc>
          <w:tcPr>
            <w:tcW w:w="4495" w:type="dxa"/>
            <w:tcBorders>
              <w:top w:val="nil"/>
              <w:left w:val="nil"/>
              <w:bottom w:val="single" w:sz="4" w:space="0" w:color="auto"/>
              <w:right w:val="single" w:sz="4" w:space="0" w:color="auto"/>
            </w:tcBorders>
            <w:noWrap/>
            <w:vAlign w:val="center"/>
            <w:hideMark/>
          </w:tcPr>
          <w:p w14:paraId="236CE37C" w14:textId="77777777" w:rsidR="00391EC8" w:rsidRDefault="00391EC8">
            <w:pPr>
              <w:rPr>
                <w:rFonts w:ascii="Calibri" w:hAnsi="Calibri" w:cs="Calibri"/>
                <w:sz w:val="22"/>
                <w:szCs w:val="22"/>
              </w:rPr>
            </w:pPr>
            <w:r>
              <w:rPr>
                <w:rFonts w:ascii="Calibri" w:hAnsi="Calibri" w:cs="Calibri"/>
                <w:sz w:val="22"/>
                <w:szCs w:val="22"/>
              </w:rPr>
              <w:t>Bhaskar Steel &amp; Ferro Alloys Ltd.</w:t>
            </w:r>
          </w:p>
        </w:tc>
        <w:tc>
          <w:tcPr>
            <w:tcW w:w="1380" w:type="dxa"/>
            <w:tcBorders>
              <w:top w:val="nil"/>
              <w:left w:val="nil"/>
              <w:bottom w:val="single" w:sz="4" w:space="0" w:color="auto"/>
              <w:right w:val="single" w:sz="4" w:space="0" w:color="auto"/>
            </w:tcBorders>
            <w:noWrap/>
            <w:vAlign w:val="center"/>
            <w:hideMark/>
          </w:tcPr>
          <w:p w14:paraId="235FE2E4" w14:textId="77777777" w:rsidR="00391EC8" w:rsidRDefault="00391EC8">
            <w:pPr>
              <w:jc w:val="center"/>
              <w:rPr>
                <w:rFonts w:ascii="Calibri" w:hAnsi="Calibri" w:cs="Calibri"/>
                <w:sz w:val="22"/>
                <w:szCs w:val="22"/>
              </w:rPr>
            </w:pPr>
            <w:r>
              <w:rPr>
                <w:rFonts w:ascii="Calibri" w:hAnsi="Calibri" w:cs="Calibri"/>
                <w:sz w:val="22"/>
                <w:szCs w:val="22"/>
              </w:rPr>
              <w:t>22</w:t>
            </w:r>
          </w:p>
        </w:tc>
        <w:tc>
          <w:tcPr>
            <w:tcW w:w="1480" w:type="dxa"/>
            <w:tcBorders>
              <w:top w:val="nil"/>
              <w:left w:val="nil"/>
              <w:bottom w:val="single" w:sz="4" w:space="0" w:color="auto"/>
              <w:right w:val="single" w:sz="4" w:space="0" w:color="auto"/>
            </w:tcBorders>
            <w:noWrap/>
            <w:vAlign w:val="center"/>
            <w:hideMark/>
          </w:tcPr>
          <w:p w14:paraId="30900C50" w14:textId="77777777" w:rsidR="00391EC8" w:rsidRDefault="00391EC8">
            <w:pPr>
              <w:jc w:val="center"/>
              <w:rPr>
                <w:rFonts w:ascii="Calibri" w:hAnsi="Calibri" w:cs="Calibri"/>
                <w:sz w:val="22"/>
                <w:szCs w:val="22"/>
              </w:rPr>
            </w:pPr>
            <w:r>
              <w:rPr>
                <w:rFonts w:ascii="Calibri" w:hAnsi="Calibri" w:cs="Calibri"/>
                <w:sz w:val="22"/>
                <w:szCs w:val="22"/>
              </w:rPr>
              <w:t>4000</w:t>
            </w:r>
          </w:p>
        </w:tc>
        <w:tc>
          <w:tcPr>
            <w:tcW w:w="1359" w:type="dxa"/>
            <w:tcBorders>
              <w:top w:val="nil"/>
              <w:left w:val="nil"/>
              <w:bottom w:val="single" w:sz="4" w:space="0" w:color="auto"/>
              <w:right w:val="single" w:sz="8" w:space="0" w:color="auto"/>
            </w:tcBorders>
            <w:noWrap/>
            <w:vAlign w:val="center"/>
            <w:hideMark/>
          </w:tcPr>
          <w:p w14:paraId="2135177B"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HT</w:t>
            </w:r>
          </w:p>
        </w:tc>
      </w:tr>
      <w:tr w:rsidR="00391EC8" w14:paraId="20196994"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03DBAB44"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6</w:t>
            </w:r>
          </w:p>
        </w:tc>
        <w:tc>
          <w:tcPr>
            <w:tcW w:w="4495" w:type="dxa"/>
            <w:tcBorders>
              <w:top w:val="nil"/>
              <w:left w:val="nil"/>
              <w:bottom w:val="single" w:sz="4" w:space="0" w:color="auto"/>
              <w:right w:val="single" w:sz="4" w:space="0" w:color="auto"/>
            </w:tcBorders>
            <w:noWrap/>
            <w:vAlign w:val="center"/>
            <w:hideMark/>
          </w:tcPr>
          <w:p w14:paraId="1D4607E7" w14:textId="77777777" w:rsidR="00391EC8" w:rsidRDefault="00391EC8">
            <w:pPr>
              <w:rPr>
                <w:rFonts w:ascii="Calibri" w:hAnsi="Calibri" w:cs="Calibri"/>
                <w:sz w:val="22"/>
                <w:szCs w:val="22"/>
              </w:rPr>
            </w:pPr>
            <w:r>
              <w:rPr>
                <w:rFonts w:ascii="Calibri" w:hAnsi="Calibri" w:cs="Calibri"/>
                <w:sz w:val="22"/>
                <w:szCs w:val="22"/>
              </w:rPr>
              <w:t>Bhusan Power &amp; Steel Ltd.</w:t>
            </w:r>
          </w:p>
        </w:tc>
        <w:tc>
          <w:tcPr>
            <w:tcW w:w="1380" w:type="dxa"/>
            <w:tcBorders>
              <w:top w:val="nil"/>
              <w:left w:val="nil"/>
              <w:bottom w:val="single" w:sz="4" w:space="0" w:color="auto"/>
              <w:right w:val="single" w:sz="4" w:space="0" w:color="auto"/>
            </w:tcBorders>
            <w:noWrap/>
            <w:vAlign w:val="center"/>
            <w:hideMark/>
          </w:tcPr>
          <w:p w14:paraId="22A9E53D" w14:textId="77777777" w:rsidR="00391EC8" w:rsidRDefault="00391EC8">
            <w:pPr>
              <w:jc w:val="center"/>
              <w:rPr>
                <w:rFonts w:ascii="Calibri" w:hAnsi="Calibri" w:cs="Calibri"/>
                <w:sz w:val="22"/>
                <w:szCs w:val="22"/>
              </w:rPr>
            </w:pPr>
            <w:r>
              <w:rPr>
                <w:rFonts w:ascii="Calibri" w:hAnsi="Calibri" w:cs="Calibri"/>
                <w:sz w:val="22"/>
                <w:szCs w:val="22"/>
              </w:rPr>
              <w:t>513</w:t>
            </w:r>
          </w:p>
        </w:tc>
        <w:tc>
          <w:tcPr>
            <w:tcW w:w="1480" w:type="dxa"/>
            <w:tcBorders>
              <w:top w:val="nil"/>
              <w:left w:val="nil"/>
              <w:bottom w:val="single" w:sz="4" w:space="0" w:color="auto"/>
              <w:right w:val="single" w:sz="4" w:space="0" w:color="auto"/>
            </w:tcBorders>
            <w:noWrap/>
            <w:vAlign w:val="center"/>
            <w:hideMark/>
          </w:tcPr>
          <w:p w14:paraId="6ACC111A" w14:textId="77777777" w:rsidR="00391EC8" w:rsidRDefault="00391EC8">
            <w:pPr>
              <w:jc w:val="center"/>
              <w:rPr>
                <w:rFonts w:ascii="Calibri" w:hAnsi="Calibri" w:cs="Calibri"/>
                <w:sz w:val="22"/>
                <w:szCs w:val="22"/>
              </w:rPr>
            </w:pPr>
            <w:r>
              <w:rPr>
                <w:rFonts w:ascii="Calibri" w:hAnsi="Calibri" w:cs="Calibri"/>
                <w:sz w:val="22"/>
                <w:szCs w:val="22"/>
              </w:rPr>
              <w:t>200000</w:t>
            </w:r>
          </w:p>
        </w:tc>
        <w:tc>
          <w:tcPr>
            <w:tcW w:w="1359" w:type="dxa"/>
            <w:tcBorders>
              <w:top w:val="nil"/>
              <w:left w:val="nil"/>
              <w:bottom w:val="single" w:sz="4" w:space="0" w:color="auto"/>
              <w:right w:val="single" w:sz="8" w:space="0" w:color="auto"/>
            </w:tcBorders>
            <w:noWrap/>
            <w:vAlign w:val="center"/>
            <w:hideMark/>
          </w:tcPr>
          <w:p w14:paraId="31B8F846"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EHT</w:t>
            </w:r>
          </w:p>
        </w:tc>
      </w:tr>
      <w:tr w:rsidR="00391EC8" w14:paraId="3966EA3F"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09F40592"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7</w:t>
            </w:r>
          </w:p>
        </w:tc>
        <w:tc>
          <w:tcPr>
            <w:tcW w:w="4495" w:type="dxa"/>
            <w:tcBorders>
              <w:top w:val="nil"/>
              <w:left w:val="nil"/>
              <w:bottom w:val="single" w:sz="4" w:space="0" w:color="auto"/>
              <w:right w:val="single" w:sz="4" w:space="0" w:color="auto"/>
            </w:tcBorders>
            <w:noWrap/>
            <w:vAlign w:val="center"/>
            <w:hideMark/>
          </w:tcPr>
          <w:p w14:paraId="71866B5B" w14:textId="77777777" w:rsidR="00391EC8" w:rsidRDefault="00391EC8">
            <w:pPr>
              <w:rPr>
                <w:rFonts w:ascii="Calibri" w:hAnsi="Calibri" w:cs="Calibri"/>
                <w:sz w:val="22"/>
                <w:szCs w:val="22"/>
              </w:rPr>
            </w:pPr>
            <w:r>
              <w:rPr>
                <w:rFonts w:ascii="Calibri" w:hAnsi="Calibri" w:cs="Calibri"/>
                <w:sz w:val="22"/>
                <w:szCs w:val="22"/>
              </w:rPr>
              <w:t>BR Steel and Power Pvt Ltd</w:t>
            </w:r>
          </w:p>
        </w:tc>
        <w:tc>
          <w:tcPr>
            <w:tcW w:w="1380" w:type="dxa"/>
            <w:tcBorders>
              <w:top w:val="nil"/>
              <w:left w:val="nil"/>
              <w:bottom w:val="single" w:sz="4" w:space="0" w:color="auto"/>
              <w:right w:val="single" w:sz="4" w:space="0" w:color="auto"/>
            </w:tcBorders>
            <w:noWrap/>
            <w:vAlign w:val="center"/>
            <w:hideMark/>
          </w:tcPr>
          <w:p w14:paraId="4CD18089" w14:textId="77777777" w:rsidR="00391EC8" w:rsidRDefault="00391EC8">
            <w:pPr>
              <w:jc w:val="center"/>
              <w:rPr>
                <w:rFonts w:ascii="Calibri" w:hAnsi="Calibri" w:cs="Calibri"/>
                <w:sz w:val="22"/>
                <w:szCs w:val="22"/>
              </w:rPr>
            </w:pPr>
            <w:r>
              <w:rPr>
                <w:rFonts w:ascii="Calibri" w:hAnsi="Calibri" w:cs="Calibri"/>
                <w:sz w:val="22"/>
                <w:szCs w:val="22"/>
              </w:rPr>
              <w:t>20</w:t>
            </w:r>
          </w:p>
        </w:tc>
        <w:tc>
          <w:tcPr>
            <w:tcW w:w="1480" w:type="dxa"/>
            <w:tcBorders>
              <w:top w:val="nil"/>
              <w:left w:val="nil"/>
              <w:bottom w:val="single" w:sz="4" w:space="0" w:color="auto"/>
              <w:right w:val="single" w:sz="4" w:space="0" w:color="auto"/>
            </w:tcBorders>
            <w:noWrap/>
            <w:vAlign w:val="center"/>
            <w:hideMark/>
          </w:tcPr>
          <w:p w14:paraId="1C3CF8FD" w14:textId="77777777" w:rsidR="00391EC8" w:rsidRDefault="00391EC8">
            <w:pPr>
              <w:jc w:val="center"/>
              <w:rPr>
                <w:rFonts w:ascii="Calibri" w:hAnsi="Calibri" w:cs="Calibri"/>
                <w:sz w:val="22"/>
                <w:szCs w:val="22"/>
              </w:rPr>
            </w:pPr>
            <w:r>
              <w:rPr>
                <w:rFonts w:ascii="Calibri" w:hAnsi="Calibri" w:cs="Calibri"/>
                <w:sz w:val="22"/>
                <w:szCs w:val="22"/>
              </w:rPr>
              <w:t>4500</w:t>
            </w:r>
          </w:p>
        </w:tc>
        <w:tc>
          <w:tcPr>
            <w:tcW w:w="1359" w:type="dxa"/>
            <w:tcBorders>
              <w:top w:val="nil"/>
              <w:left w:val="nil"/>
              <w:bottom w:val="single" w:sz="4" w:space="0" w:color="auto"/>
              <w:right w:val="single" w:sz="8" w:space="0" w:color="auto"/>
            </w:tcBorders>
            <w:noWrap/>
            <w:vAlign w:val="center"/>
            <w:hideMark/>
          </w:tcPr>
          <w:p w14:paraId="6A28C6FE"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HT</w:t>
            </w:r>
          </w:p>
        </w:tc>
      </w:tr>
      <w:tr w:rsidR="00391EC8" w14:paraId="13245876"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3C3542E9"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8</w:t>
            </w:r>
          </w:p>
        </w:tc>
        <w:tc>
          <w:tcPr>
            <w:tcW w:w="4495" w:type="dxa"/>
            <w:tcBorders>
              <w:top w:val="nil"/>
              <w:left w:val="nil"/>
              <w:bottom w:val="single" w:sz="4" w:space="0" w:color="auto"/>
              <w:right w:val="single" w:sz="4" w:space="0" w:color="auto"/>
            </w:tcBorders>
            <w:noWrap/>
            <w:vAlign w:val="bottom"/>
            <w:hideMark/>
          </w:tcPr>
          <w:p w14:paraId="6254BE2F" w14:textId="77777777" w:rsidR="00391EC8" w:rsidRDefault="00391EC8">
            <w:pPr>
              <w:rPr>
                <w:rFonts w:ascii="Calibri" w:hAnsi="Calibri" w:cs="Calibri"/>
                <w:color w:val="000000"/>
                <w:sz w:val="22"/>
                <w:szCs w:val="22"/>
              </w:rPr>
            </w:pPr>
            <w:r>
              <w:rPr>
                <w:rFonts w:ascii="Calibri" w:hAnsi="Calibri" w:cs="Calibri"/>
                <w:color w:val="000000"/>
                <w:sz w:val="22"/>
                <w:szCs w:val="22"/>
              </w:rPr>
              <w:t>M/s. Dalmia Cement (Bharat) Limited, Rajgangpur</w:t>
            </w:r>
          </w:p>
        </w:tc>
        <w:tc>
          <w:tcPr>
            <w:tcW w:w="1380" w:type="dxa"/>
            <w:tcBorders>
              <w:top w:val="nil"/>
              <w:left w:val="nil"/>
              <w:bottom w:val="single" w:sz="4" w:space="0" w:color="auto"/>
              <w:right w:val="single" w:sz="4" w:space="0" w:color="auto"/>
            </w:tcBorders>
            <w:noWrap/>
            <w:vAlign w:val="center"/>
            <w:hideMark/>
          </w:tcPr>
          <w:p w14:paraId="6810ED3C" w14:textId="77777777" w:rsidR="00391EC8" w:rsidRDefault="00391EC8">
            <w:pPr>
              <w:jc w:val="center"/>
              <w:rPr>
                <w:rFonts w:ascii="Calibri" w:hAnsi="Calibri" w:cs="Calibri"/>
                <w:sz w:val="22"/>
                <w:szCs w:val="22"/>
              </w:rPr>
            </w:pPr>
            <w:r>
              <w:rPr>
                <w:rFonts w:ascii="Calibri" w:hAnsi="Calibri" w:cs="Calibri"/>
                <w:sz w:val="22"/>
                <w:szCs w:val="22"/>
              </w:rPr>
              <w:t>78</w:t>
            </w:r>
          </w:p>
        </w:tc>
        <w:tc>
          <w:tcPr>
            <w:tcW w:w="1480" w:type="dxa"/>
            <w:tcBorders>
              <w:top w:val="nil"/>
              <w:left w:val="nil"/>
              <w:bottom w:val="single" w:sz="4" w:space="0" w:color="auto"/>
              <w:right w:val="single" w:sz="4" w:space="0" w:color="auto"/>
            </w:tcBorders>
            <w:noWrap/>
            <w:vAlign w:val="center"/>
            <w:hideMark/>
          </w:tcPr>
          <w:p w14:paraId="6C6A00AB" w14:textId="77777777" w:rsidR="00391EC8" w:rsidRDefault="00391EC8">
            <w:pPr>
              <w:jc w:val="center"/>
              <w:rPr>
                <w:rFonts w:ascii="Calibri" w:hAnsi="Calibri" w:cs="Calibri"/>
                <w:sz w:val="22"/>
                <w:szCs w:val="22"/>
              </w:rPr>
            </w:pPr>
            <w:r>
              <w:rPr>
                <w:rFonts w:ascii="Calibri" w:hAnsi="Calibri" w:cs="Calibri"/>
                <w:sz w:val="22"/>
                <w:szCs w:val="22"/>
              </w:rPr>
              <w:t>12000</w:t>
            </w:r>
          </w:p>
        </w:tc>
        <w:tc>
          <w:tcPr>
            <w:tcW w:w="1359" w:type="dxa"/>
            <w:tcBorders>
              <w:top w:val="nil"/>
              <w:left w:val="nil"/>
              <w:bottom w:val="single" w:sz="4" w:space="0" w:color="auto"/>
              <w:right w:val="single" w:sz="8" w:space="0" w:color="auto"/>
            </w:tcBorders>
            <w:noWrap/>
            <w:vAlign w:val="center"/>
            <w:hideMark/>
          </w:tcPr>
          <w:p w14:paraId="39A89336"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EHT</w:t>
            </w:r>
          </w:p>
        </w:tc>
      </w:tr>
      <w:tr w:rsidR="00391EC8" w14:paraId="349D55A3"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7462522C"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9</w:t>
            </w:r>
          </w:p>
        </w:tc>
        <w:tc>
          <w:tcPr>
            <w:tcW w:w="4495" w:type="dxa"/>
            <w:tcBorders>
              <w:top w:val="nil"/>
              <w:left w:val="nil"/>
              <w:bottom w:val="single" w:sz="4" w:space="0" w:color="auto"/>
              <w:right w:val="single" w:sz="4" w:space="0" w:color="auto"/>
            </w:tcBorders>
            <w:noWrap/>
            <w:vAlign w:val="bottom"/>
            <w:hideMark/>
          </w:tcPr>
          <w:p w14:paraId="7AF761BC" w14:textId="77777777" w:rsidR="00391EC8" w:rsidRDefault="00391EC8">
            <w:pPr>
              <w:rPr>
                <w:rFonts w:ascii="Calibri" w:hAnsi="Calibri" w:cs="Calibri"/>
                <w:color w:val="000000"/>
                <w:sz w:val="22"/>
                <w:szCs w:val="22"/>
              </w:rPr>
            </w:pPr>
            <w:r>
              <w:rPr>
                <w:rFonts w:ascii="Calibri" w:hAnsi="Calibri" w:cs="Calibri"/>
                <w:color w:val="000000"/>
                <w:sz w:val="22"/>
                <w:szCs w:val="22"/>
              </w:rPr>
              <w:t xml:space="preserve">M/s. </w:t>
            </w:r>
            <w:proofErr w:type="spellStart"/>
            <w:r>
              <w:rPr>
                <w:rFonts w:ascii="Calibri" w:hAnsi="Calibri" w:cs="Calibri"/>
                <w:color w:val="000000"/>
                <w:sz w:val="22"/>
                <w:szCs w:val="22"/>
              </w:rPr>
              <w:t>Envirocare</w:t>
            </w:r>
            <w:proofErr w:type="spellEnd"/>
            <w:r>
              <w:rPr>
                <w:rFonts w:ascii="Calibri" w:hAnsi="Calibri" w:cs="Calibri"/>
                <w:color w:val="000000"/>
                <w:sz w:val="22"/>
                <w:szCs w:val="22"/>
              </w:rPr>
              <w:t xml:space="preserve"> Infra Solution Pvt. Ltd. </w:t>
            </w:r>
            <w:proofErr w:type="spellStart"/>
            <w:r>
              <w:rPr>
                <w:rFonts w:ascii="Calibri" w:hAnsi="Calibri" w:cs="Calibri"/>
                <w:color w:val="000000"/>
                <w:sz w:val="22"/>
                <w:szCs w:val="22"/>
              </w:rPr>
              <w:t>Kalunga</w:t>
            </w:r>
            <w:proofErr w:type="spellEnd"/>
            <w:r>
              <w:rPr>
                <w:rFonts w:ascii="Calibri" w:hAnsi="Calibri" w:cs="Calibri"/>
                <w:color w:val="000000"/>
                <w:sz w:val="22"/>
                <w:szCs w:val="22"/>
              </w:rPr>
              <w:t>, Sundargarh</w:t>
            </w:r>
          </w:p>
        </w:tc>
        <w:tc>
          <w:tcPr>
            <w:tcW w:w="1380" w:type="dxa"/>
            <w:tcBorders>
              <w:top w:val="nil"/>
              <w:left w:val="nil"/>
              <w:bottom w:val="single" w:sz="4" w:space="0" w:color="auto"/>
              <w:right w:val="single" w:sz="4" w:space="0" w:color="auto"/>
            </w:tcBorders>
            <w:noWrap/>
            <w:vAlign w:val="center"/>
            <w:hideMark/>
          </w:tcPr>
          <w:p w14:paraId="7F6D5DF5"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42</w:t>
            </w:r>
          </w:p>
        </w:tc>
        <w:tc>
          <w:tcPr>
            <w:tcW w:w="1480" w:type="dxa"/>
            <w:tcBorders>
              <w:top w:val="nil"/>
              <w:left w:val="nil"/>
              <w:bottom w:val="single" w:sz="4" w:space="0" w:color="auto"/>
              <w:right w:val="single" w:sz="4" w:space="0" w:color="auto"/>
            </w:tcBorders>
            <w:noWrap/>
            <w:vAlign w:val="center"/>
            <w:hideMark/>
          </w:tcPr>
          <w:p w14:paraId="21BA792A" w14:textId="77777777" w:rsidR="00391EC8" w:rsidRDefault="00391EC8">
            <w:pPr>
              <w:jc w:val="center"/>
              <w:rPr>
                <w:rFonts w:ascii="Calibri" w:hAnsi="Calibri" w:cs="Calibri"/>
                <w:sz w:val="22"/>
                <w:szCs w:val="22"/>
              </w:rPr>
            </w:pPr>
            <w:r>
              <w:rPr>
                <w:rFonts w:ascii="Calibri" w:hAnsi="Calibri" w:cs="Calibri"/>
                <w:sz w:val="22"/>
                <w:szCs w:val="22"/>
              </w:rPr>
              <w:t>5000</w:t>
            </w:r>
          </w:p>
        </w:tc>
        <w:tc>
          <w:tcPr>
            <w:tcW w:w="1359" w:type="dxa"/>
            <w:tcBorders>
              <w:top w:val="nil"/>
              <w:left w:val="nil"/>
              <w:bottom w:val="single" w:sz="4" w:space="0" w:color="auto"/>
              <w:right w:val="single" w:sz="8" w:space="0" w:color="auto"/>
            </w:tcBorders>
            <w:noWrap/>
            <w:vAlign w:val="center"/>
            <w:hideMark/>
          </w:tcPr>
          <w:p w14:paraId="09C70F29"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EHT</w:t>
            </w:r>
          </w:p>
        </w:tc>
      </w:tr>
      <w:tr w:rsidR="00391EC8" w14:paraId="56E269C2"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12EB1B78"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10</w:t>
            </w:r>
          </w:p>
        </w:tc>
        <w:tc>
          <w:tcPr>
            <w:tcW w:w="4495" w:type="dxa"/>
            <w:tcBorders>
              <w:top w:val="nil"/>
              <w:left w:val="nil"/>
              <w:bottom w:val="single" w:sz="4" w:space="0" w:color="auto"/>
              <w:right w:val="single" w:sz="4" w:space="0" w:color="auto"/>
            </w:tcBorders>
            <w:noWrap/>
            <w:vAlign w:val="center"/>
            <w:hideMark/>
          </w:tcPr>
          <w:p w14:paraId="6089887C" w14:textId="77777777" w:rsidR="00391EC8" w:rsidRDefault="00391EC8">
            <w:pPr>
              <w:rPr>
                <w:rFonts w:ascii="Calibri" w:hAnsi="Calibri" w:cs="Calibri"/>
                <w:sz w:val="22"/>
                <w:szCs w:val="22"/>
              </w:rPr>
            </w:pPr>
            <w:r>
              <w:rPr>
                <w:rFonts w:ascii="Calibri" w:hAnsi="Calibri" w:cs="Calibri"/>
                <w:sz w:val="22"/>
                <w:szCs w:val="22"/>
              </w:rPr>
              <w:t xml:space="preserve">Hindalco Industrial Ltd - </w:t>
            </w:r>
            <w:proofErr w:type="spellStart"/>
            <w:r>
              <w:rPr>
                <w:rFonts w:ascii="Calibri" w:hAnsi="Calibri" w:cs="Calibri"/>
                <w:sz w:val="22"/>
                <w:szCs w:val="22"/>
              </w:rPr>
              <w:t>Hirakud</w:t>
            </w:r>
            <w:proofErr w:type="spellEnd"/>
          </w:p>
        </w:tc>
        <w:tc>
          <w:tcPr>
            <w:tcW w:w="1380" w:type="dxa"/>
            <w:tcBorders>
              <w:top w:val="nil"/>
              <w:left w:val="nil"/>
              <w:bottom w:val="single" w:sz="4" w:space="0" w:color="auto"/>
              <w:right w:val="single" w:sz="4" w:space="0" w:color="auto"/>
            </w:tcBorders>
            <w:noWrap/>
            <w:vAlign w:val="center"/>
            <w:hideMark/>
          </w:tcPr>
          <w:p w14:paraId="1745D83D" w14:textId="77777777" w:rsidR="00391EC8" w:rsidRDefault="00391EC8">
            <w:pPr>
              <w:jc w:val="center"/>
              <w:rPr>
                <w:rFonts w:ascii="Calibri" w:hAnsi="Calibri" w:cs="Calibri"/>
                <w:sz w:val="22"/>
                <w:szCs w:val="22"/>
              </w:rPr>
            </w:pPr>
            <w:r>
              <w:rPr>
                <w:rFonts w:ascii="Calibri" w:hAnsi="Calibri" w:cs="Calibri"/>
                <w:sz w:val="22"/>
                <w:szCs w:val="22"/>
              </w:rPr>
              <w:t>467.5</w:t>
            </w:r>
          </w:p>
        </w:tc>
        <w:tc>
          <w:tcPr>
            <w:tcW w:w="1480" w:type="dxa"/>
            <w:tcBorders>
              <w:top w:val="nil"/>
              <w:left w:val="nil"/>
              <w:bottom w:val="single" w:sz="4" w:space="0" w:color="auto"/>
              <w:right w:val="single" w:sz="4" w:space="0" w:color="auto"/>
            </w:tcBorders>
            <w:noWrap/>
            <w:vAlign w:val="center"/>
            <w:hideMark/>
          </w:tcPr>
          <w:p w14:paraId="6D8551CE" w14:textId="77777777" w:rsidR="00391EC8" w:rsidRDefault="00391EC8">
            <w:pPr>
              <w:jc w:val="center"/>
              <w:rPr>
                <w:rFonts w:ascii="Calibri" w:hAnsi="Calibri" w:cs="Calibri"/>
                <w:sz w:val="22"/>
                <w:szCs w:val="22"/>
              </w:rPr>
            </w:pPr>
            <w:r>
              <w:rPr>
                <w:rFonts w:ascii="Calibri" w:hAnsi="Calibri" w:cs="Calibri"/>
                <w:sz w:val="22"/>
                <w:szCs w:val="22"/>
              </w:rPr>
              <w:t>40000</w:t>
            </w:r>
          </w:p>
        </w:tc>
        <w:tc>
          <w:tcPr>
            <w:tcW w:w="1359" w:type="dxa"/>
            <w:tcBorders>
              <w:top w:val="nil"/>
              <w:left w:val="nil"/>
              <w:bottom w:val="single" w:sz="4" w:space="0" w:color="auto"/>
              <w:right w:val="single" w:sz="8" w:space="0" w:color="auto"/>
            </w:tcBorders>
            <w:noWrap/>
            <w:vAlign w:val="center"/>
            <w:hideMark/>
          </w:tcPr>
          <w:p w14:paraId="2EA04E23"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EHT</w:t>
            </w:r>
          </w:p>
        </w:tc>
      </w:tr>
      <w:tr w:rsidR="00391EC8" w14:paraId="74592A3A"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47001789"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11</w:t>
            </w:r>
          </w:p>
        </w:tc>
        <w:tc>
          <w:tcPr>
            <w:tcW w:w="4495" w:type="dxa"/>
            <w:tcBorders>
              <w:top w:val="nil"/>
              <w:left w:val="nil"/>
              <w:bottom w:val="single" w:sz="4" w:space="0" w:color="auto"/>
              <w:right w:val="single" w:sz="4" w:space="0" w:color="auto"/>
            </w:tcBorders>
            <w:noWrap/>
            <w:vAlign w:val="bottom"/>
            <w:hideMark/>
          </w:tcPr>
          <w:p w14:paraId="6993B75D" w14:textId="77777777" w:rsidR="00391EC8" w:rsidRDefault="00391EC8">
            <w:pPr>
              <w:rPr>
                <w:rFonts w:ascii="Calibri" w:hAnsi="Calibri" w:cs="Calibri"/>
                <w:color w:val="000000"/>
                <w:sz w:val="22"/>
                <w:szCs w:val="22"/>
              </w:rPr>
            </w:pPr>
            <w:r>
              <w:rPr>
                <w:rFonts w:ascii="Calibri" w:hAnsi="Calibri" w:cs="Calibri"/>
                <w:color w:val="000000"/>
                <w:sz w:val="22"/>
                <w:szCs w:val="22"/>
              </w:rPr>
              <w:t>M/s. Jai Balaji Jyoti Steels Ltd. Sundargarh</w:t>
            </w:r>
          </w:p>
        </w:tc>
        <w:tc>
          <w:tcPr>
            <w:tcW w:w="1380" w:type="dxa"/>
            <w:tcBorders>
              <w:top w:val="nil"/>
              <w:left w:val="nil"/>
              <w:bottom w:val="single" w:sz="4" w:space="0" w:color="auto"/>
              <w:right w:val="single" w:sz="4" w:space="0" w:color="auto"/>
            </w:tcBorders>
            <w:noWrap/>
            <w:vAlign w:val="center"/>
            <w:hideMark/>
          </w:tcPr>
          <w:p w14:paraId="62EE4765"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10</w:t>
            </w:r>
          </w:p>
        </w:tc>
        <w:tc>
          <w:tcPr>
            <w:tcW w:w="1480" w:type="dxa"/>
            <w:tcBorders>
              <w:top w:val="nil"/>
              <w:left w:val="nil"/>
              <w:bottom w:val="single" w:sz="4" w:space="0" w:color="auto"/>
              <w:right w:val="single" w:sz="4" w:space="0" w:color="auto"/>
            </w:tcBorders>
            <w:noWrap/>
            <w:vAlign w:val="center"/>
            <w:hideMark/>
          </w:tcPr>
          <w:p w14:paraId="6A35DB02" w14:textId="77777777" w:rsidR="00391EC8" w:rsidRDefault="00391EC8">
            <w:pPr>
              <w:jc w:val="center"/>
              <w:rPr>
                <w:rFonts w:ascii="Calibri" w:hAnsi="Calibri" w:cs="Calibri"/>
                <w:sz w:val="22"/>
                <w:szCs w:val="22"/>
              </w:rPr>
            </w:pPr>
            <w:r>
              <w:rPr>
                <w:rFonts w:ascii="Calibri" w:hAnsi="Calibri" w:cs="Calibri"/>
                <w:sz w:val="22"/>
                <w:szCs w:val="22"/>
              </w:rPr>
              <w:t>12000</w:t>
            </w:r>
          </w:p>
        </w:tc>
        <w:tc>
          <w:tcPr>
            <w:tcW w:w="1359" w:type="dxa"/>
            <w:tcBorders>
              <w:top w:val="nil"/>
              <w:left w:val="nil"/>
              <w:bottom w:val="single" w:sz="4" w:space="0" w:color="auto"/>
              <w:right w:val="single" w:sz="8" w:space="0" w:color="auto"/>
            </w:tcBorders>
            <w:noWrap/>
            <w:vAlign w:val="center"/>
            <w:hideMark/>
          </w:tcPr>
          <w:p w14:paraId="2F1FDC74"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HT</w:t>
            </w:r>
          </w:p>
        </w:tc>
      </w:tr>
      <w:tr w:rsidR="00391EC8" w14:paraId="2ED96464"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1BB5D5FA"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12</w:t>
            </w:r>
          </w:p>
        </w:tc>
        <w:tc>
          <w:tcPr>
            <w:tcW w:w="4495" w:type="dxa"/>
            <w:tcBorders>
              <w:top w:val="nil"/>
              <w:left w:val="nil"/>
              <w:bottom w:val="single" w:sz="4" w:space="0" w:color="auto"/>
              <w:right w:val="single" w:sz="4" w:space="0" w:color="auto"/>
            </w:tcBorders>
            <w:noWrap/>
            <w:vAlign w:val="center"/>
            <w:hideMark/>
          </w:tcPr>
          <w:p w14:paraId="29DEA8AB" w14:textId="77777777" w:rsidR="00391EC8" w:rsidRDefault="00391EC8">
            <w:pPr>
              <w:rPr>
                <w:rFonts w:ascii="Calibri" w:hAnsi="Calibri" w:cs="Calibri"/>
                <w:sz w:val="22"/>
                <w:szCs w:val="22"/>
              </w:rPr>
            </w:pPr>
            <w:r>
              <w:rPr>
                <w:rFonts w:ascii="Calibri" w:hAnsi="Calibri" w:cs="Calibri"/>
                <w:sz w:val="22"/>
                <w:szCs w:val="22"/>
              </w:rPr>
              <w:t>OCL Iron &amp; Steel Ltd.</w:t>
            </w:r>
          </w:p>
        </w:tc>
        <w:tc>
          <w:tcPr>
            <w:tcW w:w="1380" w:type="dxa"/>
            <w:tcBorders>
              <w:top w:val="nil"/>
              <w:left w:val="nil"/>
              <w:bottom w:val="single" w:sz="4" w:space="0" w:color="auto"/>
              <w:right w:val="single" w:sz="4" w:space="0" w:color="auto"/>
            </w:tcBorders>
            <w:noWrap/>
            <w:vAlign w:val="center"/>
            <w:hideMark/>
          </w:tcPr>
          <w:p w14:paraId="5DF98195" w14:textId="77777777" w:rsidR="00391EC8" w:rsidRDefault="00391EC8">
            <w:pPr>
              <w:jc w:val="center"/>
              <w:rPr>
                <w:rFonts w:ascii="Calibri" w:hAnsi="Calibri" w:cs="Calibri"/>
                <w:sz w:val="22"/>
                <w:szCs w:val="22"/>
              </w:rPr>
            </w:pPr>
            <w:r>
              <w:rPr>
                <w:rFonts w:ascii="Calibri" w:hAnsi="Calibri" w:cs="Calibri"/>
                <w:sz w:val="22"/>
                <w:szCs w:val="22"/>
              </w:rPr>
              <w:t>86</w:t>
            </w:r>
          </w:p>
        </w:tc>
        <w:tc>
          <w:tcPr>
            <w:tcW w:w="1480" w:type="dxa"/>
            <w:tcBorders>
              <w:top w:val="nil"/>
              <w:left w:val="nil"/>
              <w:bottom w:val="single" w:sz="4" w:space="0" w:color="auto"/>
              <w:right w:val="single" w:sz="4" w:space="0" w:color="auto"/>
            </w:tcBorders>
            <w:noWrap/>
            <w:vAlign w:val="center"/>
            <w:hideMark/>
          </w:tcPr>
          <w:p w14:paraId="47ED2CAF" w14:textId="77777777" w:rsidR="00391EC8" w:rsidRDefault="00391EC8">
            <w:pPr>
              <w:jc w:val="center"/>
              <w:rPr>
                <w:rFonts w:ascii="Calibri" w:hAnsi="Calibri" w:cs="Calibri"/>
                <w:sz w:val="22"/>
                <w:szCs w:val="22"/>
              </w:rPr>
            </w:pPr>
            <w:r>
              <w:rPr>
                <w:rFonts w:ascii="Calibri" w:hAnsi="Calibri" w:cs="Calibri"/>
                <w:sz w:val="22"/>
                <w:szCs w:val="22"/>
              </w:rPr>
              <w:t>3000</w:t>
            </w:r>
          </w:p>
        </w:tc>
        <w:tc>
          <w:tcPr>
            <w:tcW w:w="1359" w:type="dxa"/>
            <w:tcBorders>
              <w:top w:val="nil"/>
              <w:left w:val="nil"/>
              <w:bottom w:val="single" w:sz="4" w:space="0" w:color="auto"/>
              <w:right w:val="single" w:sz="8" w:space="0" w:color="auto"/>
            </w:tcBorders>
            <w:noWrap/>
            <w:vAlign w:val="center"/>
            <w:hideMark/>
          </w:tcPr>
          <w:p w14:paraId="70D82391"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EHT</w:t>
            </w:r>
          </w:p>
        </w:tc>
      </w:tr>
      <w:tr w:rsidR="00391EC8" w14:paraId="0D908837"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64ED2DC3"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13</w:t>
            </w:r>
          </w:p>
        </w:tc>
        <w:tc>
          <w:tcPr>
            <w:tcW w:w="4495" w:type="dxa"/>
            <w:tcBorders>
              <w:top w:val="nil"/>
              <w:left w:val="nil"/>
              <w:bottom w:val="single" w:sz="4" w:space="0" w:color="auto"/>
              <w:right w:val="single" w:sz="4" w:space="0" w:color="auto"/>
            </w:tcBorders>
            <w:noWrap/>
            <w:vAlign w:val="bottom"/>
            <w:hideMark/>
          </w:tcPr>
          <w:p w14:paraId="7A017F15" w14:textId="77777777" w:rsidR="00391EC8" w:rsidRDefault="00391EC8">
            <w:pPr>
              <w:rPr>
                <w:rFonts w:ascii="Calibri" w:hAnsi="Calibri" w:cs="Calibri"/>
                <w:color w:val="000000"/>
                <w:sz w:val="22"/>
                <w:szCs w:val="22"/>
              </w:rPr>
            </w:pPr>
            <w:r>
              <w:rPr>
                <w:rFonts w:ascii="Calibri" w:hAnsi="Calibri" w:cs="Calibri"/>
                <w:color w:val="000000"/>
                <w:sz w:val="22"/>
                <w:szCs w:val="22"/>
              </w:rPr>
              <w:t xml:space="preserve">M/s. Orissa </w:t>
            </w:r>
            <w:proofErr w:type="spellStart"/>
            <w:r>
              <w:rPr>
                <w:rFonts w:ascii="Calibri" w:hAnsi="Calibri" w:cs="Calibri"/>
                <w:color w:val="000000"/>
                <w:sz w:val="22"/>
                <w:szCs w:val="22"/>
              </w:rPr>
              <w:t>Metaliks</w:t>
            </w:r>
            <w:proofErr w:type="spellEnd"/>
            <w:r>
              <w:rPr>
                <w:rFonts w:ascii="Calibri" w:hAnsi="Calibri" w:cs="Calibri"/>
                <w:color w:val="000000"/>
                <w:sz w:val="22"/>
                <w:szCs w:val="22"/>
              </w:rPr>
              <w:t xml:space="preserve"> Private Limited, </w:t>
            </w:r>
            <w:proofErr w:type="spellStart"/>
            <w:r>
              <w:rPr>
                <w:rFonts w:ascii="Calibri" w:hAnsi="Calibri" w:cs="Calibri"/>
                <w:color w:val="000000"/>
                <w:sz w:val="22"/>
                <w:szCs w:val="22"/>
              </w:rPr>
              <w:t>Marakuta</w:t>
            </w:r>
            <w:proofErr w:type="spellEnd"/>
            <w:r>
              <w:rPr>
                <w:rFonts w:ascii="Calibri" w:hAnsi="Calibri" w:cs="Calibri"/>
                <w:color w:val="000000"/>
                <w:sz w:val="22"/>
                <w:szCs w:val="22"/>
              </w:rPr>
              <w:t>, Jharsuguda</w:t>
            </w:r>
          </w:p>
        </w:tc>
        <w:tc>
          <w:tcPr>
            <w:tcW w:w="1380" w:type="dxa"/>
            <w:tcBorders>
              <w:top w:val="nil"/>
              <w:left w:val="nil"/>
              <w:bottom w:val="single" w:sz="4" w:space="0" w:color="auto"/>
              <w:right w:val="single" w:sz="4" w:space="0" w:color="auto"/>
            </w:tcBorders>
            <w:noWrap/>
            <w:vAlign w:val="center"/>
            <w:hideMark/>
          </w:tcPr>
          <w:p w14:paraId="26754264" w14:textId="77777777" w:rsidR="00391EC8" w:rsidRDefault="00391EC8">
            <w:pPr>
              <w:jc w:val="center"/>
              <w:rPr>
                <w:rFonts w:ascii="Calibri" w:hAnsi="Calibri" w:cs="Calibri"/>
                <w:sz w:val="22"/>
                <w:szCs w:val="22"/>
              </w:rPr>
            </w:pPr>
            <w:r>
              <w:rPr>
                <w:rFonts w:ascii="Calibri" w:hAnsi="Calibri" w:cs="Calibri"/>
                <w:sz w:val="22"/>
                <w:szCs w:val="22"/>
              </w:rPr>
              <w:t>25</w:t>
            </w:r>
          </w:p>
        </w:tc>
        <w:tc>
          <w:tcPr>
            <w:tcW w:w="1480" w:type="dxa"/>
            <w:tcBorders>
              <w:top w:val="nil"/>
              <w:left w:val="nil"/>
              <w:bottom w:val="single" w:sz="4" w:space="0" w:color="auto"/>
              <w:right w:val="single" w:sz="4" w:space="0" w:color="auto"/>
            </w:tcBorders>
            <w:noWrap/>
            <w:vAlign w:val="center"/>
            <w:hideMark/>
          </w:tcPr>
          <w:p w14:paraId="7B80B03F" w14:textId="77777777" w:rsidR="00391EC8" w:rsidRDefault="00391EC8">
            <w:pPr>
              <w:jc w:val="center"/>
              <w:rPr>
                <w:rFonts w:ascii="Calibri" w:hAnsi="Calibri" w:cs="Calibri"/>
                <w:sz w:val="22"/>
                <w:szCs w:val="22"/>
              </w:rPr>
            </w:pPr>
            <w:r>
              <w:rPr>
                <w:rFonts w:ascii="Calibri" w:hAnsi="Calibri" w:cs="Calibri"/>
                <w:sz w:val="22"/>
                <w:szCs w:val="22"/>
              </w:rPr>
              <w:t>10000</w:t>
            </w:r>
          </w:p>
        </w:tc>
        <w:tc>
          <w:tcPr>
            <w:tcW w:w="1359" w:type="dxa"/>
            <w:tcBorders>
              <w:top w:val="nil"/>
              <w:left w:val="nil"/>
              <w:bottom w:val="single" w:sz="4" w:space="0" w:color="auto"/>
              <w:right w:val="single" w:sz="8" w:space="0" w:color="auto"/>
            </w:tcBorders>
            <w:noWrap/>
            <w:vAlign w:val="center"/>
            <w:hideMark/>
          </w:tcPr>
          <w:p w14:paraId="12F64A64"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EHT</w:t>
            </w:r>
          </w:p>
        </w:tc>
      </w:tr>
      <w:tr w:rsidR="00391EC8" w14:paraId="565AE1DE"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7CC66E0F"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14</w:t>
            </w:r>
          </w:p>
        </w:tc>
        <w:tc>
          <w:tcPr>
            <w:tcW w:w="4495" w:type="dxa"/>
            <w:tcBorders>
              <w:top w:val="nil"/>
              <w:left w:val="nil"/>
              <w:bottom w:val="single" w:sz="4" w:space="0" w:color="auto"/>
              <w:right w:val="single" w:sz="4" w:space="0" w:color="auto"/>
            </w:tcBorders>
            <w:noWrap/>
            <w:vAlign w:val="center"/>
            <w:hideMark/>
          </w:tcPr>
          <w:p w14:paraId="63792B9C" w14:textId="77777777" w:rsidR="00391EC8" w:rsidRDefault="00391EC8">
            <w:pPr>
              <w:rPr>
                <w:rFonts w:ascii="Calibri" w:hAnsi="Calibri" w:cs="Calibri"/>
                <w:sz w:val="22"/>
                <w:szCs w:val="22"/>
              </w:rPr>
            </w:pPr>
            <w:r>
              <w:rPr>
                <w:rFonts w:ascii="Calibri" w:hAnsi="Calibri" w:cs="Calibri"/>
                <w:sz w:val="22"/>
                <w:szCs w:val="22"/>
              </w:rPr>
              <w:t>RSP</w:t>
            </w:r>
          </w:p>
        </w:tc>
        <w:tc>
          <w:tcPr>
            <w:tcW w:w="1380" w:type="dxa"/>
            <w:tcBorders>
              <w:top w:val="nil"/>
              <w:left w:val="nil"/>
              <w:bottom w:val="single" w:sz="4" w:space="0" w:color="auto"/>
              <w:right w:val="single" w:sz="4" w:space="0" w:color="auto"/>
            </w:tcBorders>
            <w:noWrap/>
            <w:vAlign w:val="center"/>
            <w:hideMark/>
          </w:tcPr>
          <w:p w14:paraId="3A8AEABF" w14:textId="77777777" w:rsidR="00391EC8" w:rsidRDefault="00391EC8">
            <w:pPr>
              <w:jc w:val="center"/>
              <w:rPr>
                <w:rFonts w:ascii="Calibri" w:hAnsi="Calibri" w:cs="Calibri"/>
                <w:sz w:val="22"/>
                <w:szCs w:val="22"/>
              </w:rPr>
            </w:pPr>
            <w:r>
              <w:rPr>
                <w:rFonts w:ascii="Calibri" w:hAnsi="Calibri" w:cs="Calibri"/>
                <w:sz w:val="22"/>
                <w:szCs w:val="22"/>
              </w:rPr>
              <w:t>377.5</w:t>
            </w:r>
          </w:p>
        </w:tc>
        <w:tc>
          <w:tcPr>
            <w:tcW w:w="1480" w:type="dxa"/>
            <w:tcBorders>
              <w:top w:val="nil"/>
              <w:left w:val="nil"/>
              <w:bottom w:val="single" w:sz="4" w:space="0" w:color="auto"/>
              <w:right w:val="single" w:sz="4" w:space="0" w:color="auto"/>
            </w:tcBorders>
            <w:noWrap/>
            <w:vAlign w:val="center"/>
            <w:hideMark/>
          </w:tcPr>
          <w:p w14:paraId="7E5C6A83" w14:textId="77777777" w:rsidR="00391EC8" w:rsidRDefault="00391EC8">
            <w:pPr>
              <w:jc w:val="center"/>
              <w:rPr>
                <w:rFonts w:ascii="Calibri" w:hAnsi="Calibri" w:cs="Calibri"/>
                <w:sz w:val="22"/>
                <w:szCs w:val="22"/>
              </w:rPr>
            </w:pPr>
            <w:r>
              <w:rPr>
                <w:rFonts w:ascii="Calibri" w:hAnsi="Calibri" w:cs="Calibri"/>
                <w:sz w:val="22"/>
                <w:szCs w:val="22"/>
              </w:rPr>
              <w:t>170000</w:t>
            </w:r>
          </w:p>
        </w:tc>
        <w:tc>
          <w:tcPr>
            <w:tcW w:w="1359" w:type="dxa"/>
            <w:tcBorders>
              <w:top w:val="nil"/>
              <w:left w:val="nil"/>
              <w:bottom w:val="single" w:sz="4" w:space="0" w:color="auto"/>
              <w:right w:val="single" w:sz="8" w:space="0" w:color="auto"/>
            </w:tcBorders>
            <w:noWrap/>
            <w:vAlign w:val="center"/>
            <w:hideMark/>
          </w:tcPr>
          <w:p w14:paraId="3A6F2E95"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EHT</w:t>
            </w:r>
          </w:p>
        </w:tc>
      </w:tr>
      <w:tr w:rsidR="00391EC8" w14:paraId="10CC1758"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7797F662"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15</w:t>
            </w:r>
          </w:p>
        </w:tc>
        <w:tc>
          <w:tcPr>
            <w:tcW w:w="4495" w:type="dxa"/>
            <w:tcBorders>
              <w:top w:val="nil"/>
              <w:left w:val="nil"/>
              <w:bottom w:val="single" w:sz="4" w:space="0" w:color="auto"/>
              <w:right w:val="single" w:sz="4" w:space="0" w:color="auto"/>
            </w:tcBorders>
            <w:noWrap/>
            <w:vAlign w:val="center"/>
            <w:hideMark/>
          </w:tcPr>
          <w:p w14:paraId="1BD40DA8" w14:textId="77777777" w:rsidR="00391EC8" w:rsidRDefault="00391EC8">
            <w:pPr>
              <w:rPr>
                <w:rFonts w:ascii="Calibri" w:hAnsi="Calibri" w:cs="Calibri"/>
                <w:sz w:val="22"/>
                <w:szCs w:val="22"/>
              </w:rPr>
            </w:pPr>
            <w:proofErr w:type="spellStart"/>
            <w:r>
              <w:rPr>
                <w:rFonts w:ascii="Calibri" w:hAnsi="Calibri" w:cs="Calibri"/>
                <w:sz w:val="22"/>
                <w:szCs w:val="22"/>
              </w:rPr>
              <w:t>Rungta</w:t>
            </w:r>
            <w:proofErr w:type="spellEnd"/>
            <w:r>
              <w:rPr>
                <w:rFonts w:ascii="Calibri" w:hAnsi="Calibri" w:cs="Calibri"/>
                <w:sz w:val="22"/>
                <w:szCs w:val="22"/>
              </w:rPr>
              <w:t xml:space="preserve"> Mines Ltd.</w:t>
            </w:r>
          </w:p>
        </w:tc>
        <w:tc>
          <w:tcPr>
            <w:tcW w:w="1380" w:type="dxa"/>
            <w:tcBorders>
              <w:top w:val="nil"/>
              <w:left w:val="nil"/>
              <w:bottom w:val="single" w:sz="4" w:space="0" w:color="auto"/>
              <w:right w:val="single" w:sz="4" w:space="0" w:color="auto"/>
            </w:tcBorders>
            <w:noWrap/>
            <w:vAlign w:val="center"/>
            <w:hideMark/>
          </w:tcPr>
          <w:p w14:paraId="311CA9D8" w14:textId="77777777" w:rsidR="00391EC8" w:rsidRDefault="00391EC8">
            <w:pPr>
              <w:jc w:val="center"/>
              <w:rPr>
                <w:rFonts w:ascii="Calibri" w:hAnsi="Calibri" w:cs="Calibri"/>
                <w:sz w:val="22"/>
                <w:szCs w:val="22"/>
              </w:rPr>
            </w:pPr>
            <w:r>
              <w:rPr>
                <w:rFonts w:ascii="Calibri" w:hAnsi="Calibri" w:cs="Calibri"/>
                <w:sz w:val="22"/>
                <w:szCs w:val="22"/>
              </w:rPr>
              <w:t>40</w:t>
            </w:r>
          </w:p>
        </w:tc>
        <w:tc>
          <w:tcPr>
            <w:tcW w:w="1480" w:type="dxa"/>
            <w:tcBorders>
              <w:top w:val="nil"/>
              <w:left w:val="nil"/>
              <w:bottom w:val="single" w:sz="4" w:space="0" w:color="auto"/>
              <w:right w:val="single" w:sz="4" w:space="0" w:color="auto"/>
            </w:tcBorders>
            <w:noWrap/>
            <w:vAlign w:val="center"/>
            <w:hideMark/>
          </w:tcPr>
          <w:p w14:paraId="33AC85B5" w14:textId="77777777" w:rsidR="00391EC8" w:rsidRDefault="00391EC8">
            <w:pPr>
              <w:jc w:val="center"/>
              <w:rPr>
                <w:rFonts w:ascii="Calibri" w:hAnsi="Calibri" w:cs="Calibri"/>
                <w:sz w:val="22"/>
                <w:szCs w:val="22"/>
              </w:rPr>
            </w:pPr>
            <w:r>
              <w:rPr>
                <w:rFonts w:ascii="Calibri" w:hAnsi="Calibri" w:cs="Calibri"/>
                <w:sz w:val="22"/>
                <w:szCs w:val="22"/>
              </w:rPr>
              <w:t>15500</w:t>
            </w:r>
          </w:p>
        </w:tc>
        <w:tc>
          <w:tcPr>
            <w:tcW w:w="1359" w:type="dxa"/>
            <w:tcBorders>
              <w:top w:val="nil"/>
              <w:left w:val="nil"/>
              <w:bottom w:val="single" w:sz="4" w:space="0" w:color="auto"/>
              <w:right w:val="single" w:sz="8" w:space="0" w:color="auto"/>
            </w:tcBorders>
            <w:noWrap/>
            <w:vAlign w:val="center"/>
            <w:hideMark/>
          </w:tcPr>
          <w:p w14:paraId="7C923A1B"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EHT</w:t>
            </w:r>
          </w:p>
        </w:tc>
      </w:tr>
      <w:tr w:rsidR="00391EC8" w14:paraId="525E67E0"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00A8566D"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16</w:t>
            </w:r>
          </w:p>
        </w:tc>
        <w:tc>
          <w:tcPr>
            <w:tcW w:w="4495" w:type="dxa"/>
            <w:tcBorders>
              <w:top w:val="nil"/>
              <w:left w:val="nil"/>
              <w:bottom w:val="single" w:sz="4" w:space="0" w:color="auto"/>
              <w:right w:val="single" w:sz="4" w:space="0" w:color="auto"/>
            </w:tcBorders>
            <w:noWrap/>
            <w:vAlign w:val="center"/>
            <w:hideMark/>
          </w:tcPr>
          <w:p w14:paraId="550843B3" w14:textId="77777777" w:rsidR="00391EC8" w:rsidRDefault="00391EC8">
            <w:pPr>
              <w:rPr>
                <w:rFonts w:ascii="Calibri" w:hAnsi="Calibri" w:cs="Calibri"/>
                <w:sz w:val="22"/>
                <w:szCs w:val="22"/>
              </w:rPr>
            </w:pPr>
            <w:r>
              <w:rPr>
                <w:rFonts w:ascii="Calibri" w:hAnsi="Calibri" w:cs="Calibri"/>
                <w:sz w:val="22"/>
                <w:szCs w:val="22"/>
              </w:rPr>
              <w:t>Scan Steel Ltd.</w:t>
            </w:r>
          </w:p>
        </w:tc>
        <w:tc>
          <w:tcPr>
            <w:tcW w:w="1380" w:type="dxa"/>
            <w:tcBorders>
              <w:top w:val="nil"/>
              <w:left w:val="nil"/>
              <w:bottom w:val="single" w:sz="4" w:space="0" w:color="auto"/>
              <w:right w:val="single" w:sz="4" w:space="0" w:color="auto"/>
            </w:tcBorders>
            <w:noWrap/>
            <w:vAlign w:val="center"/>
            <w:hideMark/>
          </w:tcPr>
          <w:p w14:paraId="391A1B65" w14:textId="77777777" w:rsidR="00391EC8" w:rsidRDefault="00391EC8">
            <w:pPr>
              <w:jc w:val="center"/>
              <w:rPr>
                <w:rFonts w:ascii="Calibri" w:hAnsi="Calibri" w:cs="Calibri"/>
                <w:sz w:val="22"/>
                <w:szCs w:val="22"/>
              </w:rPr>
            </w:pPr>
            <w:r>
              <w:rPr>
                <w:rFonts w:ascii="Calibri" w:hAnsi="Calibri" w:cs="Calibri"/>
                <w:sz w:val="22"/>
                <w:szCs w:val="22"/>
              </w:rPr>
              <w:t>8</w:t>
            </w:r>
          </w:p>
        </w:tc>
        <w:tc>
          <w:tcPr>
            <w:tcW w:w="1480" w:type="dxa"/>
            <w:tcBorders>
              <w:top w:val="nil"/>
              <w:left w:val="nil"/>
              <w:bottom w:val="single" w:sz="4" w:space="0" w:color="auto"/>
              <w:right w:val="single" w:sz="4" w:space="0" w:color="auto"/>
            </w:tcBorders>
            <w:noWrap/>
            <w:vAlign w:val="center"/>
            <w:hideMark/>
          </w:tcPr>
          <w:p w14:paraId="3999D02D" w14:textId="77777777" w:rsidR="00391EC8" w:rsidRDefault="00391EC8">
            <w:pPr>
              <w:jc w:val="center"/>
              <w:rPr>
                <w:rFonts w:ascii="Calibri" w:hAnsi="Calibri" w:cs="Calibri"/>
                <w:sz w:val="22"/>
                <w:szCs w:val="22"/>
              </w:rPr>
            </w:pPr>
            <w:r>
              <w:rPr>
                <w:rFonts w:ascii="Calibri" w:hAnsi="Calibri" w:cs="Calibri"/>
                <w:sz w:val="22"/>
                <w:szCs w:val="22"/>
              </w:rPr>
              <w:t>9700</w:t>
            </w:r>
          </w:p>
        </w:tc>
        <w:tc>
          <w:tcPr>
            <w:tcW w:w="1359" w:type="dxa"/>
            <w:tcBorders>
              <w:top w:val="nil"/>
              <w:left w:val="nil"/>
              <w:bottom w:val="single" w:sz="4" w:space="0" w:color="auto"/>
              <w:right w:val="single" w:sz="8" w:space="0" w:color="auto"/>
            </w:tcBorders>
            <w:noWrap/>
            <w:vAlign w:val="center"/>
            <w:hideMark/>
          </w:tcPr>
          <w:p w14:paraId="5CD42A0F"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HT</w:t>
            </w:r>
          </w:p>
        </w:tc>
      </w:tr>
      <w:tr w:rsidR="00391EC8" w14:paraId="0C462C6D"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0AC3E1D5"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17</w:t>
            </w:r>
          </w:p>
        </w:tc>
        <w:tc>
          <w:tcPr>
            <w:tcW w:w="4495" w:type="dxa"/>
            <w:tcBorders>
              <w:top w:val="nil"/>
              <w:left w:val="nil"/>
              <w:bottom w:val="single" w:sz="4" w:space="0" w:color="auto"/>
              <w:right w:val="single" w:sz="4" w:space="0" w:color="auto"/>
            </w:tcBorders>
            <w:noWrap/>
            <w:vAlign w:val="center"/>
            <w:hideMark/>
          </w:tcPr>
          <w:p w14:paraId="17BB599C" w14:textId="77777777" w:rsidR="00391EC8" w:rsidRDefault="00391EC8">
            <w:pPr>
              <w:rPr>
                <w:rFonts w:ascii="Calibri" w:hAnsi="Calibri" w:cs="Calibri"/>
                <w:sz w:val="22"/>
                <w:szCs w:val="22"/>
              </w:rPr>
            </w:pPr>
            <w:r>
              <w:rPr>
                <w:rFonts w:ascii="Calibri" w:hAnsi="Calibri" w:cs="Calibri"/>
                <w:sz w:val="22"/>
                <w:szCs w:val="22"/>
              </w:rPr>
              <w:t>Seven Star Steels Ltd.</w:t>
            </w:r>
          </w:p>
        </w:tc>
        <w:tc>
          <w:tcPr>
            <w:tcW w:w="1380" w:type="dxa"/>
            <w:tcBorders>
              <w:top w:val="nil"/>
              <w:left w:val="nil"/>
              <w:bottom w:val="single" w:sz="4" w:space="0" w:color="auto"/>
              <w:right w:val="single" w:sz="4" w:space="0" w:color="auto"/>
            </w:tcBorders>
            <w:noWrap/>
            <w:vAlign w:val="center"/>
            <w:hideMark/>
          </w:tcPr>
          <w:p w14:paraId="0969761D" w14:textId="77777777" w:rsidR="00391EC8" w:rsidRDefault="00391EC8">
            <w:pPr>
              <w:jc w:val="center"/>
              <w:rPr>
                <w:rFonts w:ascii="Calibri" w:hAnsi="Calibri" w:cs="Calibri"/>
                <w:sz w:val="22"/>
                <w:szCs w:val="22"/>
              </w:rPr>
            </w:pPr>
            <w:r>
              <w:rPr>
                <w:rFonts w:ascii="Calibri" w:hAnsi="Calibri" w:cs="Calibri"/>
                <w:sz w:val="22"/>
                <w:szCs w:val="22"/>
              </w:rPr>
              <w:t>8</w:t>
            </w:r>
          </w:p>
        </w:tc>
        <w:tc>
          <w:tcPr>
            <w:tcW w:w="1480" w:type="dxa"/>
            <w:tcBorders>
              <w:top w:val="nil"/>
              <w:left w:val="nil"/>
              <w:bottom w:val="single" w:sz="4" w:space="0" w:color="auto"/>
              <w:right w:val="single" w:sz="4" w:space="0" w:color="auto"/>
            </w:tcBorders>
            <w:noWrap/>
            <w:vAlign w:val="center"/>
            <w:hideMark/>
          </w:tcPr>
          <w:p w14:paraId="2DE4F21B" w14:textId="77777777" w:rsidR="00391EC8" w:rsidRDefault="00391EC8">
            <w:pPr>
              <w:jc w:val="center"/>
              <w:rPr>
                <w:rFonts w:ascii="Calibri" w:hAnsi="Calibri" w:cs="Calibri"/>
                <w:sz w:val="22"/>
                <w:szCs w:val="22"/>
              </w:rPr>
            </w:pPr>
            <w:r>
              <w:rPr>
                <w:rFonts w:ascii="Calibri" w:hAnsi="Calibri" w:cs="Calibri"/>
                <w:sz w:val="22"/>
                <w:szCs w:val="22"/>
              </w:rPr>
              <w:t>750</w:t>
            </w:r>
          </w:p>
        </w:tc>
        <w:tc>
          <w:tcPr>
            <w:tcW w:w="1359" w:type="dxa"/>
            <w:tcBorders>
              <w:top w:val="nil"/>
              <w:left w:val="nil"/>
              <w:bottom w:val="single" w:sz="4" w:space="0" w:color="auto"/>
              <w:right w:val="single" w:sz="8" w:space="0" w:color="auto"/>
            </w:tcBorders>
            <w:noWrap/>
            <w:vAlign w:val="center"/>
            <w:hideMark/>
          </w:tcPr>
          <w:p w14:paraId="4328B8CB"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HT</w:t>
            </w:r>
          </w:p>
        </w:tc>
      </w:tr>
      <w:tr w:rsidR="00391EC8" w14:paraId="72FCBAAD"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7B22FB8E"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18</w:t>
            </w:r>
          </w:p>
        </w:tc>
        <w:tc>
          <w:tcPr>
            <w:tcW w:w="4495" w:type="dxa"/>
            <w:tcBorders>
              <w:top w:val="nil"/>
              <w:left w:val="nil"/>
              <w:bottom w:val="single" w:sz="4" w:space="0" w:color="auto"/>
              <w:right w:val="single" w:sz="4" w:space="0" w:color="auto"/>
            </w:tcBorders>
            <w:noWrap/>
            <w:vAlign w:val="center"/>
            <w:hideMark/>
          </w:tcPr>
          <w:p w14:paraId="08196C01" w14:textId="5C5DAA92" w:rsidR="00391EC8" w:rsidRDefault="00391EC8">
            <w:pPr>
              <w:rPr>
                <w:rFonts w:ascii="Calibri" w:hAnsi="Calibri" w:cs="Calibri"/>
                <w:sz w:val="22"/>
                <w:szCs w:val="22"/>
              </w:rPr>
            </w:pPr>
            <w:r>
              <w:rPr>
                <w:rFonts w:ascii="Calibri" w:hAnsi="Calibri" w:cs="Calibri"/>
                <w:sz w:val="22"/>
                <w:szCs w:val="22"/>
              </w:rPr>
              <w:t xml:space="preserve">Shree Ganesh </w:t>
            </w:r>
            <w:proofErr w:type="spellStart"/>
            <w:r>
              <w:rPr>
                <w:rFonts w:ascii="Calibri" w:hAnsi="Calibri" w:cs="Calibri"/>
                <w:sz w:val="22"/>
                <w:szCs w:val="22"/>
              </w:rPr>
              <w:t>Metalicks</w:t>
            </w:r>
            <w:proofErr w:type="spellEnd"/>
            <w:r>
              <w:rPr>
                <w:rFonts w:ascii="Calibri" w:hAnsi="Calibri" w:cs="Calibri"/>
                <w:sz w:val="22"/>
                <w:szCs w:val="22"/>
              </w:rPr>
              <w:t xml:space="preserve"> Ltd.</w:t>
            </w:r>
          </w:p>
        </w:tc>
        <w:tc>
          <w:tcPr>
            <w:tcW w:w="1380" w:type="dxa"/>
            <w:tcBorders>
              <w:top w:val="nil"/>
              <w:left w:val="nil"/>
              <w:bottom w:val="single" w:sz="4" w:space="0" w:color="auto"/>
              <w:right w:val="single" w:sz="4" w:space="0" w:color="auto"/>
            </w:tcBorders>
            <w:noWrap/>
            <w:vAlign w:val="center"/>
            <w:hideMark/>
          </w:tcPr>
          <w:p w14:paraId="525107C0" w14:textId="77777777" w:rsidR="00391EC8" w:rsidRDefault="00391EC8">
            <w:pPr>
              <w:jc w:val="center"/>
              <w:rPr>
                <w:rFonts w:ascii="Calibri" w:hAnsi="Calibri" w:cs="Calibri"/>
                <w:sz w:val="22"/>
                <w:szCs w:val="22"/>
              </w:rPr>
            </w:pPr>
            <w:r>
              <w:rPr>
                <w:rFonts w:ascii="Calibri" w:hAnsi="Calibri" w:cs="Calibri"/>
                <w:sz w:val="22"/>
                <w:szCs w:val="22"/>
              </w:rPr>
              <w:t>32</w:t>
            </w:r>
          </w:p>
        </w:tc>
        <w:tc>
          <w:tcPr>
            <w:tcW w:w="1480" w:type="dxa"/>
            <w:tcBorders>
              <w:top w:val="nil"/>
              <w:left w:val="nil"/>
              <w:bottom w:val="single" w:sz="4" w:space="0" w:color="auto"/>
              <w:right w:val="single" w:sz="4" w:space="0" w:color="auto"/>
            </w:tcBorders>
            <w:noWrap/>
            <w:vAlign w:val="center"/>
            <w:hideMark/>
          </w:tcPr>
          <w:p w14:paraId="09A34318" w14:textId="77777777" w:rsidR="00391EC8" w:rsidRDefault="00391EC8">
            <w:pPr>
              <w:jc w:val="center"/>
              <w:rPr>
                <w:rFonts w:ascii="Calibri" w:hAnsi="Calibri" w:cs="Calibri"/>
                <w:sz w:val="22"/>
                <w:szCs w:val="22"/>
              </w:rPr>
            </w:pPr>
            <w:r>
              <w:rPr>
                <w:rFonts w:ascii="Calibri" w:hAnsi="Calibri" w:cs="Calibri"/>
                <w:sz w:val="22"/>
                <w:szCs w:val="22"/>
              </w:rPr>
              <w:t>3000</w:t>
            </w:r>
          </w:p>
        </w:tc>
        <w:tc>
          <w:tcPr>
            <w:tcW w:w="1359" w:type="dxa"/>
            <w:tcBorders>
              <w:top w:val="nil"/>
              <w:left w:val="nil"/>
              <w:bottom w:val="single" w:sz="4" w:space="0" w:color="auto"/>
              <w:right w:val="single" w:sz="8" w:space="0" w:color="auto"/>
            </w:tcBorders>
            <w:noWrap/>
            <w:vAlign w:val="center"/>
            <w:hideMark/>
          </w:tcPr>
          <w:p w14:paraId="5751AA3D"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EHT</w:t>
            </w:r>
          </w:p>
        </w:tc>
      </w:tr>
      <w:tr w:rsidR="00391EC8" w14:paraId="666154A5"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64927ADA"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19</w:t>
            </w:r>
          </w:p>
        </w:tc>
        <w:tc>
          <w:tcPr>
            <w:tcW w:w="4495" w:type="dxa"/>
            <w:tcBorders>
              <w:top w:val="nil"/>
              <w:left w:val="nil"/>
              <w:bottom w:val="single" w:sz="4" w:space="0" w:color="auto"/>
              <w:right w:val="single" w:sz="4" w:space="0" w:color="auto"/>
            </w:tcBorders>
            <w:noWrap/>
            <w:vAlign w:val="center"/>
            <w:hideMark/>
          </w:tcPr>
          <w:p w14:paraId="627FEEB6" w14:textId="77777777" w:rsidR="00391EC8" w:rsidRDefault="00391EC8">
            <w:pPr>
              <w:rPr>
                <w:rFonts w:ascii="Calibri" w:hAnsi="Calibri" w:cs="Calibri"/>
                <w:sz w:val="22"/>
                <w:szCs w:val="22"/>
              </w:rPr>
            </w:pPr>
            <w:r>
              <w:rPr>
                <w:rFonts w:ascii="Calibri" w:hAnsi="Calibri" w:cs="Calibri"/>
                <w:sz w:val="22"/>
                <w:szCs w:val="22"/>
              </w:rPr>
              <w:t>Shree Mahavir Ferro Alloys Ltd.</w:t>
            </w:r>
          </w:p>
        </w:tc>
        <w:tc>
          <w:tcPr>
            <w:tcW w:w="1380" w:type="dxa"/>
            <w:tcBorders>
              <w:top w:val="nil"/>
              <w:left w:val="nil"/>
              <w:bottom w:val="single" w:sz="4" w:space="0" w:color="auto"/>
              <w:right w:val="single" w:sz="4" w:space="0" w:color="auto"/>
            </w:tcBorders>
            <w:noWrap/>
            <w:vAlign w:val="center"/>
            <w:hideMark/>
          </w:tcPr>
          <w:p w14:paraId="60F59D13" w14:textId="77777777" w:rsidR="00391EC8" w:rsidRDefault="00391EC8">
            <w:pPr>
              <w:jc w:val="center"/>
              <w:rPr>
                <w:rFonts w:ascii="Calibri" w:hAnsi="Calibri" w:cs="Calibri"/>
                <w:sz w:val="22"/>
                <w:szCs w:val="22"/>
              </w:rPr>
            </w:pPr>
            <w:r>
              <w:rPr>
                <w:rFonts w:ascii="Calibri" w:hAnsi="Calibri" w:cs="Calibri"/>
                <w:sz w:val="22"/>
                <w:szCs w:val="22"/>
              </w:rPr>
              <w:t>15</w:t>
            </w:r>
          </w:p>
        </w:tc>
        <w:tc>
          <w:tcPr>
            <w:tcW w:w="1480" w:type="dxa"/>
            <w:tcBorders>
              <w:top w:val="nil"/>
              <w:left w:val="nil"/>
              <w:bottom w:val="single" w:sz="4" w:space="0" w:color="auto"/>
              <w:right w:val="single" w:sz="4" w:space="0" w:color="auto"/>
            </w:tcBorders>
            <w:noWrap/>
            <w:vAlign w:val="center"/>
            <w:hideMark/>
          </w:tcPr>
          <w:p w14:paraId="4997BD64" w14:textId="77777777" w:rsidR="00391EC8" w:rsidRDefault="00391EC8">
            <w:pPr>
              <w:jc w:val="center"/>
              <w:rPr>
                <w:rFonts w:ascii="Calibri" w:hAnsi="Calibri" w:cs="Calibri"/>
                <w:sz w:val="22"/>
                <w:szCs w:val="22"/>
              </w:rPr>
            </w:pPr>
            <w:r>
              <w:rPr>
                <w:rFonts w:ascii="Calibri" w:hAnsi="Calibri" w:cs="Calibri"/>
                <w:sz w:val="22"/>
                <w:szCs w:val="22"/>
              </w:rPr>
              <w:t>3000</w:t>
            </w:r>
          </w:p>
        </w:tc>
        <w:tc>
          <w:tcPr>
            <w:tcW w:w="1359" w:type="dxa"/>
            <w:tcBorders>
              <w:top w:val="nil"/>
              <w:left w:val="nil"/>
              <w:bottom w:val="single" w:sz="4" w:space="0" w:color="auto"/>
              <w:right w:val="single" w:sz="8" w:space="0" w:color="auto"/>
            </w:tcBorders>
            <w:noWrap/>
            <w:vAlign w:val="center"/>
            <w:hideMark/>
          </w:tcPr>
          <w:p w14:paraId="5D4976D9"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HT</w:t>
            </w:r>
          </w:p>
        </w:tc>
      </w:tr>
      <w:tr w:rsidR="00391EC8" w14:paraId="1BECC658"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3EF93AC6"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20</w:t>
            </w:r>
          </w:p>
        </w:tc>
        <w:tc>
          <w:tcPr>
            <w:tcW w:w="4495" w:type="dxa"/>
            <w:tcBorders>
              <w:top w:val="nil"/>
              <w:left w:val="nil"/>
              <w:bottom w:val="single" w:sz="4" w:space="0" w:color="auto"/>
              <w:right w:val="single" w:sz="4" w:space="0" w:color="auto"/>
            </w:tcBorders>
            <w:noWrap/>
            <w:vAlign w:val="center"/>
            <w:hideMark/>
          </w:tcPr>
          <w:p w14:paraId="7A5088EE" w14:textId="77777777" w:rsidR="00391EC8" w:rsidRDefault="00391EC8">
            <w:pPr>
              <w:rPr>
                <w:rFonts w:ascii="Calibri" w:hAnsi="Calibri" w:cs="Calibri"/>
                <w:sz w:val="22"/>
                <w:szCs w:val="22"/>
              </w:rPr>
            </w:pPr>
            <w:proofErr w:type="spellStart"/>
            <w:r>
              <w:rPr>
                <w:rFonts w:ascii="Calibri" w:hAnsi="Calibri" w:cs="Calibri"/>
                <w:sz w:val="22"/>
                <w:szCs w:val="22"/>
              </w:rPr>
              <w:t>Shyam</w:t>
            </w:r>
            <w:proofErr w:type="spellEnd"/>
            <w:r>
              <w:rPr>
                <w:rFonts w:ascii="Calibri" w:hAnsi="Calibri" w:cs="Calibri"/>
                <w:sz w:val="22"/>
                <w:szCs w:val="22"/>
              </w:rPr>
              <w:t xml:space="preserve"> </w:t>
            </w:r>
            <w:proofErr w:type="spellStart"/>
            <w:r>
              <w:rPr>
                <w:rFonts w:ascii="Calibri" w:hAnsi="Calibri" w:cs="Calibri"/>
                <w:sz w:val="22"/>
                <w:szCs w:val="22"/>
              </w:rPr>
              <w:t>Metalicks</w:t>
            </w:r>
            <w:proofErr w:type="spellEnd"/>
            <w:r>
              <w:rPr>
                <w:rFonts w:ascii="Calibri" w:hAnsi="Calibri" w:cs="Calibri"/>
                <w:sz w:val="22"/>
                <w:szCs w:val="22"/>
              </w:rPr>
              <w:t xml:space="preserve"> &amp; Energy Ltd</w:t>
            </w:r>
          </w:p>
        </w:tc>
        <w:tc>
          <w:tcPr>
            <w:tcW w:w="1380" w:type="dxa"/>
            <w:tcBorders>
              <w:top w:val="nil"/>
              <w:left w:val="nil"/>
              <w:bottom w:val="single" w:sz="4" w:space="0" w:color="auto"/>
              <w:right w:val="single" w:sz="4" w:space="0" w:color="auto"/>
            </w:tcBorders>
            <w:noWrap/>
            <w:vAlign w:val="center"/>
            <w:hideMark/>
          </w:tcPr>
          <w:p w14:paraId="7EA20BD7" w14:textId="77777777" w:rsidR="00391EC8" w:rsidRDefault="00391EC8">
            <w:pPr>
              <w:jc w:val="center"/>
              <w:rPr>
                <w:rFonts w:ascii="Calibri" w:hAnsi="Calibri" w:cs="Calibri"/>
                <w:sz w:val="22"/>
                <w:szCs w:val="22"/>
              </w:rPr>
            </w:pPr>
            <w:r>
              <w:rPr>
                <w:rFonts w:ascii="Calibri" w:hAnsi="Calibri" w:cs="Calibri"/>
                <w:sz w:val="22"/>
                <w:szCs w:val="22"/>
              </w:rPr>
              <w:t>163</w:t>
            </w:r>
          </w:p>
        </w:tc>
        <w:tc>
          <w:tcPr>
            <w:tcW w:w="1480" w:type="dxa"/>
            <w:tcBorders>
              <w:top w:val="nil"/>
              <w:left w:val="nil"/>
              <w:bottom w:val="single" w:sz="4" w:space="0" w:color="auto"/>
              <w:right w:val="single" w:sz="4" w:space="0" w:color="auto"/>
            </w:tcBorders>
            <w:noWrap/>
            <w:vAlign w:val="center"/>
            <w:hideMark/>
          </w:tcPr>
          <w:p w14:paraId="29AD4133" w14:textId="77777777" w:rsidR="00391EC8" w:rsidRDefault="00391EC8">
            <w:pPr>
              <w:jc w:val="center"/>
              <w:rPr>
                <w:rFonts w:ascii="Calibri" w:hAnsi="Calibri" w:cs="Calibri"/>
                <w:sz w:val="22"/>
                <w:szCs w:val="22"/>
              </w:rPr>
            </w:pPr>
            <w:r>
              <w:rPr>
                <w:rFonts w:ascii="Calibri" w:hAnsi="Calibri" w:cs="Calibri"/>
                <w:sz w:val="22"/>
                <w:szCs w:val="22"/>
              </w:rPr>
              <w:t>20000</w:t>
            </w:r>
          </w:p>
        </w:tc>
        <w:tc>
          <w:tcPr>
            <w:tcW w:w="1359" w:type="dxa"/>
            <w:tcBorders>
              <w:top w:val="nil"/>
              <w:left w:val="nil"/>
              <w:bottom w:val="single" w:sz="4" w:space="0" w:color="auto"/>
              <w:right w:val="single" w:sz="8" w:space="0" w:color="auto"/>
            </w:tcBorders>
            <w:noWrap/>
            <w:vAlign w:val="center"/>
            <w:hideMark/>
          </w:tcPr>
          <w:p w14:paraId="76AB125F"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EHT</w:t>
            </w:r>
          </w:p>
        </w:tc>
      </w:tr>
      <w:tr w:rsidR="00391EC8" w14:paraId="01DEE53C"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6581CCF2"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21</w:t>
            </w:r>
          </w:p>
        </w:tc>
        <w:tc>
          <w:tcPr>
            <w:tcW w:w="4495" w:type="dxa"/>
            <w:tcBorders>
              <w:top w:val="nil"/>
              <w:left w:val="nil"/>
              <w:bottom w:val="single" w:sz="4" w:space="0" w:color="auto"/>
              <w:right w:val="single" w:sz="4" w:space="0" w:color="auto"/>
            </w:tcBorders>
            <w:noWrap/>
            <w:vAlign w:val="center"/>
            <w:hideMark/>
          </w:tcPr>
          <w:p w14:paraId="3FA05BD9" w14:textId="77777777" w:rsidR="00391EC8" w:rsidRDefault="00391EC8">
            <w:pPr>
              <w:rPr>
                <w:rFonts w:ascii="Calibri" w:hAnsi="Calibri" w:cs="Calibri"/>
                <w:sz w:val="22"/>
                <w:szCs w:val="22"/>
              </w:rPr>
            </w:pPr>
            <w:r>
              <w:rPr>
                <w:rFonts w:ascii="Calibri" w:hAnsi="Calibri" w:cs="Calibri"/>
                <w:sz w:val="22"/>
                <w:szCs w:val="22"/>
              </w:rPr>
              <w:t>SMC Power Generation Ltd. (I)</w:t>
            </w:r>
          </w:p>
        </w:tc>
        <w:tc>
          <w:tcPr>
            <w:tcW w:w="1380" w:type="dxa"/>
            <w:tcBorders>
              <w:top w:val="nil"/>
              <w:left w:val="nil"/>
              <w:bottom w:val="single" w:sz="4" w:space="0" w:color="auto"/>
              <w:right w:val="single" w:sz="4" w:space="0" w:color="auto"/>
            </w:tcBorders>
            <w:noWrap/>
            <w:vAlign w:val="center"/>
            <w:hideMark/>
          </w:tcPr>
          <w:p w14:paraId="05F057F2" w14:textId="77777777" w:rsidR="00391EC8" w:rsidRDefault="00391EC8">
            <w:pPr>
              <w:jc w:val="center"/>
              <w:rPr>
                <w:rFonts w:ascii="Calibri" w:hAnsi="Calibri" w:cs="Calibri"/>
                <w:sz w:val="22"/>
                <w:szCs w:val="22"/>
              </w:rPr>
            </w:pPr>
            <w:r>
              <w:rPr>
                <w:rFonts w:ascii="Calibri" w:hAnsi="Calibri" w:cs="Calibri"/>
                <w:sz w:val="22"/>
                <w:szCs w:val="22"/>
              </w:rPr>
              <w:t>37</w:t>
            </w:r>
          </w:p>
        </w:tc>
        <w:tc>
          <w:tcPr>
            <w:tcW w:w="1480" w:type="dxa"/>
            <w:tcBorders>
              <w:top w:val="nil"/>
              <w:left w:val="nil"/>
              <w:bottom w:val="single" w:sz="4" w:space="0" w:color="auto"/>
              <w:right w:val="single" w:sz="4" w:space="0" w:color="auto"/>
            </w:tcBorders>
            <w:noWrap/>
            <w:vAlign w:val="center"/>
            <w:hideMark/>
          </w:tcPr>
          <w:p w14:paraId="706A96A8" w14:textId="77777777" w:rsidR="00391EC8" w:rsidRDefault="00391EC8">
            <w:pPr>
              <w:jc w:val="center"/>
              <w:rPr>
                <w:rFonts w:ascii="Calibri" w:hAnsi="Calibri" w:cs="Calibri"/>
                <w:sz w:val="22"/>
                <w:szCs w:val="22"/>
              </w:rPr>
            </w:pPr>
            <w:r>
              <w:rPr>
                <w:rFonts w:ascii="Calibri" w:hAnsi="Calibri" w:cs="Calibri"/>
                <w:sz w:val="22"/>
                <w:szCs w:val="22"/>
              </w:rPr>
              <w:t>4000</w:t>
            </w:r>
          </w:p>
        </w:tc>
        <w:tc>
          <w:tcPr>
            <w:tcW w:w="1359" w:type="dxa"/>
            <w:tcBorders>
              <w:top w:val="nil"/>
              <w:left w:val="nil"/>
              <w:bottom w:val="single" w:sz="4" w:space="0" w:color="auto"/>
              <w:right w:val="single" w:sz="8" w:space="0" w:color="auto"/>
            </w:tcBorders>
            <w:noWrap/>
            <w:vAlign w:val="center"/>
            <w:hideMark/>
          </w:tcPr>
          <w:p w14:paraId="4422B0A1"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EHT</w:t>
            </w:r>
          </w:p>
        </w:tc>
      </w:tr>
      <w:tr w:rsidR="00391EC8" w14:paraId="69A14E45"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5F0CF2FB"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22</w:t>
            </w:r>
          </w:p>
        </w:tc>
        <w:tc>
          <w:tcPr>
            <w:tcW w:w="4495" w:type="dxa"/>
            <w:tcBorders>
              <w:top w:val="nil"/>
              <w:left w:val="nil"/>
              <w:bottom w:val="single" w:sz="4" w:space="0" w:color="auto"/>
              <w:right w:val="single" w:sz="4" w:space="0" w:color="auto"/>
            </w:tcBorders>
            <w:noWrap/>
            <w:vAlign w:val="center"/>
            <w:hideMark/>
          </w:tcPr>
          <w:p w14:paraId="0ED26C44" w14:textId="77777777" w:rsidR="00391EC8" w:rsidRDefault="00391EC8">
            <w:pPr>
              <w:rPr>
                <w:rFonts w:ascii="Calibri" w:hAnsi="Calibri" w:cs="Calibri"/>
                <w:sz w:val="22"/>
                <w:szCs w:val="22"/>
              </w:rPr>
            </w:pPr>
            <w:r>
              <w:rPr>
                <w:rFonts w:ascii="Calibri" w:hAnsi="Calibri" w:cs="Calibri"/>
                <w:sz w:val="22"/>
                <w:szCs w:val="22"/>
              </w:rPr>
              <w:t>SMC Power Generation Ltd. (II)</w:t>
            </w:r>
          </w:p>
        </w:tc>
        <w:tc>
          <w:tcPr>
            <w:tcW w:w="1380" w:type="dxa"/>
            <w:tcBorders>
              <w:top w:val="nil"/>
              <w:left w:val="nil"/>
              <w:bottom w:val="single" w:sz="4" w:space="0" w:color="auto"/>
              <w:right w:val="single" w:sz="4" w:space="0" w:color="auto"/>
            </w:tcBorders>
            <w:noWrap/>
            <w:vAlign w:val="center"/>
            <w:hideMark/>
          </w:tcPr>
          <w:p w14:paraId="39903875" w14:textId="77777777" w:rsidR="00391EC8" w:rsidRDefault="00391EC8">
            <w:pPr>
              <w:jc w:val="center"/>
              <w:rPr>
                <w:rFonts w:ascii="Calibri" w:hAnsi="Calibri" w:cs="Calibri"/>
                <w:sz w:val="22"/>
                <w:szCs w:val="22"/>
              </w:rPr>
            </w:pPr>
            <w:r>
              <w:rPr>
                <w:rFonts w:ascii="Calibri" w:hAnsi="Calibri" w:cs="Calibri"/>
                <w:sz w:val="22"/>
                <w:szCs w:val="22"/>
              </w:rPr>
              <w:t>70</w:t>
            </w:r>
          </w:p>
        </w:tc>
        <w:tc>
          <w:tcPr>
            <w:tcW w:w="1480" w:type="dxa"/>
            <w:tcBorders>
              <w:top w:val="nil"/>
              <w:left w:val="nil"/>
              <w:bottom w:val="single" w:sz="4" w:space="0" w:color="auto"/>
              <w:right w:val="single" w:sz="4" w:space="0" w:color="auto"/>
            </w:tcBorders>
            <w:noWrap/>
            <w:vAlign w:val="center"/>
            <w:hideMark/>
          </w:tcPr>
          <w:p w14:paraId="6CD2AC7B" w14:textId="77777777" w:rsidR="00391EC8" w:rsidRDefault="00391EC8">
            <w:pPr>
              <w:jc w:val="center"/>
              <w:rPr>
                <w:rFonts w:ascii="Calibri" w:hAnsi="Calibri" w:cs="Calibri"/>
                <w:sz w:val="22"/>
                <w:szCs w:val="22"/>
              </w:rPr>
            </w:pPr>
            <w:r>
              <w:rPr>
                <w:rFonts w:ascii="Calibri" w:hAnsi="Calibri" w:cs="Calibri"/>
                <w:sz w:val="22"/>
                <w:szCs w:val="22"/>
              </w:rPr>
              <w:t>7500</w:t>
            </w:r>
          </w:p>
        </w:tc>
        <w:tc>
          <w:tcPr>
            <w:tcW w:w="1359" w:type="dxa"/>
            <w:tcBorders>
              <w:top w:val="nil"/>
              <w:left w:val="nil"/>
              <w:bottom w:val="single" w:sz="4" w:space="0" w:color="auto"/>
              <w:right w:val="single" w:sz="8" w:space="0" w:color="auto"/>
            </w:tcBorders>
            <w:noWrap/>
            <w:vAlign w:val="center"/>
            <w:hideMark/>
          </w:tcPr>
          <w:p w14:paraId="692FCB90"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EHT</w:t>
            </w:r>
          </w:p>
        </w:tc>
      </w:tr>
      <w:tr w:rsidR="00391EC8" w14:paraId="7FA33586"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6C4489AD"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23</w:t>
            </w:r>
          </w:p>
        </w:tc>
        <w:tc>
          <w:tcPr>
            <w:tcW w:w="4495" w:type="dxa"/>
            <w:tcBorders>
              <w:top w:val="nil"/>
              <w:left w:val="nil"/>
              <w:bottom w:val="single" w:sz="4" w:space="0" w:color="auto"/>
              <w:right w:val="single" w:sz="4" w:space="0" w:color="auto"/>
            </w:tcBorders>
            <w:noWrap/>
            <w:vAlign w:val="center"/>
            <w:hideMark/>
          </w:tcPr>
          <w:p w14:paraId="1C629F2C" w14:textId="53361202" w:rsidR="00391EC8" w:rsidRDefault="00391EC8">
            <w:pPr>
              <w:rPr>
                <w:rFonts w:ascii="Calibri" w:hAnsi="Calibri" w:cs="Calibri"/>
                <w:sz w:val="22"/>
                <w:szCs w:val="22"/>
              </w:rPr>
            </w:pPr>
            <w:r>
              <w:rPr>
                <w:rFonts w:ascii="Calibri" w:hAnsi="Calibri" w:cs="Calibri"/>
                <w:sz w:val="22"/>
                <w:szCs w:val="22"/>
              </w:rPr>
              <w:t>Surendra Mining Industries Pvt Ltd</w:t>
            </w:r>
          </w:p>
        </w:tc>
        <w:tc>
          <w:tcPr>
            <w:tcW w:w="1380" w:type="dxa"/>
            <w:tcBorders>
              <w:top w:val="nil"/>
              <w:left w:val="nil"/>
              <w:bottom w:val="single" w:sz="4" w:space="0" w:color="auto"/>
              <w:right w:val="single" w:sz="4" w:space="0" w:color="auto"/>
            </w:tcBorders>
            <w:noWrap/>
            <w:vAlign w:val="center"/>
            <w:hideMark/>
          </w:tcPr>
          <w:p w14:paraId="0E810F10" w14:textId="77777777" w:rsidR="00391EC8" w:rsidRDefault="00391EC8">
            <w:pPr>
              <w:jc w:val="center"/>
              <w:rPr>
                <w:rFonts w:ascii="Calibri" w:hAnsi="Calibri" w:cs="Calibri"/>
                <w:sz w:val="22"/>
                <w:szCs w:val="22"/>
              </w:rPr>
            </w:pPr>
            <w:r>
              <w:rPr>
                <w:rFonts w:ascii="Calibri" w:hAnsi="Calibri" w:cs="Calibri"/>
                <w:sz w:val="22"/>
                <w:szCs w:val="22"/>
              </w:rPr>
              <w:t>12</w:t>
            </w:r>
          </w:p>
        </w:tc>
        <w:tc>
          <w:tcPr>
            <w:tcW w:w="1480" w:type="dxa"/>
            <w:tcBorders>
              <w:top w:val="nil"/>
              <w:left w:val="nil"/>
              <w:bottom w:val="single" w:sz="4" w:space="0" w:color="auto"/>
              <w:right w:val="single" w:sz="4" w:space="0" w:color="auto"/>
            </w:tcBorders>
            <w:noWrap/>
            <w:vAlign w:val="center"/>
            <w:hideMark/>
          </w:tcPr>
          <w:p w14:paraId="082B9582" w14:textId="77777777" w:rsidR="00391EC8" w:rsidRDefault="00391EC8">
            <w:pPr>
              <w:jc w:val="center"/>
              <w:rPr>
                <w:rFonts w:ascii="Calibri" w:hAnsi="Calibri" w:cs="Calibri"/>
                <w:sz w:val="22"/>
                <w:szCs w:val="22"/>
              </w:rPr>
            </w:pPr>
            <w:r>
              <w:rPr>
                <w:rFonts w:ascii="Calibri" w:hAnsi="Calibri" w:cs="Calibri"/>
                <w:sz w:val="22"/>
                <w:szCs w:val="22"/>
              </w:rPr>
              <w:t>2800</w:t>
            </w:r>
          </w:p>
        </w:tc>
        <w:tc>
          <w:tcPr>
            <w:tcW w:w="1359" w:type="dxa"/>
            <w:tcBorders>
              <w:top w:val="nil"/>
              <w:left w:val="nil"/>
              <w:bottom w:val="single" w:sz="4" w:space="0" w:color="auto"/>
              <w:right w:val="single" w:sz="8" w:space="0" w:color="auto"/>
            </w:tcBorders>
            <w:noWrap/>
            <w:vAlign w:val="center"/>
            <w:hideMark/>
          </w:tcPr>
          <w:p w14:paraId="0B1354A7"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HT</w:t>
            </w:r>
          </w:p>
        </w:tc>
      </w:tr>
      <w:tr w:rsidR="00391EC8" w14:paraId="46C9AF77"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334951FD"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24</w:t>
            </w:r>
          </w:p>
        </w:tc>
        <w:tc>
          <w:tcPr>
            <w:tcW w:w="4495" w:type="dxa"/>
            <w:tcBorders>
              <w:top w:val="nil"/>
              <w:left w:val="nil"/>
              <w:bottom w:val="single" w:sz="4" w:space="0" w:color="auto"/>
              <w:right w:val="single" w:sz="4" w:space="0" w:color="auto"/>
            </w:tcBorders>
            <w:noWrap/>
            <w:vAlign w:val="bottom"/>
            <w:hideMark/>
          </w:tcPr>
          <w:p w14:paraId="1EDB1793" w14:textId="77777777" w:rsidR="00391EC8" w:rsidRDefault="00391EC8">
            <w:pPr>
              <w:rPr>
                <w:rFonts w:ascii="Calibri" w:hAnsi="Calibri" w:cs="Calibri"/>
                <w:color w:val="000000"/>
                <w:sz w:val="22"/>
                <w:szCs w:val="22"/>
              </w:rPr>
            </w:pPr>
            <w:r>
              <w:rPr>
                <w:rFonts w:ascii="Calibri" w:hAnsi="Calibri" w:cs="Calibri"/>
                <w:color w:val="000000"/>
                <w:sz w:val="22"/>
                <w:szCs w:val="22"/>
              </w:rPr>
              <w:t>Shiva Cement Limited</w:t>
            </w:r>
          </w:p>
        </w:tc>
        <w:tc>
          <w:tcPr>
            <w:tcW w:w="1380" w:type="dxa"/>
            <w:tcBorders>
              <w:top w:val="nil"/>
              <w:left w:val="nil"/>
              <w:bottom w:val="single" w:sz="4" w:space="0" w:color="auto"/>
              <w:right w:val="single" w:sz="4" w:space="0" w:color="auto"/>
            </w:tcBorders>
            <w:noWrap/>
            <w:vAlign w:val="center"/>
            <w:hideMark/>
          </w:tcPr>
          <w:p w14:paraId="562432E0" w14:textId="77777777" w:rsidR="00391EC8" w:rsidRDefault="00391EC8">
            <w:pPr>
              <w:jc w:val="center"/>
              <w:rPr>
                <w:rFonts w:ascii="Calibri" w:hAnsi="Calibri" w:cs="Calibri"/>
                <w:sz w:val="22"/>
                <w:szCs w:val="22"/>
              </w:rPr>
            </w:pPr>
            <w:r>
              <w:rPr>
                <w:rFonts w:ascii="Calibri" w:hAnsi="Calibri" w:cs="Calibri"/>
                <w:sz w:val="22"/>
                <w:szCs w:val="22"/>
              </w:rPr>
              <w:t>8.92</w:t>
            </w:r>
          </w:p>
        </w:tc>
        <w:tc>
          <w:tcPr>
            <w:tcW w:w="1480" w:type="dxa"/>
            <w:tcBorders>
              <w:top w:val="nil"/>
              <w:left w:val="nil"/>
              <w:bottom w:val="single" w:sz="4" w:space="0" w:color="auto"/>
              <w:right w:val="single" w:sz="4" w:space="0" w:color="auto"/>
            </w:tcBorders>
            <w:noWrap/>
            <w:vAlign w:val="center"/>
            <w:hideMark/>
          </w:tcPr>
          <w:p w14:paraId="45C0985C" w14:textId="77777777" w:rsidR="00391EC8" w:rsidRDefault="00391EC8">
            <w:pPr>
              <w:jc w:val="center"/>
              <w:rPr>
                <w:rFonts w:ascii="Calibri" w:hAnsi="Calibri" w:cs="Calibri"/>
                <w:sz w:val="22"/>
                <w:szCs w:val="22"/>
              </w:rPr>
            </w:pPr>
            <w:r>
              <w:rPr>
                <w:rFonts w:ascii="Calibri" w:hAnsi="Calibri" w:cs="Calibri"/>
                <w:sz w:val="22"/>
                <w:szCs w:val="22"/>
              </w:rPr>
              <w:t>2200</w:t>
            </w:r>
          </w:p>
        </w:tc>
        <w:tc>
          <w:tcPr>
            <w:tcW w:w="1359" w:type="dxa"/>
            <w:tcBorders>
              <w:top w:val="nil"/>
              <w:left w:val="nil"/>
              <w:bottom w:val="single" w:sz="4" w:space="0" w:color="auto"/>
              <w:right w:val="single" w:sz="8" w:space="0" w:color="auto"/>
            </w:tcBorders>
            <w:noWrap/>
            <w:vAlign w:val="center"/>
            <w:hideMark/>
          </w:tcPr>
          <w:p w14:paraId="08A1EB39"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HT</w:t>
            </w:r>
          </w:p>
        </w:tc>
      </w:tr>
      <w:tr w:rsidR="00391EC8" w14:paraId="526BB7AC"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425D4631"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25</w:t>
            </w:r>
          </w:p>
        </w:tc>
        <w:tc>
          <w:tcPr>
            <w:tcW w:w="4495" w:type="dxa"/>
            <w:tcBorders>
              <w:top w:val="nil"/>
              <w:left w:val="nil"/>
              <w:bottom w:val="single" w:sz="4" w:space="0" w:color="auto"/>
              <w:right w:val="single" w:sz="4" w:space="0" w:color="auto"/>
            </w:tcBorders>
            <w:noWrap/>
            <w:vAlign w:val="center"/>
            <w:hideMark/>
          </w:tcPr>
          <w:p w14:paraId="0F5A971A" w14:textId="77777777" w:rsidR="00391EC8" w:rsidRDefault="00391EC8">
            <w:pPr>
              <w:rPr>
                <w:rFonts w:ascii="Calibri" w:hAnsi="Calibri" w:cs="Calibri"/>
                <w:sz w:val="22"/>
                <w:szCs w:val="22"/>
              </w:rPr>
            </w:pPr>
            <w:r>
              <w:rPr>
                <w:rFonts w:ascii="Calibri" w:hAnsi="Calibri" w:cs="Calibri"/>
                <w:sz w:val="22"/>
                <w:szCs w:val="22"/>
              </w:rPr>
              <w:t>Suraj Product</w:t>
            </w:r>
          </w:p>
        </w:tc>
        <w:tc>
          <w:tcPr>
            <w:tcW w:w="1380" w:type="dxa"/>
            <w:tcBorders>
              <w:top w:val="nil"/>
              <w:left w:val="nil"/>
              <w:bottom w:val="single" w:sz="4" w:space="0" w:color="auto"/>
              <w:right w:val="single" w:sz="4" w:space="0" w:color="auto"/>
            </w:tcBorders>
            <w:noWrap/>
            <w:vAlign w:val="center"/>
            <w:hideMark/>
          </w:tcPr>
          <w:p w14:paraId="216376FF" w14:textId="77777777" w:rsidR="00391EC8" w:rsidRDefault="00391EC8">
            <w:pPr>
              <w:jc w:val="center"/>
              <w:rPr>
                <w:rFonts w:ascii="Calibri" w:hAnsi="Calibri" w:cs="Calibri"/>
                <w:sz w:val="22"/>
                <w:szCs w:val="22"/>
              </w:rPr>
            </w:pPr>
            <w:r>
              <w:rPr>
                <w:rFonts w:ascii="Calibri" w:hAnsi="Calibri" w:cs="Calibri"/>
                <w:sz w:val="22"/>
                <w:szCs w:val="22"/>
              </w:rPr>
              <w:t>9</w:t>
            </w:r>
          </w:p>
        </w:tc>
        <w:tc>
          <w:tcPr>
            <w:tcW w:w="1480" w:type="dxa"/>
            <w:tcBorders>
              <w:top w:val="nil"/>
              <w:left w:val="nil"/>
              <w:bottom w:val="single" w:sz="4" w:space="0" w:color="auto"/>
              <w:right w:val="single" w:sz="4" w:space="0" w:color="auto"/>
            </w:tcBorders>
            <w:noWrap/>
            <w:vAlign w:val="center"/>
            <w:hideMark/>
          </w:tcPr>
          <w:p w14:paraId="7FD8D11A" w14:textId="77777777" w:rsidR="00391EC8" w:rsidRDefault="00391EC8">
            <w:pPr>
              <w:jc w:val="center"/>
              <w:rPr>
                <w:rFonts w:ascii="Calibri" w:hAnsi="Calibri" w:cs="Calibri"/>
                <w:sz w:val="22"/>
                <w:szCs w:val="22"/>
              </w:rPr>
            </w:pPr>
            <w:r>
              <w:rPr>
                <w:rFonts w:ascii="Calibri" w:hAnsi="Calibri" w:cs="Calibri"/>
                <w:sz w:val="22"/>
                <w:szCs w:val="22"/>
              </w:rPr>
              <w:t>4800</w:t>
            </w:r>
          </w:p>
        </w:tc>
        <w:tc>
          <w:tcPr>
            <w:tcW w:w="1359" w:type="dxa"/>
            <w:tcBorders>
              <w:top w:val="nil"/>
              <w:left w:val="nil"/>
              <w:bottom w:val="single" w:sz="4" w:space="0" w:color="auto"/>
              <w:right w:val="single" w:sz="8" w:space="0" w:color="auto"/>
            </w:tcBorders>
            <w:noWrap/>
            <w:vAlign w:val="center"/>
            <w:hideMark/>
          </w:tcPr>
          <w:p w14:paraId="3BDAC2B0"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HT</w:t>
            </w:r>
          </w:p>
        </w:tc>
      </w:tr>
      <w:tr w:rsidR="00391EC8" w14:paraId="35034EB6"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0972243E"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26</w:t>
            </w:r>
          </w:p>
        </w:tc>
        <w:tc>
          <w:tcPr>
            <w:tcW w:w="4495" w:type="dxa"/>
            <w:tcBorders>
              <w:top w:val="nil"/>
              <w:left w:val="nil"/>
              <w:bottom w:val="single" w:sz="4" w:space="0" w:color="auto"/>
              <w:right w:val="single" w:sz="4" w:space="0" w:color="auto"/>
            </w:tcBorders>
            <w:noWrap/>
            <w:vAlign w:val="center"/>
            <w:hideMark/>
          </w:tcPr>
          <w:p w14:paraId="7AE5216E" w14:textId="77777777" w:rsidR="00391EC8" w:rsidRDefault="00391EC8">
            <w:pPr>
              <w:rPr>
                <w:rFonts w:ascii="Calibri" w:hAnsi="Calibri" w:cs="Calibri"/>
                <w:sz w:val="22"/>
                <w:szCs w:val="22"/>
              </w:rPr>
            </w:pPr>
            <w:r>
              <w:rPr>
                <w:rFonts w:ascii="Calibri" w:hAnsi="Calibri" w:cs="Calibri"/>
                <w:sz w:val="22"/>
                <w:szCs w:val="22"/>
              </w:rPr>
              <w:t>M/s Thakur Prasad Sao &amp; Sons (P) Ltd, (Unit-IV)</w:t>
            </w:r>
          </w:p>
        </w:tc>
        <w:tc>
          <w:tcPr>
            <w:tcW w:w="1380" w:type="dxa"/>
            <w:tcBorders>
              <w:top w:val="nil"/>
              <w:left w:val="nil"/>
              <w:bottom w:val="single" w:sz="4" w:space="0" w:color="auto"/>
              <w:right w:val="single" w:sz="4" w:space="0" w:color="auto"/>
            </w:tcBorders>
            <w:noWrap/>
            <w:vAlign w:val="center"/>
            <w:hideMark/>
          </w:tcPr>
          <w:p w14:paraId="43408108" w14:textId="77777777" w:rsidR="00391EC8" w:rsidRDefault="00391EC8">
            <w:pPr>
              <w:jc w:val="center"/>
              <w:rPr>
                <w:rFonts w:ascii="Calibri" w:hAnsi="Calibri" w:cs="Calibri"/>
                <w:sz w:val="22"/>
                <w:szCs w:val="22"/>
              </w:rPr>
            </w:pPr>
            <w:r>
              <w:rPr>
                <w:rFonts w:ascii="Calibri" w:hAnsi="Calibri" w:cs="Calibri"/>
                <w:sz w:val="22"/>
                <w:szCs w:val="22"/>
              </w:rPr>
              <w:t>12</w:t>
            </w:r>
          </w:p>
        </w:tc>
        <w:tc>
          <w:tcPr>
            <w:tcW w:w="1480" w:type="dxa"/>
            <w:tcBorders>
              <w:top w:val="nil"/>
              <w:left w:val="nil"/>
              <w:bottom w:val="single" w:sz="4" w:space="0" w:color="auto"/>
              <w:right w:val="single" w:sz="4" w:space="0" w:color="auto"/>
            </w:tcBorders>
            <w:noWrap/>
            <w:vAlign w:val="center"/>
            <w:hideMark/>
          </w:tcPr>
          <w:p w14:paraId="1CA2E45A" w14:textId="77777777" w:rsidR="00391EC8" w:rsidRDefault="00391EC8">
            <w:pPr>
              <w:jc w:val="center"/>
              <w:rPr>
                <w:rFonts w:ascii="Calibri" w:hAnsi="Calibri" w:cs="Calibri"/>
                <w:sz w:val="22"/>
                <w:szCs w:val="22"/>
              </w:rPr>
            </w:pPr>
            <w:r>
              <w:rPr>
                <w:rFonts w:ascii="Calibri" w:hAnsi="Calibri" w:cs="Calibri"/>
                <w:sz w:val="22"/>
                <w:szCs w:val="22"/>
              </w:rPr>
              <w:t>7000</w:t>
            </w:r>
          </w:p>
        </w:tc>
        <w:tc>
          <w:tcPr>
            <w:tcW w:w="1359" w:type="dxa"/>
            <w:tcBorders>
              <w:top w:val="nil"/>
              <w:left w:val="nil"/>
              <w:bottom w:val="single" w:sz="4" w:space="0" w:color="auto"/>
              <w:right w:val="single" w:sz="8" w:space="0" w:color="auto"/>
            </w:tcBorders>
            <w:noWrap/>
            <w:vAlign w:val="center"/>
            <w:hideMark/>
          </w:tcPr>
          <w:p w14:paraId="301F1F5F"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HT</w:t>
            </w:r>
          </w:p>
        </w:tc>
      </w:tr>
      <w:tr w:rsidR="00391EC8" w14:paraId="6FFF4C19"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5AEF75BB"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27</w:t>
            </w:r>
          </w:p>
        </w:tc>
        <w:tc>
          <w:tcPr>
            <w:tcW w:w="4495" w:type="dxa"/>
            <w:tcBorders>
              <w:top w:val="nil"/>
              <w:left w:val="nil"/>
              <w:bottom w:val="single" w:sz="4" w:space="0" w:color="auto"/>
              <w:right w:val="single" w:sz="4" w:space="0" w:color="auto"/>
            </w:tcBorders>
            <w:noWrap/>
            <w:vAlign w:val="bottom"/>
            <w:hideMark/>
          </w:tcPr>
          <w:p w14:paraId="2F846A11" w14:textId="77777777" w:rsidR="00391EC8" w:rsidRDefault="00391EC8">
            <w:pPr>
              <w:rPr>
                <w:rFonts w:ascii="Calibri" w:hAnsi="Calibri" w:cs="Calibri"/>
                <w:color w:val="000000"/>
                <w:sz w:val="22"/>
                <w:szCs w:val="22"/>
              </w:rPr>
            </w:pPr>
            <w:r>
              <w:rPr>
                <w:rFonts w:ascii="Calibri" w:hAnsi="Calibri" w:cs="Calibri"/>
                <w:color w:val="000000"/>
                <w:sz w:val="22"/>
                <w:szCs w:val="22"/>
              </w:rPr>
              <w:t xml:space="preserve">M/s. Times Steel and Power Ltd. IDC, </w:t>
            </w:r>
            <w:proofErr w:type="spellStart"/>
            <w:r>
              <w:rPr>
                <w:rFonts w:ascii="Calibri" w:hAnsi="Calibri" w:cs="Calibri"/>
                <w:color w:val="000000"/>
                <w:sz w:val="22"/>
                <w:szCs w:val="22"/>
              </w:rPr>
              <w:t>Kalunga</w:t>
            </w:r>
            <w:proofErr w:type="spellEnd"/>
            <w:r>
              <w:rPr>
                <w:rFonts w:ascii="Calibri" w:hAnsi="Calibri" w:cs="Calibri"/>
                <w:color w:val="000000"/>
                <w:sz w:val="22"/>
                <w:szCs w:val="22"/>
              </w:rPr>
              <w:t>, Sundargarh</w:t>
            </w:r>
          </w:p>
        </w:tc>
        <w:tc>
          <w:tcPr>
            <w:tcW w:w="1380" w:type="dxa"/>
            <w:tcBorders>
              <w:top w:val="nil"/>
              <w:left w:val="nil"/>
              <w:bottom w:val="single" w:sz="4" w:space="0" w:color="auto"/>
              <w:right w:val="single" w:sz="4" w:space="0" w:color="auto"/>
            </w:tcBorders>
            <w:noWrap/>
            <w:vAlign w:val="center"/>
            <w:hideMark/>
          </w:tcPr>
          <w:p w14:paraId="05E5CD92"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9.6</w:t>
            </w:r>
          </w:p>
        </w:tc>
        <w:tc>
          <w:tcPr>
            <w:tcW w:w="1480" w:type="dxa"/>
            <w:tcBorders>
              <w:top w:val="nil"/>
              <w:left w:val="nil"/>
              <w:bottom w:val="single" w:sz="4" w:space="0" w:color="auto"/>
              <w:right w:val="single" w:sz="4" w:space="0" w:color="auto"/>
            </w:tcBorders>
            <w:noWrap/>
            <w:vAlign w:val="center"/>
            <w:hideMark/>
          </w:tcPr>
          <w:p w14:paraId="5C0C00C7" w14:textId="77777777" w:rsidR="00391EC8" w:rsidRDefault="00391EC8">
            <w:pPr>
              <w:jc w:val="center"/>
              <w:rPr>
                <w:rFonts w:ascii="Calibri" w:hAnsi="Calibri" w:cs="Calibri"/>
                <w:sz w:val="22"/>
                <w:szCs w:val="22"/>
              </w:rPr>
            </w:pPr>
            <w:r>
              <w:rPr>
                <w:rFonts w:ascii="Calibri" w:hAnsi="Calibri" w:cs="Calibri"/>
                <w:sz w:val="22"/>
                <w:szCs w:val="22"/>
              </w:rPr>
              <w:t>1500</w:t>
            </w:r>
          </w:p>
        </w:tc>
        <w:tc>
          <w:tcPr>
            <w:tcW w:w="1359" w:type="dxa"/>
            <w:tcBorders>
              <w:top w:val="nil"/>
              <w:left w:val="nil"/>
              <w:bottom w:val="single" w:sz="4" w:space="0" w:color="auto"/>
              <w:right w:val="single" w:sz="8" w:space="0" w:color="auto"/>
            </w:tcBorders>
            <w:noWrap/>
            <w:vAlign w:val="center"/>
            <w:hideMark/>
          </w:tcPr>
          <w:p w14:paraId="5386A89C"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HT</w:t>
            </w:r>
          </w:p>
        </w:tc>
      </w:tr>
      <w:tr w:rsidR="00391EC8" w14:paraId="0B7BB98D"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30175CB6"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28</w:t>
            </w:r>
          </w:p>
        </w:tc>
        <w:tc>
          <w:tcPr>
            <w:tcW w:w="4495" w:type="dxa"/>
            <w:tcBorders>
              <w:top w:val="nil"/>
              <w:left w:val="nil"/>
              <w:bottom w:val="single" w:sz="4" w:space="0" w:color="auto"/>
              <w:right w:val="single" w:sz="4" w:space="0" w:color="auto"/>
            </w:tcBorders>
            <w:noWrap/>
            <w:vAlign w:val="center"/>
            <w:hideMark/>
          </w:tcPr>
          <w:p w14:paraId="0B4C6EE3" w14:textId="77777777" w:rsidR="00391EC8" w:rsidRDefault="00391EC8">
            <w:pPr>
              <w:rPr>
                <w:rFonts w:ascii="Calibri" w:hAnsi="Calibri" w:cs="Calibri"/>
                <w:sz w:val="22"/>
                <w:szCs w:val="22"/>
              </w:rPr>
            </w:pPr>
            <w:r>
              <w:rPr>
                <w:rFonts w:ascii="Calibri" w:hAnsi="Calibri" w:cs="Calibri"/>
                <w:sz w:val="22"/>
                <w:szCs w:val="22"/>
              </w:rPr>
              <w:t>Vedanta Aluminum Ltd.(9X135, Plant-I)</w:t>
            </w:r>
          </w:p>
        </w:tc>
        <w:tc>
          <w:tcPr>
            <w:tcW w:w="1380" w:type="dxa"/>
            <w:tcBorders>
              <w:top w:val="nil"/>
              <w:left w:val="nil"/>
              <w:bottom w:val="single" w:sz="4" w:space="0" w:color="auto"/>
              <w:right w:val="single" w:sz="4" w:space="0" w:color="auto"/>
            </w:tcBorders>
            <w:noWrap/>
            <w:vAlign w:val="center"/>
            <w:hideMark/>
          </w:tcPr>
          <w:p w14:paraId="0E46B9DC" w14:textId="77777777" w:rsidR="00391EC8" w:rsidRDefault="00391EC8">
            <w:pPr>
              <w:jc w:val="center"/>
              <w:rPr>
                <w:rFonts w:ascii="Calibri" w:hAnsi="Calibri" w:cs="Calibri"/>
                <w:sz w:val="22"/>
                <w:szCs w:val="22"/>
              </w:rPr>
            </w:pPr>
            <w:r>
              <w:rPr>
                <w:rFonts w:ascii="Calibri" w:hAnsi="Calibri" w:cs="Calibri"/>
                <w:sz w:val="22"/>
                <w:szCs w:val="22"/>
              </w:rPr>
              <w:t>1215</w:t>
            </w:r>
          </w:p>
        </w:tc>
        <w:tc>
          <w:tcPr>
            <w:tcW w:w="1480" w:type="dxa"/>
            <w:tcBorders>
              <w:top w:val="nil"/>
              <w:left w:val="nil"/>
              <w:bottom w:val="single" w:sz="4" w:space="0" w:color="auto"/>
              <w:right w:val="single" w:sz="4" w:space="0" w:color="auto"/>
            </w:tcBorders>
            <w:noWrap/>
            <w:vAlign w:val="center"/>
            <w:hideMark/>
          </w:tcPr>
          <w:p w14:paraId="4A54D3A9" w14:textId="77777777" w:rsidR="00391EC8" w:rsidRDefault="00391EC8">
            <w:pPr>
              <w:jc w:val="center"/>
              <w:rPr>
                <w:rFonts w:ascii="Calibri" w:hAnsi="Calibri" w:cs="Calibri"/>
                <w:sz w:val="22"/>
                <w:szCs w:val="22"/>
              </w:rPr>
            </w:pPr>
            <w:r>
              <w:rPr>
                <w:rFonts w:ascii="Calibri" w:hAnsi="Calibri" w:cs="Calibri"/>
                <w:sz w:val="22"/>
                <w:szCs w:val="22"/>
              </w:rPr>
              <w:t>66667</w:t>
            </w:r>
          </w:p>
        </w:tc>
        <w:tc>
          <w:tcPr>
            <w:tcW w:w="1359" w:type="dxa"/>
            <w:tcBorders>
              <w:top w:val="nil"/>
              <w:left w:val="nil"/>
              <w:bottom w:val="single" w:sz="4" w:space="0" w:color="auto"/>
              <w:right w:val="single" w:sz="8" w:space="0" w:color="auto"/>
            </w:tcBorders>
            <w:noWrap/>
            <w:vAlign w:val="center"/>
            <w:hideMark/>
          </w:tcPr>
          <w:p w14:paraId="3348D0B7"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EHT</w:t>
            </w:r>
          </w:p>
        </w:tc>
      </w:tr>
      <w:tr w:rsidR="00391EC8" w14:paraId="7A875AF0"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248A0B20"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29</w:t>
            </w:r>
          </w:p>
        </w:tc>
        <w:tc>
          <w:tcPr>
            <w:tcW w:w="4495" w:type="dxa"/>
            <w:tcBorders>
              <w:top w:val="nil"/>
              <w:left w:val="nil"/>
              <w:bottom w:val="single" w:sz="4" w:space="0" w:color="auto"/>
              <w:right w:val="single" w:sz="4" w:space="0" w:color="auto"/>
            </w:tcBorders>
            <w:noWrap/>
            <w:vAlign w:val="center"/>
            <w:hideMark/>
          </w:tcPr>
          <w:p w14:paraId="5ED9873E" w14:textId="77777777" w:rsidR="00391EC8" w:rsidRDefault="00391EC8">
            <w:pPr>
              <w:rPr>
                <w:rFonts w:ascii="Calibri" w:hAnsi="Calibri" w:cs="Calibri"/>
                <w:sz w:val="22"/>
                <w:szCs w:val="22"/>
              </w:rPr>
            </w:pPr>
            <w:r>
              <w:rPr>
                <w:rFonts w:ascii="Calibri" w:hAnsi="Calibri" w:cs="Calibri"/>
                <w:sz w:val="22"/>
                <w:szCs w:val="22"/>
              </w:rPr>
              <w:t>Vedanta Aluminum Ltd.(3X600, SEZ unit)</w:t>
            </w:r>
          </w:p>
        </w:tc>
        <w:tc>
          <w:tcPr>
            <w:tcW w:w="1380" w:type="dxa"/>
            <w:tcBorders>
              <w:top w:val="nil"/>
              <w:left w:val="nil"/>
              <w:bottom w:val="single" w:sz="4" w:space="0" w:color="auto"/>
              <w:right w:val="single" w:sz="4" w:space="0" w:color="auto"/>
            </w:tcBorders>
            <w:noWrap/>
            <w:vAlign w:val="center"/>
            <w:hideMark/>
          </w:tcPr>
          <w:p w14:paraId="5A262D57" w14:textId="77777777" w:rsidR="00391EC8" w:rsidRDefault="00391EC8">
            <w:pPr>
              <w:jc w:val="center"/>
              <w:rPr>
                <w:rFonts w:ascii="Calibri" w:hAnsi="Calibri" w:cs="Calibri"/>
                <w:sz w:val="22"/>
                <w:szCs w:val="22"/>
              </w:rPr>
            </w:pPr>
            <w:r>
              <w:rPr>
                <w:rFonts w:ascii="Calibri" w:hAnsi="Calibri" w:cs="Calibri"/>
                <w:sz w:val="22"/>
                <w:szCs w:val="22"/>
              </w:rPr>
              <w:t>1800</w:t>
            </w:r>
          </w:p>
        </w:tc>
        <w:tc>
          <w:tcPr>
            <w:tcW w:w="1480" w:type="dxa"/>
            <w:tcBorders>
              <w:top w:val="nil"/>
              <w:left w:val="nil"/>
              <w:bottom w:val="single" w:sz="4" w:space="0" w:color="auto"/>
              <w:right w:val="single" w:sz="4" w:space="0" w:color="auto"/>
            </w:tcBorders>
            <w:noWrap/>
            <w:vAlign w:val="center"/>
            <w:hideMark/>
          </w:tcPr>
          <w:p w14:paraId="05A637F4" w14:textId="77777777" w:rsidR="00391EC8" w:rsidRDefault="00391EC8">
            <w:pPr>
              <w:jc w:val="center"/>
              <w:rPr>
                <w:rFonts w:ascii="Calibri" w:hAnsi="Calibri" w:cs="Calibri"/>
                <w:sz w:val="22"/>
                <w:szCs w:val="22"/>
              </w:rPr>
            </w:pPr>
            <w:r>
              <w:rPr>
                <w:rFonts w:ascii="Calibri" w:hAnsi="Calibri" w:cs="Calibri"/>
                <w:sz w:val="22"/>
                <w:szCs w:val="22"/>
              </w:rPr>
              <w:t>200000</w:t>
            </w:r>
          </w:p>
        </w:tc>
        <w:tc>
          <w:tcPr>
            <w:tcW w:w="1359" w:type="dxa"/>
            <w:tcBorders>
              <w:top w:val="nil"/>
              <w:left w:val="nil"/>
              <w:bottom w:val="single" w:sz="4" w:space="0" w:color="auto"/>
              <w:right w:val="single" w:sz="8" w:space="0" w:color="auto"/>
            </w:tcBorders>
            <w:noWrap/>
            <w:vAlign w:val="center"/>
            <w:hideMark/>
          </w:tcPr>
          <w:p w14:paraId="54BD3AD8"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EHT</w:t>
            </w:r>
          </w:p>
        </w:tc>
      </w:tr>
      <w:tr w:rsidR="00391EC8" w14:paraId="5A731C40"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35B8ADA9"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30</w:t>
            </w:r>
          </w:p>
        </w:tc>
        <w:tc>
          <w:tcPr>
            <w:tcW w:w="4495" w:type="dxa"/>
            <w:tcBorders>
              <w:top w:val="nil"/>
              <w:left w:val="nil"/>
              <w:bottom w:val="single" w:sz="4" w:space="0" w:color="auto"/>
              <w:right w:val="single" w:sz="4" w:space="0" w:color="auto"/>
            </w:tcBorders>
            <w:noWrap/>
            <w:vAlign w:val="center"/>
            <w:hideMark/>
          </w:tcPr>
          <w:p w14:paraId="08EB0BA2" w14:textId="77777777" w:rsidR="00391EC8" w:rsidRDefault="00391EC8">
            <w:pPr>
              <w:rPr>
                <w:rFonts w:ascii="Calibri" w:hAnsi="Calibri" w:cs="Calibri"/>
                <w:sz w:val="22"/>
                <w:szCs w:val="22"/>
              </w:rPr>
            </w:pPr>
            <w:r>
              <w:rPr>
                <w:rFonts w:ascii="Calibri" w:hAnsi="Calibri" w:cs="Calibri"/>
                <w:sz w:val="22"/>
                <w:szCs w:val="22"/>
              </w:rPr>
              <w:t>Vedanta Aluminum Ltd.-</w:t>
            </w:r>
            <w:proofErr w:type="spellStart"/>
            <w:r>
              <w:rPr>
                <w:rFonts w:ascii="Calibri" w:hAnsi="Calibri" w:cs="Calibri"/>
                <w:sz w:val="22"/>
                <w:szCs w:val="22"/>
              </w:rPr>
              <w:t>Lanjigarh</w:t>
            </w:r>
            <w:proofErr w:type="spellEnd"/>
          </w:p>
        </w:tc>
        <w:tc>
          <w:tcPr>
            <w:tcW w:w="1380" w:type="dxa"/>
            <w:tcBorders>
              <w:top w:val="nil"/>
              <w:left w:val="nil"/>
              <w:bottom w:val="single" w:sz="4" w:space="0" w:color="auto"/>
              <w:right w:val="single" w:sz="4" w:space="0" w:color="auto"/>
            </w:tcBorders>
            <w:noWrap/>
            <w:vAlign w:val="center"/>
            <w:hideMark/>
          </w:tcPr>
          <w:p w14:paraId="3C29F428" w14:textId="77777777" w:rsidR="00391EC8" w:rsidRDefault="00391EC8">
            <w:pPr>
              <w:jc w:val="center"/>
              <w:rPr>
                <w:rFonts w:ascii="Calibri" w:hAnsi="Calibri" w:cs="Calibri"/>
                <w:sz w:val="22"/>
                <w:szCs w:val="22"/>
              </w:rPr>
            </w:pPr>
            <w:r>
              <w:rPr>
                <w:rFonts w:ascii="Calibri" w:hAnsi="Calibri" w:cs="Calibri"/>
                <w:sz w:val="22"/>
                <w:szCs w:val="22"/>
              </w:rPr>
              <w:t>150</w:t>
            </w:r>
          </w:p>
        </w:tc>
        <w:tc>
          <w:tcPr>
            <w:tcW w:w="1480" w:type="dxa"/>
            <w:tcBorders>
              <w:top w:val="nil"/>
              <w:left w:val="nil"/>
              <w:bottom w:val="single" w:sz="4" w:space="0" w:color="auto"/>
              <w:right w:val="single" w:sz="4" w:space="0" w:color="auto"/>
            </w:tcBorders>
            <w:noWrap/>
            <w:vAlign w:val="center"/>
            <w:hideMark/>
          </w:tcPr>
          <w:p w14:paraId="3088861D" w14:textId="77777777" w:rsidR="00391EC8" w:rsidRDefault="00391EC8">
            <w:pPr>
              <w:jc w:val="center"/>
              <w:rPr>
                <w:rFonts w:ascii="Calibri" w:hAnsi="Calibri" w:cs="Calibri"/>
                <w:sz w:val="22"/>
                <w:szCs w:val="22"/>
              </w:rPr>
            </w:pPr>
            <w:r>
              <w:rPr>
                <w:rFonts w:ascii="Calibri" w:hAnsi="Calibri" w:cs="Calibri"/>
                <w:sz w:val="22"/>
                <w:szCs w:val="22"/>
              </w:rPr>
              <w:t>15000</w:t>
            </w:r>
          </w:p>
        </w:tc>
        <w:tc>
          <w:tcPr>
            <w:tcW w:w="1359" w:type="dxa"/>
            <w:tcBorders>
              <w:top w:val="nil"/>
              <w:left w:val="nil"/>
              <w:bottom w:val="single" w:sz="4" w:space="0" w:color="auto"/>
              <w:right w:val="single" w:sz="8" w:space="0" w:color="auto"/>
            </w:tcBorders>
            <w:noWrap/>
            <w:vAlign w:val="center"/>
            <w:hideMark/>
          </w:tcPr>
          <w:p w14:paraId="008DC960"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EHT</w:t>
            </w:r>
          </w:p>
        </w:tc>
      </w:tr>
      <w:tr w:rsidR="00391EC8" w14:paraId="30258D59" w14:textId="77777777" w:rsidTr="00391EC8">
        <w:trPr>
          <w:trHeight w:val="300"/>
        </w:trPr>
        <w:tc>
          <w:tcPr>
            <w:tcW w:w="740" w:type="dxa"/>
            <w:tcBorders>
              <w:top w:val="nil"/>
              <w:left w:val="single" w:sz="8" w:space="0" w:color="auto"/>
              <w:bottom w:val="single" w:sz="4" w:space="0" w:color="auto"/>
              <w:right w:val="single" w:sz="4" w:space="0" w:color="auto"/>
            </w:tcBorders>
            <w:noWrap/>
            <w:vAlign w:val="bottom"/>
            <w:hideMark/>
          </w:tcPr>
          <w:p w14:paraId="0D0F9BD2"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31</w:t>
            </w:r>
          </w:p>
        </w:tc>
        <w:tc>
          <w:tcPr>
            <w:tcW w:w="4495" w:type="dxa"/>
            <w:tcBorders>
              <w:top w:val="nil"/>
              <w:left w:val="nil"/>
              <w:bottom w:val="single" w:sz="4" w:space="0" w:color="auto"/>
              <w:right w:val="single" w:sz="4" w:space="0" w:color="auto"/>
            </w:tcBorders>
            <w:noWrap/>
            <w:vAlign w:val="center"/>
            <w:hideMark/>
          </w:tcPr>
          <w:p w14:paraId="2AD97AB1" w14:textId="77777777" w:rsidR="00391EC8" w:rsidRDefault="00391EC8">
            <w:pPr>
              <w:rPr>
                <w:rFonts w:ascii="Calibri" w:hAnsi="Calibri" w:cs="Calibri"/>
                <w:sz w:val="22"/>
                <w:szCs w:val="22"/>
              </w:rPr>
            </w:pPr>
            <w:r>
              <w:rPr>
                <w:rFonts w:ascii="Calibri" w:hAnsi="Calibri" w:cs="Calibri"/>
                <w:sz w:val="22"/>
                <w:szCs w:val="22"/>
              </w:rPr>
              <w:t>Viraj Steel &amp; Energy Ltd.</w:t>
            </w:r>
          </w:p>
        </w:tc>
        <w:tc>
          <w:tcPr>
            <w:tcW w:w="1380" w:type="dxa"/>
            <w:tcBorders>
              <w:top w:val="nil"/>
              <w:left w:val="nil"/>
              <w:bottom w:val="single" w:sz="4" w:space="0" w:color="auto"/>
              <w:right w:val="single" w:sz="4" w:space="0" w:color="auto"/>
            </w:tcBorders>
            <w:noWrap/>
            <w:vAlign w:val="center"/>
            <w:hideMark/>
          </w:tcPr>
          <w:p w14:paraId="7444A300" w14:textId="77777777" w:rsidR="00391EC8" w:rsidRDefault="00391EC8">
            <w:pPr>
              <w:jc w:val="center"/>
              <w:rPr>
                <w:rFonts w:ascii="Calibri" w:hAnsi="Calibri" w:cs="Calibri"/>
                <w:sz w:val="22"/>
                <w:szCs w:val="22"/>
              </w:rPr>
            </w:pPr>
            <w:r>
              <w:rPr>
                <w:rFonts w:ascii="Calibri" w:hAnsi="Calibri" w:cs="Calibri"/>
                <w:sz w:val="22"/>
                <w:szCs w:val="22"/>
              </w:rPr>
              <w:t>28</w:t>
            </w:r>
          </w:p>
        </w:tc>
        <w:tc>
          <w:tcPr>
            <w:tcW w:w="1480" w:type="dxa"/>
            <w:tcBorders>
              <w:top w:val="nil"/>
              <w:left w:val="nil"/>
              <w:bottom w:val="single" w:sz="4" w:space="0" w:color="auto"/>
              <w:right w:val="single" w:sz="4" w:space="0" w:color="auto"/>
            </w:tcBorders>
            <w:noWrap/>
            <w:vAlign w:val="center"/>
            <w:hideMark/>
          </w:tcPr>
          <w:p w14:paraId="082E3AE1" w14:textId="77777777" w:rsidR="00391EC8" w:rsidRDefault="00391EC8">
            <w:pPr>
              <w:jc w:val="center"/>
              <w:rPr>
                <w:rFonts w:ascii="Calibri" w:hAnsi="Calibri" w:cs="Calibri"/>
                <w:sz w:val="22"/>
                <w:szCs w:val="22"/>
              </w:rPr>
            </w:pPr>
            <w:r>
              <w:rPr>
                <w:rFonts w:ascii="Calibri" w:hAnsi="Calibri" w:cs="Calibri"/>
                <w:sz w:val="22"/>
                <w:szCs w:val="22"/>
              </w:rPr>
              <w:t>3000</w:t>
            </w:r>
          </w:p>
        </w:tc>
        <w:tc>
          <w:tcPr>
            <w:tcW w:w="1359" w:type="dxa"/>
            <w:tcBorders>
              <w:top w:val="nil"/>
              <w:left w:val="nil"/>
              <w:bottom w:val="single" w:sz="4" w:space="0" w:color="auto"/>
              <w:right w:val="single" w:sz="8" w:space="0" w:color="auto"/>
            </w:tcBorders>
            <w:noWrap/>
            <w:vAlign w:val="center"/>
            <w:hideMark/>
          </w:tcPr>
          <w:p w14:paraId="70957139" w14:textId="77777777" w:rsidR="00391EC8" w:rsidRDefault="00391EC8">
            <w:pPr>
              <w:jc w:val="center"/>
              <w:rPr>
                <w:rFonts w:ascii="Calibri" w:hAnsi="Calibri" w:cs="Calibri"/>
                <w:color w:val="000000"/>
                <w:sz w:val="22"/>
                <w:szCs w:val="22"/>
              </w:rPr>
            </w:pPr>
            <w:r>
              <w:rPr>
                <w:rFonts w:ascii="Calibri" w:hAnsi="Calibri" w:cs="Calibri"/>
                <w:color w:val="000000"/>
                <w:sz w:val="22"/>
                <w:szCs w:val="22"/>
              </w:rPr>
              <w:t>EHT</w:t>
            </w:r>
          </w:p>
        </w:tc>
      </w:tr>
      <w:tr w:rsidR="00391EC8" w14:paraId="220588A5" w14:textId="77777777" w:rsidTr="00391EC8">
        <w:trPr>
          <w:trHeight w:val="315"/>
        </w:trPr>
        <w:tc>
          <w:tcPr>
            <w:tcW w:w="5235" w:type="dxa"/>
            <w:gridSpan w:val="2"/>
            <w:tcBorders>
              <w:top w:val="single" w:sz="4" w:space="0" w:color="auto"/>
              <w:left w:val="single" w:sz="8" w:space="0" w:color="auto"/>
              <w:bottom w:val="single" w:sz="8" w:space="0" w:color="auto"/>
              <w:right w:val="single" w:sz="4" w:space="0" w:color="auto"/>
            </w:tcBorders>
            <w:shd w:val="clear" w:color="000000" w:fill="DDEBF7"/>
            <w:noWrap/>
            <w:vAlign w:val="center"/>
            <w:hideMark/>
          </w:tcPr>
          <w:p w14:paraId="2BAC49B4" w14:textId="77777777" w:rsidR="00391EC8" w:rsidRDefault="00391EC8">
            <w:pPr>
              <w:jc w:val="center"/>
              <w:rPr>
                <w:rFonts w:ascii="Calibri" w:hAnsi="Calibri" w:cs="Calibri"/>
                <w:b/>
                <w:bCs/>
                <w:color w:val="000000"/>
                <w:sz w:val="22"/>
                <w:szCs w:val="22"/>
              </w:rPr>
            </w:pPr>
            <w:r>
              <w:rPr>
                <w:rFonts w:ascii="Calibri" w:hAnsi="Calibri" w:cs="Calibri"/>
                <w:b/>
                <w:bCs/>
                <w:color w:val="000000"/>
                <w:sz w:val="22"/>
                <w:szCs w:val="22"/>
              </w:rPr>
              <w:t>TOTAL</w:t>
            </w:r>
          </w:p>
        </w:tc>
        <w:tc>
          <w:tcPr>
            <w:tcW w:w="1380" w:type="dxa"/>
            <w:tcBorders>
              <w:top w:val="nil"/>
              <w:left w:val="nil"/>
              <w:bottom w:val="single" w:sz="8" w:space="0" w:color="auto"/>
              <w:right w:val="single" w:sz="4" w:space="0" w:color="auto"/>
            </w:tcBorders>
            <w:shd w:val="clear" w:color="000000" w:fill="DDEBF7"/>
            <w:noWrap/>
            <w:vAlign w:val="center"/>
            <w:hideMark/>
          </w:tcPr>
          <w:p w14:paraId="0B9444FA" w14:textId="77777777" w:rsidR="00391EC8" w:rsidRDefault="00391EC8">
            <w:pPr>
              <w:jc w:val="center"/>
              <w:rPr>
                <w:rFonts w:ascii="Calibri" w:hAnsi="Calibri" w:cs="Calibri"/>
                <w:b/>
                <w:bCs/>
                <w:color w:val="000000"/>
                <w:sz w:val="22"/>
                <w:szCs w:val="22"/>
              </w:rPr>
            </w:pPr>
            <w:r>
              <w:rPr>
                <w:rFonts w:ascii="Calibri" w:hAnsi="Calibri" w:cs="Calibri"/>
                <w:b/>
                <w:bCs/>
                <w:color w:val="000000"/>
                <w:sz w:val="22"/>
                <w:szCs w:val="22"/>
              </w:rPr>
              <w:t>6242.52</w:t>
            </w:r>
          </w:p>
        </w:tc>
        <w:tc>
          <w:tcPr>
            <w:tcW w:w="1480" w:type="dxa"/>
            <w:tcBorders>
              <w:top w:val="nil"/>
              <w:left w:val="nil"/>
              <w:bottom w:val="single" w:sz="8" w:space="0" w:color="auto"/>
              <w:right w:val="single" w:sz="4" w:space="0" w:color="auto"/>
            </w:tcBorders>
            <w:shd w:val="clear" w:color="000000" w:fill="DDEBF7"/>
            <w:noWrap/>
            <w:vAlign w:val="center"/>
            <w:hideMark/>
          </w:tcPr>
          <w:p w14:paraId="5226E257" w14:textId="77777777" w:rsidR="00391EC8" w:rsidRDefault="00391EC8">
            <w:pPr>
              <w:jc w:val="center"/>
              <w:rPr>
                <w:rFonts w:ascii="Calibri" w:hAnsi="Calibri" w:cs="Calibri"/>
                <w:b/>
                <w:bCs/>
                <w:color w:val="000000"/>
                <w:sz w:val="22"/>
                <w:szCs w:val="22"/>
              </w:rPr>
            </w:pPr>
            <w:r>
              <w:rPr>
                <w:rFonts w:ascii="Calibri" w:hAnsi="Calibri" w:cs="Calibri"/>
                <w:b/>
                <w:bCs/>
                <w:color w:val="000000"/>
                <w:sz w:val="22"/>
                <w:szCs w:val="22"/>
              </w:rPr>
              <w:t>915473</w:t>
            </w:r>
          </w:p>
        </w:tc>
        <w:tc>
          <w:tcPr>
            <w:tcW w:w="1359" w:type="dxa"/>
            <w:tcBorders>
              <w:top w:val="nil"/>
              <w:left w:val="nil"/>
              <w:bottom w:val="single" w:sz="8" w:space="0" w:color="auto"/>
              <w:right w:val="single" w:sz="8" w:space="0" w:color="auto"/>
            </w:tcBorders>
            <w:noWrap/>
            <w:vAlign w:val="bottom"/>
            <w:hideMark/>
          </w:tcPr>
          <w:p w14:paraId="38C6144C" w14:textId="77777777" w:rsidR="00391EC8" w:rsidRDefault="00391EC8">
            <w:pPr>
              <w:rPr>
                <w:rFonts w:ascii="Calibri" w:hAnsi="Calibri" w:cs="Calibri"/>
                <w:color w:val="000000"/>
                <w:sz w:val="22"/>
                <w:szCs w:val="22"/>
              </w:rPr>
            </w:pPr>
            <w:r>
              <w:rPr>
                <w:rFonts w:ascii="Calibri" w:hAnsi="Calibri" w:cs="Calibri"/>
                <w:color w:val="000000"/>
                <w:sz w:val="22"/>
                <w:szCs w:val="22"/>
              </w:rPr>
              <w:t> </w:t>
            </w:r>
          </w:p>
        </w:tc>
      </w:tr>
    </w:tbl>
    <w:p w14:paraId="355B02EB" w14:textId="6541F250" w:rsidR="00872B8D" w:rsidRDefault="00872B8D" w:rsidP="009D7D3A">
      <w:pPr>
        <w:pStyle w:val="ARR-normalbody"/>
        <w:rPr>
          <w:lang w:val="en-US"/>
        </w:rPr>
      </w:pPr>
      <w:r w:rsidRPr="00872B8D">
        <w:rPr>
          <w:lang w:val="en-US"/>
        </w:rPr>
        <w:t>Earlier, coal availability was a major concern; however, the supply situation has now stabilized</w:t>
      </w:r>
      <w:r w:rsidR="00A20854">
        <w:rPr>
          <w:lang w:val="en-US"/>
        </w:rPr>
        <w:t xml:space="preserve"> considerably </w:t>
      </w:r>
      <w:r w:rsidRPr="00872B8D">
        <w:rPr>
          <w:lang w:val="en-US"/>
        </w:rPr>
        <w:t>compared to the post-COVID period. Consequently, most Captive Generating Plants (CGPs) have reduced their reliance on grid power and have instead enhanced their own generation and Plant Availability Factor (PAF). In the past, due to coal shortages, these CGPs were compelled to depend on the grid to meet their demand.</w:t>
      </w:r>
    </w:p>
    <w:p w14:paraId="74A7FE7E" w14:textId="3C5A0ABD" w:rsidR="004276A0" w:rsidRPr="00B70ED0" w:rsidRDefault="0053392A" w:rsidP="009D7D3A">
      <w:pPr>
        <w:pStyle w:val="ARR-normalbody"/>
      </w:pPr>
      <w:r>
        <w:t>In view of the above, t</w:t>
      </w:r>
      <w:r w:rsidR="004276A0" w:rsidRPr="00B70ED0">
        <w:t xml:space="preserve">he summary of the </w:t>
      </w:r>
      <w:r w:rsidR="00B21CBE" w:rsidRPr="00B70ED0">
        <w:t xml:space="preserve">category-wise </w:t>
      </w:r>
      <w:r w:rsidR="004276A0" w:rsidRPr="00B70ED0">
        <w:t xml:space="preserve">sales </w:t>
      </w:r>
      <w:r w:rsidR="00B21CBE" w:rsidRPr="00B70ED0">
        <w:t>in MUs</w:t>
      </w:r>
      <w:r w:rsidR="004276A0" w:rsidRPr="00B70ED0">
        <w:t xml:space="preserve"> </w:t>
      </w:r>
      <w:r w:rsidR="006A5F05">
        <w:t>for the previous year, actual six months, estimate for FY 2</w:t>
      </w:r>
      <w:r w:rsidR="00872B8D">
        <w:t>5</w:t>
      </w:r>
      <w:r w:rsidR="006A5F05">
        <w:t>-2</w:t>
      </w:r>
      <w:r w:rsidR="00872B8D">
        <w:t>6</w:t>
      </w:r>
      <w:r w:rsidR="006A5F05">
        <w:t xml:space="preserve"> and proposed for ensuing year is given </w:t>
      </w:r>
      <w:r w:rsidR="004276A0" w:rsidRPr="00B70ED0">
        <w:t>in table below</w:t>
      </w:r>
      <w:r w:rsidR="006A5F05">
        <w:t>:</w:t>
      </w:r>
    </w:p>
    <w:tbl>
      <w:tblPr>
        <w:tblW w:w="8179" w:type="dxa"/>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1701"/>
        <w:gridCol w:w="1778"/>
        <w:gridCol w:w="1701"/>
        <w:gridCol w:w="1559"/>
      </w:tblGrid>
      <w:tr w:rsidR="00695241" w:rsidRPr="0053392A" w14:paraId="6D5FFB22" w14:textId="77777777" w:rsidTr="00713B6D">
        <w:trPr>
          <w:trHeight w:val="255"/>
        </w:trPr>
        <w:tc>
          <w:tcPr>
            <w:tcW w:w="1440" w:type="dxa"/>
            <w:shd w:val="clear" w:color="auto" w:fill="C6D9F1" w:themeFill="text2" w:themeFillTint="33"/>
            <w:noWrap/>
            <w:vAlign w:val="center"/>
          </w:tcPr>
          <w:p w14:paraId="6BDB3084" w14:textId="77777777" w:rsidR="00695241" w:rsidRPr="0053392A" w:rsidRDefault="00695241" w:rsidP="00713B6D">
            <w:pPr>
              <w:contextualSpacing/>
              <w:jc w:val="right"/>
              <w:rPr>
                <w:rFonts w:ascii="Cambria" w:hAnsi="Cambria" w:cs="Arial"/>
                <w:b/>
                <w:bCs/>
                <w:sz w:val="22"/>
                <w:szCs w:val="22"/>
              </w:rPr>
            </w:pPr>
            <w:r w:rsidRPr="0053392A">
              <w:rPr>
                <w:rFonts w:ascii="Cambria" w:hAnsi="Cambria" w:cs="Arial"/>
                <w:b/>
                <w:bCs/>
                <w:sz w:val="22"/>
                <w:szCs w:val="22"/>
              </w:rPr>
              <w:t>Sales (MU)</w:t>
            </w:r>
          </w:p>
        </w:tc>
        <w:tc>
          <w:tcPr>
            <w:tcW w:w="1701" w:type="dxa"/>
            <w:shd w:val="clear" w:color="auto" w:fill="C6D9F1" w:themeFill="text2" w:themeFillTint="33"/>
            <w:noWrap/>
            <w:vAlign w:val="center"/>
          </w:tcPr>
          <w:p w14:paraId="52E1305D" w14:textId="7F124B52" w:rsidR="00695241" w:rsidRPr="0053392A" w:rsidRDefault="00695241" w:rsidP="00713B6D">
            <w:pPr>
              <w:contextualSpacing/>
              <w:jc w:val="center"/>
              <w:rPr>
                <w:rFonts w:ascii="Cambria" w:hAnsi="Cambria" w:cs="Arial"/>
                <w:b/>
                <w:bCs/>
                <w:sz w:val="22"/>
                <w:szCs w:val="22"/>
              </w:rPr>
            </w:pPr>
            <w:r w:rsidRPr="0053392A">
              <w:rPr>
                <w:rFonts w:ascii="Cambria" w:hAnsi="Cambria" w:cs="Arial"/>
                <w:b/>
                <w:bCs/>
                <w:sz w:val="22"/>
                <w:szCs w:val="22"/>
              </w:rPr>
              <w:t>FY 20</w:t>
            </w:r>
            <w:r w:rsidR="0997DEFC" w:rsidRPr="0053392A">
              <w:rPr>
                <w:rFonts w:ascii="Cambria" w:hAnsi="Cambria" w:cs="Arial"/>
                <w:b/>
                <w:bCs/>
                <w:sz w:val="22"/>
                <w:szCs w:val="22"/>
              </w:rPr>
              <w:t>2</w:t>
            </w:r>
            <w:r w:rsidR="00834A28">
              <w:rPr>
                <w:rFonts w:ascii="Cambria" w:hAnsi="Cambria" w:cs="Arial"/>
                <w:b/>
                <w:bCs/>
                <w:sz w:val="22"/>
                <w:szCs w:val="22"/>
              </w:rPr>
              <w:t>4</w:t>
            </w:r>
            <w:r w:rsidRPr="0053392A">
              <w:rPr>
                <w:rFonts w:ascii="Cambria" w:hAnsi="Cambria" w:cs="Arial"/>
                <w:b/>
                <w:bCs/>
                <w:sz w:val="22"/>
                <w:szCs w:val="22"/>
              </w:rPr>
              <w:t>-2</w:t>
            </w:r>
            <w:r w:rsidR="00834A28">
              <w:rPr>
                <w:rFonts w:ascii="Cambria" w:hAnsi="Cambria" w:cs="Arial"/>
                <w:b/>
                <w:bCs/>
                <w:sz w:val="22"/>
                <w:szCs w:val="22"/>
              </w:rPr>
              <w:t>5</w:t>
            </w:r>
          </w:p>
        </w:tc>
        <w:tc>
          <w:tcPr>
            <w:tcW w:w="1778" w:type="dxa"/>
            <w:shd w:val="clear" w:color="auto" w:fill="C6D9F1" w:themeFill="text2" w:themeFillTint="33"/>
            <w:vAlign w:val="center"/>
          </w:tcPr>
          <w:p w14:paraId="240935BB" w14:textId="58BD6F79" w:rsidR="00695241" w:rsidRPr="0053392A" w:rsidRDefault="00695241" w:rsidP="00713B6D">
            <w:pPr>
              <w:contextualSpacing/>
              <w:jc w:val="center"/>
              <w:rPr>
                <w:rFonts w:ascii="Cambria" w:hAnsi="Cambria" w:cs="Arial"/>
                <w:b/>
                <w:bCs/>
                <w:sz w:val="22"/>
                <w:szCs w:val="22"/>
              </w:rPr>
            </w:pPr>
            <w:r w:rsidRPr="0053392A">
              <w:rPr>
                <w:rFonts w:ascii="Cambria" w:hAnsi="Cambria" w:cs="Arial"/>
                <w:b/>
                <w:bCs/>
                <w:sz w:val="22"/>
                <w:szCs w:val="22"/>
              </w:rPr>
              <w:t>1</w:t>
            </w:r>
            <w:r w:rsidRPr="0053392A">
              <w:rPr>
                <w:rFonts w:ascii="Cambria" w:hAnsi="Cambria" w:cs="Arial"/>
                <w:b/>
                <w:bCs/>
                <w:sz w:val="22"/>
                <w:szCs w:val="22"/>
                <w:vertAlign w:val="superscript"/>
              </w:rPr>
              <w:t>st</w:t>
            </w:r>
            <w:r w:rsidRPr="0053392A">
              <w:rPr>
                <w:rFonts w:ascii="Cambria" w:hAnsi="Cambria" w:cs="Arial"/>
                <w:b/>
                <w:bCs/>
                <w:sz w:val="22"/>
                <w:szCs w:val="22"/>
              </w:rPr>
              <w:t xml:space="preserve"> Six </w:t>
            </w:r>
            <w:proofErr w:type="spellStart"/>
            <w:r w:rsidRPr="0053392A">
              <w:rPr>
                <w:rFonts w:ascii="Cambria" w:hAnsi="Cambria" w:cs="Arial"/>
                <w:b/>
                <w:bCs/>
                <w:sz w:val="22"/>
                <w:szCs w:val="22"/>
              </w:rPr>
              <w:t>Mth</w:t>
            </w:r>
            <w:proofErr w:type="spellEnd"/>
            <w:r w:rsidRPr="0053392A">
              <w:rPr>
                <w:rFonts w:ascii="Cambria" w:hAnsi="Cambria" w:cs="Arial"/>
                <w:b/>
                <w:bCs/>
                <w:sz w:val="22"/>
                <w:szCs w:val="22"/>
              </w:rPr>
              <w:t xml:space="preserve"> </w:t>
            </w:r>
            <w:r w:rsidR="00DB6EF1" w:rsidRPr="0053392A">
              <w:rPr>
                <w:rFonts w:ascii="Cambria" w:hAnsi="Cambria" w:cs="Arial"/>
                <w:b/>
                <w:bCs/>
                <w:sz w:val="22"/>
                <w:szCs w:val="22"/>
              </w:rPr>
              <w:t>of</w:t>
            </w:r>
            <w:r w:rsidRPr="0053392A">
              <w:rPr>
                <w:rFonts w:ascii="Cambria" w:hAnsi="Cambria" w:cs="Arial"/>
                <w:b/>
                <w:bCs/>
                <w:sz w:val="22"/>
                <w:szCs w:val="22"/>
              </w:rPr>
              <w:t xml:space="preserve"> FY 2</w:t>
            </w:r>
            <w:r w:rsidR="00122E8D">
              <w:rPr>
                <w:rFonts w:ascii="Cambria" w:hAnsi="Cambria" w:cs="Arial"/>
                <w:b/>
                <w:bCs/>
                <w:sz w:val="22"/>
                <w:szCs w:val="22"/>
              </w:rPr>
              <w:t>5</w:t>
            </w:r>
            <w:r w:rsidRPr="0053392A">
              <w:rPr>
                <w:rFonts w:ascii="Cambria" w:hAnsi="Cambria" w:cs="Arial"/>
                <w:b/>
                <w:bCs/>
                <w:sz w:val="22"/>
                <w:szCs w:val="22"/>
              </w:rPr>
              <w:t>-2</w:t>
            </w:r>
            <w:r w:rsidR="00122E8D">
              <w:rPr>
                <w:rFonts w:ascii="Cambria" w:hAnsi="Cambria" w:cs="Arial"/>
                <w:b/>
                <w:bCs/>
                <w:sz w:val="22"/>
                <w:szCs w:val="22"/>
              </w:rPr>
              <w:t>6</w:t>
            </w:r>
            <w:r w:rsidR="0053392A">
              <w:rPr>
                <w:rFonts w:ascii="Cambria" w:hAnsi="Cambria" w:cs="Arial"/>
                <w:b/>
                <w:bCs/>
                <w:sz w:val="22"/>
                <w:szCs w:val="22"/>
              </w:rPr>
              <w:t>*</w:t>
            </w:r>
          </w:p>
        </w:tc>
        <w:tc>
          <w:tcPr>
            <w:tcW w:w="1701" w:type="dxa"/>
            <w:shd w:val="clear" w:color="auto" w:fill="C6D9F1" w:themeFill="text2" w:themeFillTint="33"/>
            <w:noWrap/>
            <w:vAlign w:val="center"/>
          </w:tcPr>
          <w:p w14:paraId="105F0786" w14:textId="41CAD075" w:rsidR="00695241" w:rsidRPr="0053392A" w:rsidRDefault="00695241" w:rsidP="00713B6D">
            <w:pPr>
              <w:contextualSpacing/>
              <w:jc w:val="center"/>
              <w:rPr>
                <w:rFonts w:ascii="Cambria" w:hAnsi="Cambria" w:cs="Arial"/>
                <w:b/>
                <w:bCs/>
                <w:sz w:val="22"/>
                <w:szCs w:val="22"/>
              </w:rPr>
            </w:pPr>
            <w:r w:rsidRPr="0053392A">
              <w:rPr>
                <w:rFonts w:ascii="Cambria" w:hAnsi="Cambria" w:cs="Arial"/>
                <w:b/>
                <w:bCs/>
                <w:sz w:val="22"/>
                <w:szCs w:val="22"/>
              </w:rPr>
              <w:t>FY 202</w:t>
            </w:r>
            <w:r w:rsidR="00FB11A8">
              <w:rPr>
                <w:rFonts w:ascii="Cambria" w:hAnsi="Cambria" w:cs="Arial"/>
                <w:b/>
                <w:bCs/>
                <w:sz w:val="22"/>
                <w:szCs w:val="22"/>
              </w:rPr>
              <w:t>5</w:t>
            </w:r>
            <w:r w:rsidRPr="0053392A">
              <w:rPr>
                <w:rFonts w:ascii="Cambria" w:hAnsi="Cambria" w:cs="Arial"/>
                <w:b/>
                <w:bCs/>
                <w:sz w:val="22"/>
                <w:szCs w:val="22"/>
              </w:rPr>
              <w:t>-2</w:t>
            </w:r>
            <w:r w:rsidR="00FB11A8">
              <w:rPr>
                <w:rFonts w:ascii="Cambria" w:hAnsi="Cambria" w:cs="Arial"/>
                <w:b/>
                <w:bCs/>
                <w:sz w:val="22"/>
                <w:szCs w:val="22"/>
              </w:rPr>
              <w:t>6</w:t>
            </w:r>
            <w:r w:rsidR="006B16E5">
              <w:rPr>
                <w:rFonts w:ascii="Cambria" w:hAnsi="Cambria" w:cs="Arial"/>
                <w:b/>
                <w:bCs/>
                <w:sz w:val="22"/>
                <w:szCs w:val="22"/>
              </w:rPr>
              <w:t xml:space="preserve"> (Estimated)</w:t>
            </w:r>
          </w:p>
        </w:tc>
        <w:tc>
          <w:tcPr>
            <w:tcW w:w="1559" w:type="dxa"/>
            <w:shd w:val="clear" w:color="auto" w:fill="C6D9F1" w:themeFill="text2" w:themeFillTint="33"/>
            <w:vAlign w:val="center"/>
          </w:tcPr>
          <w:p w14:paraId="12C0112F" w14:textId="051B770C" w:rsidR="00695241" w:rsidRPr="0053392A" w:rsidRDefault="00695241" w:rsidP="00713B6D">
            <w:pPr>
              <w:contextualSpacing/>
              <w:jc w:val="center"/>
              <w:rPr>
                <w:rFonts w:ascii="Cambria" w:hAnsi="Cambria" w:cs="Arial"/>
                <w:b/>
                <w:bCs/>
                <w:sz w:val="22"/>
                <w:szCs w:val="22"/>
              </w:rPr>
            </w:pPr>
            <w:r w:rsidRPr="0053392A">
              <w:rPr>
                <w:rFonts w:ascii="Cambria" w:hAnsi="Cambria" w:cs="Arial"/>
                <w:b/>
                <w:bCs/>
                <w:sz w:val="22"/>
                <w:szCs w:val="22"/>
              </w:rPr>
              <w:t xml:space="preserve">FY </w:t>
            </w:r>
            <w:r w:rsidR="009A0E63">
              <w:rPr>
                <w:rFonts w:ascii="Cambria" w:hAnsi="Cambria" w:cs="Arial"/>
                <w:b/>
                <w:bCs/>
                <w:sz w:val="22"/>
                <w:szCs w:val="22"/>
              </w:rPr>
              <w:t>2026-27</w:t>
            </w:r>
          </w:p>
        </w:tc>
      </w:tr>
      <w:tr w:rsidR="00E47522" w:rsidRPr="0053392A" w14:paraId="13F267E2" w14:textId="77777777" w:rsidTr="000F221E">
        <w:trPr>
          <w:trHeight w:val="255"/>
        </w:trPr>
        <w:tc>
          <w:tcPr>
            <w:tcW w:w="1440" w:type="dxa"/>
            <w:noWrap/>
            <w:vAlign w:val="bottom"/>
          </w:tcPr>
          <w:p w14:paraId="163236FF" w14:textId="77777777" w:rsidR="00E47522" w:rsidRPr="0053392A" w:rsidRDefault="00E47522" w:rsidP="00E47522">
            <w:pPr>
              <w:contextualSpacing/>
              <w:rPr>
                <w:rFonts w:ascii="Cambria" w:hAnsi="Cambria" w:cs="Arial"/>
                <w:sz w:val="22"/>
                <w:szCs w:val="22"/>
              </w:rPr>
            </w:pPr>
            <w:r w:rsidRPr="0053392A">
              <w:rPr>
                <w:rFonts w:ascii="Cambria" w:hAnsi="Cambria" w:cs="Arial"/>
                <w:sz w:val="22"/>
                <w:szCs w:val="22"/>
              </w:rPr>
              <w:t>LT</w:t>
            </w:r>
          </w:p>
        </w:tc>
        <w:tc>
          <w:tcPr>
            <w:tcW w:w="1701" w:type="dxa"/>
            <w:noWrap/>
          </w:tcPr>
          <w:p w14:paraId="1F74A0FE" w14:textId="73B57142" w:rsidR="00E47522" w:rsidRPr="00C46E1F" w:rsidRDefault="00E47522" w:rsidP="00E47522">
            <w:pPr>
              <w:contextualSpacing/>
              <w:jc w:val="center"/>
              <w:rPr>
                <w:rFonts w:ascii="Cambria" w:hAnsi="Cambria" w:cs="Arial"/>
                <w:sz w:val="22"/>
                <w:szCs w:val="22"/>
              </w:rPr>
            </w:pPr>
            <w:r w:rsidRPr="00D96F3F">
              <w:t>3252</w:t>
            </w:r>
          </w:p>
        </w:tc>
        <w:tc>
          <w:tcPr>
            <w:tcW w:w="1778" w:type="dxa"/>
          </w:tcPr>
          <w:p w14:paraId="5850E745" w14:textId="34E675C3" w:rsidR="00E47522" w:rsidRPr="00C46E1F" w:rsidRDefault="00E47522" w:rsidP="00E47522">
            <w:pPr>
              <w:contextualSpacing/>
              <w:jc w:val="center"/>
              <w:rPr>
                <w:rFonts w:ascii="Cambria" w:hAnsi="Cambria" w:cs="Arial"/>
                <w:sz w:val="22"/>
                <w:szCs w:val="22"/>
              </w:rPr>
            </w:pPr>
            <w:r w:rsidRPr="00F66AD4">
              <w:t>1866</w:t>
            </w:r>
          </w:p>
        </w:tc>
        <w:tc>
          <w:tcPr>
            <w:tcW w:w="1701" w:type="dxa"/>
            <w:noWrap/>
          </w:tcPr>
          <w:p w14:paraId="32C52858" w14:textId="66931B43" w:rsidR="00E47522" w:rsidRPr="00C46E1F" w:rsidRDefault="00E47522" w:rsidP="00E47522">
            <w:pPr>
              <w:contextualSpacing/>
              <w:jc w:val="center"/>
              <w:rPr>
                <w:rFonts w:ascii="Cambria" w:hAnsi="Cambria" w:cs="Arial"/>
                <w:sz w:val="22"/>
                <w:szCs w:val="22"/>
              </w:rPr>
            </w:pPr>
            <w:r w:rsidRPr="005B4EF1">
              <w:t>3479</w:t>
            </w:r>
          </w:p>
        </w:tc>
        <w:tc>
          <w:tcPr>
            <w:tcW w:w="1559" w:type="dxa"/>
          </w:tcPr>
          <w:p w14:paraId="50A98F7C" w14:textId="68A09BA3" w:rsidR="00E47522" w:rsidRPr="00C46E1F" w:rsidRDefault="00E47522" w:rsidP="00E47522">
            <w:pPr>
              <w:contextualSpacing/>
              <w:jc w:val="center"/>
              <w:rPr>
                <w:rFonts w:ascii="Cambria" w:hAnsi="Cambria" w:cs="Arial"/>
                <w:sz w:val="22"/>
                <w:szCs w:val="22"/>
              </w:rPr>
            </w:pPr>
            <w:r w:rsidRPr="00961655">
              <w:t>37</w:t>
            </w:r>
            <w:r w:rsidR="00872B8D">
              <w:t>23</w:t>
            </w:r>
          </w:p>
        </w:tc>
      </w:tr>
      <w:tr w:rsidR="00E47522" w:rsidRPr="0053392A" w14:paraId="4374F3B7" w14:textId="77777777" w:rsidTr="000F221E">
        <w:trPr>
          <w:trHeight w:val="255"/>
        </w:trPr>
        <w:tc>
          <w:tcPr>
            <w:tcW w:w="1440" w:type="dxa"/>
            <w:noWrap/>
            <w:vAlign w:val="bottom"/>
          </w:tcPr>
          <w:p w14:paraId="558808CA" w14:textId="77777777" w:rsidR="00E47522" w:rsidRPr="0053392A" w:rsidRDefault="00E47522" w:rsidP="00E47522">
            <w:pPr>
              <w:contextualSpacing/>
              <w:rPr>
                <w:rFonts w:ascii="Cambria" w:hAnsi="Cambria" w:cs="Arial"/>
                <w:sz w:val="22"/>
                <w:szCs w:val="22"/>
              </w:rPr>
            </w:pPr>
            <w:r w:rsidRPr="0053392A">
              <w:rPr>
                <w:rFonts w:ascii="Cambria" w:hAnsi="Cambria" w:cs="Arial"/>
                <w:sz w:val="22"/>
                <w:szCs w:val="22"/>
              </w:rPr>
              <w:t>HT</w:t>
            </w:r>
          </w:p>
        </w:tc>
        <w:tc>
          <w:tcPr>
            <w:tcW w:w="1701" w:type="dxa"/>
            <w:noWrap/>
          </w:tcPr>
          <w:p w14:paraId="5EC6165B" w14:textId="70FD730C" w:rsidR="00E47522" w:rsidRPr="00C46E1F" w:rsidRDefault="00E47522" w:rsidP="00E47522">
            <w:pPr>
              <w:contextualSpacing/>
              <w:jc w:val="center"/>
              <w:rPr>
                <w:rFonts w:ascii="Cambria" w:hAnsi="Cambria" w:cs="Arial"/>
                <w:sz w:val="22"/>
                <w:szCs w:val="22"/>
              </w:rPr>
            </w:pPr>
            <w:r w:rsidRPr="00D96F3F">
              <w:t>2427</w:t>
            </w:r>
          </w:p>
        </w:tc>
        <w:tc>
          <w:tcPr>
            <w:tcW w:w="1778" w:type="dxa"/>
          </w:tcPr>
          <w:p w14:paraId="70548D41" w14:textId="2C4C7B7A" w:rsidR="00E47522" w:rsidRPr="00C46E1F" w:rsidRDefault="00E47522" w:rsidP="00E47522">
            <w:pPr>
              <w:contextualSpacing/>
              <w:jc w:val="center"/>
              <w:rPr>
                <w:rFonts w:ascii="Cambria" w:hAnsi="Cambria" w:cs="Arial"/>
                <w:sz w:val="22"/>
                <w:szCs w:val="22"/>
              </w:rPr>
            </w:pPr>
            <w:r w:rsidRPr="00F66AD4">
              <w:t>1217</w:t>
            </w:r>
          </w:p>
        </w:tc>
        <w:tc>
          <w:tcPr>
            <w:tcW w:w="1701" w:type="dxa"/>
            <w:noWrap/>
          </w:tcPr>
          <w:p w14:paraId="76BBDB8A" w14:textId="243DFFC5" w:rsidR="00E47522" w:rsidRPr="00C46E1F" w:rsidRDefault="00E47522" w:rsidP="00E47522">
            <w:pPr>
              <w:contextualSpacing/>
              <w:jc w:val="center"/>
              <w:rPr>
                <w:rFonts w:ascii="Cambria" w:hAnsi="Cambria" w:cs="Arial"/>
                <w:sz w:val="22"/>
                <w:szCs w:val="22"/>
              </w:rPr>
            </w:pPr>
            <w:r w:rsidRPr="005B4EF1">
              <w:t>2510</w:t>
            </w:r>
          </w:p>
        </w:tc>
        <w:tc>
          <w:tcPr>
            <w:tcW w:w="1559" w:type="dxa"/>
          </w:tcPr>
          <w:p w14:paraId="1FE230C0" w14:textId="40E31B04" w:rsidR="00E47522" w:rsidRPr="00C46E1F" w:rsidRDefault="00E47522" w:rsidP="00E47522">
            <w:pPr>
              <w:contextualSpacing/>
              <w:jc w:val="center"/>
              <w:rPr>
                <w:rFonts w:ascii="Cambria" w:hAnsi="Cambria" w:cs="Arial"/>
                <w:sz w:val="22"/>
                <w:szCs w:val="22"/>
              </w:rPr>
            </w:pPr>
            <w:r w:rsidRPr="00961655">
              <w:t>26</w:t>
            </w:r>
            <w:r w:rsidR="00872B8D">
              <w:t>10</w:t>
            </w:r>
          </w:p>
        </w:tc>
      </w:tr>
      <w:tr w:rsidR="00E47522" w:rsidRPr="0053392A" w14:paraId="758454BC" w14:textId="77777777" w:rsidTr="000F221E">
        <w:trPr>
          <w:trHeight w:val="255"/>
        </w:trPr>
        <w:tc>
          <w:tcPr>
            <w:tcW w:w="1440" w:type="dxa"/>
            <w:noWrap/>
            <w:vAlign w:val="bottom"/>
          </w:tcPr>
          <w:p w14:paraId="78B695A2" w14:textId="2D5FD74E" w:rsidR="00E47522" w:rsidRPr="0053392A" w:rsidRDefault="00E47522" w:rsidP="00E47522">
            <w:pPr>
              <w:contextualSpacing/>
              <w:rPr>
                <w:rFonts w:ascii="Cambria" w:hAnsi="Cambria" w:cs="Arial"/>
                <w:sz w:val="22"/>
                <w:szCs w:val="22"/>
              </w:rPr>
            </w:pPr>
            <w:r w:rsidRPr="0053392A">
              <w:rPr>
                <w:rFonts w:ascii="Cambria" w:hAnsi="Cambria" w:cs="Arial"/>
                <w:sz w:val="22"/>
                <w:szCs w:val="22"/>
              </w:rPr>
              <w:t>EHT*</w:t>
            </w:r>
          </w:p>
        </w:tc>
        <w:tc>
          <w:tcPr>
            <w:tcW w:w="1701" w:type="dxa"/>
            <w:noWrap/>
          </w:tcPr>
          <w:p w14:paraId="0F97661C" w14:textId="41F900EC" w:rsidR="00E47522" w:rsidRPr="00C46E1F" w:rsidRDefault="00E47522" w:rsidP="00E47522">
            <w:pPr>
              <w:contextualSpacing/>
              <w:jc w:val="center"/>
              <w:rPr>
                <w:rFonts w:ascii="Cambria" w:hAnsi="Cambria" w:cs="Arial"/>
                <w:sz w:val="22"/>
                <w:szCs w:val="22"/>
              </w:rPr>
            </w:pPr>
            <w:r w:rsidRPr="00D96F3F">
              <w:t>4233</w:t>
            </w:r>
          </w:p>
        </w:tc>
        <w:tc>
          <w:tcPr>
            <w:tcW w:w="1778" w:type="dxa"/>
          </w:tcPr>
          <w:p w14:paraId="3E34F632" w14:textId="1586C362" w:rsidR="00E47522" w:rsidRPr="00C46E1F" w:rsidRDefault="00E47522" w:rsidP="00E47522">
            <w:pPr>
              <w:contextualSpacing/>
              <w:jc w:val="center"/>
              <w:rPr>
                <w:rFonts w:ascii="Cambria" w:hAnsi="Cambria" w:cs="Arial"/>
                <w:sz w:val="22"/>
                <w:szCs w:val="22"/>
              </w:rPr>
            </w:pPr>
            <w:r w:rsidRPr="00F66AD4">
              <w:t>1894</w:t>
            </w:r>
          </w:p>
        </w:tc>
        <w:tc>
          <w:tcPr>
            <w:tcW w:w="1701" w:type="dxa"/>
            <w:noWrap/>
          </w:tcPr>
          <w:p w14:paraId="10D5B495" w14:textId="3B0769EF" w:rsidR="00E47522" w:rsidRPr="00C46E1F" w:rsidRDefault="00E47522" w:rsidP="00E47522">
            <w:pPr>
              <w:contextualSpacing/>
              <w:jc w:val="center"/>
              <w:rPr>
                <w:rFonts w:ascii="Cambria" w:hAnsi="Cambria" w:cs="Arial"/>
                <w:sz w:val="22"/>
                <w:szCs w:val="22"/>
              </w:rPr>
            </w:pPr>
            <w:r w:rsidRPr="005B4EF1">
              <w:t>3989</w:t>
            </w:r>
          </w:p>
        </w:tc>
        <w:tc>
          <w:tcPr>
            <w:tcW w:w="1559" w:type="dxa"/>
          </w:tcPr>
          <w:p w14:paraId="717D787D" w14:textId="089669F3" w:rsidR="00E47522" w:rsidRPr="00C46E1F" w:rsidRDefault="00872B8D" w:rsidP="00E47522">
            <w:pPr>
              <w:contextualSpacing/>
              <w:jc w:val="center"/>
              <w:rPr>
                <w:rFonts w:ascii="Cambria" w:hAnsi="Cambria" w:cs="Arial"/>
                <w:sz w:val="22"/>
                <w:szCs w:val="22"/>
              </w:rPr>
            </w:pPr>
            <w:r>
              <w:rPr>
                <w:rFonts w:ascii="Cambria" w:hAnsi="Cambria" w:cs="Arial"/>
              </w:rPr>
              <w:t>3989</w:t>
            </w:r>
          </w:p>
        </w:tc>
      </w:tr>
      <w:tr w:rsidR="00E47522" w:rsidRPr="0053392A" w14:paraId="0730B248" w14:textId="77777777" w:rsidTr="000F221E">
        <w:trPr>
          <w:trHeight w:val="255"/>
        </w:trPr>
        <w:tc>
          <w:tcPr>
            <w:tcW w:w="1440" w:type="dxa"/>
            <w:noWrap/>
            <w:vAlign w:val="bottom"/>
          </w:tcPr>
          <w:p w14:paraId="70B39DEA" w14:textId="77777777" w:rsidR="00E47522" w:rsidRPr="0053392A" w:rsidRDefault="00E47522" w:rsidP="00E47522">
            <w:pPr>
              <w:contextualSpacing/>
              <w:rPr>
                <w:rFonts w:ascii="Cambria" w:hAnsi="Cambria" w:cs="Arial"/>
                <w:b/>
                <w:bCs/>
                <w:sz w:val="22"/>
                <w:szCs w:val="22"/>
              </w:rPr>
            </w:pPr>
            <w:r w:rsidRPr="0053392A">
              <w:rPr>
                <w:rFonts w:ascii="Cambria" w:hAnsi="Cambria" w:cs="Arial"/>
                <w:b/>
                <w:bCs/>
                <w:sz w:val="22"/>
                <w:szCs w:val="22"/>
              </w:rPr>
              <w:t>Total</w:t>
            </w:r>
          </w:p>
        </w:tc>
        <w:tc>
          <w:tcPr>
            <w:tcW w:w="1701" w:type="dxa"/>
            <w:noWrap/>
            <w:vAlign w:val="center"/>
          </w:tcPr>
          <w:p w14:paraId="35BE1052" w14:textId="460C7079" w:rsidR="00E47522" w:rsidRPr="00C46E1F" w:rsidRDefault="00E47522" w:rsidP="00E47522">
            <w:pPr>
              <w:contextualSpacing/>
              <w:jc w:val="center"/>
              <w:rPr>
                <w:rFonts w:ascii="Cambria" w:hAnsi="Cambria" w:cs="Arial"/>
                <w:b/>
                <w:bCs/>
                <w:sz w:val="22"/>
                <w:szCs w:val="22"/>
              </w:rPr>
            </w:pPr>
            <w:r>
              <w:rPr>
                <w:rFonts w:ascii="Cambria" w:hAnsi="Cambria" w:cs="Arial"/>
                <w:b/>
                <w:bCs/>
                <w:sz w:val="22"/>
                <w:szCs w:val="22"/>
              </w:rPr>
              <w:t>9911.73</w:t>
            </w:r>
          </w:p>
        </w:tc>
        <w:tc>
          <w:tcPr>
            <w:tcW w:w="1778" w:type="dxa"/>
            <w:vAlign w:val="center"/>
          </w:tcPr>
          <w:p w14:paraId="5784EC6F" w14:textId="2C423744" w:rsidR="00E47522" w:rsidRPr="00C46E1F" w:rsidRDefault="00E47522" w:rsidP="00E47522">
            <w:pPr>
              <w:contextualSpacing/>
              <w:jc w:val="center"/>
              <w:rPr>
                <w:rFonts w:ascii="Cambria" w:hAnsi="Cambria" w:cs="Arial"/>
                <w:b/>
                <w:bCs/>
                <w:sz w:val="22"/>
                <w:szCs w:val="22"/>
              </w:rPr>
            </w:pPr>
            <w:r>
              <w:rPr>
                <w:rFonts w:ascii="Cambria" w:hAnsi="Cambria" w:cs="Arial"/>
                <w:b/>
                <w:bCs/>
                <w:sz w:val="22"/>
                <w:szCs w:val="22"/>
              </w:rPr>
              <w:t>4977.00</w:t>
            </w:r>
          </w:p>
        </w:tc>
        <w:tc>
          <w:tcPr>
            <w:tcW w:w="1701" w:type="dxa"/>
            <w:noWrap/>
            <w:vAlign w:val="center"/>
          </w:tcPr>
          <w:p w14:paraId="216F4594" w14:textId="32D1F0E3" w:rsidR="00E47522" w:rsidRPr="00C46E1F" w:rsidRDefault="00E47522" w:rsidP="00E47522">
            <w:pPr>
              <w:contextualSpacing/>
              <w:jc w:val="center"/>
              <w:rPr>
                <w:rFonts w:ascii="Cambria" w:hAnsi="Cambria" w:cs="Arial"/>
                <w:b/>
                <w:bCs/>
                <w:sz w:val="22"/>
                <w:szCs w:val="22"/>
              </w:rPr>
            </w:pPr>
            <w:r w:rsidRPr="00C46E1F">
              <w:rPr>
                <w:rFonts w:ascii="Cambria" w:hAnsi="Cambria" w:cs="Arial"/>
                <w:b/>
                <w:bCs/>
                <w:sz w:val="22"/>
                <w:szCs w:val="22"/>
              </w:rPr>
              <w:t>9</w:t>
            </w:r>
            <w:r>
              <w:rPr>
                <w:rFonts w:ascii="Cambria" w:hAnsi="Cambria" w:cs="Arial"/>
                <w:b/>
                <w:bCs/>
                <w:sz w:val="22"/>
                <w:szCs w:val="22"/>
              </w:rPr>
              <w:t>978</w:t>
            </w:r>
            <w:r w:rsidRPr="00C46E1F">
              <w:rPr>
                <w:rFonts w:ascii="Cambria" w:hAnsi="Cambria" w:cs="Arial"/>
                <w:b/>
                <w:bCs/>
                <w:sz w:val="22"/>
                <w:szCs w:val="22"/>
              </w:rPr>
              <w:t>.</w:t>
            </w:r>
            <w:r>
              <w:rPr>
                <w:rFonts w:ascii="Cambria" w:hAnsi="Cambria" w:cs="Arial"/>
                <w:b/>
                <w:bCs/>
                <w:sz w:val="22"/>
                <w:szCs w:val="22"/>
              </w:rPr>
              <w:t>00</w:t>
            </w:r>
          </w:p>
        </w:tc>
        <w:tc>
          <w:tcPr>
            <w:tcW w:w="1559" w:type="dxa"/>
          </w:tcPr>
          <w:p w14:paraId="44CCFDC8" w14:textId="453B2071" w:rsidR="00E47522" w:rsidRPr="00E47522" w:rsidRDefault="00E47522" w:rsidP="00E47522">
            <w:pPr>
              <w:contextualSpacing/>
              <w:jc w:val="center"/>
              <w:rPr>
                <w:rFonts w:ascii="Cambria" w:hAnsi="Cambria" w:cs="Arial"/>
                <w:b/>
                <w:bCs/>
                <w:sz w:val="22"/>
                <w:szCs w:val="22"/>
              </w:rPr>
            </w:pPr>
            <w:r w:rsidRPr="00E47522">
              <w:rPr>
                <w:b/>
                <w:bCs/>
              </w:rPr>
              <w:t>10</w:t>
            </w:r>
            <w:r w:rsidR="00872B8D">
              <w:rPr>
                <w:b/>
                <w:bCs/>
              </w:rPr>
              <w:t>322</w:t>
            </w:r>
          </w:p>
        </w:tc>
      </w:tr>
    </w:tbl>
    <w:p w14:paraId="27DC4FE4" w14:textId="3EE18215" w:rsidR="58C29371" w:rsidRDefault="00F96E32" w:rsidP="0053392A">
      <w:pPr>
        <w:ind w:left="426"/>
      </w:pPr>
      <w:r w:rsidRPr="00B70ED0">
        <w:t xml:space="preserve">* </w:t>
      </w:r>
      <w:r w:rsidR="00F50198" w:rsidRPr="0053392A">
        <w:rPr>
          <w:i/>
          <w:iCs/>
          <w:sz w:val="22"/>
          <w:szCs w:val="22"/>
        </w:rPr>
        <w:t xml:space="preserve">Includes TPA Sale for FY </w:t>
      </w:r>
      <w:r w:rsidRPr="0053392A">
        <w:rPr>
          <w:i/>
          <w:iCs/>
          <w:sz w:val="22"/>
          <w:szCs w:val="22"/>
        </w:rPr>
        <w:t>20</w:t>
      </w:r>
      <w:r w:rsidR="00F50198" w:rsidRPr="0053392A">
        <w:rPr>
          <w:i/>
          <w:iCs/>
          <w:sz w:val="22"/>
          <w:szCs w:val="22"/>
        </w:rPr>
        <w:t>2</w:t>
      </w:r>
      <w:r w:rsidR="00845652">
        <w:rPr>
          <w:i/>
          <w:iCs/>
          <w:sz w:val="22"/>
          <w:szCs w:val="22"/>
        </w:rPr>
        <w:t>5</w:t>
      </w:r>
      <w:r w:rsidR="00F50198" w:rsidRPr="0053392A">
        <w:rPr>
          <w:i/>
          <w:iCs/>
          <w:sz w:val="22"/>
          <w:szCs w:val="22"/>
        </w:rPr>
        <w:t>-2</w:t>
      </w:r>
      <w:r w:rsidR="00845652">
        <w:rPr>
          <w:i/>
          <w:iCs/>
          <w:sz w:val="22"/>
          <w:szCs w:val="22"/>
        </w:rPr>
        <w:t>6</w:t>
      </w:r>
      <w:r w:rsidR="00F50198" w:rsidRPr="0053392A">
        <w:rPr>
          <w:i/>
          <w:iCs/>
          <w:sz w:val="22"/>
          <w:szCs w:val="22"/>
        </w:rPr>
        <w:t xml:space="preserve"> (</w:t>
      </w:r>
      <w:r w:rsidR="00845652">
        <w:rPr>
          <w:i/>
          <w:iCs/>
          <w:sz w:val="22"/>
          <w:szCs w:val="22"/>
        </w:rPr>
        <w:t>135</w:t>
      </w:r>
      <w:r w:rsidR="00F50198" w:rsidRPr="0053392A">
        <w:rPr>
          <w:i/>
          <w:iCs/>
          <w:sz w:val="22"/>
          <w:szCs w:val="22"/>
        </w:rPr>
        <w:t xml:space="preserve"> MU), estimated </w:t>
      </w:r>
      <w:r w:rsidR="00C6175E">
        <w:rPr>
          <w:i/>
          <w:iCs/>
          <w:sz w:val="22"/>
          <w:szCs w:val="22"/>
        </w:rPr>
        <w:t>no additional quantum under TPA</w:t>
      </w:r>
      <w:r w:rsidR="00F50198" w:rsidRPr="0053392A">
        <w:rPr>
          <w:i/>
          <w:iCs/>
          <w:sz w:val="22"/>
          <w:szCs w:val="22"/>
        </w:rPr>
        <w:t xml:space="preserve"> in FY </w:t>
      </w:r>
      <w:r w:rsidRPr="0053392A">
        <w:rPr>
          <w:i/>
          <w:iCs/>
          <w:sz w:val="22"/>
          <w:szCs w:val="22"/>
        </w:rPr>
        <w:t>20</w:t>
      </w:r>
      <w:r w:rsidR="00F50198" w:rsidRPr="0053392A">
        <w:rPr>
          <w:i/>
          <w:iCs/>
          <w:sz w:val="22"/>
          <w:szCs w:val="22"/>
        </w:rPr>
        <w:t>2</w:t>
      </w:r>
      <w:r w:rsidR="004125FE">
        <w:rPr>
          <w:i/>
          <w:iCs/>
          <w:sz w:val="22"/>
          <w:szCs w:val="22"/>
        </w:rPr>
        <w:t>5</w:t>
      </w:r>
      <w:r w:rsidR="00F50198" w:rsidRPr="0053392A">
        <w:rPr>
          <w:i/>
          <w:iCs/>
          <w:sz w:val="22"/>
          <w:szCs w:val="22"/>
        </w:rPr>
        <w:t>-2</w:t>
      </w:r>
      <w:r w:rsidR="004125FE">
        <w:rPr>
          <w:i/>
          <w:iCs/>
          <w:sz w:val="22"/>
          <w:szCs w:val="22"/>
        </w:rPr>
        <w:t>6</w:t>
      </w:r>
      <w:r w:rsidR="00F50198" w:rsidRPr="0053392A">
        <w:rPr>
          <w:i/>
          <w:iCs/>
          <w:sz w:val="22"/>
          <w:szCs w:val="22"/>
        </w:rPr>
        <w:t xml:space="preserve"> and </w:t>
      </w:r>
      <w:r w:rsidR="0053392A" w:rsidRPr="0053392A">
        <w:rPr>
          <w:i/>
          <w:iCs/>
          <w:sz w:val="22"/>
          <w:szCs w:val="22"/>
        </w:rPr>
        <w:t xml:space="preserve">no quantum </w:t>
      </w:r>
      <w:r w:rsidR="00F50198" w:rsidRPr="0053392A">
        <w:rPr>
          <w:i/>
          <w:iCs/>
          <w:sz w:val="22"/>
          <w:szCs w:val="22"/>
        </w:rPr>
        <w:t>proposed f</w:t>
      </w:r>
      <w:r w:rsidR="00DC0FCE" w:rsidRPr="0053392A">
        <w:rPr>
          <w:i/>
          <w:iCs/>
          <w:sz w:val="22"/>
          <w:szCs w:val="22"/>
        </w:rPr>
        <w:t>or</w:t>
      </w:r>
      <w:r w:rsidR="00F50198" w:rsidRPr="0053392A">
        <w:rPr>
          <w:i/>
          <w:iCs/>
          <w:sz w:val="22"/>
          <w:szCs w:val="22"/>
        </w:rPr>
        <w:t xml:space="preserve"> FY </w:t>
      </w:r>
      <w:r w:rsidR="009A0E63">
        <w:rPr>
          <w:i/>
          <w:iCs/>
          <w:sz w:val="22"/>
          <w:szCs w:val="22"/>
        </w:rPr>
        <w:t>2026-27</w:t>
      </w:r>
      <w:r w:rsidR="00F50198" w:rsidRPr="0053392A">
        <w:rPr>
          <w:i/>
          <w:iCs/>
          <w:sz w:val="22"/>
          <w:szCs w:val="22"/>
        </w:rPr>
        <w:t>.</w:t>
      </w:r>
    </w:p>
    <w:p w14:paraId="3F460C6D" w14:textId="161FF6AE" w:rsidR="0053392A" w:rsidRDefault="00F96E32" w:rsidP="009D7D3A">
      <w:pPr>
        <w:pStyle w:val="ARR-normalbody"/>
      </w:pPr>
      <w:r>
        <w:t xml:space="preserve">The </w:t>
      </w:r>
      <w:r w:rsidR="002675A2">
        <w:t>Ho</w:t>
      </w:r>
      <w:r w:rsidR="00AB6650">
        <w:t xml:space="preserve">n’ble Commission has approved </w:t>
      </w:r>
      <w:r w:rsidR="00872B8D">
        <w:t>4203.147</w:t>
      </w:r>
      <w:r w:rsidR="001407C1" w:rsidRPr="00C46E1F">
        <w:t xml:space="preserve"> </w:t>
      </w:r>
      <w:r w:rsidR="002675A2" w:rsidRPr="00C46E1F">
        <w:t>MU</w:t>
      </w:r>
      <w:r w:rsidR="002675A2">
        <w:t xml:space="preserve"> under EHT category</w:t>
      </w:r>
      <w:r w:rsidR="000F73B0">
        <w:t xml:space="preserve"> for the FY 25-26</w:t>
      </w:r>
      <w:r w:rsidR="002675A2">
        <w:t xml:space="preserve">, </w:t>
      </w:r>
      <w:r>
        <w:t>c</w:t>
      </w:r>
      <w:r w:rsidR="00313CEF">
        <w:t xml:space="preserve">onsidering improved consumption pattern during </w:t>
      </w:r>
      <w:r w:rsidR="001C5E7A">
        <w:t xml:space="preserve">last quarter of previous year. </w:t>
      </w:r>
      <w:r w:rsidR="00F50198">
        <w:t>Further, concessional scheme with flat rate of Rs.</w:t>
      </w:r>
      <w:r w:rsidR="00DF50F4">
        <w:t xml:space="preserve"> </w:t>
      </w:r>
      <w:r w:rsidR="0053392A">
        <w:t>5</w:t>
      </w:r>
      <w:r w:rsidR="00DF50F4">
        <w:t>.00</w:t>
      </w:r>
      <w:r w:rsidR="00F50198">
        <w:t xml:space="preserve"> per unit for </w:t>
      </w:r>
      <w:proofErr w:type="spellStart"/>
      <w:r w:rsidR="00F50198">
        <w:t>drawal</w:t>
      </w:r>
      <w:proofErr w:type="spellEnd"/>
      <w:r w:rsidR="00F50198">
        <w:t xml:space="preserve"> beyond 80% of CD (Industries having CGP can draw up</w:t>
      </w:r>
      <w:r>
        <w:t xml:space="preserve"> </w:t>
      </w:r>
      <w:r w:rsidR="00F50198">
        <w:t>to double the CD, those who are having CD up</w:t>
      </w:r>
      <w:r>
        <w:t xml:space="preserve"> </w:t>
      </w:r>
      <w:r w:rsidR="00F50198">
        <w:t xml:space="preserve">to 20 MW) also helped </w:t>
      </w:r>
      <w:r w:rsidR="00F12E4F">
        <w:t>to</w:t>
      </w:r>
      <w:r w:rsidR="00F50198">
        <w:t xml:space="preserve"> increase in consumption</w:t>
      </w:r>
      <w:r w:rsidR="00DE767D">
        <w:t xml:space="preserve"> during previous year</w:t>
      </w:r>
      <w:r w:rsidR="00F50198">
        <w:t xml:space="preserve">. </w:t>
      </w:r>
    </w:p>
    <w:p w14:paraId="749E944A" w14:textId="7128F10D" w:rsidR="00274F68" w:rsidRDefault="00AA3F44" w:rsidP="009D7D3A">
      <w:pPr>
        <w:pStyle w:val="ARR-normalbody"/>
      </w:pPr>
      <w:r>
        <w:t>In addition to above</w:t>
      </w:r>
      <w:r w:rsidR="00A35F04">
        <w:t xml:space="preserve"> due to some additional traction </w:t>
      </w:r>
      <w:r w:rsidR="00765597">
        <w:t>load &amp;</w:t>
      </w:r>
      <w:r w:rsidR="00A35F04">
        <w:t xml:space="preserve"> </w:t>
      </w:r>
      <w:r w:rsidR="00F83B12">
        <w:t>enhancement of existing load</w:t>
      </w:r>
      <w:r w:rsidR="007C73D2">
        <w:t>,</w:t>
      </w:r>
      <w:r w:rsidR="00F83B12">
        <w:t xml:space="preserve"> </w:t>
      </w:r>
      <w:r>
        <w:t xml:space="preserve">sale under Railway traction has been estimated as </w:t>
      </w:r>
      <w:r w:rsidR="00872B8D">
        <w:t>989</w:t>
      </w:r>
      <w:r>
        <w:t xml:space="preserve"> MU </w:t>
      </w:r>
      <w:r w:rsidR="00FB78B7">
        <w:t>fo</w:t>
      </w:r>
      <w:r>
        <w:t>r the</w:t>
      </w:r>
      <w:r w:rsidR="00AB6650">
        <w:t xml:space="preserve"> current year and </w:t>
      </w:r>
      <w:r w:rsidR="00872B8D">
        <w:t>1012</w:t>
      </w:r>
      <w:r w:rsidR="00AB6650">
        <w:t xml:space="preserve"> MU </w:t>
      </w:r>
      <w:r w:rsidR="00FC136C">
        <w:t xml:space="preserve">for </w:t>
      </w:r>
      <w:r>
        <w:t>ensuin</w:t>
      </w:r>
      <w:r w:rsidR="00C46E1F">
        <w:t>g</w:t>
      </w:r>
      <w:r>
        <w:t xml:space="preserve"> year. </w:t>
      </w:r>
      <w:r w:rsidR="00DD6F21">
        <w:t xml:space="preserve">Railway has </w:t>
      </w:r>
      <w:r w:rsidR="00C408A7">
        <w:t>challenged</w:t>
      </w:r>
      <w:r w:rsidR="00DD6F21">
        <w:t xml:space="preserve"> </w:t>
      </w:r>
      <w:r w:rsidR="00F96E32">
        <w:t xml:space="preserve">the </w:t>
      </w:r>
      <w:r w:rsidR="00DD6F21">
        <w:t xml:space="preserve">Hon’ble </w:t>
      </w:r>
      <w:r w:rsidR="00C3111A">
        <w:t>A</w:t>
      </w:r>
      <w:r w:rsidR="0071764D">
        <w:t>PTEL</w:t>
      </w:r>
      <w:r w:rsidR="00C408A7">
        <w:t xml:space="preserve">’s Judgment in Appeal No. </w:t>
      </w:r>
      <w:r w:rsidR="009C253B">
        <w:t xml:space="preserve">55 of 2016 </w:t>
      </w:r>
      <w:r w:rsidR="00DD6F21">
        <w:t>regarding grant</w:t>
      </w:r>
      <w:r w:rsidR="009C253B">
        <w:t xml:space="preserve"> of deemed distribution </w:t>
      </w:r>
      <w:r w:rsidR="00DA254E">
        <w:t>license</w:t>
      </w:r>
      <w:r w:rsidR="00C408A7">
        <w:t xml:space="preserve"> before the Hon’ble Supreme Court. </w:t>
      </w:r>
      <w:r w:rsidR="00A20854">
        <w:t>As t</w:t>
      </w:r>
      <w:r w:rsidR="00C408A7">
        <w:t>he matter is sub-</w:t>
      </w:r>
      <w:proofErr w:type="spellStart"/>
      <w:r w:rsidR="00C408A7">
        <w:t>judice</w:t>
      </w:r>
      <w:proofErr w:type="spellEnd"/>
      <w:r w:rsidR="009424A4">
        <w:t>,</w:t>
      </w:r>
      <w:r w:rsidR="00A20854">
        <w:t xml:space="preserve"> </w:t>
      </w:r>
      <w:r w:rsidR="009424A4">
        <w:t xml:space="preserve">the </w:t>
      </w:r>
      <w:r w:rsidR="00386702">
        <w:t xml:space="preserve">licensee </w:t>
      </w:r>
      <w:r w:rsidR="009424A4">
        <w:t>has projected estimated sale</w:t>
      </w:r>
      <w:r w:rsidR="008B598F">
        <w:t>s</w:t>
      </w:r>
      <w:r w:rsidR="009424A4">
        <w:t xml:space="preserve"> considering Railway as normal consumer of the </w:t>
      </w:r>
      <w:r w:rsidR="000748BC">
        <w:t>L</w:t>
      </w:r>
      <w:r w:rsidR="009424A4">
        <w:t>icensee.</w:t>
      </w:r>
      <w:r>
        <w:t xml:space="preserve"> </w:t>
      </w:r>
    </w:p>
    <w:p w14:paraId="3CF82E7B" w14:textId="181C093D" w:rsidR="00A825CA" w:rsidRDefault="00A825CA" w:rsidP="009D7D3A">
      <w:pPr>
        <w:pStyle w:val="ARR-normalbody"/>
      </w:pPr>
      <w:r w:rsidRPr="00872B8D">
        <w:rPr>
          <w:lang w:val="en-US"/>
        </w:rPr>
        <w:t xml:space="preserve">Further, due to the recent developments in the Traction segment, if such consumers are permitted to procure power through Open Access (OA) without payment of Cross Subsidy Surcharge (CSS), their power requirement and </w:t>
      </w:r>
      <w:proofErr w:type="spellStart"/>
      <w:r w:rsidRPr="00872B8D">
        <w:rPr>
          <w:lang w:val="en-US"/>
        </w:rPr>
        <w:t>drawal</w:t>
      </w:r>
      <w:proofErr w:type="spellEnd"/>
      <w:r w:rsidRPr="00872B8D">
        <w:rPr>
          <w:lang w:val="en-US"/>
        </w:rPr>
        <w:t xml:space="preserve"> pattern from the Licensee may undergo significant variation depending upon the extent of power availed through OA.</w:t>
      </w:r>
    </w:p>
    <w:p w14:paraId="756D0DBA" w14:textId="6D2C6836" w:rsidR="00C3111A" w:rsidRPr="00C46E1F" w:rsidRDefault="00C3111A" w:rsidP="009D7D3A">
      <w:pPr>
        <w:pStyle w:val="ARR-normalbody"/>
      </w:pPr>
      <w:r w:rsidRPr="00C46E1F">
        <w:t>Other than the above</w:t>
      </w:r>
      <w:r w:rsidR="00F96E32" w:rsidRPr="00C46E1F">
        <w:t>,</w:t>
      </w:r>
      <w:r w:rsidRPr="00C46E1F">
        <w:t xml:space="preserve"> new additional load</w:t>
      </w:r>
      <w:r w:rsidR="005B7259" w:rsidRPr="00C46E1F">
        <w:t>/</w:t>
      </w:r>
      <w:r w:rsidRPr="00C46E1F">
        <w:t xml:space="preserve"> load enhancement has also been </w:t>
      </w:r>
      <w:r w:rsidR="00F36258" w:rsidRPr="00C46E1F">
        <w:t xml:space="preserve">considered </w:t>
      </w:r>
      <w:r w:rsidRPr="00C46E1F">
        <w:t xml:space="preserve">for ensuing year in </w:t>
      </w:r>
      <w:r w:rsidR="005225A9" w:rsidRPr="00C46E1F">
        <w:t>favour</w:t>
      </w:r>
      <w:r w:rsidRPr="00C46E1F">
        <w:t xml:space="preserve"> of </w:t>
      </w:r>
      <w:r w:rsidR="00F36258" w:rsidRPr="00C46E1F">
        <w:t xml:space="preserve">the </w:t>
      </w:r>
      <w:r w:rsidRPr="00C46E1F">
        <w:t>following industries</w:t>
      </w:r>
      <w:r w:rsidR="00F96E32" w:rsidRPr="00C46E1F">
        <w:t>:</w:t>
      </w:r>
    </w:p>
    <w:p w14:paraId="7FF129A8" w14:textId="6334AC0E" w:rsidR="00C3111A" w:rsidRPr="00296FFC" w:rsidRDefault="00296FFC" w:rsidP="00252A3E">
      <w:pPr>
        <w:pStyle w:val="BodyText2"/>
        <w:numPr>
          <w:ilvl w:val="2"/>
          <w:numId w:val="4"/>
        </w:numPr>
        <w:spacing w:line="360" w:lineRule="auto"/>
        <w:jc w:val="both"/>
        <w:rPr>
          <w:rFonts w:ascii="Cambria" w:hAnsi="Cambria"/>
          <w:sz w:val="24"/>
          <w:szCs w:val="24"/>
        </w:rPr>
      </w:pPr>
      <w:r w:rsidRPr="00296FFC">
        <w:rPr>
          <w:rFonts w:ascii="Cambria" w:hAnsi="Cambria"/>
          <w:sz w:val="24"/>
          <w:szCs w:val="24"/>
        </w:rPr>
        <w:t xml:space="preserve">Applications have been received for load enhancement from M/s. </w:t>
      </w:r>
      <w:proofErr w:type="spellStart"/>
      <w:r w:rsidRPr="00296FFC">
        <w:rPr>
          <w:rFonts w:ascii="Cambria" w:hAnsi="Cambria"/>
          <w:sz w:val="24"/>
          <w:szCs w:val="24"/>
        </w:rPr>
        <w:t>Rungta</w:t>
      </w:r>
      <w:proofErr w:type="spellEnd"/>
      <w:r w:rsidRPr="00296FFC">
        <w:rPr>
          <w:rFonts w:ascii="Cambria" w:hAnsi="Cambria"/>
          <w:sz w:val="24"/>
          <w:szCs w:val="24"/>
        </w:rPr>
        <w:t xml:space="preserve"> Mines (12.5 MVA), M/s. Bargarh Cement Works Ltd. (7.5 MVA), M/s. OCL Iron &amp; Steel Limited (2.5 MVA), and Railway Traction (8 MVA).</w:t>
      </w:r>
    </w:p>
    <w:p w14:paraId="603D2DDA" w14:textId="77777777" w:rsidR="00296FFC" w:rsidRDefault="00296FFC" w:rsidP="00252A3E">
      <w:pPr>
        <w:pStyle w:val="BodyText2"/>
        <w:numPr>
          <w:ilvl w:val="2"/>
          <w:numId w:val="4"/>
        </w:numPr>
        <w:spacing w:line="360" w:lineRule="auto"/>
        <w:jc w:val="both"/>
        <w:rPr>
          <w:rFonts w:ascii="Cambria" w:hAnsi="Cambria"/>
          <w:sz w:val="24"/>
          <w:szCs w:val="24"/>
        </w:rPr>
      </w:pPr>
      <w:r w:rsidRPr="00296FFC">
        <w:rPr>
          <w:rFonts w:ascii="Cambria" w:hAnsi="Cambria"/>
          <w:sz w:val="24"/>
          <w:szCs w:val="24"/>
        </w:rPr>
        <w:t>New connection requests have been submitted by M/s. AMNS (20 MVA), M/s. SMEL Steel Structural Pvt. Ltd. (15 MVA), M/s. Star Metal Works Pvt. Ltd. (27 MVA), and M/s. BCGC Ltd. (100 MVA).</w:t>
      </w:r>
    </w:p>
    <w:p w14:paraId="06B3F934" w14:textId="1A87A121" w:rsidR="00E318CA" w:rsidRPr="00296FFC" w:rsidRDefault="00296FFC" w:rsidP="00252A3E">
      <w:pPr>
        <w:pStyle w:val="BodyText2"/>
        <w:numPr>
          <w:ilvl w:val="2"/>
          <w:numId w:val="4"/>
        </w:numPr>
        <w:spacing w:line="360" w:lineRule="auto"/>
        <w:jc w:val="both"/>
        <w:rPr>
          <w:rFonts w:ascii="Cambria" w:hAnsi="Cambria"/>
          <w:sz w:val="24"/>
          <w:szCs w:val="24"/>
        </w:rPr>
      </w:pPr>
      <w:r w:rsidRPr="00296FFC">
        <w:rPr>
          <w:rFonts w:ascii="Cambria" w:hAnsi="Cambria"/>
          <w:sz w:val="24"/>
          <w:szCs w:val="24"/>
        </w:rPr>
        <w:t xml:space="preserve">M/s. </w:t>
      </w:r>
      <w:proofErr w:type="spellStart"/>
      <w:r w:rsidRPr="00296FFC">
        <w:rPr>
          <w:rFonts w:ascii="Cambria" w:hAnsi="Cambria"/>
          <w:sz w:val="24"/>
          <w:szCs w:val="24"/>
        </w:rPr>
        <w:t>Rungta</w:t>
      </w:r>
      <w:proofErr w:type="spellEnd"/>
      <w:r w:rsidRPr="00296FFC">
        <w:rPr>
          <w:rFonts w:ascii="Cambria" w:hAnsi="Cambria"/>
          <w:sz w:val="24"/>
          <w:szCs w:val="24"/>
        </w:rPr>
        <w:t xml:space="preserve"> Mines has applied for a new connection with a Contract Demand (CD) of 47 MVA.</w:t>
      </w:r>
      <w:r w:rsidRPr="00296FFC">
        <w:rPr>
          <w:rFonts w:ascii="Cambria" w:hAnsi="Cambria"/>
          <w:highlight w:val="yellow"/>
        </w:rPr>
        <w:t xml:space="preserve"> </w:t>
      </w:r>
      <w:r w:rsidR="00B56D9D" w:rsidRPr="00296FFC">
        <w:rPr>
          <w:rFonts w:ascii="Cambria" w:hAnsi="Cambria"/>
          <w:highlight w:val="yellow"/>
        </w:rPr>
        <w:br w:type="page"/>
      </w:r>
    </w:p>
    <w:p w14:paraId="02ABBFBE" w14:textId="035432C5" w:rsidR="004276A0" w:rsidRPr="00904B4F" w:rsidRDefault="004276A0" w:rsidP="00905A04">
      <w:pPr>
        <w:pStyle w:val="Heading2"/>
        <w:numPr>
          <w:ilvl w:val="1"/>
          <w:numId w:val="1"/>
        </w:numPr>
        <w:tabs>
          <w:tab w:val="clear" w:pos="432"/>
          <w:tab w:val="num" w:pos="426"/>
        </w:tabs>
        <w:ind w:hanging="574"/>
        <w:rPr>
          <w:rFonts w:asciiTheme="majorHAnsi" w:hAnsiTheme="majorHAnsi"/>
          <w:i w:val="0"/>
          <w:iCs w:val="0"/>
          <w:sz w:val="24"/>
          <w:szCs w:val="24"/>
        </w:rPr>
      </w:pPr>
      <w:bookmarkStart w:id="14" w:name="_Toc152180072"/>
      <w:bookmarkStart w:id="15" w:name="_Toc183204684"/>
      <w:bookmarkStart w:id="16" w:name="_Toc215250608"/>
      <w:r w:rsidRPr="00904B4F">
        <w:rPr>
          <w:rFonts w:asciiTheme="majorHAnsi" w:hAnsiTheme="majorHAnsi"/>
          <w:i w:val="0"/>
          <w:iCs w:val="0"/>
          <w:sz w:val="24"/>
          <w:szCs w:val="24"/>
        </w:rPr>
        <w:t>Power Purchase Expenses</w:t>
      </w:r>
      <w:bookmarkEnd w:id="14"/>
      <w:r w:rsidR="0018616B" w:rsidRPr="00904B4F">
        <w:rPr>
          <w:rFonts w:asciiTheme="majorHAnsi" w:hAnsiTheme="majorHAnsi"/>
          <w:i w:val="0"/>
          <w:iCs w:val="0"/>
          <w:sz w:val="24"/>
          <w:szCs w:val="24"/>
        </w:rPr>
        <w:t xml:space="preserve"> &amp; SMD Projection</w:t>
      </w:r>
      <w:bookmarkEnd w:id="15"/>
      <w:bookmarkEnd w:id="16"/>
    </w:p>
    <w:p w14:paraId="64A3ED01" w14:textId="2A58D473" w:rsidR="002D1852" w:rsidRDefault="002D1852" w:rsidP="009D7D3A">
      <w:pPr>
        <w:pStyle w:val="ARR-normalbody"/>
      </w:pPr>
      <w:r>
        <w:t>A</w:t>
      </w:r>
      <w:r w:rsidRPr="002D1852">
        <w:t>s per mandate of vesting order,</w:t>
      </w:r>
      <w:r>
        <w:t xml:space="preserve"> TPWODL</w:t>
      </w:r>
      <w:r w:rsidRPr="002D1852">
        <w:t xml:space="preserve"> is procuring power from GRIDCO, who is the state designated entity to procure power for all the 4 DISCOM(s) from different generators like thermal, hydel, renewable etc. located in and outside Odisha.</w:t>
      </w:r>
      <w:r>
        <w:t xml:space="preserve"> </w:t>
      </w:r>
      <w:r w:rsidRPr="002D1852">
        <w:t>GRIDCO is also a Deemed Trading Licensee under 5th proviso to Section 14 of the Electricity Act, 2003.</w:t>
      </w:r>
      <w:r>
        <w:t xml:space="preserve"> T</w:t>
      </w:r>
      <w:r w:rsidRPr="002D1852">
        <w:t>he Government of Odisha has also notified GRIDCO as the “State Designated Entity” for execution of Power Purchase Agreements (PPA) with various Developers generating energy from various sources including Hydro power, Wind power, power from Agricultural Waste etc. along with Thermal Power vide Government of Odisha Notification No. PPD-II-2/05(pt.)7947 dated 17.08.2006. GRIDCO has a statutory obligation to procure power and act as a bulk supplier to supply power to DISCOMs and meet the electricity demand in the State.</w:t>
      </w:r>
    </w:p>
    <w:p w14:paraId="2CDB0217" w14:textId="0CA91E11" w:rsidR="006A5F05" w:rsidRDefault="006A5F05" w:rsidP="00C23F37">
      <w:pPr>
        <w:pStyle w:val="BodyText2"/>
        <w:spacing w:beforeLines="100" w:before="240" w:afterLines="100" w:after="240" w:line="360" w:lineRule="auto"/>
        <w:jc w:val="both"/>
        <w:rPr>
          <w:rFonts w:ascii="Cambria" w:hAnsi="Cambria" w:cs="Arial"/>
          <w:sz w:val="24"/>
          <w:szCs w:val="24"/>
          <w:lang w:val="en-GB"/>
        </w:rPr>
      </w:pPr>
      <w:r>
        <w:rPr>
          <w:rFonts w:ascii="Cambria" w:hAnsi="Cambria" w:cs="Arial"/>
          <w:sz w:val="24"/>
          <w:szCs w:val="24"/>
          <w:lang w:val="en-GB"/>
        </w:rPr>
        <w:t>As per para 36(c) &amp; (d) of vesting order, it has been held that</w:t>
      </w:r>
    </w:p>
    <w:p w14:paraId="094E98DC" w14:textId="3653889D" w:rsidR="006A5F05" w:rsidRPr="00F945DD" w:rsidRDefault="006A5F05" w:rsidP="00F945DD">
      <w:pPr>
        <w:pStyle w:val="BodyText2"/>
        <w:ind w:left="720"/>
        <w:jc w:val="both"/>
        <w:rPr>
          <w:rFonts w:ascii="Cambria" w:hAnsi="Cambria" w:cs="Arial"/>
          <w:i/>
          <w:sz w:val="22"/>
          <w:szCs w:val="24"/>
          <w:lang w:val="en-GB"/>
        </w:rPr>
      </w:pPr>
      <w:r w:rsidRPr="00F945DD">
        <w:rPr>
          <w:rFonts w:ascii="Cambria" w:hAnsi="Cambria" w:cs="Arial"/>
          <w:i/>
          <w:sz w:val="22"/>
          <w:szCs w:val="24"/>
          <w:lang w:val="en-GB"/>
        </w:rPr>
        <w:t>“(c) If in the opinion of GRIDCO, at any time during the term of license of TPWODL, the PPAs provided in Annexure – 3 are insufficient to meet the power purchase requirement of the retail supply licensees, then GRIDCO may sign additional PPAs with prior consultation with TPWODL, other retail supply licensees in the State and prior approval of the Commission. Such consultation shall also be required in case GRIDCO signs any PPAs to procure power from renewable energy sources to fulfil its Renewable Purchase Obligation targets set under the regulations and orders of the Commission.</w:t>
      </w:r>
    </w:p>
    <w:p w14:paraId="5C3DB75C" w14:textId="05E6BAD6" w:rsidR="006A5F05" w:rsidRPr="00F945DD" w:rsidRDefault="006A5F05" w:rsidP="00F945DD">
      <w:pPr>
        <w:pStyle w:val="BodyText2"/>
        <w:ind w:left="720"/>
        <w:jc w:val="both"/>
        <w:rPr>
          <w:rFonts w:ascii="Cambria" w:hAnsi="Cambria" w:cs="Arial"/>
          <w:i/>
          <w:sz w:val="22"/>
          <w:szCs w:val="24"/>
          <w:lang w:val="en-GB"/>
        </w:rPr>
      </w:pPr>
      <w:r w:rsidRPr="00F945DD">
        <w:rPr>
          <w:rFonts w:ascii="Cambria" w:hAnsi="Cambria" w:cs="Arial"/>
          <w:i/>
          <w:sz w:val="22"/>
          <w:szCs w:val="24"/>
          <w:lang w:val="en-GB"/>
        </w:rPr>
        <w:t>(d) Till the time GRIDCO expresses its ability to meet the power purchase requirement of TPWODL from the PPAs provided in Annexure - 3 and any additional PPAs signed as per clause (c) above, TPWODL shall be obligated to meet the full extent of its power purchase requirement from such PPAs.”</w:t>
      </w:r>
    </w:p>
    <w:p w14:paraId="61B73451" w14:textId="77777777" w:rsidR="00F945DD" w:rsidRDefault="006A5F05" w:rsidP="00C23F37">
      <w:pPr>
        <w:pStyle w:val="BodyText2"/>
        <w:spacing w:beforeLines="100" w:before="240" w:afterLines="100" w:after="240" w:line="360" w:lineRule="auto"/>
        <w:jc w:val="both"/>
        <w:rPr>
          <w:rFonts w:ascii="Cambria" w:hAnsi="Cambria" w:cs="Arial"/>
          <w:sz w:val="24"/>
          <w:szCs w:val="24"/>
          <w:lang w:val="en-GB"/>
        </w:rPr>
      </w:pPr>
      <w:r>
        <w:rPr>
          <w:rFonts w:ascii="Cambria" w:hAnsi="Cambria" w:cs="Arial"/>
          <w:sz w:val="24"/>
          <w:szCs w:val="24"/>
          <w:lang w:val="en-GB"/>
        </w:rPr>
        <w:t xml:space="preserve">Accordingly, </w:t>
      </w:r>
      <w:r w:rsidR="00F945DD">
        <w:rPr>
          <w:rFonts w:ascii="Cambria" w:hAnsi="Cambria" w:cs="Arial"/>
          <w:sz w:val="24"/>
          <w:szCs w:val="24"/>
          <w:lang w:val="en-GB"/>
        </w:rPr>
        <w:t xml:space="preserve">for additional power purchase from different generators during </w:t>
      </w:r>
      <w:r>
        <w:rPr>
          <w:rFonts w:ascii="Cambria" w:hAnsi="Cambria" w:cs="Arial"/>
          <w:sz w:val="24"/>
          <w:szCs w:val="24"/>
          <w:lang w:val="en-GB"/>
        </w:rPr>
        <w:t>post vesting</w:t>
      </w:r>
      <w:r w:rsidR="00F945DD">
        <w:rPr>
          <w:rFonts w:ascii="Cambria" w:hAnsi="Cambria" w:cs="Arial"/>
          <w:sz w:val="24"/>
          <w:szCs w:val="24"/>
          <w:lang w:val="en-GB"/>
        </w:rPr>
        <w:t xml:space="preserve"> period, GRIDCO is obtaining consent from DISCOMs for further tie-up. </w:t>
      </w:r>
    </w:p>
    <w:p w14:paraId="1F94C220" w14:textId="673174FD" w:rsidR="006A5F05" w:rsidRDefault="00F945DD" w:rsidP="00C23F37">
      <w:pPr>
        <w:pStyle w:val="BodyText2"/>
        <w:spacing w:beforeLines="100" w:before="240" w:afterLines="100" w:after="240" w:line="360" w:lineRule="auto"/>
        <w:jc w:val="both"/>
        <w:rPr>
          <w:rFonts w:ascii="Cambria" w:hAnsi="Cambria" w:cs="Arial"/>
          <w:sz w:val="24"/>
          <w:szCs w:val="24"/>
          <w:lang w:val="en-GB"/>
        </w:rPr>
      </w:pPr>
      <w:r>
        <w:rPr>
          <w:rFonts w:ascii="Cambria" w:hAnsi="Cambria" w:cs="Arial"/>
          <w:sz w:val="24"/>
          <w:szCs w:val="24"/>
          <w:lang w:val="en-GB"/>
        </w:rPr>
        <w:t xml:space="preserve">However, Hon’ble Commission was pleased enough to accord in-principle approval to the erstwhile DISCOMs vide Case No. 34 of 2010 dt. 02.11.2010 to procure power from CGP generators connected at 33 kV level and below </w:t>
      </w:r>
      <w:proofErr w:type="spellStart"/>
      <w:r>
        <w:rPr>
          <w:rFonts w:ascii="Cambria" w:hAnsi="Cambria" w:cs="Arial"/>
          <w:sz w:val="24"/>
          <w:szCs w:val="24"/>
          <w:lang w:val="en-GB"/>
        </w:rPr>
        <w:t>upto</w:t>
      </w:r>
      <w:proofErr w:type="spellEnd"/>
      <w:r>
        <w:rPr>
          <w:rFonts w:ascii="Cambria" w:hAnsi="Cambria" w:cs="Arial"/>
          <w:sz w:val="24"/>
          <w:szCs w:val="24"/>
          <w:lang w:val="en-GB"/>
        </w:rPr>
        <w:t xml:space="preserve"> 15 MW at negotiated price limited to Bulk Supply Price.</w:t>
      </w:r>
      <w:r w:rsidR="006A5F05">
        <w:rPr>
          <w:rFonts w:ascii="Cambria" w:hAnsi="Cambria" w:cs="Arial"/>
          <w:sz w:val="24"/>
          <w:szCs w:val="24"/>
          <w:lang w:val="en-GB"/>
        </w:rPr>
        <w:t xml:space="preserve"> </w:t>
      </w:r>
      <w:r>
        <w:rPr>
          <w:rFonts w:ascii="Cambria" w:hAnsi="Cambria" w:cs="Arial"/>
          <w:sz w:val="24"/>
          <w:szCs w:val="24"/>
          <w:lang w:val="en-GB"/>
        </w:rPr>
        <w:t>The relevant extract is produced below:</w:t>
      </w:r>
    </w:p>
    <w:p w14:paraId="3F9DE512" w14:textId="411A2B1D" w:rsidR="00F945DD" w:rsidRPr="00C23F37" w:rsidRDefault="00F945DD" w:rsidP="00C23F37">
      <w:pPr>
        <w:pStyle w:val="BodyText2"/>
        <w:ind w:left="720"/>
        <w:jc w:val="both"/>
        <w:rPr>
          <w:rFonts w:ascii="Cambria" w:hAnsi="Cambria" w:cs="Arial"/>
          <w:i/>
          <w:sz w:val="22"/>
          <w:szCs w:val="24"/>
          <w:lang w:val="en-GB"/>
        </w:rPr>
      </w:pPr>
      <w:r w:rsidRPr="00C23F37">
        <w:rPr>
          <w:rFonts w:ascii="Cambria" w:hAnsi="Cambria" w:cs="Arial"/>
          <w:i/>
          <w:sz w:val="22"/>
          <w:szCs w:val="24"/>
          <w:lang w:val="en-GB"/>
        </w:rPr>
        <w:t>“31. After going through the submission made by petitioner-WESCO, the respondent namely State Govt., GRIDCO, OPTCL, SLDC and JSPL and after examining the broad issues analysed in preceding paragraphs we accord in-principle approval of power purchase up to 15 MW from CGPs willing to sell surplus power to WESCO. The arrangement will be carried out with following terms and conditions:</w:t>
      </w:r>
    </w:p>
    <w:p w14:paraId="2769B49D" w14:textId="77777777" w:rsidR="00F945DD" w:rsidRPr="00C23F37" w:rsidRDefault="00F945DD" w:rsidP="00C23F37">
      <w:pPr>
        <w:pStyle w:val="BodyText2"/>
        <w:ind w:left="720"/>
        <w:jc w:val="both"/>
        <w:rPr>
          <w:rFonts w:ascii="Cambria" w:hAnsi="Cambria" w:cs="Arial"/>
          <w:i/>
          <w:sz w:val="22"/>
          <w:szCs w:val="24"/>
          <w:lang w:val="en-GB"/>
        </w:rPr>
      </w:pPr>
      <w:r w:rsidRPr="00C23F37">
        <w:rPr>
          <w:rFonts w:ascii="Cambria" w:hAnsi="Cambria" w:cs="Arial"/>
          <w:i/>
          <w:sz w:val="22"/>
          <w:szCs w:val="24"/>
          <w:lang w:val="en-GB"/>
        </w:rPr>
        <w:t>(</w:t>
      </w:r>
      <w:proofErr w:type="spellStart"/>
      <w:r w:rsidRPr="00C23F37">
        <w:rPr>
          <w:rFonts w:ascii="Cambria" w:hAnsi="Cambria" w:cs="Arial"/>
          <w:i/>
          <w:sz w:val="22"/>
          <w:szCs w:val="24"/>
          <w:lang w:val="en-GB"/>
        </w:rPr>
        <w:t>i</w:t>
      </w:r>
      <w:proofErr w:type="spellEnd"/>
      <w:r w:rsidRPr="00C23F37">
        <w:rPr>
          <w:rFonts w:ascii="Cambria" w:hAnsi="Cambria" w:cs="Arial"/>
          <w:i/>
          <w:sz w:val="22"/>
          <w:szCs w:val="24"/>
          <w:lang w:val="en-GB"/>
        </w:rPr>
        <w:t>) Price of power purchased by WESCO should be within the Bulk Supply Price fixed by the Commission from time to time for WESCO.</w:t>
      </w:r>
    </w:p>
    <w:p w14:paraId="1D42B30B" w14:textId="77777777" w:rsidR="00F945DD" w:rsidRPr="00C23F37" w:rsidRDefault="00F945DD" w:rsidP="00C23F37">
      <w:pPr>
        <w:pStyle w:val="BodyText2"/>
        <w:ind w:left="720"/>
        <w:jc w:val="both"/>
        <w:rPr>
          <w:rFonts w:ascii="Cambria" w:hAnsi="Cambria" w:cs="Arial"/>
          <w:i/>
          <w:sz w:val="22"/>
          <w:szCs w:val="24"/>
          <w:lang w:val="en-GB"/>
        </w:rPr>
      </w:pPr>
      <w:r w:rsidRPr="00C23F37">
        <w:rPr>
          <w:rFonts w:ascii="Cambria" w:hAnsi="Cambria" w:cs="Arial"/>
          <w:i/>
          <w:sz w:val="22"/>
          <w:szCs w:val="24"/>
          <w:lang w:val="en-GB"/>
        </w:rPr>
        <w:t>(ii) For procurement of power beyond 15 MW from CGPs, WESCO may file separate application for the same before the Commission for approval.</w:t>
      </w:r>
    </w:p>
    <w:p w14:paraId="22DB75D4" w14:textId="77777777" w:rsidR="00F945DD" w:rsidRPr="00C23F37" w:rsidRDefault="00F945DD" w:rsidP="00C23F37">
      <w:pPr>
        <w:pStyle w:val="BodyText2"/>
        <w:ind w:left="720"/>
        <w:jc w:val="both"/>
        <w:rPr>
          <w:rFonts w:ascii="Cambria" w:hAnsi="Cambria" w:cs="Arial"/>
          <w:i/>
          <w:sz w:val="22"/>
          <w:szCs w:val="24"/>
          <w:lang w:val="en-GB"/>
        </w:rPr>
      </w:pPr>
      <w:r w:rsidRPr="00C23F37">
        <w:rPr>
          <w:rFonts w:ascii="Cambria" w:hAnsi="Cambria" w:cs="Arial"/>
          <w:i/>
          <w:sz w:val="22"/>
          <w:szCs w:val="24"/>
          <w:lang w:val="en-GB"/>
        </w:rPr>
        <w:t xml:space="preserve">(iii) As long as injection of power is at 33KV network including the 33 KV Bus of 132/33 KV </w:t>
      </w:r>
      <w:proofErr w:type="spellStart"/>
      <w:r w:rsidRPr="00C23F37">
        <w:rPr>
          <w:rFonts w:ascii="Cambria" w:hAnsi="Cambria" w:cs="Arial"/>
          <w:i/>
          <w:sz w:val="22"/>
          <w:szCs w:val="24"/>
          <w:lang w:val="en-GB"/>
        </w:rPr>
        <w:t>sub station</w:t>
      </w:r>
      <w:proofErr w:type="spellEnd"/>
      <w:r w:rsidRPr="00C23F37">
        <w:rPr>
          <w:rFonts w:ascii="Cambria" w:hAnsi="Cambria" w:cs="Arial"/>
          <w:i/>
          <w:sz w:val="22"/>
          <w:szCs w:val="24"/>
          <w:lang w:val="en-GB"/>
        </w:rPr>
        <w:t xml:space="preserve"> of OPTCL, WESCO or the generator are not required to pay transmission charges to OPTCL.</w:t>
      </w:r>
    </w:p>
    <w:p w14:paraId="58440EC5" w14:textId="77777777" w:rsidR="00F945DD" w:rsidRPr="00C23F37" w:rsidRDefault="00F945DD" w:rsidP="00C23F37">
      <w:pPr>
        <w:pStyle w:val="BodyText2"/>
        <w:ind w:left="720"/>
        <w:jc w:val="both"/>
        <w:rPr>
          <w:rFonts w:ascii="Cambria" w:hAnsi="Cambria" w:cs="Arial"/>
          <w:i/>
          <w:sz w:val="22"/>
          <w:szCs w:val="24"/>
          <w:lang w:val="en-GB"/>
        </w:rPr>
      </w:pPr>
      <w:r w:rsidRPr="00C23F37">
        <w:rPr>
          <w:rFonts w:ascii="Cambria" w:hAnsi="Cambria" w:cs="Arial"/>
          <w:i/>
          <w:sz w:val="22"/>
          <w:szCs w:val="24"/>
          <w:lang w:val="en-GB"/>
        </w:rPr>
        <w:t xml:space="preserve">(iv) In case CGP is connected to EHT system of OPTCL including the 132 KV Bus of 132/33 KV </w:t>
      </w:r>
      <w:proofErr w:type="spellStart"/>
      <w:r w:rsidRPr="00C23F37">
        <w:rPr>
          <w:rFonts w:ascii="Cambria" w:hAnsi="Cambria" w:cs="Arial"/>
          <w:i/>
          <w:sz w:val="22"/>
          <w:szCs w:val="24"/>
          <w:lang w:val="en-GB"/>
        </w:rPr>
        <w:t>sub station</w:t>
      </w:r>
      <w:proofErr w:type="spellEnd"/>
      <w:r w:rsidRPr="00C23F37">
        <w:rPr>
          <w:rFonts w:ascii="Cambria" w:hAnsi="Cambria" w:cs="Arial"/>
          <w:i/>
          <w:sz w:val="22"/>
          <w:szCs w:val="24"/>
          <w:lang w:val="en-GB"/>
        </w:rPr>
        <w:t>, the DISCOM or the generator will be required to pay the transmission charges.</w:t>
      </w:r>
    </w:p>
    <w:p w14:paraId="6F61F861" w14:textId="139EA7E6" w:rsidR="00F945DD" w:rsidRPr="00C23F37" w:rsidRDefault="00F945DD" w:rsidP="00C23F37">
      <w:pPr>
        <w:pStyle w:val="BodyText2"/>
        <w:ind w:left="720"/>
        <w:jc w:val="both"/>
        <w:rPr>
          <w:rFonts w:ascii="Cambria" w:hAnsi="Cambria" w:cs="Arial"/>
          <w:i/>
          <w:sz w:val="22"/>
          <w:szCs w:val="24"/>
          <w:lang w:val="en-GB"/>
        </w:rPr>
      </w:pPr>
      <w:r w:rsidRPr="00C23F37">
        <w:rPr>
          <w:rFonts w:ascii="Cambria" w:hAnsi="Cambria" w:cs="Arial"/>
          <w:i/>
          <w:sz w:val="22"/>
          <w:szCs w:val="24"/>
          <w:lang w:val="en-GB"/>
        </w:rPr>
        <w:t>(v) Moreover before selling power to a Distribution Licensee through EHT system of OPTCL, a generator will be required to get permission and approval from the STU………….”</w:t>
      </w:r>
    </w:p>
    <w:p w14:paraId="0A990EB5" w14:textId="77777777" w:rsidR="00C23F37" w:rsidRPr="00C23F37" w:rsidRDefault="00F945DD" w:rsidP="00FE3882">
      <w:pPr>
        <w:pStyle w:val="BodyText2"/>
        <w:spacing w:line="360" w:lineRule="auto"/>
        <w:jc w:val="both"/>
        <w:rPr>
          <w:rFonts w:ascii="Cambria" w:hAnsi="Cambria" w:cs="Arial"/>
          <w:sz w:val="6"/>
          <w:szCs w:val="6"/>
          <w:lang w:val="en-GB"/>
        </w:rPr>
      </w:pPr>
      <w:r>
        <w:rPr>
          <w:rFonts w:ascii="Cambria" w:hAnsi="Cambria" w:cs="Arial"/>
          <w:sz w:val="24"/>
          <w:szCs w:val="24"/>
          <w:lang w:val="en-GB"/>
        </w:rPr>
        <w:t xml:space="preserve"> </w:t>
      </w:r>
    </w:p>
    <w:p w14:paraId="7D003C6D" w14:textId="5A6AB336" w:rsidR="00F945DD" w:rsidRPr="001611E0" w:rsidRDefault="00F945DD" w:rsidP="00C23F37">
      <w:pPr>
        <w:pStyle w:val="BodyText2"/>
        <w:spacing w:beforeLines="100" w:before="240" w:afterLines="100" w:after="240" w:line="360" w:lineRule="auto"/>
        <w:jc w:val="both"/>
        <w:rPr>
          <w:rFonts w:ascii="Cambria" w:hAnsi="Cambria" w:cs="Arial"/>
          <w:sz w:val="24"/>
          <w:szCs w:val="24"/>
          <w:lang w:val="en-GB"/>
        </w:rPr>
      </w:pPr>
      <w:r w:rsidRPr="001611E0">
        <w:rPr>
          <w:rFonts w:ascii="Cambria" w:hAnsi="Cambria" w:cs="Arial"/>
          <w:sz w:val="24"/>
          <w:szCs w:val="24"/>
          <w:lang w:val="en-GB"/>
        </w:rPr>
        <w:t xml:space="preserve">In line with the above, the Licensee is also harnessing some power from few of the CGP Industries connected at 33 kV level &amp; below in its licensee area at negotiated price limited to average hydel price of the state as approved by the Hon’ble Commission in the BSP Order of GRIDCO. During the current year, the price is </w:t>
      </w:r>
      <w:r w:rsidR="00D144A7">
        <w:rPr>
          <w:rFonts w:ascii="Cambria" w:hAnsi="Cambria" w:cs="Arial"/>
          <w:sz w:val="24"/>
          <w:szCs w:val="24"/>
          <w:lang w:val="en-GB"/>
        </w:rPr>
        <w:t>101.83</w:t>
      </w:r>
      <w:r w:rsidRPr="001611E0">
        <w:rPr>
          <w:rFonts w:ascii="Cambria" w:hAnsi="Cambria" w:cs="Arial"/>
          <w:sz w:val="24"/>
          <w:szCs w:val="24"/>
          <w:lang w:val="en-GB"/>
        </w:rPr>
        <w:t xml:space="preserve"> </w:t>
      </w:r>
      <w:proofErr w:type="spellStart"/>
      <w:r w:rsidRPr="001611E0">
        <w:rPr>
          <w:rFonts w:ascii="Cambria" w:hAnsi="Cambria" w:cs="Arial"/>
          <w:sz w:val="24"/>
          <w:szCs w:val="24"/>
          <w:lang w:val="en-GB"/>
        </w:rPr>
        <w:t>paise</w:t>
      </w:r>
      <w:proofErr w:type="spellEnd"/>
      <w:r w:rsidRPr="001611E0">
        <w:rPr>
          <w:rFonts w:ascii="Cambria" w:hAnsi="Cambria" w:cs="Arial"/>
          <w:sz w:val="24"/>
          <w:szCs w:val="24"/>
          <w:lang w:val="en-GB"/>
        </w:rPr>
        <w:t xml:space="preserve">/unit. The actual quantum of energy purchased during last year was </w:t>
      </w:r>
      <w:r w:rsidR="001611E0" w:rsidRPr="001611E0">
        <w:rPr>
          <w:rFonts w:ascii="Cambria" w:hAnsi="Cambria" w:cs="Arial"/>
          <w:sz w:val="24"/>
          <w:szCs w:val="24"/>
          <w:lang w:val="en-GB"/>
        </w:rPr>
        <w:t>16.594</w:t>
      </w:r>
      <w:r w:rsidRPr="001611E0">
        <w:rPr>
          <w:rFonts w:ascii="Cambria" w:hAnsi="Cambria" w:cs="Arial"/>
          <w:sz w:val="24"/>
          <w:szCs w:val="24"/>
          <w:lang w:val="en-GB"/>
        </w:rPr>
        <w:t xml:space="preserve"> MU and in 1</w:t>
      </w:r>
      <w:r w:rsidRPr="001611E0">
        <w:rPr>
          <w:rFonts w:ascii="Cambria" w:hAnsi="Cambria" w:cs="Arial"/>
          <w:sz w:val="24"/>
          <w:szCs w:val="24"/>
          <w:vertAlign w:val="superscript"/>
          <w:lang w:val="en-GB"/>
        </w:rPr>
        <w:t>st</w:t>
      </w:r>
      <w:r w:rsidRPr="001611E0">
        <w:rPr>
          <w:rFonts w:ascii="Cambria" w:hAnsi="Cambria" w:cs="Arial"/>
          <w:sz w:val="24"/>
          <w:szCs w:val="24"/>
          <w:lang w:val="en-GB"/>
        </w:rPr>
        <w:t xml:space="preserve"> six months of current year it is 1</w:t>
      </w:r>
      <w:r w:rsidR="001611E0" w:rsidRPr="001611E0">
        <w:rPr>
          <w:rFonts w:ascii="Cambria" w:hAnsi="Cambria" w:cs="Arial"/>
          <w:sz w:val="24"/>
          <w:szCs w:val="24"/>
          <w:lang w:val="en-GB"/>
        </w:rPr>
        <w:t>0.353</w:t>
      </w:r>
      <w:r w:rsidRPr="001611E0">
        <w:rPr>
          <w:rFonts w:ascii="Cambria" w:hAnsi="Cambria" w:cs="Arial"/>
          <w:sz w:val="24"/>
          <w:szCs w:val="24"/>
          <w:lang w:val="en-GB"/>
        </w:rPr>
        <w:t xml:space="preserve"> MU. Further, the Licensee has projected 15 MU from such small generators during FY </w:t>
      </w:r>
      <w:r w:rsidR="007507C7" w:rsidRPr="001611E0">
        <w:rPr>
          <w:rFonts w:ascii="Cambria" w:hAnsi="Cambria" w:cs="Arial"/>
          <w:sz w:val="24"/>
          <w:szCs w:val="24"/>
          <w:lang w:val="en-GB"/>
        </w:rPr>
        <w:t>26-27</w:t>
      </w:r>
      <w:r w:rsidRPr="001611E0">
        <w:rPr>
          <w:rFonts w:ascii="Cambria" w:hAnsi="Cambria" w:cs="Arial"/>
          <w:sz w:val="24"/>
          <w:szCs w:val="24"/>
          <w:lang w:val="en-GB"/>
        </w:rPr>
        <w:t xml:space="preserve"> @ </w:t>
      </w:r>
      <w:r w:rsidR="00D144A7">
        <w:rPr>
          <w:rFonts w:ascii="Cambria" w:hAnsi="Cambria" w:cs="Arial"/>
          <w:sz w:val="24"/>
          <w:szCs w:val="24"/>
          <w:lang w:val="en-GB"/>
        </w:rPr>
        <w:t>101.83</w:t>
      </w:r>
      <w:r w:rsidRPr="001611E0">
        <w:rPr>
          <w:rFonts w:ascii="Cambria" w:hAnsi="Cambria" w:cs="Arial"/>
          <w:sz w:val="24"/>
          <w:szCs w:val="24"/>
          <w:lang w:val="en-GB"/>
        </w:rPr>
        <w:t xml:space="preserve"> </w:t>
      </w:r>
      <w:proofErr w:type="spellStart"/>
      <w:r w:rsidRPr="001611E0">
        <w:rPr>
          <w:rFonts w:ascii="Cambria" w:hAnsi="Cambria" w:cs="Arial"/>
          <w:sz w:val="24"/>
          <w:szCs w:val="24"/>
          <w:lang w:val="en-GB"/>
        </w:rPr>
        <w:t>paise</w:t>
      </w:r>
      <w:proofErr w:type="spellEnd"/>
      <w:r w:rsidRPr="001611E0">
        <w:rPr>
          <w:rFonts w:ascii="Cambria" w:hAnsi="Cambria" w:cs="Arial"/>
          <w:sz w:val="24"/>
          <w:szCs w:val="24"/>
          <w:lang w:val="en-GB"/>
        </w:rPr>
        <w:t>/unit.</w:t>
      </w:r>
    </w:p>
    <w:p w14:paraId="11E77C05" w14:textId="4BAA2B00" w:rsidR="004276A0" w:rsidRPr="001611E0" w:rsidRDefault="00F945DD" w:rsidP="00C23F37">
      <w:pPr>
        <w:pStyle w:val="BodyText2"/>
        <w:spacing w:beforeLines="100" w:before="240" w:afterLines="100" w:after="240" w:line="360" w:lineRule="auto"/>
        <w:jc w:val="both"/>
        <w:rPr>
          <w:rFonts w:ascii="Cambria" w:hAnsi="Cambria" w:cs="Arial"/>
          <w:color w:val="FF0000"/>
          <w:sz w:val="24"/>
          <w:szCs w:val="24"/>
          <w:lang w:val="en-GB"/>
        </w:rPr>
      </w:pPr>
      <w:r w:rsidRPr="001611E0">
        <w:rPr>
          <w:rFonts w:ascii="Cambria" w:hAnsi="Cambria" w:cs="Arial"/>
          <w:sz w:val="24"/>
          <w:szCs w:val="24"/>
          <w:lang w:val="en-GB"/>
        </w:rPr>
        <w:t>Accordingly, t</w:t>
      </w:r>
      <w:r w:rsidR="004276A0" w:rsidRPr="001611E0">
        <w:rPr>
          <w:rFonts w:ascii="Cambria" w:hAnsi="Cambria" w:cs="Arial"/>
          <w:sz w:val="24"/>
          <w:szCs w:val="24"/>
          <w:lang w:val="en-GB"/>
        </w:rPr>
        <w:t xml:space="preserve">he power purchase expenses have been derived </w:t>
      </w:r>
      <w:r w:rsidR="00DF557C" w:rsidRPr="001611E0">
        <w:rPr>
          <w:rFonts w:ascii="Cambria" w:hAnsi="Cambria" w:cs="Arial"/>
          <w:sz w:val="24"/>
          <w:szCs w:val="24"/>
          <w:lang w:val="en-GB"/>
        </w:rPr>
        <w:t xml:space="preserve">from the </w:t>
      </w:r>
      <w:r w:rsidR="004276A0" w:rsidRPr="001611E0">
        <w:rPr>
          <w:rFonts w:ascii="Cambria" w:hAnsi="Cambria" w:cs="Arial"/>
          <w:sz w:val="24"/>
          <w:szCs w:val="24"/>
          <w:lang w:val="en-GB"/>
        </w:rPr>
        <w:t xml:space="preserve">sales estimates and the distribution loss level. For the year FY </w:t>
      </w:r>
      <w:r w:rsidR="009A0E63" w:rsidRPr="001611E0">
        <w:rPr>
          <w:rFonts w:ascii="Cambria" w:hAnsi="Cambria" w:cs="Arial"/>
          <w:sz w:val="24"/>
          <w:szCs w:val="24"/>
          <w:lang w:val="en-GB"/>
        </w:rPr>
        <w:t>2026-27</w:t>
      </w:r>
      <w:r w:rsidR="004276A0" w:rsidRPr="001611E0">
        <w:rPr>
          <w:rFonts w:ascii="Cambria" w:hAnsi="Cambria" w:cs="Arial"/>
          <w:sz w:val="24"/>
          <w:szCs w:val="24"/>
          <w:lang w:val="en-GB"/>
        </w:rPr>
        <w:t xml:space="preserve">, energy input of </w:t>
      </w:r>
      <w:r w:rsidR="0045743D" w:rsidRPr="001611E0">
        <w:rPr>
          <w:rFonts w:ascii="Cambria" w:hAnsi="Cambria" w:cs="Arial"/>
          <w:sz w:val="24"/>
          <w:szCs w:val="24"/>
          <w:lang w:val="en-GB"/>
        </w:rPr>
        <w:t>1</w:t>
      </w:r>
      <w:r w:rsidR="001611E0" w:rsidRPr="001611E0">
        <w:rPr>
          <w:rFonts w:ascii="Cambria" w:hAnsi="Cambria" w:cs="Arial"/>
          <w:sz w:val="24"/>
          <w:szCs w:val="24"/>
          <w:lang w:val="en-GB"/>
        </w:rPr>
        <w:t>1952</w:t>
      </w:r>
      <w:r w:rsidR="0071112D" w:rsidRPr="001611E0">
        <w:rPr>
          <w:rFonts w:ascii="Cambria" w:hAnsi="Cambria" w:cs="Arial"/>
          <w:sz w:val="24"/>
          <w:szCs w:val="24"/>
          <w:lang w:val="en-GB"/>
        </w:rPr>
        <w:t xml:space="preserve"> </w:t>
      </w:r>
      <w:r w:rsidR="004276A0" w:rsidRPr="001611E0">
        <w:rPr>
          <w:rFonts w:ascii="Cambria" w:hAnsi="Cambria" w:cs="Arial"/>
          <w:sz w:val="24"/>
          <w:szCs w:val="24"/>
          <w:lang w:val="en-GB"/>
        </w:rPr>
        <w:t>MU has been estimated based on the estimated sale of</w:t>
      </w:r>
      <w:r w:rsidR="00292CDD" w:rsidRPr="001611E0">
        <w:rPr>
          <w:rFonts w:ascii="Cambria" w:hAnsi="Cambria" w:cs="Arial"/>
          <w:sz w:val="24"/>
          <w:szCs w:val="24"/>
          <w:lang w:val="en-GB"/>
        </w:rPr>
        <w:t xml:space="preserve"> </w:t>
      </w:r>
      <w:r w:rsidR="008D1133" w:rsidRPr="001611E0">
        <w:rPr>
          <w:rFonts w:ascii="Cambria" w:hAnsi="Cambria" w:cs="Arial"/>
          <w:sz w:val="24"/>
          <w:szCs w:val="24"/>
          <w:lang w:val="en-GB"/>
        </w:rPr>
        <w:t>10</w:t>
      </w:r>
      <w:r w:rsidR="001611E0" w:rsidRPr="001611E0">
        <w:rPr>
          <w:rFonts w:ascii="Cambria" w:hAnsi="Cambria" w:cs="Arial"/>
          <w:sz w:val="24"/>
          <w:szCs w:val="24"/>
          <w:lang w:val="en-GB"/>
        </w:rPr>
        <w:t>322</w:t>
      </w:r>
      <w:r w:rsidR="00292CDD" w:rsidRPr="001611E0">
        <w:rPr>
          <w:rFonts w:ascii="Cambria" w:hAnsi="Cambria" w:cs="Arial"/>
          <w:sz w:val="24"/>
          <w:szCs w:val="24"/>
          <w:lang w:val="en-GB"/>
        </w:rPr>
        <w:t xml:space="preserve"> </w:t>
      </w:r>
      <w:r w:rsidR="004276A0" w:rsidRPr="001611E0">
        <w:rPr>
          <w:rFonts w:ascii="Cambria" w:hAnsi="Cambria" w:cs="Arial"/>
          <w:sz w:val="24"/>
          <w:szCs w:val="24"/>
          <w:lang w:val="en-GB"/>
        </w:rPr>
        <w:t xml:space="preserve">MU </w:t>
      </w:r>
      <w:r w:rsidR="00F36258" w:rsidRPr="001611E0">
        <w:rPr>
          <w:rFonts w:ascii="Cambria" w:hAnsi="Cambria" w:cs="Arial"/>
          <w:sz w:val="24"/>
          <w:szCs w:val="24"/>
          <w:lang w:val="en-GB"/>
        </w:rPr>
        <w:t xml:space="preserve">with </w:t>
      </w:r>
      <w:r w:rsidR="004276A0" w:rsidRPr="001611E0">
        <w:rPr>
          <w:rFonts w:ascii="Cambria" w:hAnsi="Cambria" w:cs="Arial"/>
          <w:sz w:val="24"/>
          <w:szCs w:val="24"/>
          <w:lang w:val="en-GB"/>
        </w:rPr>
        <w:t>Distribution Loss of</w:t>
      </w:r>
      <w:r w:rsidR="00292CDD" w:rsidRPr="001611E0">
        <w:rPr>
          <w:rFonts w:ascii="Cambria" w:hAnsi="Cambria" w:cs="Arial"/>
          <w:sz w:val="24"/>
          <w:szCs w:val="24"/>
          <w:lang w:val="en-GB"/>
        </w:rPr>
        <w:t xml:space="preserve"> </w:t>
      </w:r>
      <w:r w:rsidR="00A61CDB" w:rsidRPr="001611E0">
        <w:rPr>
          <w:rFonts w:ascii="Cambria" w:hAnsi="Cambria" w:cs="Arial"/>
          <w:sz w:val="24"/>
          <w:szCs w:val="24"/>
          <w:lang w:val="en-GB"/>
        </w:rPr>
        <w:t>1</w:t>
      </w:r>
      <w:r w:rsidR="00170238" w:rsidRPr="001611E0">
        <w:rPr>
          <w:rFonts w:ascii="Cambria" w:hAnsi="Cambria" w:cs="Arial"/>
          <w:sz w:val="24"/>
          <w:szCs w:val="24"/>
          <w:lang w:val="en-GB"/>
        </w:rPr>
        <w:t>3</w:t>
      </w:r>
      <w:r w:rsidR="00767343" w:rsidRPr="001611E0">
        <w:rPr>
          <w:rFonts w:ascii="Cambria" w:hAnsi="Cambria" w:cs="Arial"/>
          <w:sz w:val="24"/>
          <w:szCs w:val="24"/>
          <w:lang w:val="en-GB"/>
        </w:rPr>
        <w:t>.</w:t>
      </w:r>
      <w:r w:rsidR="00170238" w:rsidRPr="001611E0">
        <w:rPr>
          <w:rFonts w:ascii="Cambria" w:hAnsi="Cambria" w:cs="Arial"/>
          <w:sz w:val="24"/>
          <w:szCs w:val="24"/>
          <w:lang w:val="en-GB"/>
        </w:rPr>
        <w:t>6</w:t>
      </w:r>
      <w:r w:rsidR="001611E0" w:rsidRPr="001611E0">
        <w:rPr>
          <w:rFonts w:ascii="Cambria" w:hAnsi="Cambria" w:cs="Arial"/>
          <w:sz w:val="24"/>
          <w:szCs w:val="24"/>
          <w:lang w:val="en-GB"/>
        </w:rPr>
        <w:t>4</w:t>
      </w:r>
      <w:r w:rsidR="004276A0" w:rsidRPr="001611E0">
        <w:rPr>
          <w:rFonts w:ascii="Cambria" w:hAnsi="Cambria" w:cs="Arial"/>
          <w:sz w:val="24"/>
          <w:szCs w:val="24"/>
          <w:lang w:val="en-GB"/>
        </w:rPr>
        <w:t>%.</w:t>
      </w:r>
    </w:p>
    <w:p w14:paraId="1ABC89A4" w14:textId="20A2947E" w:rsidR="006B4A5A" w:rsidRPr="001611E0" w:rsidRDefault="004276A0" w:rsidP="00C23F37">
      <w:pPr>
        <w:pStyle w:val="BodyText2"/>
        <w:spacing w:beforeLines="100" w:before="240" w:afterLines="100" w:after="240" w:line="360" w:lineRule="auto"/>
        <w:jc w:val="both"/>
        <w:rPr>
          <w:rFonts w:ascii="Cambria" w:hAnsi="Cambria" w:cs="Arial"/>
          <w:sz w:val="24"/>
          <w:szCs w:val="24"/>
          <w:lang w:val="en-GB"/>
        </w:rPr>
      </w:pPr>
      <w:r w:rsidRPr="001611E0">
        <w:rPr>
          <w:rFonts w:ascii="Cambria" w:hAnsi="Cambria" w:cs="Arial"/>
          <w:sz w:val="24"/>
          <w:szCs w:val="24"/>
          <w:lang w:val="en-GB"/>
        </w:rPr>
        <w:t>Power purchase cost for the current year</w:t>
      </w:r>
      <w:r w:rsidR="005B0894" w:rsidRPr="001611E0">
        <w:rPr>
          <w:rFonts w:ascii="Cambria" w:hAnsi="Cambria" w:cs="Arial"/>
          <w:sz w:val="24"/>
          <w:szCs w:val="24"/>
          <w:lang w:val="en-GB"/>
        </w:rPr>
        <w:t xml:space="preserve"> </w:t>
      </w:r>
      <w:r w:rsidR="00F36258" w:rsidRPr="001611E0">
        <w:rPr>
          <w:rFonts w:ascii="Cambria" w:hAnsi="Cambria" w:cs="Arial"/>
          <w:sz w:val="24"/>
          <w:szCs w:val="24"/>
          <w:lang w:val="en-GB"/>
        </w:rPr>
        <w:t xml:space="preserve">is continuing </w:t>
      </w:r>
      <w:r w:rsidR="005B0894" w:rsidRPr="001611E0">
        <w:rPr>
          <w:rFonts w:ascii="Cambria" w:hAnsi="Cambria" w:cs="Arial"/>
          <w:sz w:val="24"/>
          <w:szCs w:val="24"/>
          <w:lang w:val="en-GB"/>
        </w:rPr>
        <w:t>with BSP of 3</w:t>
      </w:r>
      <w:r w:rsidR="00DF50F4" w:rsidRPr="001611E0">
        <w:rPr>
          <w:rFonts w:ascii="Cambria" w:hAnsi="Cambria" w:cs="Arial"/>
          <w:sz w:val="24"/>
          <w:szCs w:val="24"/>
          <w:lang w:val="en-GB"/>
        </w:rPr>
        <w:t>8</w:t>
      </w:r>
      <w:r w:rsidR="001611E0" w:rsidRPr="001611E0">
        <w:rPr>
          <w:rFonts w:ascii="Cambria" w:hAnsi="Cambria" w:cs="Arial"/>
          <w:sz w:val="24"/>
          <w:szCs w:val="24"/>
          <w:lang w:val="en-GB"/>
        </w:rPr>
        <w:t>5</w:t>
      </w:r>
      <w:r w:rsidR="005B0894" w:rsidRPr="001611E0">
        <w:rPr>
          <w:rFonts w:ascii="Cambria" w:hAnsi="Cambria" w:cs="Arial"/>
          <w:sz w:val="24"/>
          <w:szCs w:val="24"/>
          <w:lang w:val="en-GB"/>
        </w:rPr>
        <w:t xml:space="preserve"> </w:t>
      </w:r>
      <w:proofErr w:type="spellStart"/>
      <w:r w:rsidR="005B0894" w:rsidRPr="001611E0">
        <w:rPr>
          <w:rFonts w:ascii="Cambria" w:hAnsi="Cambria" w:cs="Arial"/>
          <w:sz w:val="24"/>
          <w:szCs w:val="24"/>
          <w:lang w:val="en-GB"/>
        </w:rPr>
        <w:t>paise</w:t>
      </w:r>
      <w:proofErr w:type="spellEnd"/>
      <w:r w:rsidR="005B0894" w:rsidRPr="001611E0">
        <w:rPr>
          <w:rFonts w:ascii="Cambria" w:hAnsi="Cambria" w:cs="Arial"/>
          <w:sz w:val="24"/>
          <w:szCs w:val="24"/>
          <w:lang w:val="en-GB"/>
        </w:rPr>
        <w:t xml:space="preserve"> per unit</w:t>
      </w:r>
      <w:r w:rsidR="00F36258" w:rsidRPr="001611E0">
        <w:rPr>
          <w:rFonts w:ascii="Cambria" w:hAnsi="Cambria" w:cs="Arial"/>
          <w:sz w:val="24"/>
          <w:szCs w:val="24"/>
          <w:lang w:val="en-GB"/>
        </w:rPr>
        <w:t xml:space="preserve">, </w:t>
      </w:r>
      <w:r w:rsidR="005B0894" w:rsidRPr="001611E0">
        <w:rPr>
          <w:rFonts w:ascii="Cambria" w:hAnsi="Cambria" w:cs="Arial"/>
          <w:sz w:val="24"/>
          <w:szCs w:val="24"/>
          <w:lang w:val="en-GB"/>
        </w:rPr>
        <w:t xml:space="preserve">transmission charges of </w:t>
      </w:r>
      <w:r w:rsidR="00913E38" w:rsidRPr="001611E0">
        <w:rPr>
          <w:rFonts w:ascii="Cambria" w:hAnsi="Cambria" w:cs="Arial"/>
          <w:sz w:val="24"/>
          <w:szCs w:val="24"/>
          <w:lang w:val="en-GB"/>
        </w:rPr>
        <w:t>25</w:t>
      </w:r>
      <w:r w:rsidR="005B3F5A">
        <w:rPr>
          <w:rFonts w:ascii="Cambria" w:hAnsi="Cambria" w:cs="Arial"/>
          <w:sz w:val="24"/>
          <w:szCs w:val="24"/>
          <w:lang w:val="en-GB"/>
        </w:rPr>
        <w:t>.</w:t>
      </w:r>
      <w:r w:rsidR="00913E38" w:rsidRPr="001611E0">
        <w:rPr>
          <w:rFonts w:ascii="Cambria" w:hAnsi="Cambria" w:cs="Arial"/>
          <w:sz w:val="24"/>
          <w:szCs w:val="24"/>
          <w:lang w:val="en-GB"/>
        </w:rPr>
        <w:t>5</w:t>
      </w:r>
      <w:r w:rsidR="005B0894" w:rsidRPr="001611E0">
        <w:rPr>
          <w:rFonts w:ascii="Cambria" w:hAnsi="Cambria" w:cs="Arial"/>
          <w:sz w:val="24"/>
          <w:szCs w:val="24"/>
          <w:lang w:val="en-GB"/>
        </w:rPr>
        <w:t xml:space="preserve"> </w:t>
      </w:r>
      <w:proofErr w:type="spellStart"/>
      <w:r w:rsidR="005B0894" w:rsidRPr="001611E0">
        <w:rPr>
          <w:rFonts w:ascii="Cambria" w:hAnsi="Cambria" w:cs="Arial"/>
          <w:sz w:val="24"/>
          <w:szCs w:val="24"/>
          <w:lang w:val="en-GB"/>
        </w:rPr>
        <w:t>paise</w:t>
      </w:r>
      <w:proofErr w:type="spellEnd"/>
      <w:r w:rsidR="005B0894" w:rsidRPr="001611E0">
        <w:rPr>
          <w:rFonts w:ascii="Cambria" w:hAnsi="Cambria" w:cs="Arial"/>
          <w:sz w:val="24"/>
          <w:szCs w:val="24"/>
          <w:lang w:val="en-GB"/>
        </w:rPr>
        <w:t xml:space="preserve"> per unit and SLDC charges of Rs.</w:t>
      </w:r>
      <w:r w:rsidR="00773339" w:rsidRPr="001611E0">
        <w:rPr>
          <w:rFonts w:ascii="Cambria" w:hAnsi="Cambria" w:cs="Arial"/>
          <w:sz w:val="24"/>
          <w:szCs w:val="24"/>
          <w:lang w:val="en-GB"/>
        </w:rPr>
        <w:t xml:space="preserve"> </w:t>
      </w:r>
      <w:r w:rsidR="00E70A7F" w:rsidRPr="001611E0">
        <w:rPr>
          <w:rFonts w:ascii="Cambria" w:hAnsi="Cambria" w:cs="Arial"/>
          <w:sz w:val="24"/>
          <w:szCs w:val="24"/>
          <w:lang w:val="en-GB"/>
        </w:rPr>
        <w:t>1</w:t>
      </w:r>
      <w:r w:rsidR="001611E0" w:rsidRPr="001611E0">
        <w:rPr>
          <w:rFonts w:ascii="Cambria" w:hAnsi="Cambria" w:cs="Arial"/>
          <w:sz w:val="24"/>
          <w:szCs w:val="24"/>
          <w:lang w:val="en-GB"/>
        </w:rPr>
        <w:t>5.88</w:t>
      </w:r>
      <w:r w:rsidR="005B0894" w:rsidRPr="001611E0">
        <w:rPr>
          <w:rFonts w:ascii="Cambria" w:hAnsi="Cambria" w:cs="Arial"/>
          <w:sz w:val="24"/>
          <w:szCs w:val="24"/>
          <w:lang w:val="en-GB"/>
        </w:rPr>
        <w:t xml:space="preserve"> Lakh p</w:t>
      </w:r>
      <w:r w:rsidR="00D144A7">
        <w:rPr>
          <w:rFonts w:ascii="Cambria" w:hAnsi="Cambria" w:cs="Arial"/>
          <w:sz w:val="24"/>
          <w:szCs w:val="24"/>
          <w:lang w:val="en-GB"/>
        </w:rPr>
        <w:t xml:space="preserve">er </w:t>
      </w:r>
      <w:r w:rsidR="005B0894" w:rsidRPr="001611E0">
        <w:rPr>
          <w:rFonts w:ascii="Cambria" w:hAnsi="Cambria" w:cs="Arial"/>
          <w:sz w:val="24"/>
          <w:szCs w:val="24"/>
          <w:lang w:val="en-GB"/>
        </w:rPr>
        <w:t>m</w:t>
      </w:r>
      <w:r w:rsidR="00D144A7">
        <w:rPr>
          <w:rFonts w:ascii="Cambria" w:hAnsi="Cambria" w:cs="Arial"/>
          <w:sz w:val="24"/>
          <w:szCs w:val="24"/>
          <w:lang w:val="en-GB"/>
        </w:rPr>
        <w:t>onth</w:t>
      </w:r>
      <w:r w:rsidR="00DF5D7A" w:rsidRPr="001611E0">
        <w:rPr>
          <w:rFonts w:ascii="Cambria" w:hAnsi="Cambria" w:cs="Arial"/>
          <w:sz w:val="24"/>
          <w:szCs w:val="24"/>
          <w:lang w:val="en-GB"/>
        </w:rPr>
        <w:t xml:space="preserve"> </w:t>
      </w:r>
      <w:r w:rsidR="00FD2318" w:rsidRPr="001611E0">
        <w:rPr>
          <w:rFonts w:ascii="Cambria" w:hAnsi="Cambria" w:cs="Arial"/>
          <w:sz w:val="24"/>
          <w:szCs w:val="24"/>
          <w:lang w:val="en-GB"/>
        </w:rPr>
        <w:t>without any</w:t>
      </w:r>
      <w:r w:rsidR="00D81A2C">
        <w:rPr>
          <w:rFonts w:ascii="Cambria" w:hAnsi="Cambria" w:cs="Arial"/>
          <w:sz w:val="24"/>
          <w:szCs w:val="24"/>
          <w:lang w:val="en-GB"/>
        </w:rPr>
        <w:t xml:space="preserve"> other charges</w:t>
      </w:r>
      <w:r w:rsidR="00425A54" w:rsidRPr="001611E0">
        <w:rPr>
          <w:rFonts w:ascii="Cambria" w:hAnsi="Cambria" w:cs="Arial"/>
          <w:sz w:val="24"/>
          <w:szCs w:val="24"/>
          <w:lang w:val="en-GB"/>
        </w:rPr>
        <w:t>.</w:t>
      </w:r>
      <w:r w:rsidR="005B0894" w:rsidRPr="001611E0">
        <w:rPr>
          <w:rFonts w:ascii="Cambria" w:hAnsi="Cambria" w:cs="Arial"/>
          <w:sz w:val="24"/>
          <w:szCs w:val="24"/>
          <w:lang w:val="en-GB"/>
        </w:rPr>
        <w:t xml:space="preserve"> </w:t>
      </w:r>
    </w:p>
    <w:p w14:paraId="788D94CC" w14:textId="77F25CB1" w:rsidR="00DF557C" w:rsidRPr="001611E0" w:rsidRDefault="005B0894" w:rsidP="00C23F37">
      <w:pPr>
        <w:pStyle w:val="BodyText2"/>
        <w:spacing w:beforeLines="100" w:before="240" w:afterLines="100" w:after="240" w:line="360" w:lineRule="auto"/>
        <w:jc w:val="both"/>
        <w:rPr>
          <w:rFonts w:ascii="Cambria" w:hAnsi="Cambria" w:cs="Arial"/>
          <w:sz w:val="24"/>
          <w:szCs w:val="24"/>
          <w:lang w:val="en-GB"/>
        </w:rPr>
      </w:pPr>
      <w:r w:rsidRPr="001611E0">
        <w:rPr>
          <w:rFonts w:ascii="Cambria" w:hAnsi="Cambria" w:cs="Arial"/>
          <w:sz w:val="24"/>
          <w:szCs w:val="24"/>
          <w:lang w:val="en-GB"/>
        </w:rPr>
        <w:t xml:space="preserve">During the ensuing year </w:t>
      </w:r>
      <w:r w:rsidR="004E0675" w:rsidRPr="001611E0">
        <w:rPr>
          <w:rFonts w:ascii="Cambria" w:hAnsi="Cambria" w:cs="Arial"/>
          <w:sz w:val="24"/>
          <w:szCs w:val="24"/>
          <w:lang w:val="en-GB"/>
        </w:rPr>
        <w:t xml:space="preserve">FY </w:t>
      </w:r>
      <w:r w:rsidR="009A0E63" w:rsidRPr="001611E0">
        <w:rPr>
          <w:rFonts w:ascii="Cambria" w:hAnsi="Cambria" w:cs="Arial"/>
          <w:sz w:val="24"/>
          <w:szCs w:val="24"/>
          <w:lang w:val="en-GB"/>
        </w:rPr>
        <w:t>26-27</w:t>
      </w:r>
      <w:r w:rsidR="00982DE3" w:rsidRPr="001611E0">
        <w:rPr>
          <w:rFonts w:ascii="Cambria" w:hAnsi="Cambria" w:cs="Arial"/>
          <w:sz w:val="24"/>
          <w:szCs w:val="24"/>
          <w:lang w:val="en-GB"/>
        </w:rPr>
        <w:t>,</w:t>
      </w:r>
      <w:r w:rsidR="004276A0" w:rsidRPr="001611E0">
        <w:rPr>
          <w:rFonts w:ascii="Cambria" w:hAnsi="Cambria" w:cs="Arial"/>
          <w:sz w:val="24"/>
          <w:szCs w:val="24"/>
          <w:lang w:val="en-GB"/>
        </w:rPr>
        <w:t xml:space="preserve"> </w:t>
      </w:r>
      <w:r w:rsidR="00F36258" w:rsidRPr="001611E0">
        <w:rPr>
          <w:rFonts w:ascii="Cambria" w:hAnsi="Cambria" w:cs="Arial"/>
          <w:sz w:val="24"/>
          <w:szCs w:val="24"/>
          <w:lang w:val="en-GB"/>
        </w:rPr>
        <w:t>the license</w:t>
      </w:r>
      <w:r w:rsidR="00982DE3" w:rsidRPr="001611E0">
        <w:rPr>
          <w:rFonts w:ascii="Cambria" w:hAnsi="Cambria" w:cs="Arial"/>
          <w:sz w:val="24"/>
          <w:szCs w:val="24"/>
          <w:lang w:val="en-GB"/>
        </w:rPr>
        <w:t>e</w:t>
      </w:r>
      <w:r w:rsidR="00F36258" w:rsidRPr="001611E0">
        <w:rPr>
          <w:rFonts w:ascii="Cambria" w:hAnsi="Cambria" w:cs="Arial"/>
          <w:sz w:val="24"/>
          <w:szCs w:val="24"/>
          <w:lang w:val="en-GB"/>
        </w:rPr>
        <w:t xml:space="preserve"> has estimated the </w:t>
      </w:r>
      <w:r w:rsidR="004276A0" w:rsidRPr="001611E0">
        <w:rPr>
          <w:rFonts w:ascii="Cambria" w:hAnsi="Cambria" w:cs="Arial"/>
          <w:sz w:val="24"/>
          <w:szCs w:val="24"/>
          <w:lang w:val="en-GB"/>
        </w:rPr>
        <w:t xml:space="preserve">power purchase </w:t>
      </w:r>
      <w:r w:rsidR="00F36258" w:rsidRPr="001611E0">
        <w:rPr>
          <w:rFonts w:ascii="Cambria" w:hAnsi="Cambria" w:cs="Arial"/>
          <w:sz w:val="24"/>
          <w:szCs w:val="24"/>
          <w:lang w:val="en-GB"/>
        </w:rPr>
        <w:t>cost</w:t>
      </w:r>
      <w:r w:rsidR="00982DE3" w:rsidRPr="001611E0">
        <w:rPr>
          <w:rFonts w:ascii="Cambria" w:hAnsi="Cambria" w:cs="Arial"/>
          <w:sz w:val="24"/>
          <w:szCs w:val="24"/>
          <w:lang w:val="en-GB"/>
        </w:rPr>
        <w:t xml:space="preserve"> of</w:t>
      </w:r>
      <w:r w:rsidR="00F36258" w:rsidRPr="001611E0">
        <w:rPr>
          <w:rFonts w:ascii="Cambria" w:hAnsi="Cambria" w:cs="Arial"/>
          <w:sz w:val="24"/>
          <w:szCs w:val="24"/>
          <w:lang w:val="en-GB"/>
        </w:rPr>
        <w:t xml:space="preserve"> Rs</w:t>
      </w:r>
      <w:r w:rsidR="004276A0" w:rsidRPr="001611E0">
        <w:rPr>
          <w:rFonts w:ascii="Cambria" w:hAnsi="Cambria" w:cs="Arial"/>
          <w:sz w:val="24"/>
          <w:szCs w:val="24"/>
          <w:lang w:val="en-GB"/>
        </w:rPr>
        <w:t>.</w:t>
      </w:r>
      <w:r w:rsidR="00982DE3" w:rsidRPr="001611E0">
        <w:rPr>
          <w:rFonts w:ascii="Cambria" w:hAnsi="Cambria" w:cs="Arial"/>
          <w:sz w:val="24"/>
          <w:szCs w:val="24"/>
          <w:lang w:val="en-GB"/>
        </w:rPr>
        <w:t xml:space="preserve"> </w:t>
      </w:r>
      <w:r w:rsidR="00294F64" w:rsidRPr="001611E0">
        <w:rPr>
          <w:rFonts w:ascii="Cambria" w:hAnsi="Cambria" w:cs="Arial"/>
          <w:sz w:val="24"/>
          <w:szCs w:val="24"/>
          <w:lang w:val="en-GB"/>
        </w:rPr>
        <w:t>4</w:t>
      </w:r>
      <w:r w:rsidR="001611E0" w:rsidRPr="001611E0">
        <w:rPr>
          <w:rFonts w:ascii="Cambria" w:hAnsi="Cambria" w:cs="Arial"/>
          <w:sz w:val="24"/>
          <w:szCs w:val="24"/>
          <w:lang w:val="en-GB"/>
        </w:rPr>
        <w:t>903.</w:t>
      </w:r>
      <w:r w:rsidR="009E6EB2">
        <w:rPr>
          <w:rFonts w:ascii="Cambria" w:hAnsi="Cambria" w:cs="Arial"/>
          <w:sz w:val="24"/>
          <w:szCs w:val="24"/>
          <w:lang w:val="en-GB"/>
        </w:rPr>
        <w:t>85</w:t>
      </w:r>
      <w:r w:rsidR="00402407" w:rsidRPr="001611E0">
        <w:rPr>
          <w:rFonts w:ascii="Cambria" w:hAnsi="Cambria" w:cs="Arial"/>
          <w:sz w:val="24"/>
          <w:szCs w:val="24"/>
          <w:lang w:val="en-GB"/>
        </w:rPr>
        <w:t xml:space="preserve"> </w:t>
      </w:r>
      <w:r w:rsidR="004276A0" w:rsidRPr="001611E0">
        <w:rPr>
          <w:rFonts w:ascii="Cambria" w:hAnsi="Cambria" w:cs="Arial"/>
          <w:sz w:val="24"/>
          <w:szCs w:val="24"/>
          <w:lang w:val="en-GB"/>
        </w:rPr>
        <w:t>Crores</w:t>
      </w:r>
      <w:r w:rsidR="00DA254E" w:rsidRPr="001611E0">
        <w:rPr>
          <w:rFonts w:ascii="Cambria" w:hAnsi="Cambria" w:cs="Arial"/>
          <w:sz w:val="24"/>
          <w:szCs w:val="24"/>
          <w:lang w:val="en-GB"/>
        </w:rPr>
        <w:t xml:space="preserve"> </w:t>
      </w:r>
      <w:r w:rsidR="004276A0" w:rsidRPr="001611E0">
        <w:rPr>
          <w:rFonts w:ascii="Cambria" w:hAnsi="Cambria" w:cs="Arial"/>
          <w:sz w:val="24"/>
          <w:szCs w:val="24"/>
          <w:lang w:val="en-GB"/>
        </w:rPr>
        <w:t xml:space="preserve">with BSP @ </w:t>
      </w:r>
      <w:r w:rsidR="00C06935" w:rsidRPr="001611E0">
        <w:rPr>
          <w:rFonts w:ascii="Cambria" w:hAnsi="Cambria" w:cs="Arial"/>
          <w:sz w:val="24"/>
          <w:szCs w:val="24"/>
          <w:lang w:val="en-GB"/>
        </w:rPr>
        <w:t>3</w:t>
      </w:r>
      <w:r w:rsidR="00343B66" w:rsidRPr="001611E0">
        <w:rPr>
          <w:rFonts w:ascii="Cambria" w:hAnsi="Cambria" w:cs="Arial"/>
          <w:sz w:val="24"/>
          <w:szCs w:val="24"/>
          <w:lang w:val="en-GB"/>
        </w:rPr>
        <w:t>8</w:t>
      </w:r>
      <w:r w:rsidR="001611E0" w:rsidRPr="001611E0">
        <w:rPr>
          <w:rFonts w:ascii="Cambria" w:hAnsi="Cambria" w:cs="Arial"/>
          <w:sz w:val="24"/>
          <w:szCs w:val="24"/>
          <w:lang w:val="en-GB"/>
        </w:rPr>
        <w:t>5</w:t>
      </w:r>
      <w:r w:rsidR="004276A0" w:rsidRPr="001611E0">
        <w:rPr>
          <w:rFonts w:ascii="Cambria" w:hAnsi="Cambria" w:cs="Arial"/>
          <w:sz w:val="24"/>
          <w:szCs w:val="24"/>
          <w:lang w:val="en-GB"/>
        </w:rPr>
        <w:t xml:space="preserve"> </w:t>
      </w:r>
      <w:proofErr w:type="spellStart"/>
      <w:r w:rsidR="004276A0" w:rsidRPr="001611E0">
        <w:rPr>
          <w:rFonts w:ascii="Cambria" w:hAnsi="Cambria" w:cs="Arial"/>
          <w:sz w:val="24"/>
          <w:szCs w:val="24"/>
          <w:lang w:val="en-GB"/>
        </w:rPr>
        <w:t>paise</w:t>
      </w:r>
      <w:proofErr w:type="spellEnd"/>
      <w:r w:rsidR="004276A0" w:rsidRPr="001611E0">
        <w:rPr>
          <w:rFonts w:ascii="Cambria" w:hAnsi="Cambria" w:cs="Arial"/>
          <w:sz w:val="24"/>
          <w:szCs w:val="24"/>
          <w:lang w:val="en-GB"/>
        </w:rPr>
        <w:t xml:space="preserve"> </w:t>
      </w:r>
      <w:proofErr w:type="spellStart"/>
      <w:r w:rsidR="004276A0" w:rsidRPr="001611E0">
        <w:rPr>
          <w:rFonts w:ascii="Cambria" w:hAnsi="Cambria" w:cs="Arial"/>
          <w:sz w:val="24"/>
          <w:szCs w:val="24"/>
          <w:lang w:val="en-GB"/>
        </w:rPr>
        <w:t>p.u</w:t>
      </w:r>
      <w:proofErr w:type="spellEnd"/>
      <w:r w:rsidR="004276A0" w:rsidRPr="001611E0">
        <w:rPr>
          <w:rFonts w:ascii="Cambria" w:hAnsi="Cambria" w:cs="Arial"/>
          <w:sz w:val="24"/>
          <w:szCs w:val="24"/>
          <w:lang w:val="en-GB"/>
        </w:rPr>
        <w:t>.</w:t>
      </w:r>
      <w:r w:rsidR="00982DE3" w:rsidRPr="001611E0">
        <w:rPr>
          <w:rFonts w:ascii="Cambria" w:hAnsi="Cambria" w:cs="Arial"/>
          <w:sz w:val="24"/>
          <w:szCs w:val="24"/>
          <w:lang w:val="en-GB"/>
        </w:rPr>
        <w:t>,</w:t>
      </w:r>
      <w:r w:rsidR="004276A0" w:rsidRPr="001611E0">
        <w:rPr>
          <w:rFonts w:ascii="Cambria" w:hAnsi="Cambria" w:cs="Arial"/>
          <w:sz w:val="24"/>
          <w:szCs w:val="24"/>
          <w:lang w:val="en-GB"/>
        </w:rPr>
        <w:t xml:space="preserve"> transmission charges @ 2</w:t>
      </w:r>
      <w:r w:rsidR="00766A2E" w:rsidRPr="001611E0">
        <w:rPr>
          <w:rFonts w:ascii="Cambria" w:hAnsi="Cambria" w:cs="Arial"/>
          <w:sz w:val="24"/>
          <w:szCs w:val="24"/>
          <w:lang w:val="en-GB"/>
        </w:rPr>
        <w:t>5</w:t>
      </w:r>
      <w:r w:rsidR="002B457C">
        <w:rPr>
          <w:rFonts w:ascii="Cambria" w:hAnsi="Cambria" w:cs="Arial"/>
          <w:sz w:val="24"/>
          <w:szCs w:val="24"/>
          <w:lang w:val="en-GB"/>
        </w:rPr>
        <w:t>.</w:t>
      </w:r>
      <w:r w:rsidR="00766A2E" w:rsidRPr="001611E0">
        <w:rPr>
          <w:rFonts w:ascii="Cambria" w:hAnsi="Cambria" w:cs="Arial"/>
          <w:sz w:val="24"/>
          <w:szCs w:val="24"/>
          <w:lang w:val="en-GB"/>
        </w:rPr>
        <w:t>5</w:t>
      </w:r>
      <w:r w:rsidR="004276A0" w:rsidRPr="001611E0">
        <w:rPr>
          <w:rFonts w:ascii="Cambria" w:hAnsi="Cambria" w:cs="Arial"/>
          <w:sz w:val="24"/>
          <w:szCs w:val="24"/>
          <w:lang w:val="en-GB"/>
        </w:rPr>
        <w:t xml:space="preserve"> </w:t>
      </w:r>
      <w:proofErr w:type="spellStart"/>
      <w:r w:rsidR="00104DC5" w:rsidRPr="001611E0">
        <w:rPr>
          <w:rFonts w:ascii="Cambria" w:hAnsi="Cambria" w:cs="Arial"/>
          <w:sz w:val="24"/>
          <w:szCs w:val="24"/>
          <w:lang w:val="en-GB"/>
        </w:rPr>
        <w:t>paise</w:t>
      </w:r>
      <w:proofErr w:type="spellEnd"/>
      <w:r w:rsidR="00104DC5" w:rsidRPr="001611E0">
        <w:rPr>
          <w:rFonts w:ascii="Cambria" w:hAnsi="Cambria" w:cs="Arial"/>
          <w:sz w:val="24"/>
          <w:szCs w:val="24"/>
          <w:lang w:val="en-GB"/>
        </w:rPr>
        <w:t xml:space="preserve"> </w:t>
      </w:r>
      <w:proofErr w:type="spellStart"/>
      <w:r w:rsidR="00104DC5" w:rsidRPr="001611E0">
        <w:rPr>
          <w:rFonts w:ascii="Cambria" w:hAnsi="Cambria" w:cs="Arial"/>
          <w:sz w:val="24"/>
          <w:szCs w:val="24"/>
          <w:lang w:val="en-GB"/>
        </w:rPr>
        <w:t>p.u</w:t>
      </w:r>
      <w:proofErr w:type="spellEnd"/>
      <w:r w:rsidR="00104DC5" w:rsidRPr="001611E0">
        <w:rPr>
          <w:rFonts w:ascii="Cambria" w:hAnsi="Cambria" w:cs="Arial"/>
          <w:sz w:val="24"/>
          <w:szCs w:val="24"/>
          <w:lang w:val="en-GB"/>
        </w:rPr>
        <w:t>.</w:t>
      </w:r>
      <w:r w:rsidR="00F36258" w:rsidRPr="001611E0">
        <w:rPr>
          <w:rFonts w:ascii="Cambria" w:hAnsi="Cambria" w:cs="Arial"/>
          <w:sz w:val="24"/>
          <w:szCs w:val="24"/>
          <w:lang w:val="en-GB"/>
        </w:rPr>
        <w:t xml:space="preserve"> </w:t>
      </w:r>
      <w:r w:rsidR="00982DE3" w:rsidRPr="001611E0">
        <w:rPr>
          <w:rFonts w:ascii="Cambria" w:hAnsi="Cambria" w:cs="Arial"/>
          <w:sz w:val="24"/>
          <w:szCs w:val="24"/>
          <w:lang w:val="en-GB"/>
        </w:rPr>
        <w:t>&amp; SLDC</w:t>
      </w:r>
      <w:r w:rsidR="00104DC5" w:rsidRPr="001611E0">
        <w:rPr>
          <w:rFonts w:ascii="Cambria" w:hAnsi="Cambria" w:cs="Arial"/>
          <w:sz w:val="24"/>
          <w:szCs w:val="24"/>
          <w:lang w:val="en-GB"/>
        </w:rPr>
        <w:t xml:space="preserve"> charges @ Rs </w:t>
      </w:r>
      <w:r w:rsidR="004E0675" w:rsidRPr="001611E0">
        <w:rPr>
          <w:rFonts w:ascii="Cambria" w:hAnsi="Cambria" w:cs="Arial"/>
          <w:sz w:val="24"/>
          <w:szCs w:val="24"/>
          <w:lang w:val="en-GB"/>
        </w:rPr>
        <w:t>1</w:t>
      </w:r>
      <w:r w:rsidR="001611E0" w:rsidRPr="001611E0">
        <w:rPr>
          <w:rFonts w:ascii="Cambria" w:hAnsi="Cambria" w:cs="Arial"/>
          <w:sz w:val="24"/>
          <w:szCs w:val="24"/>
          <w:lang w:val="en-GB"/>
        </w:rPr>
        <w:t>5.88</w:t>
      </w:r>
      <w:r w:rsidR="004276A0" w:rsidRPr="001611E0">
        <w:rPr>
          <w:rFonts w:ascii="Cambria" w:hAnsi="Cambria" w:cs="Arial"/>
          <w:sz w:val="24"/>
          <w:szCs w:val="24"/>
          <w:lang w:val="en-GB"/>
        </w:rPr>
        <w:t xml:space="preserve"> lakhs per month</w:t>
      </w:r>
      <w:r w:rsidR="00EB502E" w:rsidRPr="001611E0">
        <w:rPr>
          <w:rFonts w:ascii="Cambria" w:hAnsi="Cambria" w:cs="Arial"/>
          <w:sz w:val="24"/>
          <w:szCs w:val="24"/>
          <w:lang w:val="en-GB"/>
        </w:rPr>
        <w:t>.</w:t>
      </w:r>
      <w:r w:rsidR="004276A0" w:rsidRPr="001611E0">
        <w:rPr>
          <w:rFonts w:ascii="Cambria" w:hAnsi="Cambria" w:cs="Arial"/>
          <w:sz w:val="24"/>
          <w:szCs w:val="24"/>
          <w:lang w:val="en-GB"/>
        </w:rPr>
        <w:t xml:space="preserve"> </w:t>
      </w:r>
    </w:p>
    <w:p w14:paraId="7EEA8D15" w14:textId="77777777" w:rsidR="00D144A7" w:rsidRPr="00D144A7" w:rsidRDefault="00D144A7" w:rsidP="00D144A7">
      <w:pPr>
        <w:pStyle w:val="BodyText2"/>
        <w:spacing w:beforeLines="100" w:before="240" w:afterLines="100" w:after="240" w:line="360" w:lineRule="auto"/>
        <w:jc w:val="both"/>
        <w:rPr>
          <w:rFonts w:ascii="Cambria" w:hAnsi="Cambria" w:cs="Arial"/>
          <w:sz w:val="24"/>
          <w:szCs w:val="24"/>
          <w:lang w:val="en-GB"/>
        </w:rPr>
      </w:pPr>
      <w:r w:rsidRPr="00D144A7">
        <w:rPr>
          <w:rFonts w:ascii="Cambria" w:hAnsi="Cambria" w:cs="Arial"/>
          <w:sz w:val="24"/>
          <w:szCs w:val="24"/>
          <w:lang w:val="en-GB"/>
        </w:rPr>
        <w:t xml:space="preserve">The quantum of power purchase remains highly variable due to the fluctuating </w:t>
      </w:r>
      <w:proofErr w:type="spellStart"/>
      <w:r w:rsidRPr="00D144A7">
        <w:rPr>
          <w:rFonts w:ascii="Cambria" w:hAnsi="Cambria" w:cs="Arial"/>
          <w:sz w:val="24"/>
          <w:szCs w:val="24"/>
          <w:lang w:val="en-GB"/>
        </w:rPr>
        <w:t>drawal</w:t>
      </w:r>
      <w:proofErr w:type="spellEnd"/>
      <w:r w:rsidRPr="00D144A7">
        <w:rPr>
          <w:rFonts w:ascii="Cambria" w:hAnsi="Cambria" w:cs="Arial"/>
          <w:sz w:val="24"/>
          <w:szCs w:val="24"/>
          <w:lang w:val="en-GB"/>
        </w:rPr>
        <w:t xml:space="preserve"> behaviour of CGP-based industries. Within the TPWODL area, CGPs collectively have an installed generation capacity of approximately 6200 MVA. Their </w:t>
      </w:r>
      <w:proofErr w:type="spellStart"/>
      <w:r w:rsidRPr="00D144A7">
        <w:rPr>
          <w:rFonts w:ascii="Cambria" w:hAnsi="Cambria" w:cs="Arial"/>
          <w:sz w:val="24"/>
          <w:szCs w:val="24"/>
          <w:lang w:val="en-GB"/>
        </w:rPr>
        <w:t>drawal</w:t>
      </w:r>
      <w:proofErr w:type="spellEnd"/>
      <w:r w:rsidRPr="00D144A7">
        <w:rPr>
          <w:rFonts w:ascii="Cambria" w:hAnsi="Cambria" w:cs="Arial"/>
          <w:sz w:val="24"/>
          <w:szCs w:val="24"/>
          <w:lang w:val="en-GB"/>
        </w:rPr>
        <w:t xml:space="preserve"> from the DISCOM varies for multiple reasons, and such variations are beyond the control of the Licensee. Although these consumers maintain fixed Contract Demand (CD) and pay the corresponding demand charges even during periods of zero </w:t>
      </w:r>
      <w:proofErr w:type="spellStart"/>
      <w:r w:rsidRPr="00D144A7">
        <w:rPr>
          <w:rFonts w:ascii="Cambria" w:hAnsi="Cambria" w:cs="Arial"/>
          <w:sz w:val="24"/>
          <w:szCs w:val="24"/>
          <w:lang w:val="en-GB"/>
        </w:rPr>
        <w:t>drawal</w:t>
      </w:r>
      <w:proofErr w:type="spellEnd"/>
      <w:r w:rsidRPr="00D144A7">
        <w:rPr>
          <w:rFonts w:ascii="Cambria" w:hAnsi="Cambria" w:cs="Arial"/>
          <w:sz w:val="24"/>
          <w:szCs w:val="24"/>
          <w:lang w:val="en-GB"/>
        </w:rPr>
        <w:t>, their actual consumption remains inconsistent.</w:t>
      </w:r>
    </w:p>
    <w:p w14:paraId="16F7D5D9" w14:textId="5E3E508A" w:rsidR="00D144A7" w:rsidRDefault="00D144A7" w:rsidP="00D144A7">
      <w:pPr>
        <w:pStyle w:val="BodyText2"/>
        <w:spacing w:beforeLines="100" w:before="240" w:afterLines="100" w:after="240" w:line="360" w:lineRule="auto"/>
        <w:jc w:val="both"/>
        <w:rPr>
          <w:rFonts w:ascii="Cambria" w:hAnsi="Cambria" w:cs="Arial"/>
          <w:sz w:val="24"/>
          <w:szCs w:val="24"/>
          <w:lang w:val="en-GB"/>
        </w:rPr>
      </w:pPr>
      <w:r w:rsidRPr="00D144A7">
        <w:rPr>
          <w:rFonts w:ascii="Cambria" w:hAnsi="Cambria" w:cs="Arial"/>
          <w:sz w:val="24"/>
          <w:szCs w:val="24"/>
          <w:lang w:val="en-GB"/>
        </w:rPr>
        <w:t xml:space="preserve">Despite repeated efforts by the Licensee to obtain tentative </w:t>
      </w:r>
      <w:proofErr w:type="spellStart"/>
      <w:r w:rsidRPr="00D144A7">
        <w:rPr>
          <w:rFonts w:ascii="Cambria" w:hAnsi="Cambria" w:cs="Arial"/>
          <w:sz w:val="24"/>
          <w:szCs w:val="24"/>
          <w:lang w:val="en-GB"/>
        </w:rPr>
        <w:t>drawal</w:t>
      </w:r>
      <w:proofErr w:type="spellEnd"/>
      <w:r w:rsidRPr="00D144A7">
        <w:rPr>
          <w:rFonts w:ascii="Cambria" w:hAnsi="Cambria" w:cs="Arial"/>
          <w:sz w:val="24"/>
          <w:szCs w:val="24"/>
          <w:lang w:val="en-GB"/>
        </w:rPr>
        <w:t xml:space="preserve"> forecasts from these industries, the consistent response has been that their </w:t>
      </w:r>
      <w:proofErr w:type="spellStart"/>
      <w:r w:rsidRPr="00D144A7">
        <w:rPr>
          <w:rFonts w:ascii="Cambria" w:hAnsi="Cambria" w:cs="Arial"/>
          <w:sz w:val="24"/>
          <w:szCs w:val="24"/>
          <w:lang w:val="en-GB"/>
        </w:rPr>
        <w:t>drawal</w:t>
      </w:r>
      <w:proofErr w:type="spellEnd"/>
      <w:r w:rsidRPr="00D144A7">
        <w:rPr>
          <w:rFonts w:ascii="Cambria" w:hAnsi="Cambria" w:cs="Arial"/>
          <w:sz w:val="24"/>
          <w:szCs w:val="24"/>
          <w:lang w:val="en-GB"/>
        </w:rPr>
        <w:t xml:space="preserve"> will remain within the approved CD, without providing any specific projection. Consequently, the Licensee faces challenges in accurately estimating its monthly power purchase requirements. At times, increases in coal prices lead to a sudden shift of CGPs towards DISCOM </w:t>
      </w:r>
      <w:proofErr w:type="spellStart"/>
      <w:r w:rsidRPr="00D144A7">
        <w:rPr>
          <w:rFonts w:ascii="Cambria" w:hAnsi="Cambria" w:cs="Arial"/>
          <w:sz w:val="24"/>
          <w:szCs w:val="24"/>
          <w:lang w:val="en-GB"/>
        </w:rPr>
        <w:t>drawal</w:t>
      </w:r>
      <w:proofErr w:type="spellEnd"/>
      <w:r w:rsidRPr="00D144A7">
        <w:rPr>
          <w:rFonts w:ascii="Cambria" w:hAnsi="Cambria" w:cs="Arial"/>
          <w:sz w:val="24"/>
          <w:szCs w:val="24"/>
          <w:lang w:val="en-GB"/>
        </w:rPr>
        <w:t xml:space="preserve">, further impacting monthly projections. However, the coal supply situation has now stabilized </w:t>
      </w:r>
      <w:r w:rsidR="00A20854">
        <w:rPr>
          <w:rFonts w:ascii="Cambria" w:hAnsi="Cambria" w:cs="Arial"/>
          <w:sz w:val="24"/>
          <w:szCs w:val="24"/>
          <w:lang w:val="en-GB"/>
        </w:rPr>
        <w:t xml:space="preserve">considerably </w:t>
      </w:r>
      <w:r w:rsidRPr="00D144A7">
        <w:rPr>
          <w:rFonts w:ascii="Cambria" w:hAnsi="Cambria" w:cs="Arial"/>
          <w:sz w:val="24"/>
          <w:szCs w:val="24"/>
          <w:lang w:val="en-GB"/>
        </w:rPr>
        <w:t>compared to previous years</w:t>
      </w:r>
      <w:r w:rsidR="008267B8">
        <w:rPr>
          <w:rFonts w:ascii="Cambria" w:hAnsi="Cambria" w:cs="Arial"/>
          <w:sz w:val="24"/>
          <w:szCs w:val="24"/>
          <w:lang w:val="en-GB"/>
        </w:rPr>
        <w:t xml:space="preserve"> resulting in reduced </w:t>
      </w:r>
      <w:proofErr w:type="spellStart"/>
      <w:r w:rsidR="008267B8">
        <w:rPr>
          <w:rFonts w:ascii="Cambria" w:hAnsi="Cambria" w:cs="Arial"/>
          <w:sz w:val="24"/>
          <w:szCs w:val="24"/>
          <w:lang w:val="en-GB"/>
        </w:rPr>
        <w:t>drawal</w:t>
      </w:r>
      <w:proofErr w:type="spellEnd"/>
      <w:r w:rsidR="008267B8">
        <w:rPr>
          <w:rFonts w:ascii="Cambria" w:hAnsi="Cambria" w:cs="Arial"/>
          <w:sz w:val="24"/>
          <w:szCs w:val="24"/>
          <w:lang w:val="en-GB"/>
        </w:rPr>
        <w:t xml:space="preserve"> from DISCOMs</w:t>
      </w:r>
      <w:r w:rsidRPr="00D144A7">
        <w:rPr>
          <w:rFonts w:ascii="Cambria" w:hAnsi="Cambria" w:cs="Arial"/>
          <w:sz w:val="24"/>
          <w:szCs w:val="24"/>
          <w:lang w:val="en-GB"/>
        </w:rPr>
        <w:t>.</w:t>
      </w:r>
    </w:p>
    <w:p w14:paraId="05F6E020" w14:textId="636614DA" w:rsidR="006B4A5A" w:rsidRDefault="006B4A5A" w:rsidP="00C23F37">
      <w:pPr>
        <w:pStyle w:val="BodyText2"/>
        <w:spacing w:beforeLines="100" w:before="240" w:afterLines="100" w:after="240" w:line="360" w:lineRule="auto"/>
        <w:jc w:val="both"/>
        <w:rPr>
          <w:rFonts w:ascii="Cambria" w:hAnsi="Cambria" w:cs="Arial"/>
          <w:sz w:val="24"/>
          <w:szCs w:val="24"/>
          <w:lang w:val="en-GB"/>
        </w:rPr>
      </w:pPr>
      <w:r w:rsidRPr="001611E0">
        <w:rPr>
          <w:rFonts w:ascii="Cambria" w:hAnsi="Cambria" w:cs="Arial"/>
          <w:sz w:val="24"/>
          <w:szCs w:val="24"/>
          <w:lang w:val="en-GB"/>
        </w:rPr>
        <w:t xml:space="preserve">Further, Hon’ble Commission has approved TPA sale of </w:t>
      </w:r>
      <w:r w:rsidR="000B6755" w:rsidRPr="001611E0">
        <w:rPr>
          <w:rFonts w:ascii="Cambria" w:hAnsi="Cambria" w:cs="Arial"/>
          <w:sz w:val="24"/>
          <w:szCs w:val="24"/>
          <w:lang w:val="en-GB"/>
        </w:rPr>
        <w:t xml:space="preserve">1900.032 </w:t>
      </w:r>
      <w:r w:rsidRPr="001611E0">
        <w:rPr>
          <w:rFonts w:ascii="Cambria" w:hAnsi="Cambria" w:cs="Arial"/>
          <w:sz w:val="24"/>
          <w:szCs w:val="24"/>
          <w:lang w:val="en-GB"/>
        </w:rPr>
        <w:t xml:space="preserve">MU against which only </w:t>
      </w:r>
      <w:r w:rsidR="000B6755" w:rsidRPr="001611E0">
        <w:rPr>
          <w:rFonts w:ascii="Cambria" w:hAnsi="Cambria" w:cs="Arial"/>
          <w:sz w:val="24"/>
          <w:szCs w:val="24"/>
          <w:lang w:val="en-GB"/>
        </w:rPr>
        <w:t>135</w:t>
      </w:r>
      <w:r w:rsidRPr="001611E0">
        <w:rPr>
          <w:rFonts w:ascii="Cambria" w:hAnsi="Cambria" w:cs="Arial"/>
          <w:sz w:val="24"/>
          <w:szCs w:val="24"/>
          <w:lang w:val="en-GB"/>
        </w:rPr>
        <w:t xml:space="preserve"> MU </w:t>
      </w:r>
      <w:r w:rsidR="009D1EC7">
        <w:rPr>
          <w:rFonts w:ascii="Cambria" w:hAnsi="Cambria" w:cs="Arial"/>
          <w:sz w:val="24"/>
          <w:szCs w:val="24"/>
          <w:lang w:val="en-GB"/>
        </w:rPr>
        <w:t>has been</w:t>
      </w:r>
      <w:r w:rsidRPr="001611E0">
        <w:rPr>
          <w:rFonts w:ascii="Cambria" w:hAnsi="Cambria" w:cs="Arial"/>
          <w:sz w:val="24"/>
          <w:szCs w:val="24"/>
          <w:lang w:val="en-GB"/>
        </w:rPr>
        <w:t xml:space="preserve"> sold till Oct-2</w:t>
      </w:r>
      <w:r w:rsidR="00ED259B" w:rsidRPr="001611E0">
        <w:rPr>
          <w:rFonts w:ascii="Cambria" w:hAnsi="Cambria" w:cs="Arial"/>
          <w:sz w:val="24"/>
          <w:szCs w:val="24"/>
          <w:lang w:val="en-GB"/>
        </w:rPr>
        <w:t>5</w:t>
      </w:r>
      <w:r w:rsidRPr="001611E0">
        <w:rPr>
          <w:rFonts w:ascii="Cambria" w:hAnsi="Cambria" w:cs="Arial"/>
          <w:sz w:val="24"/>
          <w:szCs w:val="24"/>
          <w:lang w:val="en-GB"/>
        </w:rPr>
        <w:t xml:space="preserve"> and there is no further scope in the balance period of the current year.</w:t>
      </w:r>
    </w:p>
    <w:p w14:paraId="5BB93AE5" w14:textId="23E302DD" w:rsidR="00D24400" w:rsidRDefault="00D24400" w:rsidP="00C23F37">
      <w:pPr>
        <w:pStyle w:val="BodyText2"/>
        <w:spacing w:beforeLines="100" w:before="240" w:afterLines="100" w:after="240" w:line="360" w:lineRule="auto"/>
        <w:jc w:val="both"/>
        <w:rPr>
          <w:rFonts w:ascii="Cambria" w:hAnsi="Cambria" w:cs="Arial"/>
          <w:sz w:val="24"/>
          <w:szCs w:val="24"/>
          <w:lang w:val="en-GB"/>
        </w:rPr>
      </w:pPr>
      <w:r>
        <w:rPr>
          <w:rFonts w:ascii="Cambria" w:hAnsi="Cambria" w:cs="Arial"/>
          <w:sz w:val="24"/>
          <w:szCs w:val="24"/>
          <w:lang w:val="en-GB"/>
        </w:rPr>
        <w:t>Considering the above</w:t>
      </w:r>
      <w:r w:rsidR="00982DE3">
        <w:rPr>
          <w:rFonts w:ascii="Cambria" w:hAnsi="Cambria" w:cs="Arial"/>
          <w:sz w:val="24"/>
          <w:szCs w:val="24"/>
          <w:lang w:val="en-GB"/>
        </w:rPr>
        <w:t>,</w:t>
      </w:r>
      <w:r>
        <w:rPr>
          <w:rFonts w:ascii="Cambria" w:hAnsi="Cambria" w:cs="Arial"/>
          <w:sz w:val="24"/>
          <w:szCs w:val="24"/>
          <w:lang w:val="en-GB"/>
        </w:rPr>
        <w:t xml:space="preserve"> Hon’ble Commission is requested to consider our revised estimated input for FY </w:t>
      </w:r>
      <w:r w:rsidR="00982DE3">
        <w:rPr>
          <w:rFonts w:ascii="Cambria" w:hAnsi="Cambria" w:cs="Arial"/>
          <w:sz w:val="24"/>
          <w:szCs w:val="24"/>
          <w:lang w:val="en-GB"/>
        </w:rPr>
        <w:t>20</w:t>
      </w:r>
      <w:r>
        <w:rPr>
          <w:rFonts w:ascii="Cambria" w:hAnsi="Cambria" w:cs="Arial"/>
          <w:sz w:val="24"/>
          <w:szCs w:val="24"/>
          <w:lang w:val="en-GB"/>
        </w:rPr>
        <w:t>2</w:t>
      </w:r>
      <w:r w:rsidR="008B773A">
        <w:rPr>
          <w:rFonts w:ascii="Cambria" w:hAnsi="Cambria" w:cs="Arial"/>
          <w:sz w:val="24"/>
          <w:szCs w:val="24"/>
          <w:lang w:val="en-GB"/>
        </w:rPr>
        <w:t>5</w:t>
      </w:r>
      <w:r>
        <w:rPr>
          <w:rFonts w:ascii="Cambria" w:hAnsi="Cambria" w:cs="Arial"/>
          <w:sz w:val="24"/>
          <w:szCs w:val="24"/>
          <w:lang w:val="en-GB"/>
        </w:rPr>
        <w:t>-2</w:t>
      </w:r>
      <w:r w:rsidR="008B773A">
        <w:rPr>
          <w:rFonts w:ascii="Cambria" w:hAnsi="Cambria" w:cs="Arial"/>
          <w:sz w:val="24"/>
          <w:szCs w:val="24"/>
          <w:lang w:val="en-GB"/>
        </w:rPr>
        <w:t>6</w:t>
      </w:r>
      <w:r>
        <w:rPr>
          <w:rFonts w:ascii="Cambria" w:hAnsi="Cambria" w:cs="Arial"/>
          <w:sz w:val="24"/>
          <w:szCs w:val="24"/>
          <w:lang w:val="en-GB"/>
        </w:rPr>
        <w:t xml:space="preserve"> and may approve </w:t>
      </w:r>
      <w:proofErr w:type="spellStart"/>
      <w:r>
        <w:rPr>
          <w:rFonts w:ascii="Cambria" w:hAnsi="Cambria" w:cs="Arial"/>
          <w:sz w:val="24"/>
          <w:szCs w:val="24"/>
          <w:lang w:val="en-GB"/>
        </w:rPr>
        <w:t>drawal</w:t>
      </w:r>
      <w:proofErr w:type="spellEnd"/>
      <w:r>
        <w:rPr>
          <w:rFonts w:ascii="Cambria" w:hAnsi="Cambria" w:cs="Arial"/>
          <w:sz w:val="24"/>
          <w:szCs w:val="24"/>
          <w:lang w:val="en-GB"/>
        </w:rPr>
        <w:t xml:space="preserve"> for FY </w:t>
      </w:r>
      <w:r w:rsidR="009A0E63">
        <w:rPr>
          <w:rFonts w:ascii="Cambria" w:hAnsi="Cambria" w:cs="Arial"/>
          <w:sz w:val="24"/>
          <w:szCs w:val="24"/>
          <w:lang w:val="en-GB"/>
        </w:rPr>
        <w:t>2026-27</w:t>
      </w:r>
      <w:r>
        <w:rPr>
          <w:rFonts w:ascii="Cambria" w:hAnsi="Cambria" w:cs="Arial"/>
          <w:sz w:val="24"/>
          <w:szCs w:val="24"/>
          <w:lang w:val="en-GB"/>
        </w:rPr>
        <w:t>.</w:t>
      </w:r>
    </w:p>
    <w:p w14:paraId="08400CAE" w14:textId="6295B994" w:rsidR="00DF557C" w:rsidRPr="006B4A5A" w:rsidRDefault="00DF557C" w:rsidP="004276A0">
      <w:pPr>
        <w:pStyle w:val="BodyText2"/>
        <w:spacing w:line="360" w:lineRule="auto"/>
        <w:jc w:val="both"/>
        <w:rPr>
          <w:rFonts w:ascii="Cambria" w:hAnsi="Cambria" w:cs="Arial"/>
          <w:b/>
          <w:bCs/>
          <w:sz w:val="24"/>
          <w:szCs w:val="24"/>
          <w:u w:val="single"/>
          <w:lang w:val="en-GB"/>
        </w:rPr>
      </w:pPr>
      <w:r w:rsidRPr="006B4A5A">
        <w:rPr>
          <w:rFonts w:ascii="Cambria" w:hAnsi="Cambria" w:cs="Arial"/>
          <w:b/>
          <w:bCs/>
          <w:sz w:val="24"/>
          <w:szCs w:val="24"/>
          <w:u w:val="single"/>
          <w:lang w:val="en-GB"/>
        </w:rPr>
        <w:t>SMD Projection</w:t>
      </w:r>
    </w:p>
    <w:p w14:paraId="1C3336B2" w14:textId="6A00577A" w:rsidR="004276A0" w:rsidRPr="00BF0E9D" w:rsidRDefault="00DF557C" w:rsidP="00C23F37">
      <w:pPr>
        <w:pStyle w:val="BodyText2"/>
        <w:spacing w:beforeLines="100" w:before="240" w:afterLines="100" w:after="240" w:line="360" w:lineRule="auto"/>
        <w:jc w:val="both"/>
        <w:rPr>
          <w:rFonts w:ascii="Cambria" w:hAnsi="Cambria" w:cs="Arial"/>
          <w:color w:val="FF0000"/>
          <w:sz w:val="24"/>
          <w:szCs w:val="24"/>
          <w:lang w:val="en-GB"/>
        </w:rPr>
      </w:pPr>
      <w:r w:rsidRPr="006B4A5A">
        <w:rPr>
          <w:rFonts w:ascii="Cambria" w:hAnsi="Cambria" w:cs="Arial"/>
          <w:sz w:val="24"/>
          <w:szCs w:val="24"/>
          <w:lang w:val="en-GB"/>
        </w:rPr>
        <w:t>C</w:t>
      </w:r>
      <w:r w:rsidR="004276A0" w:rsidRPr="006B4A5A">
        <w:rPr>
          <w:rFonts w:ascii="Cambria" w:hAnsi="Cambria" w:cs="Arial"/>
          <w:sz w:val="24"/>
          <w:szCs w:val="24"/>
          <w:lang w:val="en-GB"/>
        </w:rPr>
        <w:t xml:space="preserve">onsidering the </w:t>
      </w:r>
      <w:r w:rsidRPr="006B4A5A">
        <w:rPr>
          <w:rFonts w:ascii="Cambria" w:hAnsi="Cambria" w:cs="Arial"/>
          <w:sz w:val="24"/>
          <w:szCs w:val="24"/>
          <w:lang w:val="en-GB"/>
        </w:rPr>
        <w:t>p</w:t>
      </w:r>
      <w:r w:rsidR="00285128">
        <w:rPr>
          <w:rFonts w:ascii="Cambria" w:hAnsi="Cambria" w:cs="Arial"/>
          <w:sz w:val="24"/>
          <w:szCs w:val="24"/>
          <w:lang w:val="en-GB"/>
        </w:rPr>
        <w:t xml:space="preserve">revious trend </w:t>
      </w:r>
      <w:r w:rsidR="004276A0" w:rsidRPr="006B4A5A">
        <w:rPr>
          <w:rFonts w:ascii="Cambria" w:hAnsi="Cambria" w:cs="Arial"/>
          <w:sz w:val="24"/>
          <w:szCs w:val="24"/>
          <w:lang w:val="en-GB"/>
        </w:rPr>
        <w:t xml:space="preserve">and </w:t>
      </w:r>
      <w:r w:rsidR="00246071">
        <w:rPr>
          <w:rFonts w:ascii="Cambria" w:hAnsi="Cambria" w:cs="Arial"/>
          <w:sz w:val="24"/>
          <w:szCs w:val="24"/>
          <w:lang w:val="en-GB"/>
        </w:rPr>
        <w:t xml:space="preserve">industrial </w:t>
      </w:r>
      <w:r w:rsidR="004276A0" w:rsidRPr="006B4A5A">
        <w:rPr>
          <w:rFonts w:ascii="Cambria" w:hAnsi="Cambria" w:cs="Arial"/>
          <w:sz w:val="24"/>
          <w:szCs w:val="24"/>
          <w:lang w:val="en-GB"/>
        </w:rPr>
        <w:t xml:space="preserve">load </w:t>
      </w:r>
      <w:r w:rsidR="00246071">
        <w:rPr>
          <w:rFonts w:ascii="Cambria" w:hAnsi="Cambria" w:cs="Arial"/>
          <w:sz w:val="24"/>
          <w:szCs w:val="24"/>
          <w:lang w:val="en-GB"/>
        </w:rPr>
        <w:t>growth</w:t>
      </w:r>
      <w:r w:rsidR="00FA15B6">
        <w:rPr>
          <w:rFonts w:ascii="Cambria" w:hAnsi="Cambria" w:cs="Arial"/>
          <w:sz w:val="24"/>
          <w:szCs w:val="24"/>
          <w:lang w:val="en-GB"/>
        </w:rPr>
        <w:t xml:space="preserve"> under HT &amp; EHT category</w:t>
      </w:r>
      <w:r w:rsidR="00024BF0" w:rsidRPr="006B4A5A">
        <w:rPr>
          <w:rFonts w:ascii="Cambria" w:hAnsi="Cambria" w:cs="Arial"/>
          <w:sz w:val="24"/>
          <w:szCs w:val="24"/>
          <w:lang w:val="en-GB"/>
        </w:rPr>
        <w:t xml:space="preserve">, </w:t>
      </w:r>
      <w:r w:rsidR="00C70401">
        <w:rPr>
          <w:rFonts w:ascii="Cambria" w:hAnsi="Cambria" w:cs="Arial"/>
          <w:sz w:val="24"/>
          <w:szCs w:val="24"/>
          <w:lang w:val="en-GB"/>
        </w:rPr>
        <w:t xml:space="preserve">anticipating </w:t>
      </w:r>
      <w:r w:rsidR="00467DB9">
        <w:rPr>
          <w:rFonts w:ascii="Cambria" w:hAnsi="Cambria" w:cs="Arial"/>
          <w:sz w:val="24"/>
          <w:szCs w:val="24"/>
          <w:lang w:val="en-GB"/>
        </w:rPr>
        <w:t xml:space="preserve">the </w:t>
      </w:r>
      <w:r w:rsidR="00637832" w:rsidRPr="006B4A5A">
        <w:rPr>
          <w:rFonts w:ascii="Cambria" w:hAnsi="Cambria" w:cs="Arial"/>
          <w:sz w:val="24"/>
          <w:szCs w:val="24"/>
          <w:lang w:val="en-GB"/>
        </w:rPr>
        <w:t>continuance of concessional tariff for industries</w:t>
      </w:r>
      <w:r w:rsidR="004276A0" w:rsidRPr="006B4A5A">
        <w:rPr>
          <w:rFonts w:ascii="Cambria" w:hAnsi="Cambria" w:cs="Arial"/>
          <w:sz w:val="24"/>
          <w:szCs w:val="24"/>
          <w:lang w:val="en-GB"/>
        </w:rPr>
        <w:t xml:space="preserve">, the </w:t>
      </w:r>
      <w:r w:rsidR="00277067" w:rsidRPr="006B4A5A">
        <w:rPr>
          <w:rFonts w:ascii="Cambria" w:hAnsi="Cambria" w:cs="Arial"/>
          <w:sz w:val="24"/>
          <w:szCs w:val="24"/>
          <w:lang w:val="en-GB"/>
        </w:rPr>
        <w:t>licensee</w:t>
      </w:r>
      <w:r w:rsidR="004276A0" w:rsidRPr="006B4A5A">
        <w:rPr>
          <w:rFonts w:ascii="Cambria" w:hAnsi="Cambria" w:cs="Arial"/>
          <w:sz w:val="24"/>
          <w:szCs w:val="24"/>
          <w:lang w:val="en-GB"/>
        </w:rPr>
        <w:t xml:space="preserve"> </w:t>
      </w:r>
      <w:r w:rsidR="004276A0" w:rsidRPr="001611E0">
        <w:rPr>
          <w:rFonts w:ascii="Cambria" w:hAnsi="Cambria" w:cs="Arial"/>
          <w:sz w:val="24"/>
          <w:szCs w:val="24"/>
          <w:lang w:val="en-GB"/>
        </w:rPr>
        <w:t xml:space="preserve">proposes </w:t>
      </w:r>
      <w:r w:rsidR="00230965" w:rsidRPr="001611E0">
        <w:rPr>
          <w:rFonts w:ascii="Cambria" w:hAnsi="Cambria" w:cs="Arial"/>
          <w:sz w:val="24"/>
          <w:szCs w:val="24"/>
          <w:lang w:val="en-GB"/>
        </w:rPr>
        <w:t>1989</w:t>
      </w:r>
      <w:r w:rsidR="00637832" w:rsidRPr="001611E0">
        <w:rPr>
          <w:rFonts w:ascii="Cambria" w:hAnsi="Cambria" w:cs="Arial"/>
          <w:sz w:val="24"/>
          <w:szCs w:val="24"/>
          <w:lang w:val="en-GB"/>
        </w:rPr>
        <w:t xml:space="preserve"> </w:t>
      </w:r>
      <w:r w:rsidRPr="001611E0">
        <w:rPr>
          <w:rFonts w:ascii="Cambria" w:hAnsi="Cambria" w:cs="Arial"/>
          <w:sz w:val="24"/>
          <w:szCs w:val="24"/>
          <w:lang w:val="en-GB"/>
        </w:rPr>
        <w:t>MVA</w:t>
      </w:r>
      <w:r w:rsidR="008129D4" w:rsidRPr="001611E0">
        <w:rPr>
          <w:rFonts w:ascii="Cambria" w:hAnsi="Cambria" w:cs="Arial"/>
          <w:sz w:val="24"/>
          <w:szCs w:val="24"/>
          <w:lang w:val="en-GB"/>
        </w:rPr>
        <w:t xml:space="preserve"> </w:t>
      </w:r>
      <w:r w:rsidR="004276A0" w:rsidRPr="001611E0">
        <w:rPr>
          <w:rFonts w:ascii="Cambria" w:hAnsi="Cambria" w:cs="Arial"/>
          <w:sz w:val="24"/>
          <w:szCs w:val="24"/>
          <w:lang w:val="en-GB"/>
        </w:rPr>
        <w:t>a</w:t>
      </w:r>
      <w:r w:rsidR="00EB502E" w:rsidRPr="001611E0">
        <w:rPr>
          <w:rFonts w:ascii="Cambria" w:hAnsi="Cambria" w:cs="Arial"/>
          <w:sz w:val="24"/>
          <w:szCs w:val="24"/>
          <w:lang w:val="en-GB"/>
        </w:rPr>
        <w:t>s</w:t>
      </w:r>
      <w:r w:rsidR="004276A0" w:rsidRPr="001611E0">
        <w:rPr>
          <w:rFonts w:ascii="Cambria" w:hAnsi="Cambria" w:cs="Arial"/>
          <w:sz w:val="24"/>
          <w:szCs w:val="24"/>
          <w:lang w:val="en-GB"/>
        </w:rPr>
        <w:t xml:space="preserve"> SMD for FY </w:t>
      </w:r>
      <w:r w:rsidR="009A0E63" w:rsidRPr="001611E0">
        <w:rPr>
          <w:rFonts w:ascii="Cambria" w:hAnsi="Cambria" w:cs="Arial"/>
          <w:sz w:val="24"/>
          <w:szCs w:val="24"/>
          <w:lang w:val="en-GB"/>
        </w:rPr>
        <w:t>2026-27</w:t>
      </w:r>
      <w:r w:rsidR="00024BF0" w:rsidRPr="001611E0">
        <w:rPr>
          <w:rFonts w:ascii="Cambria" w:hAnsi="Cambria" w:cs="Arial"/>
          <w:sz w:val="24"/>
          <w:szCs w:val="24"/>
          <w:lang w:val="en-GB"/>
        </w:rPr>
        <w:t>. However, due to the reasons as explained in the above paragraphs, the average</w:t>
      </w:r>
      <w:r w:rsidR="00C34399" w:rsidRPr="001611E0">
        <w:rPr>
          <w:rFonts w:ascii="Cambria" w:hAnsi="Cambria" w:cs="Arial"/>
          <w:sz w:val="24"/>
          <w:szCs w:val="24"/>
          <w:lang w:val="en-GB"/>
        </w:rPr>
        <w:t xml:space="preserve"> </w:t>
      </w:r>
      <w:r w:rsidRPr="001611E0">
        <w:rPr>
          <w:rFonts w:ascii="Cambria" w:hAnsi="Cambria" w:cs="Arial"/>
          <w:sz w:val="24"/>
          <w:szCs w:val="24"/>
          <w:lang w:val="en-GB"/>
        </w:rPr>
        <w:t xml:space="preserve">SMD of </w:t>
      </w:r>
      <w:r w:rsidR="00B47F43" w:rsidRPr="001611E0">
        <w:rPr>
          <w:rFonts w:ascii="Cambria" w:hAnsi="Cambria" w:cs="Arial"/>
          <w:sz w:val="24"/>
          <w:szCs w:val="24"/>
          <w:lang w:val="en-GB"/>
        </w:rPr>
        <w:t>1</w:t>
      </w:r>
      <w:r w:rsidR="00B47F43" w:rsidRPr="001611E0">
        <w:rPr>
          <w:rFonts w:ascii="Cambria" w:hAnsi="Cambria" w:cs="Arial"/>
          <w:sz w:val="24"/>
          <w:szCs w:val="24"/>
          <w:vertAlign w:val="superscript"/>
          <w:lang w:val="en-GB"/>
        </w:rPr>
        <w:t>st</w:t>
      </w:r>
      <w:r w:rsidR="00B47F43" w:rsidRPr="001611E0">
        <w:rPr>
          <w:rFonts w:ascii="Cambria" w:hAnsi="Cambria" w:cs="Arial"/>
          <w:sz w:val="24"/>
          <w:szCs w:val="24"/>
          <w:lang w:val="en-GB"/>
        </w:rPr>
        <w:t xml:space="preserve"> six month</w:t>
      </w:r>
      <w:r w:rsidR="002E6381" w:rsidRPr="001611E0">
        <w:rPr>
          <w:rFonts w:ascii="Cambria" w:hAnsi="Cambria" w:cs="Arial"/>
          <w:sz w:val="24"/>
          <w:szCs w:val="24"/>
          <w:lang w:val="en-GB"/>
        </w:rPr>
        <w:t>s</w:t>
      </w:r>
      <w:r w:rsidR="00B47F43" w:rsidRPr="001611E0">
        <w:rPr>
          <w:rFonts w:ascii="Cambria" w:hAnsi="Cambria" w:cs="Arial"/>
          <w:sz w:val="24"/>
          <w:szCs w:val="24"/>
          <w:lang w:val="en-GB"/>
        </w:rPr>
        <w:t xml:space="preserve"> of current year</w:t>
      </w:r>
      <w:r w:rsidR="00024BF0" w:rsidRPr="001611E0">
        <w:rPr>
          <w:rFonts w:ascii="Cambria" w:hAnsi="Cambria" w:cs="Arial"/>
          <w:sz w:val="24"/>
          <w:szCs w:val="24"/>
          <w:lang w:val="en-GB"/>
        </w:rPr>
        <w:t xml:space="preserve"> is 1</w:t>
      </w:r>
      <w:r w:rsidR="00F44718" w:rsidRPr="001611E0">
        <w:rPr>
          <w:rFonts w:ascii="Cambria" w:hAnsi="Cambria" w:cs="Arial"/>
          <w:sz w:val="24"/>
          <w:szCs w:val="24"/>
          <w:lang w:val="en-GB"/>
        </w:rPr>
        <w:t>963</w:t>
      </w:r>
      <w:r w:rsidR="00024BF0" w:rsidRPr="001611E0">
        <w:rPr>
          <w:rFonts w:ascii="Cambria" w:hAnsi="Cambria" w:cs="Arial"/>
          <w:sz w:val="24"/>
          <w:szCs w:val="24"/>
          <w:lang w:val="en-GB"/>
        </w:rPr>
        <w:t xml:space="preserve"> MVA</w:t>
      </w:r>
      <w:r w:rsidR="00331897" w:rsidRPr="001611E0">
        <w:rPr>
          <w:rFonts w:ascii="Cambria" w:hAnsi="Cambria" w:cs="Arial"/>
          <w:sz w:val="24"/>
          <w:szCs w:val="24"/>
          <w:lang w:val="en-GB"/>
        </w:rPr>
        <w:t>.</w:t>
      </w:r>
      <w:r w:rsidR="00B043EA" w:rsidRPr="001611E0">
        <w:rPr>
          <w:rFonts w:ascii="Cambria" w:hAnsi="Cambria" w:cs="Arial"/>
          <w:sz w:val="24"/>
          <w:szCs w:val="24"/>
          <w:lang w:val="en-GB"/>
        </w:rPr>
        <w:t xml:space="preserve"> </w:t>
      </w:r>
      <w:r w:rsidR="00445887" w:rsidRPr="001611E0">
        <w:rPr>
          <w:rFonts w:ascii="Cambria" w:hAnsi="Cambria" w:cs="Arial"/>
          <w:sz w:val="24"/>
          <w:szCs w:val="24"/>
          <w:lang w:val="en-GB"/>
        </w:rPr>
        <w:t xml:space="preserve">The maximum SMD occurred in </w:t>
      </w:r>
      <w:r w:rsidR="004433F7" w:rsidRPr="001611E0">
        <w:rPr>
          <w:rFonts w:ascii="Cambria" w:hAnsi="Cambria" w:cs="Arial"/>
          <w:sz w:val="24"/>
          <w:szCs w:val="24"/>
          <w:lang w:val="en-GB"/>
        </w:rPr>
        <w:t>April</w:t>
      </w:r>
      <w:r w:rsidR="00637832" w:rsidRPr="001611E0">
        <w:rPr>
          <w:rFonts w:ascii="Cambria" w:hAnsi="Cambria" w:cs="Arial"/>
          <w:sz w:val="24"/>
          <w:szCs w:val="24"/>
          <w:lang w:val="en-GB"/>
        </w:rPr>
        <w:t xml:space="preserve"> 202</w:t>
      </w:r>
      <w:r w:rsidR="004433F7" w:rsidRPr="001611E0">
        <w:rPr>
          <w:rFonts w:ascii="Cambria" w:hAnsi="Cambria" w:cs="Arial"/>
          <w:sz w:val="24"/>
          <w:szCs w:val="24"/>
          <w:lang w:val="en-GB"/>
        </w:rPr>
        <w:t>5</w:t>
      </w:r>
      <w:r w:rsidR="00445887" w:rsidRPr="001611E0">
        <w:rPr>
          <w:rFonts w:ascii="Cambria" w:hAnsi="Cambria" w:cs="Arial"/>
          <w:sz w:val="24"/>
          <w:szCs w:val="24"/>
          <w:lang w:val="en-GB"/>
        </w:rPr>
        <w:t xml:space="preserve"> as </w:t>
      </w:r>
      <w:r w:rsidR="00616F7B" w:rsidRPr="001611E0">
        <w:rPr>
          <w:rFonts w:ascii="Cambria" w:hAnsi="Cambria" w:cs="Arial"/>
          <w:sz w:val="24"/>
          <w:szCs w:val="24"/>
          <w:lang w:val="en-GB"/>
        </w:rPr>
        <w:t>1</w:t>
      </w:r>
      <w:r w:rsidR="001611E0" w:rsidRPr="001611E0">
        <w:rPr>
          <w:rFonts w:ascii="Cambria" w:hAnsi="Cambria" w:cs="Arial"/>
          <w:sz w:val="24"/>
          <w:szCs w:val="24"/>
          <w:lang w:val="en-GB"/>
        </w:rPr>
        <w:t>963</w:t>
      </w:r>
      <w:r w:rsidR="00445887" w:rsidRPr="001611E0">
        <w:rPr>
          <w:rFonts w:ascii="Cambria" w:hAnsi="Cambria" w:cs="Arial"/>
          <w:sz w:val="24"/>
          <w:szCs w:val="24"/>
          <w:lang w:val="en-GB"/>
        </w:rPr>
        <w:t xml:space="preserve"> MVA</w:t>
      </w:r>
      <w:r w:rsidR="00D144A7">
        <w:rPr>
          <w:rFonts w:ascii="Cambria" w:hAnsi="Cambria" w:cs="Arial"/>
          <w:sz w:val="24"/>
          <w:szCs w:val="24"/>
          <w:lang w:val="en-GB"/>
        </w:rPr>
        <w:t xml:space="preserve"> against t</w:t>
      </w:r>
      <w:r w:rsidR="002E6381" w:rsidRPr="001611E0">
        <w:rPr>
          <w:rFonts w:ascii="Cambria" w:hAnsi="Cambria" w:cs="Arial"/>
          <w:sz w:val="24"/>
          <w:szCs w:val="24"/>
          <w:lang w:val="en-GB"/>
        </w:rPr>
        <w:t xml:space="preserve">he </w:t>
      </w:r>
      <w:r w:rsidR="003221FB" w:rsidRPr="001611E0">
        <w:rPr>
          <w:rFonts w:ascii="Cambria" w:hAnsi="Cambria" w:cs="Arial"/>
          <w:sz w:val="24"/>
          <w:szCs w:val="24"/>
          <w:lang w:val="en-GB"/>
        </w:rPr>
        <w:t>Hon’ble Commission</w:t>
      </w:r>
      <w:r w:rsidR="00D144A7">
        <w:rPr>
          <w:rFonts w:ascii="Cambria" w:hAnsi="Cambria" w:cs="Arial"/>
          <w:sz w:val="24"/>
          <w:szCs w:val="24"/>
          <w:lang w:val="en-GB"/>
        </w:rPr>
        <w:t xml:space="preserve">’s approval </w:t>
      </w:r>
      <w:r w:rsidR="00637832" w:rsidRPr="001611E0">
        <w:rPr>
          <w:rFonts w:ascii="Cambria" w:hAnsi="Cambria" w:cs="Arial"/>
          <w:sz w:val="24"/>
          <w:szCs w:val="24"/>
          <w:lang w:val="en-GB"/>
        </w:rPr>
        <w:t>of 1</w:t>
      </w:r>
      <w:r w:rsidR="001611E0" w:rsidRPr="001611E0">
        <w:rPr>
          <w:rFonts w:ascii="Cambria" w:hAnsi="Cambria" w:cs="Arial"/>
          <w:sz w:val="24"/>
          <w:szCs w:val="24"/>
          <w:lang w:val="en-GB"/>
        </w:rPr>
        <w:t>904</w:t>
      </w:r>
      <w:r w:rsidR="00637832" w:rsidRPr="001611E0">
        <w:rPr>
          <w:rFonts w:ascii="Cambria" w:hAnsi="Cambria" w:cs="Arial"/>
          <w:sz w:val="24"/>
          <w:szCs w:val="24"/>
          <w:lang w:val="en-GB"/>
        </w:rPr>
        <w:t xml:space="preserve"> MVA </w:t>
      </w:r>
      <w:r w:rsidR="00B043EA" w:rsidRPr="001611E0">
        <w:rPr>
          <w:rFonts w:ascii="Cambria" w:hAnsi="Cambria" w:cs="Arial"/>
          <w:sz w:val="24"/>
          <w:szCs w:val="24"/>
          <w:lang w:val="en-GB"/>
        </w:rPr>
        <w:t>for FY</w:t>
      </w:r>
      <w:r w:rsidR="00B043EA" w:rsidRPr="006B4A5A">
        <w:rPr>
          <w:rFonts w:ascii="Cambria" w:hAnsi="Cambria" w:cs="Arial"/>
          <w:sz w:val="24"/>
          <w:szCs w:val="24"/>
          <w:lang w:val="en-GB"/>
        </w:rPr>
        <w:t xml:space="preserve"> </w:t>
      </w:r>
      <w:r w:rsidR="002E6381" w:rsidRPr="006B4A5A">
        <w:rPr>
          <w:rFonts w:ascii="Cambria" w:hAnsi="Cambria" w:cs="Arial"/>
          <w:sz w:val="24"/>
          <w:szCs w:val="24"/>
          <w:lang w:val="en-GB"/>
        </w:rPr>
        <w:t>20</w:t>
      </w:r>
      <w:r w:rsidR="00B043EA" w:rsidRPr="006B4A5A">
        <w:rPr>
          <w:rFonts w:ascii="Cambria" w:hAnsi="Cambria" w:cs="Arial"/>
          <w:sz w:val="24"/>
          <w:szCs w:val="24"/>
          <w:lang w:val="en-GB"/>
        </w:rPr>
        <w:t>2</w:t>
      </w:r>
      <w:r w:rsidR="001611E0">
        <w:rPr>
          <w:rFonts w:ascii="Cambria" w:hAnsi="Cambria" w:cs="Arial"/>
          <w:sz w:val="24"/>
          <w:szCs w:val="24"/>
          <w:lang w:val="en-GB"/>
        </w:rPr>
        <w:t>5</w:t>
      </w:r>
      <w:r w:rsidR="00B043EA" w:rsidRPr="006B4A5A">
        <w:rPr>
          <w:rFonts w:ascii="Cambria" w:hAnsi="Cambria" w:cs="Arial"/>
          <w:sz w:val="24"/>
          <w:szCs w:val="24"/>
          <w:lang w:val="en-GB"/>
        </w:rPr>
        <w:t>-2</w:t>
      </w:r>
      <w:r w:rsidR="001611E0">
        <w:rPr>
          <w:rFonts w:ascii="Cambria" w:hAnsi="Cambria" w:cs="Arial"/>
          <w:sz w:val="24"/>
          <w:szCs w:val="24"/>
          <w:lang w:val="en-GB"/>
        </w:rPr>
        <w:t>6</w:t>
      </w:r>
      <w:r w:rsidR="00637832" w:rsidRPr="006B4A5A">
        <w:rPr>
          <w:rFonts w:ascii="Cambria" w:hAnsi="Cambria" w:cs="Arial"/>
          <w:sz w:val="24"/>
          <w:szCs w:val="24"/>
          <w:lang w:val="en-GB"/>
        </w:rPr>
        <w:t>.</w:t>
      </w:r>
    </w:p>
    <w:p w14:paraId="7B5616C7" w14:textId="5FFEFB1B" w:rsidR="6D38C96F" w:rsidRDefault="6D38C96F" w:rsidP="00C23F37">
      <w:pPr>
        <w:pStyle w:val="BodyText2"/>
        <w:spacing w:beforeLines="100" w:before="240" w:afterLines="100" w:after="240" w:line="360" w:lineRule="auto"/>
        <w:jc w:val="both"/>
        <w:rPr>
          <w:rFonts w:ascii="Cambria" w:hAnsi="Cambria" w:cs="Arial"/>
          <w:sz w:val="24"/>
          <w:szCs w:val="24"/>
          <w:lang w:val="en-GB"/>
        </w:rPr>
      </w:pPr>
      <w:r w:rsidRPr="6D38C96F">
        <w:rPr>
          <w:rFonts w:ascii="Cambria" w:hAnsi="Cambria" w:cs="Arial"/>
          <w:sz w:val="24"/>
          <w:szCs w:val="24"/>
          <w:lang w:val="en-GB"/>
        </w:rPr>
        <w:t xml:space="preserve">The </w:t>
      </w:r>
      <w:r w:rsidR="00024BF0">
        <w:rPr>
          <w:rFonts w:ascii="Cambria" w:hAnsi="Cambria" w:cs="Arial"/>
          <w:sz w:val="24"/>
          <w:szCs w:val="24"/>
          <w:lang w:val="en-GB"/>
        </w:rPr>
        <w:t>L</w:t>
      </w:r>
      <w:r w:rsidR="00637832">
        <w:rPr>
          <w:rFonts w:ascii="Cambria" w:hAnsi="Cambria" w:cs="Arial"/>
          <w:sz w:val="24"/>
          <w:szCs w:val="24"/>
          <w:lang w:val="en-GB"/>
        </w:rPr>
        <w:t>icense</w:t>
      </w:r>
      <w:r w:rsidR="002E6381">
        <w:rPr>
          <w:rFonts w:ascii="Cambria" w:hAnsi="Cambria" w:cs="Arial"/>
          <w:sz w:val="24"/>
          <w:szCs w:val="24"/>
          <w:lang w:val="en-GB"/>
        </w:rPr>
        <w:t>e</w:t>
      </w:r>
      <w:r w:rsidR="00637832">
        <w:rPr>
          <w:rFonts w:ascii="Cambria" w:hAnsi="Cambria" w:cs="Arial"/>
          <w:sz w:val="24"/>
          <w:szCs w:val="24"/>
          <w:lang w:val="en-GB"/>
        </w:rPr>
        <w:t xml:space="preserve"> </w:t>
      </w:r>
      <w:r w:rsidRPr="6D38C96F">
        <w:rPr>
          <w:rFonts w:ascii="Cambria" w:hAnsi="Cambria" w:cs="Arial"/>
          <w:sz w:val="24"/>
          <w:szCs w:val="24"/>
          <w:lang w:val="en-GB"/>
        </w:rPr>
        <w:t xml:space="preserve">submits that SMD (MVA) projections for a year </w:t>
      </w:r>
      <w:r w:rsidR="005372DD">
        <w:rPr>
          <w:rFonts w:ascii="Cambria" w:hAnsi="Cambria" w:cs="Arial"/>
          <w:sz w:val="24"/>
          <w:szCs w:val="24"/>
          <w:lang w:val="en-GB"/>
        </w:rPr>
        <w:t xml:space="preserve">is </w:t>
      </w:r>
      <w:r w:rsidRPr="6D38C96F">
        <w:rPr>
          <w:rFonts w:ascii="Cambria" w:hAnsi="Cambria" w:cs="Arial"/>
          <w:sz w:val="24"/>
          <w:szCs w:val="24"/>
          <w:lang w:val="en-GB"/>
        </w:rPr>
        <w:t>based on load mix, consumption patterns and other economic policies</w:t>
      </w:r>
      <w:r w:rsidR="005372DD">
        <w:rPr>
          <w:rFonts w:ascii="Cambria" w:hAnsi="Cambria" w:cs="Arial"/>
          <w:sz w:val="24"/>
          <w:szCs w:val="24"/>
          <w:lang w:val="en-GB"/>
        </w:rPr>
        <w:t>.</w:t>
      </w:r>
      <w:r w:rsidRPr="6D38C96F">
        <w:rPr>
          <w:rFonts w:ascii="Cambria" w:hAnsi="Cambria" w:cs="Arial"/>
          <w:sz w:val="24"/>
          <w:szCs w:val="24"/>
          <w:lang w:val="en-GB"/>
        </w:rPr>
        <w:t xml:space="preserve"> </w:t>
      </w:r>
      <w:r w:rsidR="005372DD">
        <w:rPr>
          <w:rFonts w:ascii="Cambria" w:hAnsi="Cambria" w:cs="Arial"/>
          <w:sz w:val="24"/>
          <w:szCs w:val="24"/>
          <w:lang w:val="en-GB"/>
        </w:rPr>
        <w:t>R</w:t>
      </w:r>
      <w:r w:rsidRPr="6D38C96F">
        <w:rPr>
          <w:rFonts w:ascii="Cambria" w:hAnsi="Cambria" w:cs="Arial"/>
          <w:sz w:val="24"/>
          <w:szCs w:val="24"/>
          <w:lang w:val="en-GB"/>
        </w:rPr>
        <w:t xml:space="preserve">estricting the SMD of the utility </w:t>
      </w:r>
      <w:r w:rsidR="004651F7">
        <w:rPr>
          <w:rFonts w:ascii="Cambria" w:hAnsi="Cambria" w:cs="Arial"/>
          <w:sz w:val="24"/>
          <w:szCs w:val="24"/>
          <w:lang w:val="en-GB"/>
        </w:rPr>
        <w:t>at</w:t>
      </w:r>
      <w:r w:rsidRPr="6D38C96F">
        <w:rPr>
          <w:rFonts w:ascii="Cambria" w:hAnsi="Cambria" w:cs="Arial"/>
          <w:sz w:val="24"/>
          <w:szCs w:val="24"/>
          <w:lang w:val="en-GB"/>
        </w:rPr>
        <w:t xml:space="preserve"> a particular </w:t>
      </w:r>
      <w:r w:rsidR="004651F7">
        <w:rPr>
          <w:rFonts w:ascii="Cambria" w:hAnsi="Cambria" w:cs="Arial"/>
          <w:sz w:val="24"/>
          <w:szCs w:val="24"/>
          <w:lang w:val="en-GB"/>
        </w:rPr>
        <w:t>value</w:t>
      </w:r>
      <w:r w:rsidRPr="6D38C96F">
        <w:rPr>
          <w:rFonts w:ascii="Cambria" w:hAnsi="Cambria" w:cs="Arial"/>
          <w:sz w:val="24"/>
          <w:szCs w:val="24"/>
          <w:lang w:val="en-GB"/>
        </w:rPr>
        <w:t xml:space="preserve"> without considering the proposal as above and imposing penalty thereof for drawl beyond the approved </w:t>
      </w:r>
      <w:r w:rsidR="004651F7">
        <w:rPr>
          <w:rFonts w:ascii="Cambria" w:hAnsi="Cambria" w:cs="Arial"/>
          <w:sz w:val="24"/>
          <w:szCs w:val="24"/>
          <w:lang w:val="en-GB"/>
        </w:rPr>
        <w:t>value</w:t>
      </w:r>
      <w:r w:rsidRPr="6D38C96F">
        <w:rPr>
          <w:rFonts w:ascii="Cambria" w:hAnsi="Cambria" w:cs="Arial"/>
          <w:sz w:val="24"/>
          <w:szCs w:val="24"/>
          <w:lang w:val="en-GB"/>
        </w:rPr>
        <w:t>, shall put the Utility with higher financial burden.</w:t>
      </w:r>
    </w:p>
    <w:p w14:paraId="3530EEB6" w14:textId="06A06284" w:rsidR="00D242AE" w:rsidRDefault="00637832" w:rsidP="00D144A7">
      <w:pPr>
        <w:pStyle w:val="BodyText2"/>
        <w:spacing w:beforeLines="100" w:before="240" w:afterLines="100" w:after="240" w:line="360" w:lineRule="auto"/>
        <w:jc w:val="both"/>
        <w:rPr>
          <w:rFonts w:ascii="Cambria" w:hAnsi="Cambria" w:cs="Arial"/>
          <w:lang w:val="en-GB"/>
        </w:rPr>
      </w:pPr>
      <w:r>
        <w:rPr>
          <w:rFonts w:ascii="Cambria" w:hAnsi="Cambria" w:cs="Arial"/>
          <w:sz w:val="24"/>
          <w:szCs w:val="24"/>
          <w:lang w:val="en-GB"/>
        </w:rPr>
        <w:t>The SMD as projected is without TPA power</w:t>
      </w:r>
      <w:r w:rsidR="00A20854">
        <w:rPr>
          <w:rFonts w:ascii="Cambria" w:hAnsi="Cambria" w:cs="Arial"/>
          <w:sz w:val="24"/>
          <w:szCs w:val="24"/>
          <w:lang w:val="en-GB"/>
        </w:rPr>
        <w:t>.</w:t>
      </w:r>
    </w:p>
    <w:p w14:paraId="0F5729DF" w14:textId="77777777" w:rsidR="004276A0" w:rsidRPr="00904B4F" w:rsidRDefault="004276A0" w:rsidP="00905A04">
      <w:pPr>
        <w:pStyle w:val="Heading2"/>
        <w:numPr>
          <w:ilvl w:val="1"/>
          <w:numId w:val="1"/>
        </w:numPr>
        <w:tabs>
          <w:tab w:val="clear" w:pos="432"/>
          <w:tab w:val="num" w:pos="426"/>
        </w:tabs>
        <w:ind w:hanging="574"/>
        <w:rPr>
          <w:rFonts w:asciiTheme="majorHAnsi" w:hAnsiTheme="majorHAnsi"/>
          <w:i w:val="0"/>
          <w:iCs w:val="0"/>
          <w:sz w:val="24"/>
          <w:szCs w:val="24"/>
        </w:rPr>
      </w:pPr>
      <w:bookmarkStart w:id="17" w:name="_Toc152180073"/>
      <w:bookmarkStart w:id="18" w:name="_Toc183204685"/>
      <w:bookmarkStart w:id="19" w:name="_Toc215250609"/>
      <w:r w:rsidRPr="00904B4F">
        <w:rPr>
          <w:rFonts w:asciiTheme="majorHAnsi" w:hAnsiTheme="majorHAnsi"/>
          <w:i w:val="0"/>
          <w:iCs w:val="0"/>
          <w:sz w:val="24"/>
          <w:szCs w:val="24"/>
        </w:rPr>
        <w:t>Employees Expenses</w:t>
      </w:r>
      <w:bookmarkEnd w:id="17"/>
      <w:bookmarkEnd w:id="18"/>
      <w:bookmarkEnd w:id="19"/>
    </w:p>
    <w:p w14:paraId="2DC257DD" w14:textId="78931AE5" w:rsidR="005304A5" w:rsidRPr="001022A0" w:rsidRDefault="005304A5" w:rsidP="00C23F37">
      <w:pPr>
        <w:spacing w:beforeLines="100" w:before="240" w:afterLines="100" w:after="240" w:line="360" w:lineRule="auto"/>
        <w:jc w:val="both"/>
        <w:rPr>
          <w:rFonts w:asciiTheme="majorHAnsi" w:hAnsiTheme="majorHAnsi"/>
        </w:rPr>
      </w:pPr>
      <w:r w:rsidRPr="001022A0">
        <w:rPr>
          <w:rFonts w:asciiTheme="majorHAnsi" w:hAnsiTheme="majorHAnsi"/>
        </w:rPr>
        <w:t xml:space="preserve">TPWODL’s transformational journey over the years is a compelling narrative that often highlights </w:t>
      </w:r>
      <w:proofErr w:type="gramStart"/>
      <w:r w:rsidRPr="001022A0">
        <w:rPr>
          <w:rFonts w:asciiTheme="majorHAnsi" w:hAnsiTheme="majorHAnsi"/>
        </w:rPr>
        <w:t>it</w:t>
      </w:r>
      <w:r w:rsidR="00A20854">
        <w:rPr>
          <w:rFonts w:asciiTheme="majorHAnsi" w:hAnsiTheme="majorHAnsi"/>
        </w:rPr>
        <w:t>’</w:t>
      </w:r>
      <w:r w:rsidRPr="001022A0">
        <w:rPr>
          <w:rFonts w:asciiTheme="majorHAnsi" w:hAnsiTheme="majorHAnsi"/>
        </w:rPr>
        <w:t>s</w:t>
      </w:r>
      <w:proofErr w:type="gramEnd"/>
      <w:r w:rsidRPr="001022A0">
        <w:rPr>
          <w:rFonts w:asciiTheme="majorHAnsi" w:hAnsiTheme="majorHAnsi"/>
        </w:rPr>
        <w:t xml:space="preserve"> evolution, challenges, successes and adaptability which also reflects the company's ability to not only survive but thrive in the ever-changing business landscape.</w:t>
      </w:r>
    </w:p>
    <w:p w14:paraId="13B190A8" w14:textId="33B15258" w:rsidR="005304A5" w:rsidRDefault="005304A5" w:rsidP="00C23F37">
      <w:pPr>
        <w:spacing w:beforeLines="100" w:before="240" w:afterLines="100" w:after="240" w:line="360" w:lineRule="auto"/>
        <w:jc w:val="both"/>
        <w:rPr>
          <w:rFonts w:asciiTheme="majorHAnsi" w:hAnsiTheme="majorHAnsi"/>
        </w:rPr>
      </w:pPr>
      <w:r w:rsidRPr="001022A0">
        <w:rPr>
          <w:rFonts w:asciiTheme="majorHAnsi" w:hAnsiTheme="majorHAnsi"/>
        </w:rPr>
        <w:t>This journey from January 2021 involves several stages and a series of improvements which stands as a testament to adaptability, resilience and unwavering commitment to innovation, embracing change and challenging the status quo. Its unwavering pursuit of excellence and the willingness to reinvent itself time and again.</w:t>
      </w:r>
    </w:p>
    <w:p w14:paraId="726872F5" w14:textId="44606543" w:rsidR="00ED485F" w:rsidRPr="001022A0" w:rsidRDefault="00ED485F" w:rsidP="00C23F37">
      <w:pPr>
        <w:spacing w:beforeLines="100" w:before="240" w:afterLines="100" w:after="240" w:line="360" w:lineRule="auto"/>
        <w:jc w:val="both"/>
        <w:rPr>
          <w:rFonts w:asciiTheme="majorHAnsi" w:hAnsiTheme="majorHAnsi"/>
        </w:rPr>
      </w:pPr>
      <w:r w:rsidRPr="00ED485F">
        <w:rPr>
          <w:rFonts w:asciiTheme="majorHAnsi" w:hAnsiTheme="majorHAnsi"/>
        </w:rPr>
        <w:t xml:space="preserve">It has been a wonderful journey of </w:t>
      </w:r>
      <w:r w:rsidR="000B24C2">
        <w:rPr>
          <w:rFonts w:asciiTheme="majorHAnsi" w:hAnsiTheme="majorHAnsi"/>
        </w:rPr>
        <w:t xml:space="preserve">nearly five </w:t>
      </w:r>
      <w:r w:rsidRPr="000B24C2">
        <w:rPr>
          <w:rFonts w:asciiTheme="majorHAnsi" w:hAnsiTheme="majorHAnsi"/>
        </w:rPr>
        <w:t>years</w:t>
      </w:r>
      <w:r w:rsidRPr="00ED485F">
        <w:rPr>
          <w:rFonts w:asciiTheme="majorHAnsi" w:hAnsiTheme="majorHAnsi"/>
        </w:rPr>
        <w:t xml:space="preserve">, wherein TPWODL has fostered a performance-driven </w:t>
      </w:r>
      <w:proofErr w:type="spellStart"/>
      <w:r w:rsidRPr="00ED485F">
        <w:rPr>
          <w:rFonts w:asciiTheme="majorHAnsi" w:hAnsiTheme="majorHAnsi"/>
        </w:rPr>
        <w:t>culturefocusing</w:t>
      </w:r>
      <w:proofErr w:type="spellEnd"/>
      <w:r w:rsidRPr="00ED485F">
        <w:rPr>
          <w:rFonts w:asciiTheme="majorHAnsi" w:hAnsiTheme="majorHAnsi"/>
        </w:rPr>
        <w:t xml:space="preserve"> on technical skills for employees in engineering, field operations and safety. Not only skill development of employees but also TPWODL has taken </w:t>
      </w:r>
      <w:r>
        <w:rPr>
          <w:rFonts w:asciiTheme="majorHAnsi" w:hAnsiTheme="majorHAnsi"/>
        </w:rPr>
        <w:t xml:space="preserve">a </w:t>
      </w:r>
      <w:r w:rsidRPr="00ED485F">
        <w:rPr>
          <w:rFonts w:asciiTheme="majorHAnsi" w:hAnsiTheme="majorHAnsi"/>
        </w:rPr>
        <w:t xml:space="preserve">lot of initiatives for skill development of communities which includes students from five ITI’s across TPWODL along with internship programs for development of students from academic institutes in Western Odisha. In view of long-term capability and leadership development, </w:t>
      </w:r>
      <w:r>
        <w:rPr>
          <w:rFonts w:asciiTheme="majorHAnsi" w:hAnsiTheme="majorHAnsi"/>
        </w:rPr>
        <w:t>TPWODL</w:t>
      </w:r>
      <w:r w:rsidRPr="00ED485F">
        <w:rPr>
          <w:rFonts w:asciiTheme="majorHAnsi" w:hAnsiTheme="majorHAnsi"/>
        </w:rPr>
        <w:t xml:space="preserve"> ha</w:t>
      </w:r>
      <w:r>
        <w:rPr>
          <w:rFonts w:asciiTheme="majorHAnsi" w:hAnsiTheme="majorHAnsi"/>
        </w:rPr>
        <w:t>s</w:t>
      </w:r>
      <w:r w:rsidRPr="00ED485F">
        <w:rPr>
          <w:rFonts w:asciiTheme="majorHAnsi" w:hAnsiTheme="majorHAnsi"/>
        </w:rPr>
        <w:t xml:space="preserve"> curated </w:t>
      </w:r>
      <w:r w:rsidR="00A20854">
        <w:rPr>
          <w:rFonts w:asciiTheme="majorHAnsi" w:hAnsiTheme="majorHAnsi"/>
        </w:rPr>
        <w:t xml:space="preserve">a one of </w:t>
      </w:r>
      <w:proofErr w:type="spellStart"/>
      <w:proofErr w:type="gramStart"/>
      <w:r w:rsidR="00A20854">
        <w:rPr>
          <w:rFonts w:asciiTheme="majorHAnsi" w:hAnsiTheme="majorHAnsi"/>
        </w:rPr>
        <w:t>it’s</w:t>
      </w:r>
      <w:proofErr w:type="spellEnd"/>
      <w:proofErr w:type="gramEnd"/>
      <w:r w:rsidR="00A20854">
        <w:rPr>
          <w:rFonts w:asciiTheme="majorHAnsi" w:hAnsiTheme="majorHAnsi"/>
        </w:rPr>
        <w:t xml:space="preserve"> kind </w:t>
      </w:r>
      <w:r w:rsidRPr="00ED485F">
        <w:rPr>
          <w:rFonts w:asciiTheme="majorHAnsi" w:hAnsiTheme="majorHAnsi"/>
        </w:rPr>
        <w:t xml:space="preserve">of comprehensive leadership development program for </w:t>
      </w:r>
      <w:r>
        <w:rPr>
          <w:rFonts w:asciiTheme="majorHAnsi" w:hAnsiTheme="majorHAnsi"/>
        </w:rPr>
        <w:t>its</w:t>
      </w:r>
      <w:r w:rsidRPr="00ED485F">
        <w:rPr>
          <w:rFonts w:asciiTheme="majorHAnsi" w:hAnsiTheme="majorHAnsi"/>
        </w:rPr>
        <w:t xml:space="preserve"> employees in association with reputed B school of India. In order to support mental and physical health of </w:t>
      </w:r>
      <w:r>
        <w:rPr>
          <w:rFonts w:asciiTheme="majorHAnsi" w:hAnsiTheme="majorHAnsi"/>
        </w:rPr>
        <w:t xml:space="preserve">its </w:t>
      </w:r>
      <w:r w:rsidRPr="00ED485F">
        <w:rPr>
          <w:rFonts w:asciiTheme="majorHAnsi" w:hAnsiTheme="majorHAnsi"/>
        </w:rPr>
        <w:t>employees</w:t>
      </w:r>
      <w:r>
        <w:rPr>
          <w:rFonts w:asciiTheme="majorHAnsi" w:hAnsiTheme="majorHAnsi"/>
        </w:rPr>
        <w:t>,</w:t>
      </w:r>
      <w:r w:rsidRPr="00ED485F">
        <w:rPr>
          <w:rFonts w:asciiTheme="majorHAnsi" w:hAnsiTheme="majorHAnsi"/>
        </w:rPr>
        <w:t xml:space="preserve"> various well-being program are also being conducted across </w:t>
      </w:r>
      <w:r w:rsidR="006B4A5A">
        <w:rPr>
          <w:rFonts w:asciiTheme="majorHAnsi" w:hAnsiTheme="majorHAnsi"/>
        </w:rPr>
        <w:t>the organization</w:t>
      </w:r>
      <w:r w:rsidRPr="00ED485F">
        <w:rPr>
          <w:rFonts w:asciiTheme="majorHAnsi" w:hAnsiTheme="majorHAnsi"/>
        </w:rPr>
        <w:t xml:space="preserve">. </w:t>
      </w:r>
      <w:r>
        <w:rPr>
          <w:rFonts w:asciiTheme="majorHAnsi" w:hAnsiTheme="majorHAnsi"/>
        </w:rPr>
        <w:t>TPWODL</w:t>
      </w:r>
      <w:r w:rsidRPr="00ED485F">
        <w:rPr>
          <w:rFonts w:asciiTheme="majorHAnsi" w:hAnsiTheme="majorHAnsi"/>
        </w:rPr>
        <w:t xml:space="preserve"> also aim</w:t>
      </w:r>
      <w:r>
        <w:rPr>
          <w:rFonts w:asciiTheme="majorHAnsi" w:hAnsiTheme="majorHAnsi"/>
        </w:rPr>
        <w:t>s</w:t>
      </w:r>
      <w:r w:rsidRPr="00ED485F">
        <w:rPr>
          <w:rFonts w:asciiTheme="majorHAnsi" w:hAnsiTheme="majorHAnsi"/>
        </w:rPr>
        <w:t xml:space="preserve"> to foster inclusivity by celebrating diversity within the workforce, ensuring</w:t>
      </w:r>
      <w:r w:rsidR="00A20854">
        <w:rPr>
          <w:rFonts w:asciiTheme="majorHAnsi" w:hAnsiTheme="majorHAnsi"/>
        </w:rPr>
        <w:t xml:space="preserve"> that</w:t>
      </w:r>
      <w:r w:rsidRPr="00ED485F">
        <w:rPr>
          <w:rFonts w:asciiTheme="majorHAnsi" w:hAnsiTheme="majorHAnsi"/>
        </w:rPr>
        <w:t xml:space="preserve"> everyone feels valued</w:t>
      </w:r>
      <w:r w:rsidR="000B24C2">
        <w:rPr>
          <w:rFonts w:asciiTheme="majorHAnsi" w:hAnsiTheme="majorHAnsi"/>
        </w:rPr>
        <w:t xml:space="preserve"> </w:t>
      </w:r>
      <w:r w:rsidRPr="00ED485F">
        <w:rPr>
          <w:rFonts w:asciiTheme="majorHAnsi" w:hAnsiTheme="majorHAnsi"/>
        </w:rPr>
        <w:t>and creating policies that reinforce a fair and safe workplace for all employees.</w:t>
      </w:r>
    </w:p>
    <w:p w14:paraId="1E072891" w14:textId="0CFECEB4" w:rsidR="005304A5" w:rsidRPr="001022A0" w:rsidRDefault="005304A5" w:rsidP="00C23F37">
      <w:pPr>
        <w:spacing w:beforeLines="100" w:before="240" w:afterLines="100" w:after="240" w:line="360" w:lineRule="auto"/>
        <w:jc w:val="both"/>
        <w:rPr>
          <w:rFonts w:asciiTheme="majorHAnsi" w:hAnsiTheme="majorHAnsi"/>
        </w:rPr>
      </w:pPr>
      <w:r w:rsidRPr="001022A0">
        <w:rPr>
          <w:rFonts w:asciiTheme="majorHAnsi" w:hAnsiTheme="majorHAnsi"/>
        </w:rPr>
        <w:t>In TPWODL, Human resources (HR) play</w:t>
      </w:r>
      <w:r w:rsidR="000B24C2">
        <w:rPr>
          <w:rFonts w:asciiTheme="majorHAnsi" w:hAnsiTheme="majorHAnsi"/>
        </w:rPr>
        <w:t>s</w:t>
      </w:r>
      <w:r w:rsidRPr="001022A0">
        <w:rPr>
          <w:rFonts w:asciiTheme="majorHAnsi" w:hAnsiTheme="majorHAnsi"/>
        </w:rPr>
        <w:t xml:space="preserve"> a crucial role and </w:t>
      </w:r>
      <w:proofErr w:type="spellStart"/>
      <w:r w:rsidRPr="001022A0">
        <w:rPr>
          <w:rFonts w:asciiTheme="majorHAnsi" w:hAnsiTheme="majorHAnsi"/>
        </w:rPr>
        <w:t>it</w:t>
      </w:r>
      <w:r w:rsidR="000B24C2">
        <w:rPr>
          <w:rFonts w:asciiTheme="majorHAnsi" w:hAnsiTheme="majorHAnsi"/>
        </w:rPr>
        <w:t>’</w:t>
      </w:r>
      <w:r w:rsidRPr="001022A0">
        <w:rPr>
          <w:rFonts w:asciiTheme="majorHAnsi" w:hAnsiTheme="majorHAnsi"/>
        </w:rPr>
        <w:t>s</w:t>
      </w:r>
      <w:proofErr w:type="spellEnd"/>
      <w:r w:rsidRPr="001022A0">
        <w:rPr>
          <w:rFonts w:asciiTheme="majorHAnsi" w:hAnsiTheme="majorHAnsi"/>
        </w:rPr>
        <w:t xml:space="preserve"> importance cannot be overstated. As a multifaceted department responsible for managing TPWODL’s most valuable asset viz., its people. Key areas of Human Resource department are as follows:</w:t>
      </w:r>
    </w:p>
    <w:p w14:paraId="13AC0A9C" w14:textId="77777777" w:rsidR="005304A5" w:rsidRPr="001022A0" w:rsidRDefault="005304A5" w:rsidP="00C23F37">
      <w:pPr>
        <w:spacing w:beforeLines="100" w:before="240" w:afterLines="100" w:after="240" w:line="276" w:lineRule="auto"/>
        <w:jc w:val="both"/>
        <w:rPr>
          <w:rFonts w:asciiTheme="majorHAnsi" w:hAnsiTheme="majorHAnsi"/>
        </w:rPr>
      </w:pPr>
      <w:r w:rsidRPr="001022A0">
        <w:rPr>
          <w:rFonts w:asciiTheme="majorHAnsi" w:hAnsiTheme="majorHAnsi"/>
          <w:b/>
          <w:bCs/>
          <w:u w:val="single"/>
        </w:rPr>
        <w:t>Talent Acquisition</w:t>
      </w:r>
      <w:r w:rsidRPr="001022A0">
        <w:rPr>
          <w:rFonts w:asciiTheme="majorHAnsi" w:hAnsiTheme="majorHAnsi"/>
          <w:b/>
          <w:bCs/>
        </w:rPr>
        <w:t>:</w:t>
      </w:r>
      <w:r w:rsidRPr="001022A0">
        <w:rPr>
          <w:rFonts w:asciiTheme="majorHAnsi" w:hAnsiTheme="majorHAnsi"/>
        </w:rPr>
        <w:t xml:space="preserve"> For recruiting and hiring the right talent for the organization ensuring that the workforce is well-qualified, diverse, and aligned with the company's goals and culture.</w:t>
      </w:r>
    </w:p>
    <w:p w14:paraId="4A1FC489" w14:textId="77777777" w:rsidR="005304A5" w:rsidRPr="001022A0" w:rsidRDefault="005304A5" w:rsidP="00C23F37">
      <w:pPr>
        <w:spacing w:beforeLines="100" w:before="240" w:afterLines="100" w:after="240" w:line="276" w:lineRule="auto"/>
        <w:jc w:val="both"/>
        <w:rPr>
          <w:rFonts w:asciiTheme="majorHAnsi" w:hAnsiTheme="majorHAnsi"/>
        </w:rPr>
      </w:pPr>
      <w:r w:rsidRPr="001022A0">
        <w:rPr>
          <w:rFonts w:asciiTheme="majorHAnsi" w:hAnsiTheme="majorHAnsi"/>
          <w:b/>
          <w:bCs/>
          <w:u w:val="single"/>
        </w:rPr>
        <w:t>Employee Development</w:t>
      </w:r>
      <w:r w:rsidRPr="001022A0">
        <w:rPr>
          <w:rFonts w:asciiTheme="majorHAnsi" w:hAnsiTheme="majorHAnsi"/>
          <w:b/>
          <w:bCs/>
        </w:rPr>
        <w:t>:</w:t>
      </w:r>
      <w:r w:rsidRPr="001022A0">
        <w:rPr>
          <w:rFonts w:asciiTheme="majorHAnsi" w:hAnsiTheme="majorHAnsi"/>
        </w:rPr>
        <w:t xml:space="preserve"> For fostering the growth and development of employees through training and development programs, performance appraisals, and career planning as well as helping in improving the skills and capabilities of the workforce, leading to a more skilled and motivated team.</w:t>
      </w:r>
    </w:p>
    <w:p w14:paraId="3FC388A5" w14:textId="77777777" w:rsidR="005304A5" w:rsidRPr="001022A0" w:rsidRDefault="005304A5" w:rsidP="00C23F37">
      <w:pPr>
        <w:spacing w:beforeLines="100" w:before="240" w:afterLines="100" w:after="240" w:line="276" w:lineRule="auto"/>
        <w:jc w:val="both"/>
        <w:rPr>
          <w:rFonts w:asciiTheme="majorHAnsi" w:hAnsiTheme="majorHAnsi"/>
        </w:rPr>
      </w:pPr>
      <w:r w:rsidRPr="001022A0">
        <w:rPr>
          <w:rFonts w:asciiTheme="majorHAnsi" w:hAnsiTheme="majorHAnsi"/>
          <w:b/>
          <w:bCs/>
          <w:u w:val="single"/>
        </w:rPr>
        <w:t>Employee Retention</w:t>
      </w:r>
      <w:r w:rsidRPr="001022A0">
        <w:rPr>
          <w:rFonts w:asciiTheme="majorHAnsi" w:hAnsiTheme="majorHAnsi"/>
          <w:b/>
          <w:bCs/>
        </w:rPr>
        <w:t>:</w:t>
      </w:r>
      <w:r w:rsidRPr="001022A0">
        <w:rPr>
          <w:rFonts w:asciiTheme="majorHAnsi" w:hAnsiTheme="majorHAnsi"/>
        </w:rPr>
        <w:t xml:space="preserve"> Implement strategies to retaining top talent which are crucial for organizational success.</w:t>
      </w:r>
    </w:p>
    <w:p w14:paraId="4B5E09B7" w14:textId="18081BD7" w:rsidR="005304A5" w:rsidRPr="001022A0" w:rsidRDefault="005304A5" w:rsidP="00C23F37">
      <w:pPr>
        <w:spacing w:beforeLines="100" w:before="240" w:afterLines="100" w:after="240" w:line="276" w:lineRule="auto"/>
        <w:jc w:val="both"/>
        <w:rPr>
          <w:rFonts w:asciiTheme="majorHAnsi" w:hAnsiTheme="majorHAnsi"/>
        </w:rPr>
      </w:pPr>
      <w:r w:rsidRPr="001022A0">
        <w:rPr>
          <w:rFonts w:asciiTheme="majorHAnsi" w:hAnsiTheme="majorHAnsi"/>
          <w:b/>
          <w:bCs/>
          <w:u w:val="single"/>
        </w:rPr>
        <w:t>Compliance and Legal Matters</w:t>
      </w:r>
      <w:r w:rsidRPr="001022A0">
        <w:rPr>
          <w:rFonts w:asciiTheme="majorHAnsi" w:hAnsiTheme="majorHAnsi"/>
          <w:b/>
          <w:bCs/>
        </w:rPr>
        <w:t>:</w:t>
      </w:r>
      <w:r w:rsidRPr="001022A0">
        <w:rPr>
          <w:rFonts w:asciiTheme="majorHAnsi" w:hAnsiTheme="majorHAnsi"/>
        </w:rPr>
        <w:t xml:space="preserve"> For ensuring that the organization complies with labor laws, regulations</w:t>
      </w:r>
      <w:r w:rsidR="006B4A5A">
        <w:rPr>
          <w:rFonts w:asciiTheme="majorHAnsi" w:hAnsiTheme="majorHAnsi"/>
        </w:rPr>
        <w:t xml:space="preserve"> </w:t>
      </w:r>
      <w:r w:rsidRPr="001022A0">
        <w:rPr>
          <w:rFonts w:asciiTheme="majorHAnsi" w:hAnsiTheme="majorHAnsi"/>
        </w:rPr>
        <w:t>and industry standards.</w:t>
      </w:r>
    </w:p>
    <w:p w14:paraId="71A7A145" w14:textId="0A20B9FC" w:rsidR="005304A5" w:rsidRPr="001022A0" w:rsidRDefault="005304A5" w:rsidP="00C23F37">
      <w:pPr>
        <w:spacing w:beforeLines="100" w:before="240" w:afterLines="100" w:after="240" w:line="276" w:lineRule="auto"/>
        <w:jc w:val="both"/>
        <w:rPr>
          <w:rFonts w:asciiTheme="majorHAnsi" w:hAnsiTheme="majorHAnsi"/>
        </w:rPr>
      </w:pPr>
      <w:r w:rsidRPr="001022A0">
        <w:rPr>
          <w:rFonts w:asciiTheme="majorHAnsi" w:hAnsiTheme="majorHAnsi"/>
          <w:b/>
          <w:bCs/>
          <w:u w:val="single"/>
        </w:rPr>
        <w:t>Organizational Culture</w:t>
      </w:r>
      <w:r w:rsidRPr="001022A0">
        <w:rPr>
          <w:rFonts w:asciiTheme="majorHAnsi" w:hAnsiTheme="majorHAnsi"/>
          <w:b/>
          <w:bCs/>
        </w:rPr>
        <w:t>:</w:t>
      </w:r>
      <w:r w:rsidRPr="001022A0">
        <w:rPr>
          <w:rFonts w:asciiTheme="majorHAnsi" w:hAnsiTheme="majorHAnsi"/>
        </w:rPr>
        <w:t xml:space="preserve"> In shaping and maintaining the organizational culture by creating a positive work environment that fosters teamwork, collaboration and innovation.</w:t>
      </w:r>
    </w:p>
    <w:p w14:paraId="663BAF7B" w14:textId="77777777" w:rsidR="005304A5" w:rsidRPr="001022A0" w:rsidRDefault="005304A5" w:rsidP="00C23F37">
      <w:pPr>
        <w:spacing w:beforeLines="100" w:before="240" w:afterLines="100" w:after="240" w:line="276" w:lineRule="auto"/>
        <w:jc w:val="both"/>
        <w:rPr>
          <w:rFonts w:asciiTheme="majorHAnsi" w:hAnsiTheme="majorHAnsi"/>
        </w:rPr>
      </w:pPr>
      <w:r w:rsidRPr="001022A0">
        <w:rPr>
          <w:rFonts w:asciiTheme="majorHAnsi" w:hAnsiTheme="majorHAnsi"/>
          <w:b/>
          <w:bCs/>
          <w:u w:val="single"/>
        </w:rPr>
        <w:t>Strategic Planning</w:t>
      </w:r>
      <w:r w:rsidRPr="001022A0">
        <w:rPr>
          <w:rFonts w:asciiTheme="majorHAnsi" w:hAnsiTheme="majorHAnsi"/>
          <w:b/>
          <w:bCs/>
        </w:rPr>
        <w:t>:</w:t>
      </w:r>
      <w:r w:rsidRPr="001022A0">
        <w:rPr>
          <w:rFonts w:asciiTheme="majorHAnsi" w:hAnsiTheme="majorHAnsi"/>
        </w:rPr>
        <w:t xml:space="preserve"> To contribute to an organization's strategic planning by aligning HR practices with the company's long-term goals.</w:t>
      </w:r>
    </w:p>
    <w:p w14:paraId="1AC7F3A7" w14:textId="77777777" w:rsidR="005304A5" w:rsidRPr="001022A0" w:rsidRDefault="005304A5" w:rsidP="00C23F37">
      <w:pPr>
        <w:spacing w:beforeLines="100" w:before="240" w:afterLines="100" w:after="240" w:line="276" w:lineRule="auto"/>
        <w:jc w:val="both"/>
        <w:rPr>
          <w:rFonts w:asciiTheme="majorHAnsi" w:hAnsiTheme="majorHAnsi"/>
        </w:rPr>
      </w:pPr>
      <w:r w:rsidRPr="001022A0">
        <w:rPr>
          <w:rFonts w:asciiTheme="majorHAnsi" w:hAnsiTheme="majorHAnsi"/>
          <w:b/>
          <w:bCs/>
          <w:u w:val="single"/>
        </w:rPr>
        <w:t>Diversity and Inclusion</w:t>
      </w:r>
      <w:r w:rsidRPr="001022A0">
        <w:rPr>
          <w:rFonts w:asciiTheme="majorHAnsi" w:hAnsiTheme="majorHAnsi"/>
          <w:b/>
          <w:bCs/>
        </w:rPr>
        <w:t>:</w:t>
      </w:r>
      <w:r w:rsidRPr="001022A0">
        <w:rPr>
          <w:rFonts w:asciiTheme="majorHAnsi" w:hAnsiTheme="majorHAnsi"/>
        </w:rPr>
        <w:t xml:space="preserve"> In promoting diversity and inclusion within the workplace, ensuring that the organization values and harnesses the diverse perspectives and backgrounds of its employees.</w:t>
      </w:r>
    </w:p>
    <w:p w14:paraId="03DB0BB6" w14:textId="5DFC20AB" w:rsidR="005304A5" w:rsidRDefault="005304A5" w:rsidP="00C23F37">
      <w:pPr>
        <w:spacing w:beforeLines="100" w:before="240" w:afterLines="100" w:after="240" w:line="276" w:lineRule="auto"/>
        <w:jc w:val="both"/>
        <w:rPr>
          <w:rFonts w:asciiTheme="majorHAnsi" w:hAnsiTheme="majorHAnsi"/>
        </w:rPr>
      </w:pPr>
      <w:r w:rsidRPr="001022A0">
        <w:rPr>
          <w:rFonts w:asciiTheme="majorHAnsi" w:hAnsiTheme="majorHAnsi"/>
          <w:b/>
          <w:bCs/>
          <w:u w:val="single"/>
        </w:rPr>
        <w:t>Employee Health and Well-being</w:t>
      </w:r>
      <w:r w:rsidRPr="001022A0">
        <w:rPr>
          <w:rFonts w:asciiTheme="majorHAnsi" w:hAnsiTheme="majorHAnsi"/>
          <w:b/>
          <w:bCs/>
        </w:rPr>
        <w:t>:</w:t>
      </w:r>
      <w:r w:rsidRPr="001022A0">
        <w:rPr>
          <w:rFonts w:asciiTheme="majorHAnsi" w:hAnsiTheme="majorHAnsi"/>
        </w:rPr>
        <w:t xml:space="preserve"> Implementation of programs and policies to support employee health and well-being for increased productivity, reduced absenteeism, and a more positive workplace culture.</w:t>
      </w:r>
    </w:p>
    <w:p w14:paraId="5D041682" w14:textId="2B3AEA86" w:rsidR="005304A5" w:rsidRDefault="005304A5" w:rsidP="00C23F37">
      <w:pPr>
        <w:spacing w:beforeLines="100" w:before="240" w:afterLines="100" w:after="240" w:line="360" w:lineRule="auto"/>
        <w:jc w:val="both"/>
        <w:rPr>
          <w:rFonts w:asciiTheme="majorHAnsi" w:hAnsiTheme="majorHAnsi"/>
        </w:rPr>
      </w:pPr>
      <w:r w:rsidRPr="001022A0">
        <w:rPr>
          <w:rFonts w:asciiTheme="majorHAnsi" w:hAnsiTheme="majorHAnsi"/>
        </w:rPr>
        <w:t>TPWODL has taken over the distribution business from erstwhile WESCO utility w.e.f</w:t>
      </w:r>
      <w:r w:rsidR="00E83C1F">
        <w:rPr>
          <w:rFonts w:asciiTheme="majorHAnsi" w:hAnsiTheme="majorHAnsi"/>
        </w:rPr>
        <w:t>.</w:t>
      </w:r>
      <w:r w:rsidRPr="001022A0">
        <w:rPr>
          <w:rFonts w:asciiTheme="majorHAnsi" w:hAnsiTheme="majorHAnsi"/>
        </w:rPr>
        <w:t xml:space="preserve"> 1st Jan-21. In view of the large-scale energization of new areas either through rural electrification or due to addition of new consumers, the Utility has been restructured and reorganized by creation of new Divisions, Sub-Divisions and Sections with reinforcement of allied activities such as MRT, Energy Audit, Maintenance of Distribution Transformers and Vigilance activities.</w:t>
      </w:r>
    </w:p>
    <w:p w14:paraId="00E055EB" w14:textId="4A9CC41D" w:rsidR="005304A5" w:rsidRPr="001022A0" w:rsidRDefault="005304A5" w:rsidP="00C23F37">
      <w:pPr>
        <w:spacing w:beforeLines="100" w:before="240" w:afterLines="100" w:after="240" w:line="360" w:lineRule="auto"/>
        <w:jc w:val="both"/>
        <w:rPr>
          <w:rFonts w:asciiTheme="majorHAnsi" w:hAnsiTheme="majorHAnsi"/>
        </w:rPr>
      </w:pPr>
      <w:r w:rsidRPr="001022A0">
        <w:rPr>
          <w:rFonts w:asciiTheme="majorHAnsi" w:hAnsiTheme="majorHAnsi"/>
        </w:rPr>
        <w:t>The massive shortage of manpower posed real challenge for seamless operation. TPWODL</w:t>
      </w:r>
      <w:r w:rsidR="00056C4C">
        <w:rPr>
          <w:rFonts w:asciiTheme="majorHAnsi" w:hAnsiTheme="majorHAnsi"/>
        </w:rPr>
        <w:t xml:space="preserve"> has</w:t>
      </w:r>
      <w:r w:rsidRPr="001022A0">
        <w:rPr>
          <w:rFonts w:asciiTheme="majorHAnsi" w:hAnsiTheme="majorHAnsi"/>
        </w:rPr>
        <w:t xml:space="preserve"> carried out detailed study of the existing manpower gaps across various departments and geographical areas spread across 48,373 sq. km and accordingly started formulating comprehensive recruitment plan for filling up the resource gaps.</w:t>
      </w:r>
    </w:p>
    <w:p w14:paraId="394CBFEF" w14:textId="77777777" w:rsidR="005304A5" w:rsidRPr="001022A0" w:rsidRDefault="005304A5" w:rsidP="00C23F37">
      <w:pPr>
        <w:spacing w:beforeLines="100" w:before="240" w:afterLines="100" w:after="240" w:line="360" w:lineRule="auto"/>
        <w:jc w:val="both"/>
        <w:rPr>
          <w:rFonts w:asciiTheme="majorHAnsi" w:hAnsiTheme="majorHAnsi"/>
        </w:rPr>
      </w:pPr>
      <w:r w:rsidRPr="001022A0">
        <w:rPr>
          <w:rFonts w:asciiTheme="majorHAnsi" w:hAnsiTheme="majorHAnsi"/>
        </w:rPr>
        <w:t>A comparative analysis of the no. of employees and the no. of consumers since FY 13-14 is appended below:</w:t>
      </w:r>
    </w:p>
    <w:tbl>
      <w:tblPr>
        <w:tblStyle w:val="TableGrid"/>
        <w:tblW w:w="0" w:type="auto"/>
        <w:tblLook w:val="04A0" w:firstRow="1" w:lastRow="0" w:firstColumn="1" w:lastColumn="0" w:noHBand="0" w:noVBand="1"/>
      </w:tblPr>
      <w:tblGrid>
        <w:gridCol w:w="773"/>
        <w:gridCol w:w="1564"/>
        <w:gridCol w:w="1932"/>
        <w:gridCol w:w="2497"/>
        <w:gridCol w:w="2278"/>
      </w:tblGrid>
      <w:tr w:rsidR="00056C4C" w:rsidRPr="00024BF0" w14:paraId="76BE69CC" w14:textId="09BB6B34" w:rsidTr="00C23F37">
        <w:trPr>
          <w:trHeight w:val="441"/>
          <w:tblHeader/>
        </w:trPr>
        <w:tc>
          <w:tcPr>
            <w:tcW w:w="773" w:type="dxa"/>
            <w:shd w:val="clear" w:color="auto" w:fill="C6D9F1" w:themeFill="text2" w:themeFillTint="33"/>
            <w:vAlign w:val="center"/>
          </w:tcPr>
          <w:p w14:paraId="506C0A11" w14:textId="77777777" w:rsidR="00056C4C" w:rsidRPr="00024BF0" w:rsidRDefault="00056C4C" w:rsidP="00024BF0">
            <w:pPr>
              <w:jc w:val="center"/>
              <w:rPr>
                <w:rFonts w:asciiTheme="majorHAnsi" w:hAnsiTheme="majorHAnsi"/>
                <w:b/>
                <w:bCs/>
                <w:sz w:val="22"/>
                <w:szCs w:val="22"/>
              </w:rPr>
            </w:pPr>
            <w:r w:rsidRPr="00024BF0">
              <w:rPr>
                <w:rFonts w:asciiTheme="majorHAnsi" w:hAnsiTheme="majorHAnsi"/>
                <w:b/>
                <w:bCs/>
                <w:sz w:val="22"/>
                <w:szCs w:val="22"/>
              </w:rPr>
              <w:t>S. No.</w:t>
            </w:r>
          </w:p>
        </w:tc>
        <w:tc>
          <w:tcPr>
            <w:tcW w:w="1564" w:type="dxa"/>
            <w:shd w:val="clear" w:color="auto" w:fill="C6D9F1" w:themeFill="text2" w:themeFillTint="33"/>
            <w:vAlign w:val="center"/>
          </w:tcPr>
          <w:p w14:paraId="5BCB161A" w14:textId="77777777" w:rsidR="00056C4C" w:rsidRPr="00024BF0" w:rsidRDefault="00056C4C" w:rsidP="00024BF0">
            <w:pPr>
              <w:jc w:val="center"/>
              <w:rPr>
                <w:rFonts w:asciiTheme="majorHAnsi" w:hAnsiTheme="majorHAnsi"/>
                <w:b/>
                <w:bCs/>
                <w:sz w:val="22"/>
                <w:szCs w:val="22"/>
              </w:rPr>
            </w:pPr>
            <w:r w:rsidRPr="00024BF0">
              <w:rPr>
                <w:rFonts w:asciiTheme="majorHAnsi" w:hAnsiTheme="majorHAnsi"/>
                <w:b/>
                <w:bCs/>
                <w:sz w:val="22"/>
                <w:szCs w:val="22"/>
              </w:rPr>
              <w:t>Financial Year</w:t>
            </w:r>
          </w:p>
        </w:tc>
        <w:tc>
          <w:tcPr>
            <w:tcW w:w="1932" w:type="dxa"/>
            <w:shd w:val="clear" w:color="auto" w:fill="C6D9F1" w:themeFill="text2" w:themeFillTint="33"/>
            <w:vAlign w:val="center"/>
          </w:tcPr>
          <w:p w14:paraId="191BBAD0" w14:textId="77777777" w:rsidR="00056C4C" w:rsidRPr="00024BF0" w:rsidRDefault="00056C4C" w:rsidP="00024BF0">
            <w:pPr>
              <w:jc w:val="center"/>
              <w:rPr>
                <w:rFonts w:asciiTheme="majorHAnsi" w:hAnsiTheme="majorHAnsi"/>
                <w:b/>
                <w:bCs/>
                <w:sz w:val="22"/>
                <w:szCs w:val="22"/>
              </w:rPr>
            </w:pPr>
            <w:r w:rsidRPr="00024BF0">
              <w:rPr>
                <w:rFonts w:asciiTheme="majorHAnsi" w:hAnsiTheme="majorHAnsi"/>
                <w:b/>
                <w:bCs/>
                <w:sz w:val="22"/>
                <w:szCs w:val="22"/>
              </w:rPr>
              <w:t>No. of Employees</w:t>
            </w:r>
          </w:p>
        </w:tc>
        <w:tc>
          <w:tcPr>
            <w:tcW w:w="2497" w:type="dxa"/>
            <w:shd w:val="clear" w:color="auto" w:fill="C6D9F1" w:themeFill="text2" w:themeFillTint="33"/>
          </w:tcPr>
          <w:p w14:paraId="617E05B1" w14:textId="77777777" w:rsidR="00056C4C" w:rsidRDefault="00056C4C" w:rsidP="005304A5">
            <w:pPr>
              <w:jc w:val="center"/>
              <w:rPr>
                <w:rFonts w:asciiTheme="majorHAnsi" w:hAnsiTheme="majorHAnsi"/>
                <w:b/>
                <w:bCs/>
                <w:sz w:val="22"/>
                <w:szCs w:val="22"/>
              </w:rPr>
            </w:pPr>
            <w:r w:rsidRPr="00024BF0">
              <w:rPr>
                <w:rFonts w:asciiTheme="majorHAnsi" w:hAnsiTheme="majorHAnsi"/>
                <w:b/>
                <w:bCs/>
                <w:sz w:val="22"/>
                <w:szCs w:val="22"/>
              </w:rPr>
              <w:t xml:space="preserve">No. of Consumers </w:t>
            </w:r>
          </w:p>
          <w:p w14:paraId="57DA8F75" w14:textId="311082FE" w:rsidR="00056C4C" w:rsidRPr="00024BF0" w:rsidRDefault="00056C4C" w:rsidP="005304A5">
            <w:pPr>
              <w:jc w:val="center"/>
              <w:rPr>
                <w:rFonts w:asciiTheme="majorHAnsi" w:hAnsiTheme="majorHAnsi"/>
                <w:b/>
                <w:bCs/>
                <w:sz w:val="22"/>
                <w:szCs w:val="22"/>
              </w:rPr>
            </w:pPr>
            <w:r w:rsidRPr="00024BF0">
              <w:rPr>
                <w:rFonts w:asciiTheme="majorHAnsi" w:hAnsiTheme="majorHAnsi"/>
                <w:b/>
                <w:bCs/>
                <w:sz w:val="22"/>
                <w:szCs w:val="22"/>
              </w:rPr>
              <w:t>(in lakhs)</w:t>
            </w:r>
          </w:p>
        </w:tc>
        <w:tc>
          <w:tcPr>
            <w:tcW w:w="2278" w:type="dxa"/>
            <w:shd w:val="clear" w:color="auto" w:fill="C6D9F1" w:themeFill="text2" w:themeFillTint="33"/>
          </w:tcPr>
          <w:p w14:paraId="760C56EB" w14:textId="15D148C6" w:rsidR="00056C4C" w:rsidRPr="00024BF0" w:rsidRDefault="00056C4C" w:rsidP="005304A5">
            <w:pPr>
              <w:jc w:val="center"/>
              <w:rPr>
                <w:rFonts w:asciiTheme="majorHAnsi" w:hAnsiTheme="majorHAnsi"/>
                <w:b/>
                <w:bCs/>
                <w:sz w:val="22"/>
                <w:szCs w:val="22"/>
              </w:rPr>
            </w:pPr>
            <w:r>
              <w:rPr>
                <w:rFonts w:asciiTheme="majorHAnsi" w:hAnsiTheme="majorHAnsi"/>
                <w:b/>
                <w:bCs/>
                <w:sz w:val="22"/>
                <w:szCs w:val="22"/>
              </w:rPr>
              <w:t>Employee per 1000 Consumer</w:t>
            </w:r>
          </w:p>
        </w:tc>
      </w:tr>
      <w:tr w:rsidR="00056C4C" w:rsidRPr="00024BF0" w14:paraId="27D9B96F" w14:textId="0E338D00" w:rsidTr="00056C4C">
        <w:trPr>
          <w:trHeight w:val="208"/>
        </w:trPr>
        <w:tc>
          <w:tcPr>
            <w:tcW w:w="773" w:type="dxa"/>
            <w:vAlign w:val="center"/>
          </w:tcPr>
          <w:p w14:paraId="01ED9F57"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1</w:t>
            </w:r>
          </w:p>
        </w:tc>
        <w:tc>
          <w:tcPr>
            <w:tcW w:w="1564" w:type="dxa"/>
            <w:vAlign w:val="center"/>
          </w:tcPr>
          <w:p w14:paraId="14067332"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FY 13-14</w:t>
            </w:r>
          </w:p>
        </w:tc>
        <w:tc>
          <w:tcPr>
            <w:tcW w:w="1932" w:type="dxa"/>
            <w:vAlign w:val="center"/>
          </w:tcPr>
          <w:p w14:paraId="567E0D8C"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3785</w:t>
            </w:r>
          </w:p>
        </w:tc>
        <w:tc>
          <w:tcPr>
            <w:tcW w:w="2497" w:type="dxa"/>
            <w:vAlign w:val="center"/>
          </w:tcPr>
          <w:p w14:paraId="3CDA902C" w14:textId="77777777" w:rsidR="00056C4C" w:rsidRPr="00024BF0" w:rsidRDefault="00056C4C" w:rsidP="005304A5">
            <w:pPr>
              <w:jc w:val="center"/>
              <w:rPr>
                <w:rFonts w:asciiTheme="majorHAnsi" w:hAnsiTheme="majorHAnsi"/>
                <w:sz w:val="22"/>
                <w:szCs w:val="22"/>
              </w:rPr>
            </w:pPr>
            <w:r w:rsidRPr="00024BF0">
              <w:rPr>
                <w:rFonts w:asciiTheme="majorHAnsi" w:hAnsiTheme="majorHAnsi"/>
                <w:sz w:val="22"/>
                <w:szCs w:val="22"/>
              </w:rPr>
              <w:t>11.81</w:t>
            </w:r>
          </w:p>
        </w:tc>
        <w:tc>
          <w:tcPr>
            <w:tcW w:w="2278" w:type="dxa"/>
          </w:tcPr>
          <w:p w14:paraId="6AB500B4" w14:textId="01290463" w:rsidR="00056C4C" w:rsidRPr="00024BF0" w:rsidRDefault="00056C4C" w:rsidP="005304A5">
            <w:pPr>
              <w:jc w:val="center"/>
              <w:rPr>
                <w:rFonts w:asciiTheme="majorHAnsi" w:hAnsiTheme="majorHAnsi"/>
                <w:sz w:val="22"/>
                <w:szCs w:val="22"/>
              </w:rPr>
            </w:pPr>
            <w:r>
              <w:rPr>
                <w:rFonts w:asciiTheme="majorHAnsi" w:hAnsiTheme="majorHAnsi"/>
                <w:sz w:val="22"/>
                <w:szCs w:val="22"/>
              </w:rPr>
              <w:t>3.20</w:t>
            </w:r>
          </w:p>
        </w:tc>
      </w:tr>
      <w:tr w:rsidR="00056C4C" w:rsidRPr="00024BF0" w14:paraId="4FF813E6" w14:textId="5F7FC0BA" w:rsidTr="00056C4C">
        <w:trPr>
          <w:trHeight w:val="220"/>
        </w:trPr>
        <w:tc>
          <w:tcPr>
            <w:tcW w:w="773" w:type="dxa"/>
            <w:vAlign w:val="center"/>
          </w:tcPr>
          <w:p w14:paraId="66AB9BCF"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2</w:t>
            </w:r>
          </w:p>
        </w:tc>
        <w:tc>
          <w:tcPr>
            <w:tcW w:w="1564" w:type="dxa"/>
            <w:vAlign w:val="center"/>
          </w:tcPr>
          <w:p w14:paraId="60852EC9"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FY 14-15</w:t>
            </w:r>
          </w:p>
        </w:tc>
        <w:tc>
          <w:tcPr>
            <w:tcW w:w="1932" w:type="dxa"/>
            <w:vAlign w:val="center"/>
          </w:tcPr>
          <w:p w14:paraId="7060C602"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3610</w:t>
            </w:r>
          </w:p>
        </w:tc>
        <w:tc>
          <w:tcPr>
            <w:tcW w:w="2497" w:type="dxa"/>
            <w:vAlign w:val="center"/>
          </w:tcPr>
          <w:p w14:paraId="4B9937A2" w14:textId="77777777" w:rsidR="00056C4C" w:rsidRPr="00024BF0" w:rsidRDefault="00056C4C" w:rsidP="005304A5">
            <w:pPr>
              <w:jc w:val="center"/>
              <w:rPr>
                <w:rFonts w:asciiTheme="majorHAnsi" w:hAnsiTheme="majorHAnsi"/>
                <w:sz w:val="22"/>
                <w:szCs w:val="22"/>
              </w:rPr>
            </w:pPr>
            <w:r w:rsidRPr="00024BF0">
              <w:rPr>
                <w:rFonts w:asciiTheme="majorHAnsi" w:hAnsiTheme="majorHAnsi"/>
                <w:sz w:val="22"/>
                <w:szCs w:val="22"/>
              </w:rPr>
              <w:t>13.78</w:t>
            </w:r>
          </w:p>
        </w:tc>
        <w:tc>
          <w:tcPr>
            <w:tcW w:w="2278" w:type="dxa"/>
          </w:tcPr>
          <w:p w14:paraId="431199EE" w14:textId="199B9828" w:rsidR="00056C4C" w:rsidRPr="00024BF0" w:rsidRDefault="00056C4C" w:rsidP="005304A5">
            <w:pPr>
              <w:jc w:val="center"/>
              <w:rPr>
                <w:rFonts w:asciiTheme="majorHAnsi" w:hAnsiTheme="majorHAnsi"/>
                <w:sz w:val="22"/>
                <w:szCs w:val="22"/>
              </w:rPr>
            </w:pPr>
            <w:r>
              <w:rPr>
                <w:rFonts w:asciiTheme="majorHAnsi" w:hAnsiTheme="majorHAnsi"/>
                <w:sz w:val="22"/>
                <w:szCs w:val="22"/>
              </w:rPr>
              <w:t>2.62</w:t>
            </w:r>
          </w:p>
        </w:tc>
      </w:tr>
      <w:tr w:rsidR="00056C4C" w:rsidRPr="00024BF0" w14:paraId="626CCF7D" w14:textId="61499AA6" w:rsidTr="00056C4C">
        <w:trPr>
          <w:trHeight w:val="220"/>
        </w:trPr>
        <w:tc>
          <w:tcPr>
            <w:tcW w:w="773" w:type="dxa"/>
            <w:vAlign w:val="center"/>
          </w:tcPr>
          <w:p w14:paraId="7B20346B"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3</w:t>
            </w:r>
          </w:p>
        </w:tc>
        <w:tc>
          <w:tcPr>
            <w:tcW w:w="1564" w:type="dxa"/>
            <w:vAlign w:val="center"/>
          </w:tcPr>
          <w:p w14:paraId="1D87F338"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FY 15-16</w:t>
            </w:r>
          </w:p>
        </w:tc>
        <w:tc>
          <w:tcPr>
            <w:tcW w:w="1932" w:type="dxa"/>
            <w:vAlign w:val="center"/>
          </w:tcPr>
          <w:p w14:paraId="038A790C"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3311</w:t>
            </w:r>
          </w:p>
        </w:tc>
        <w:tc>
          <w:tcPr>
            <w:tcW w:w="2497" w:type="dxa"/>
            <w:vAlign w:val="center"/>
          </w:tcPr>
          <w:p w14:paraId="725282B2" w14:textId="77777777" w:rsidR="00056C4C" w:rsidRPr="00024BF0" w:rsidRDefault="00056C4C" w:rsidP="005304A5">
            <w:pPr>
              <w:jc w:val="center"/>
              <w:rPr>
                <w:rFonts w:asciiTheme="majorHAnsi" w:hAnsiTheme="majorHAnsi"/>
                <w:sz w:val="22"/>
                <w:szCs w:val="22"/>
              </w:rPr>
            </w:pPr>
            <w:r w:rsidRPr="00024BF0">
              <w:rPr>
                <w:rFonts w:asciiTheme="majorHAnsi" w:hAnsiTheme="majorHAnsi"/>
                <w:sz w:val="22"/>
                <w:szCs w:val="22"/>
              </w:rPr>
              <w:t>14.01</w:t>
            </w:r>
          </w:p>
        </w:tc>
        <w:tc>
          <w:tcPr>
            <w:tcW w:w="2278" w:type="dxa"/>
          </w:tcPr>
          <w:p w14:paraId="5FBECAB6" w14:textId="19038655" w:rsidR="00056C4C" w:rsidRPr="00024BF0" w:rsidRDefault="00056C4C" w:rsidP="005304A5">
            <w:pPr>
              <w:jc w:val="center"/>
              <w:rPr>
                <w:rFonts w:asciiTheme="majorHAnsi" w:hAnsiTheme="majorHAnsi"/>
                <w:sz w:val="22"/>
                <w:szCs w:val="22"/>
              </w:rPr>
            </w:pPr>
            <w:r>
              <w:rPr>
                <w:rFonts w:asciiTheme="majorHAnsi" w:hAnsiTheme="majorHAnsi"/>
                <w:sz w:val="22"/>
                <w:szCs w:val="22"/>
              </w:rPr>
              <w:t>2.36</w:t>
            </w:r>
          </w:p>
        </w:tc>
      </w:tr>
      <w:tr w:rsidR="00056C4C" w:rsidRPr="00024BF0" w14:paraId="089C0517" w14:textId="0B82530E" w:rsidTr="00056C4C">
        <w:trPr>
          <w:trHeight w:val="220"/>
        </w:trPr>
        <w:tc>
          <w:tcPr>
            <w:tcW w:w="773" w:type="dxa"/>
            <w:vAlign w:val="center"/>
          </w:tcPr>
          <w:p w14:paraId="0360CCC0"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4</w:t>
            </w:r>
          </w:p>
        </w:tc>
        <w:tc>
          <w:tcPr>
            <w:tcW w:w="1564" w:type="dxa"/>
            <w:vAlign w:val="center"/>
          </w:tcPr>
          <w:p w14:paraId="339B892A"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FY 16-17</w:t>
            </w:r>
          </w:p>
        </w:tc>
        <w:tc>
          <w:tcPr>
            <w:tcW w:w="1932" w:type="dxa"/>
            <w:vAlign w:val="center"/>
          </w:tcPr>
          <w:p w14:paraId="70E9D890"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3007</w:t>
            </w:r>
          </w:p>
        </w:tc>
        <w:tc>
          <w:tcPr>
            <w:tcW w:w="2497" w:type="dxa"/>
            <w:vAlign w:val="center"/>
          </w:tcPr>
          <w:p w14:paraId="5625F104" w14:textId="77777777" w:rsidR="00056C4C" w:rsidRPr="00024BF0" w:rsidRDefault="00056C4C" w:rsidP="005304A5">
            <w:pPr>
              <w:jc w:val="center"/>
              <w:rPr>
                <w:rFonts w:asciiTheme="majorHAnsi" w:hAnsiTheme="majorHAnsi"/>
                <w:sz w:val="22"/>
                <w:szCs w:val="22"/>
              </w:rPr>
            </w:pPr>
            <w:r w:rsidRPr="00024BF0">
              <w:rPr>
                <w:rFonts w:asciiTheme="majorHAnsi" w:hAnsiTheme="majorHAnsi"/>
                <w:sz w:val="22"/>
                <w:szCs w:val="22"/>
              </w:rPr>
              <w:t>14.77</w:t>
            </w:r>
          </w:p>
        </w:tc>
        <w:tc>
          <w:tcPr>
            <w:tcW w:w="2278" w:type="dxa"/>
          </w:tcPr>
          <w:p w14:paraId="21B8FA75" w14:textId="2FE19344" w:rsidR="00056C4C" w:rsidRPr="00024BF0" w:rsidRDefault="00056C4C" w:rsidP="00056C4C">
            <w:pPr>
              <w:jc w:val="center"/>
              <w:rPr>
                <w:rFonts w:asciiTheme="majorHAnsi" w:hAnsiTheme="majorHAnsi"/>
                <w:sz w:val="22"/>
                <w:szCs w:val="22"/>
              </w:rPr>
            </w:pPr>
            <w:r>
              <w:rPr>
                <w:rFonts w:asciiTheme="majorHAnsi" w:hAnsiTheme="majorHAnsi"/>
                <w:sz w:val="22"/>
                <w:szCs w:val="22"/>
              </w:rPr>
              <w:t>2.04</w:t>
            </w:r>
          </w:p>
        </w:tc>
      </w:tr>
      <w:tr w:rsidR="00056C4C" w:rsidRPr="00024BF0" w14:paraId="3D8A0887" w14:textId="2C2F5012" w:rsidTr="00056C4C">
        <w:trPr>
          <w:trHeight w:val="208"/>
        </w:trPr>
        <w:tc>
          <w:tcPr>
            <w:tcW w:w="773" w:type="dxa"/>
            <w:vAlign w:val="center"/>
          </w:tcPr>
          <w:p w14:paraId="647C06A4"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5</w:t>
            </w:r>
          </w:p>
        </w:tc>
        <w:tc>
          <w:tcPr>
            <w:tcW w:w="1564" w:type="dxa"/>
            <w:vAlign w:val="center"/>
          </w:tcPr>
          <w:p w14:paraId="05179FC4"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FY 17-18</w:t>
            </w:r>
          </w:p>
        </w:tc>
        <w:tc>
          <w:tcPr>
            <w:tcW w:w="1932" w:type="dxa"/>
            <w:vAlign w:val="center"/>
          </w:tcPr>
          <w:p w14:paraId="7658E20A"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2744</w:t>
            </w:r>
          </w:p>
        </w:tc>
        <w:tc>
          <w:tcPr>
            <w:tcW w:w="2497" w:type="dxa"/>
            <w:vAlign w:val="center"/>
          </w:tcPr>
          <w:p w14:paraId="4AE4908B" w14:textId="77777777" w:rsidR="00056C4C" w:rsidRPr="00024BF0" w:rsidRDefault="00056C4C" w:rsidP="005304A5">
            <w:pPr>
              <w:jc w:val="center"/>
              <w:rPr>
                <w:rFonts w:asciiTheme="majorHAnsi" w:hAnsiTheme="majorHAnsi"/>
                <w:sz w:val="22"/>
                <w:szCs w:val="22"/>
              </w:rPr>
            </w:pPr>
            <w:r w:rsidRPr="00024BF0">
              <w:rPr>
                <w:rFonts w:asciiTheme="majorHAnsi" w:hAnsiTheme="majorHAnsi"/>
                <w:sz w:val="22"/>
                <w:szCs w:val="22"/>
              </w:rPr>
              <w:t>16.40</w:t>
            </w:r>
          </w:p>
        </w:tc>
        <w:tc>
          <w:tcPr>
            <w:tcW w:w="2278" w:type="dxa"/>
          </w:tcPr>
          <w:p w14:paraId="2E1F7D36" w14:textId="003A27DA" w:rsidR="00056C4C" w:rsidRPr="00024BF0" w:rsidRDefault="00056C4C" w:rsidP="005304A5">
            <w:pPr>
              <w:jc w:val="center"/>
              <w:rPr>
                <w:rFonts w:asciiTheme="majorHAnsi" w:hAnsiTheme="majorHAnsi"/>
                <w:sz w:val="22"/>
                <w:szCs w:val="22"/>
              </w:rPr>
            </w:pPr>
            <w:r>
              <w:rPr>
                <w:rFonts w:asciiTheme="majorHAnsi" w:hAnsiTheme="majorHAnsi"/>
                <w:sz w:val="22"/>
                <w:szCs w:val="22"/>
              </w:rPr>
              <w:t>1.67</w:t>
            </w:r>
          </w:p>
        </w:tc>
      </w:tr>
      <w:tr w:rsidR="00056C4C" w:rsidRPr="00024BF0" w14:paraId="45F187CA" w14:textId="02E7BD26" w:rsidTr="00056C4C">
        <w:trPr>
          <w:trHeight w:val="220"/>
        </w:trPr>
        <w:tc>
          <w:tcPr>
            <w:tcW w:w="773" w:type="dxa"/>
            <w:vAlign w:val="center"/>
          </w:tcPr>
          <w:p w14:paraId="7375E953"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6</w:t>
            </w:r>
          </w:p>
        </w:tc>
        <w:tc>
          <w:tcPr>
            <w:tcW w:w="1564" w:type="dxa"/>
            <w:vAlign w:val="center"/>
          </w:tcPr>
          <w:p w14:paraId="0D84FD88"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FY 18-19</w:t>
            </w:r>
          </w:p>
        </w:tc>
        <w:tc>
          <w:tcPr>
            <w:tcW w:w="1932" w:type="dxa"/>
            <w:vAlign w:val="center"/>
          </w:tcPr>
          <w:p w14:paraId="41FEFEEE"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2771</w:t>
            </w:r>
          </w:p>
        </w:tc>
        <w:tc>
          <w:tcPr>
            <w:tcW w:w="2497" w:type="dxa"/>
            <w:vAlign w:val="center"/>
          </w:tcPr>
          <w:p w14:paraId="6E86D6F6" w14:textId="77777777" w:rsidR="00056C4C" w:rsidRPr="00024BF0" w:rsidRDefault="00056C4C" w:rsidP="005304A5">
            <w:pPr>
              <w:jc w:val="center"/>
              <w:rPr>
                <w:rFonts w:asciiTheme="majorHAnsi" w:hAnsiTheme="majorHAnsi"/>
                <w:sz w:val="22"/>
                <w:szCs w:val="22"/>
              </w:rPr>
            </w:pPr>
            <w:r w:rsidRPr="00024BF0">
              <w:rPr>
                <w:rFonts w:asciiTheme="majorHAnsi" w:hAnsiTheme="majorHAnsi"/>
                <w:sz w:val="22"/>
                <w:szCs w:val="22"/>
              </w:rPr>
              <w:t>18.24</w:t>
            </w:r>
          </w:p>
        </w:tc>
        <w:tc>
          <w:tcPr>
            <w:tcW w:w="2278" w:type="dxa"/>
          </w:tcPr>
          <w:p w14:paraId="0F500764" w14:textId="12768DF9" w:rsidR="00056C4C" w:rsidRPr="00024BF0" w:rsidRDefault="00056C4C" w:rsidP="005304A5">
            <w:pPr>
              <w:jc w:val="center"/>
              <w:rPr>
                <w:rFonts w:asciiTheme="majorHAnsi" w:hAnsiTheme="majorHAnsi"/>
                <w:sz w:val="22"/>
                <w:szCs w:val="22"/>
              </w:rPr>
            </w:pPr>
            <w:r>
              <w:rPr>
                <w:rFonts w:asciiTheme="majorHAnsi" w:hAnsiTheme="majorHAnsi"/>
                <w:sz w:val="22"/>
                <w:szCs w:val="22"/>
              </w:rPr>
              <w:t>1.52</w:t>
            </w:r>
          </w:p>
        </w:tc>
      </w:tr>
      <w:tr w:rsidR="00056C4C" w:rsidRPr="00024BF0" w14:paraId="38B00B3D" w14:textId="274368A7" w:rsidTr="00056C4C">
        <w:trPr>
          <w:trHeight w:val="220"/>
        </w:trPr>
        <w:tc>
          <w:tcPr>
            <w:tcW w:w="773" w:type="dxa"/>
            <w:vAlign w:val="center"/>
          </w:tcPr>
          <w:p w14:paraId="5DF323ED"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7</w:t>
            </w:r>
          </w:p>
        </w:tc>
        <w:tc>
          <w:tcPr>
            <w:tcW w:w="1564" w:type="dxa"/>
            <w:vAlign w:val="center"/>
          </w:tcPr>
          <w:p w14:paraId="53B6293E"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FY 19-20</w:t>
            </w:r>
          </w:p>
        </w:tc>
        <w:tc>
          <w:tcPr>
            <w:tcW w:w="1932" w:type="dxa"/>
            <w:vAlign w:val="center"/>
          </w:tcPr>
          <w:p w14:paraId="0E5909D1"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2510</w:t>
            </w:r>
          </w:p>
        </w:tc>
        <w:tc>
          <w:tcPr>
            <w:tcW w:w="2497" w:type="dxa"/>
            <w:vAlign w:val="center"/>
          </w:tcPr>
          <w:p w14:paraId="08DA45AF" w14:textId="77777777" w:rsidR="00056C4C" w:rsidRPr="00024BF0" w:rsidRDefault="00056C4C" w:rsidP="005304A5">
            <w:pPr>
              <w:jc w:val="center"/>
              <w:rPr>
                <w:rFonts w:asciiTheme="majorHAnsi" w:hAnsiTheme="majorHAnsi"/>
                <w:sz w:val="22"/>
                <w:szCs w:val="22"/>
              </w:rPr>
            </w:pPr>
            <w:r w:rsidRPr="00024BF0">
              <w:rPr>
                <w:rFonts w:asciiTheme="majorHAnsi" w:hAnsiTheme="majorHAnsi"/>
                <w:sz w:val="22"/>
                <w:szCs w:val="22"/>
              </w:rPr>
              <w:t>21.19</w:t>
            </w:r>
          </w:p>
        </w:tc>
        <w:tc>
          <w:tcPr>
            <w:tcW w:w="2278" w:type="dxa"/>
          </w:tcPr>
          <w:p w14:paraId="601285F7" w14:textId="42C2BBC5" w:rsidR="00056C4C" w:rsidRPr="00024BF0" w:rsidRDefault="00056C4C" w:rsidP="005304A5">
            <w:pPr>
              <w:jc w:val="center"/>
              <w:rPr>
                <w:rFonts w:asciiTheme="majorHAnsi" w:hAnsiTheme="majorHAnsi"/>
                <w:sz w:val="22"/>
                <w:szCs w:val="22"/>
              </w:rPr>
            </w:pPr>
            <w:r>
              <w:rPr>
                <w:rFonts w:asciiTheme="majorHAnsi" w:hAnsiTheme="majorHAnsi"/>
                <w:sz w:val="22"/>
                <w:szCs w:val="22"/>
              </w:rPr>
              <w:t>1.18</w:t>
            </w:r>
          </w:p>
        </w:tc>
      </w:tr>
      <w:tr w:rsidR="00056C4C" w:rsidRPr="00024BF0" w14:paraId="56FFB293" w14:textId="54E9A8AA" w:rsidTr="00056C4C">
        <w:trPr>
          <w:trHeight w:val="208"/>
        </w:trPr>
        <w:tc>
          <w:tcPr>
            <w:tcW w:w="773" w:type="dxa"/>
            <w:vAlign w:val="center"/>
          </w:tcPr>
          <w:p w14:paraId="54ABF3A2"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8</w:t>
            </w:r>
          </w:p>
        </w:tc>
        <w:tc>
          <w:tcPr>
            <w:tcW w:w="1564" w:type="dxa"/>
            <w:vAlign w:val="center"/>
          </w:tcPr>
          <w:p w14:paraId="63AE6AD6"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FY 20-21</w:t>
            </w:r>
          </w:p>
        </w:tc>
        <w:tc>
          <w:tcPr>
            <w:tcW w:w="1932" w:type="dxa"/>
            <w:vAlign w:val="center"/>
          </w:tcPr>
          <w:p w14:paraId="35457D8B"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2321</w:t>
            </w:r>
          </w:p>
        </w:tc>
        <w:tc>
          <w:tcPr>
            <w:tcW w:w="2497" w:type="dxa"/>
            <w:vAlign w:val="center"/>
          </w:tcPr>
          <w:p w14:paraId="45EE0341" w14:textId="77BFB39C" w:rsidR="00056C4C" w:rsidRPr="00024BF0" w:rsidRDefault="00056C4C" w:rsidP="005304A5">
            <w:pPr>
              <w:jc w:val="center"/>
              <w:rPr>
                <w:rFonts w:asciiTheme="majorHAnsi" w:hAnsiTheme="majorHAnsi"/>
                <w:sz w:val="22"/>
                <w:szCs w:val="22"/>
              </w:rPr>
            </w:pPr>
            <w:r w:rsidRPr="00024BF0">
              <w:rPr>
                <w:rFonts w:asciiTheme="majorHAnsi" w:hAnsiTheme="majorHAnsi"/>
                <w:sz w:val="22"/>
                <w:szCs w:val="22"/>
              </w:rPr>
              <w:t>24.71</w:t>
            </w:r>
            <w:r>
              <w:rPr>
                <w:rFonts w:asciiTheme="majorHAnsi" w:hAnsiTheme="majorHAnsi"/>
                <w:sz w:val="22"/>
                <w:szCs w:val="22"/>
              </w:rPr>
              <w:t>*</w:t>
            </w:r>
          </w:p>
        </w:tc>
        <w:tc>
          <w:tcPr>
            <w:tcW w:w="2278" w:type="dxa"/>
          </w:tcPr>
          <w:p w14:paraId="22F859BA" w14:textId="10ECAC4C" w:rsidR="00056C4C" w:rsidRPr="00024BF0" w:rsidRDefault="00056C4C" w:rsidP="005304A5">
            <w:pPr>
              <w:jc w:val="center"/>
              <w:rPr>
                <w:rFonts w:asciiTheme="majorHAnsi" w:hAnsiTheme="majorHAnsi"/>
                <w:sz w:val="22"/>
                <w:szCs w:val="22"/>
              </w:rPr>
            </w:pPr>
            <w:r>
              <w:rPr>
                <w:rFonts w:asciiTheme="majorHAnsi" w:hAnsiTheme="majorHAnsi"/>
                <w:sz w:val="22"/>
                <w:szCs w:val="22"/>
              </w:rPr>
              <w:t>0.94</w:t>
            </w:r>
          </w:p>
        </w:tc>
      </w:tr>
      <w:tr w:rsidR="00056C4C" w:rsidRPr="00024BF0" w14:paraId="40FE0640" w14:textId="653DB884" w:rsidTr="00056C4C">
        <w:trPr>
          <w:trHeight w:val="220"/>
        </w:trPr>
        <w:tc>
          <w:tcPr>
            <w:tcW w:w="773" w:type="dxa"/>
            <w:vAlign w:val="center"/>
          </w:tcPr>
          <w:p w14:paraId="2A7282B4"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9</w:t>
            </w:r>
          </w:p>
        </w:tc>
        <w:tc>
          <w:tcPr>
            <w:tcW w:w="1564" w:type="dxa"/>
            <w:vAlign w:val="center"/>
          </w:tcPr>
          <w:p w14:paraId="060CE9F1"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FY 21-22</w:t>
            </w:r>
          </w:p>
        </w:tc>
        <w:tc>
          <w:tcPr>
            <w:tcW w:w="1932" w:type="dxa"/>
            <w:vAlign w:val="center"/>
          </w:tcPr>
          <w:p w14:paraId="38777F05"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2589</w:t>
            </w:r>
          </w:p>
        </w:tc>
        <w:tc>
          <w:tcPr>
            <w:tcW w:w="2497" w:type="dxa"/>
            <w:vAlign w:val="center"/>
          </w:tcPr>
          <w:p w14:paraId="5B50ACB2" w14:textId="092BFE19" w:rsidR="00056C4C" w:rsidRPr="00024BF0" w:rsidRDefault="00056C4C" w:rsidP="005304A5">
            <w:pPr>
              <w:jc w:val="center"/>
              <w:rPr>
                <w:rFonts w:asciiTheme="majorHAnsi" w:hAnsiTheme="majorHAnsi"/>
                <w:sz w:val="22"/>
                <w:szCs w:val="22"/>
              </w:rPr>
            </w:pPr>
            <w:r w:rsidRPr="00024BF0">
              <w:rPr>
                <w:rFonts w:asciiTheme="majorHAnsi" w:hAnsiTheme="majorHAnsi"/>
                <w:sz w:val="22"/>
                <w:szCs w:val="22"/>
              </w:rPr>
              <w:t>25.53</w:t>
            </w:r>
            <w:r>
              <w:rPr>
                <w:rFonts w:asciiTheme="majorHAnsi" w:hAnsiTheme="majorHAnsi"/>
                <w:sz w:val="22"/>
                <w:szCs w:val="22"/>
              </w:rPr>
              <w:t>*</w:t>
            </w:r>
          </w:p>
        </w:tc>
        <w:tc>
          <w:tcPr>
            <w:tcW w:w="2278" w:type="dxa"/>
          </w:tcPr>
          <w:p w14:paraId="0BDC9D63" w14:textId="58C51E5F" w:rsidR="00056C4C" w:rsidRPr="00024BF0" w:rsidRDefault="00056C4C" w:rsidP="005304A5">
            <w:pPr>
              <w:jc w:val="center"/>
              <w:rPr>
                <w:rFonts w:asciiTheme="majorHAnsi" w:hAnsiTheme="majorHAnsi"/>
                <w:sz w:val="22"/>
                <w:szCs w:val="22"/>
              </w:rPr>
            </w:pPr>
            <w:r>
              <w:rPr>
                <w:rFonts w:asciiTheme="majorHAnsi" w:hAnsiTheme="majorHAnsi"/>
                <w:sz w:val="22"/>
                <w:szCs w:val="22"/>
              </w:rPr>
              <w:t>1.01</w:t>
            </w:r>
          </w:p>
        </w:tc>
      </w:tr>
      <w:tr w:rsidR="00056C4C" w:rsidRPr="00024BF0" w14:paraId="19487DA5" w14:textId="558C04E1" w:rsidTr="00056C4C">
        <w:trPr>
          <w:trHeight w:val="220"/>
        </w:trPr>
        <w:tc>
          <w:tcPr>
            <w:tcW w:w="773" w:type="dxa"/>
            <w:vAlign w:val="center"/>
          </w:tcPr>
          <w:p w14:paraId="6C429A11"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10</w:t>
            </w:r>
          </w:p>
        </w:tc>
        <w:tc>
          <w:tcPr>
            <w:tcW w:w="1564" w:type="dxa"/>
            <w:vAlign w:val="center"/>
          </w:tcPr>
          <w:p w14:paraId="521D6FB1"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FY 22-23</w:t>
            </w:r>
          </w:p>
        </w:tc>
        <w:tc>
          <w:tcPr>
            <w:tcW w:w="1932" w:type="dxa"/>
            <w:vAlign w:val="center"/>
          </w:tcPr>
          <w:p w14:paraId="4E52BA55" w14:textId="77777777" w:rsidR="00056C4C" w:rsidRPr="00024BF0" w:rsidRDefault="00056C4C" w:rsidP="00024BF0">
            <w:pPr>
              <w:jc w:val="center"/>
              <w:rPr>
                <w:rFonts w:asciiTheme="majorHAnsi" w:hAnsiTheme="majorHAnsi"/>
                <w:sz w:val="22"/>
                <w:szCs w:val="22"/>
              </w:rPr>
            </w:pPr>
            <w:r w:rsidRPr="00024BF0">
              <w:rPr>
                <w:rFonts w:asciiTheme="majorHAnsi" w:hAnsiTheme="majorHAnsi"/>
                <w:sz w:val="22"/>
                <w:szCs w:val="22"/>
              </w:rPr>
              <w:t>3043</w:t>
            </w:r>
          </w:p>
        </w:tc>
        <w:tc>
          <w:tcPr>
            <w:tcW w:w="2497" w:type="dxa"/>
            <w:vAlign w:val="center"/>
          </w:tcPr>
          <w:p w14:paraId="56C33155" w14:textId="7B1C5669" w:rsidR="00056C4C" w:rsidRPr="00024BF0" w:rsidRDefault="00056C4C" w:rsidP="005304A5">
            <w:pPr>
              <w:jc w:val="center"/>
              <w:rPr>
                <w:rFonts w:asciiTheme="majorHAnsi" w:hAnsiTheme="majorHAnsi"/>
                <w:sz w:val="22"/>
                <w:szCs w:val="22"/>
              </w:rPr>
            </w:pPr>
            <w:r w:rsidRPr="00024BF0">
              <w:rPr>
                <w:rFonts w:asciiTheme="majorHAnsi" w:hAnsiTheme="majorHAnsi"/>
                <w:sz w:val="22"/>
                <w:szCs w:val="22"/>
              </w:rPr>
              <w:t>26.73</w:t>
            </w:r>
            <w:r>
              <w:rPr>
                <w:rFonts w:asciiTheme="majorHAnsi" w:hAnsiTheme="majorHAnsi"/>
                <w:sz w:val="22"/>
                <w:szCs w:val="22"/>
              </w:rPr>
              <w:t>*</w:t>
            </w:r>
          </w:p>
        </w:tc>
        <w:tc>
          <w:tcPr>
            <w:tcW w:w="2278" w:type="dxa"/>
          </w:tcPr>
          <w:p w14:paraId="77A406B3" w14:textId="53132B92" w:rsidR="00056C4C" w:rsidRPr="00024BF0" w:rsidRDefault="00056C4C" w:rsidP="005304A5">
            <w:pPr>
              <w:jc w:val="center"/>
              <w:rPr>
                <w:rFonts w:asciiTheme="majorHAnsi" w:hAnsiTheme="majorHAnsi"/>
                <w:sz w:val="22"/>
                <w:szCs w:val="22"/>
              </w:rPr>
            </w:pPr>
            <w:r>
              <w:rPr>
                <w:rFonts w:asciiTheme="majorHAnsi" w:hAnsiTheme="majorHAnsi"/>
                <w:sz w:val="22"/>
                <w:szCs w:val="22"/>
              </w:rPr>
              <w:t>1.14</w:t>
            </w:r>
          </w:p>
        </w:tc>
      </w:tr>
      <w:tr w:rsidR="00056C4C" w:rsidRPr="00024BF0" w14:paraId="5C988777" w14:textId="0B348A68" w:rsidTr="00056C4C">
        <w:trPr>
          <w:trHeight w:val="208"/>
        </w:trPr>
        <w:tc>
          <w:tcPr>
            <w:tcW w:w="773" w:type="dxa"/>
            <w:vAlign w:val="center"/>
          </w:tcPr>
          <w:p w14:paraId="22FAF561" w14:textId="0C261002" w:rsidR="00056C4C" w:rsidRPr="00024BF0" w:rsidRDefault="00056C4C" w:rsidP="00024BF0">
            <w:pPr>
              <w:jc w:val="center"/>
              <w:rPr>
                <w:rFonts w:asciiTheme="majorHAnsi" w:hAnsiTheme="majorHAnsi"/>
                <w:sz w:val="22"/>
                <w:szCs w:val="22"/>
              </w:rPr>
            </w:pPr>
            <w:r>
              <w:rPr>
                <w:rFonts w:asciiTheme="majorHAnsi" w:hAnsiTheme="majorHAnsi"/>
                <w:sz w:val="22"/>
                <w:szCs w:val="22"/>
              </w:rPr>
              <w:t>11</w:t>
            </w:r>
          </w:p>
        </w:tc>
        <w:tc>
          <w:tcPr>
            <w:tcW w:w="1564" w:type="dxa"/>
            <w:vAlign w:val="center"/>
          </w:tcPr>
          <w:p w14:paraId="10A444B0" w14:textId="272A5DDC" w:rsidR="00056C4C" w:rsidRPr="00024BF0" w:rsidRDefault="00056C4C" w:rsidP="00024BF0">
            <w:pPr>
              <w:jc w:val="center"/>
              <w:rPr>
                <w:rFonts w:asciiTheme="majorHAnsi" w:hAnsiTheme="majorHAnsi"/>
                <w:sz w:val="22"/>
                <w:szCs w:val="22"/>
              </w:rPr>
            </w:pPr>
            <w:r>
              <w:rPr>
                <w:rFonts w:asciiTheme="majorHAnsi" w:hAnsiTheme="majorHAnsi"/>
                <w:sz w:val="22"/>
                <w:szCs w:val="22"/>
              </w:rPr>
              <w:t>FY 23-24</w:t>
            </w:r>
          </w:p>
        </w:tc>
        <w:tc>
          <w:tcPr>
            <w:tcW w:w="1932" w:type="dxa"/>
            <w:vAlign w:val="center"/>
          </w:tcPr>
          <w:p w14:paraId="08EBD222" w14:textId="41AB3438" w:rsidR="00056C4C" w:rsidRPr="00024BF0" w:rsidRDefault="00056C4C" w:rsidP="00024BF0">
            <w:pPr>
              <w:jc w:val="center"/>
              <w:rPr>
                <w:rFonts w:asciiTheme="majorHAnsi" w:hAnsiTheme="majorHAnsi"/>
                <w:sz w:val="22"/>
                <w:szCs w:val="22"/>
              </w:rPr>
            </w:pPr>
            <w:r>
              <w:rPr>
                <w:rFonts w:asciiTheme="majorHAnsi" w:hAnsiTheme="majorHAnsi"/>
                <w:sz w:val="22"/>
                <w:szCs w:val="22"/>
              </w:rPr>
              <w:t>3374</w:t>
            </w:r>
          </w:p>
        </w:tc>
        <w:tc>
          <w:tcPr>
            <w:tcW w:w="2497" w:type="dxa"/>
            <w:vAlign w:val="center"/>
          </w:tcPr>
          <w:p w14:paraId="59E90CAF" w14:textId="105A6029" w:rsidR="00056C4C" w:rsidRPr="00024BF0" w:rsidRDefault="00056C4C" w:rsidP="005304A5">
            <w:pPr>
              <w:jc w:val="center"/>
              <w:rPr>
                <w:rFonts w:asciiTheme="majorHAnsi" w:hAnsiTheme="majorHAnsi"/>
                <w:sz w:val="22"/>
                <w:szCs w:val="22"/>
              </w:rPr>
            </w:pPr>
            <w:r>
              <w:rPr>
                <w:rFonts w:asciiTheme="majorHAnsi" w:hAnsiTheme="majorHAnsi"/>
                <w:sz w:val="22"/>
                <w:szCs w:val="22"/>
              </w:rPr>
              <w:t>27.65*</w:t>
            </w:r>
          </w:p>
        </w:tc>
        <w:tc>
          <w:tcPr>
            <w:tcW w:w="2278" w:type="dxa"/>
          </w:tcPr>
          <w:p w14:paraId="79AE70F3" w14:textId="292CB805" w:rsidR="00056C4C" w:rsidRDefault="00056C4C" w:rsidP="005304A5">
            <w:pPr>
              <w:jc w:val="center"/>
              <w:rPr>
                <w:rFonts w:asciiTheme="majorHAnsi" w:hAnsiTheme="majorHAnsi"/>
                <w:sz w:val="22"/>
                <w:szCs w:val="22"/>
              </w:rPr>
            </w:pPr>
            <w:r>
              <w:rPr>
                <w:rFonts w:asciiTheme="majorHAnsi" w:hAnsiTheme="majorHAnsi"/>
                <w:sz w:val="22"/>
                <w:szCs w:val="22"/>
              </w:rPr>
              <w:t>1.22</w:t>
            </w:r>
          </w:p>
        </w:tc>
      </w:tr>
      <w:tr w:rsidR="000B24C2" w:rsidRPr="00024BF0" w14:paraId="1401245F" w14:textId="77777777" w:rsidTr="00056C4C">
        <w:trPr>
          <w:trHeight w:val="208"/>
        </w:trPr>
        <w:tc>
          <w:tcPr>
            <w:tcW w:w="773" w:type="dxa"/>
            <w:vAlign w:val="center"/>
          </w:tcPr>
          <w:p w14:paraId="493BED7B" w14:textId="5EDA30F5" w:rsidR="000B24C2" w:rsidRDefault="000B24C2" w:rsidP="00024BF0">
            <w:pPr>
              <w:jc w:val="center"/>
              <w:rPr>
                <w:rFonts w:asciiTheme="majorHAnsi" w:hAnsiTheme="majorHAnsi"/>
                <w:sz w:val="22"/>
                <w:szCs w:val="22"/>
              </w:rPr>
            </w:pPr>
            <w:r>
              <w:rPr>
                <w:rFonts w:asciiTheme="majorHAnsi" w:hAnsiTheme="majorHAnsi"/>
                <w:sz w:val="22"/>
                <w:szCs w:val="22"/>
              </w:rPr>
              <w:t>12</w:t>
            </w:r>
          </w:p>
        </w:tc>
        <w:tc>
          <w:tcPr>
            <w:tcW w:w="1564" w:type="dxa"/>
            <w:vAlign w:val="center"/>
          </w:tcPr>
          <w:p w14:paraId="1B1262CD" w14:textId="20422AD2" w:rsidR="000B24C2" w:rsidRDefault="000B24C2" w:rsidP="00024BF0">
            <w:pPr>
              <w:jc w:val="center"/>
              <w:rPr>
                <w:rFonts w:asciiTheme="majorHAnsi" w:hAnsiTheme="majorHAnsi"/>
                <w:sz w:val="22"/>
                <w:szCs w:val="22"/>
              </w:rPr>
            </w:pPr>
            <w:r>
              <w:rPr>
                <w:rFonts w:asciiTheme="majorHAnsi" w:hAnsiTheme="majorHAnsi"/>
                <w:sz w:val="22"/>
                <w:szCs w:val="22"/>
              </w:rPr>
              <w:t>FY 24-25</w:t>
            </w:r>
          </w:p>
        </w:tc>
        <w:tc>
          <w:tcPr>
            <w:tcW w:w="1932" w:type="dxa"/>
            <w:vAlign w:val="center"/>
          </w:tcPr>
          <w:p w14:paraId="2B650128" w14:textId="7607783A" w:rsidR="000B24C2" w:rsidRDefault="000B24C2" w:rsidP="00024BF0">
            <w:pPr>
              <w:jc w:val="center"/>
              <w:rPr>
                <w:rFonts w:asciiTheme="majorHAnsi" w:hAnsiTheme="majorHAnsi"/>
                <w:sz w:val="22"/>
                <w:szCs w:val="22"/>
              </w:rPr>
            </w:pPr>
            <w:r>
              <w:rPr>
                <w:rFonts w:asciiTheme="majorHAnsi" w:hAnsiTheme="majorHAnsi"/>
                <w:sz w:val="22"/>
                <w:szCs w:val="22"/>
              </w:rPr>
              <w:t>3333</w:t>
            </w:r>
          </w:p>
        </w:tc>
        <w:tc>
          <w:tcPr>
            <w:tcW w:w="2497" w:type="dxa"/>
            <w:vAlign w:val="center"/>
          </w:tcPr>
          <w:p w14:paraId="5CEA1539" w14:textId="18642C36" w:rsidR="000B24C2" w:rsidRDefault="000B24C2" w:rsidP="005304A5">
            <w:pPr>
              <w:jc w:val="center"/>
              <w:rPr>
                <w:rFonts w:asciiTheme="majorHAnsi" w:hAnsiTheme="majorHAnsi"/>
                <w:sz w:val="22"/>
                <w:szCs w:val="22"/>
              </w:rPr>
            </w:pPr>
            <w:r>
              <w:rPr>
                <w:rFonts w:asciiTheme="majorHAnsi" w:hAnsiTheme="majorHAnsi"/>
                <w:sz w:val="22"/>
                <w:szCs w:val="22"/>
              </w:rPr>
              <w:t>28.64*</w:t>
            </w:r>
          </w:p>
        </w:tc>
        <w:tc>
          <w:tcPr>
            <w:tcW w:w="2278" w:type="dxa"/>
          </w:tcPr>
          <w:p w14:paraId="1B3D26AB" w14:textId="6B6BDD8B" w:rsidR="000B24C2" w:rsidRDefault="000B24C2" w:rsidP="005304A5">
            <w:pPr>
              <w:jc w:val="center"/>
              <w:rPr>
                <w:rFonts w:asciiTheme="majorHAnsi" w:hAnsiTheme="majorHAnsi"/>
                <w:sz w:val="22"/>
                <w:szCs w:val="22"/>
              </w:rPr>
            </w:pPr>
            <w:r>
              <w:rPr>
                <w:rFonts w:asciiTheme="majorHAnsi" w:hAnsiTheme="majorHAnsi"/>
                <w:sz w:val="22"/>
                <w:szCs w:val="22"/>
              </w:rPr>
              <w:t>1.16</w:t>
            </w:r>
          </w:p>
        </w:tc>
      </w:tr>
    </w:tbl>
    <w:p w14:paraId="04B37328" w14:textId="0F135941" w:rsidR="001022A0" w:rsidRPr="00C23F37" w:rsidRDefault="00056C4C" w:rsidP="005304A5">
      <w:pPr>
        <w:jc w:val="both"/>
        <w:rPr>
          <w:rFonts w:asciiTheme="majorHAnsi" w:hAnsiTheme="majorHAnsi"/>
          <w:i/>
          <w:color w:val="0D0D0D" w:themeColor="text1" w:themeTint="F2"/>
          <w:sz w:val="22"/>
        </w:rPr>
      </w:pPr>
      <w:r w:rsidRPr="00C23F37">
        <w:rPr>
          <w:rFonts w:asciiTheme="majorHAnsi" w:hAnsiTheme="majorHAnsi"/>
          <w:i/>
          <w:color w:val="0D0D0D" w:themeColor="text1" w:themeTint="F2"/>
          <w:sz w:val="22"/>
        </w:rPr>
        <w:t>*incl. TD &amp; PD</w:t>
      </w:r>
      <w:r w:rsidR="00A20854">
        <w:rPr>
          <w:rFonts w:asciiTheme="majorHAnsi" w:hAnsiTheme="majorHAnsi"/>
          <w:i/>
          <w:color w:val="0D0D0D" w:themeColor="text1" w:themeTint="F2"/>
          <w:sz w:val="22"/>
        </w:rPr>
        <w:t xml:space="preserve"> consumers</w:t>
      </w:r>
    </w:p>
    <w:p w14:paraId="0FA4A7AF" w14:textId="77777777" w:rsidR="00056C4C" w:rsidRDefault="00056C4C" w:rsidP="001022A0">
      <w:pPr>
        <w:spacing w:line="360" w:lineRule="auto"/>
        <w:jc w:val="both"/>
        <w:rPr>
          <w:rFonts w:asciiTheme="majorHAnsi" w:hAnsiTheme="majorHAnsi"/>
        </w:rPr>
      </w:pPr>
    </w:p>
    <w:p w14:paraId="0D08EEC6" w14:textId="260FD70F" w:rsidR="005304A5" w:rsidRPr="001022A0" w:rsidRDefault="005304A5" w:rsidP="001022A0">
      <w:pPr>
        <w:spacing w:line="360" w:lineRule="auto"/>
        <w:jc w:val="both"/>
        <w:rPr>
          <w:rFonts w:asciiTheme="majorHAnsi" w:hAnsiTheme="majorHAnsi"/>
        </w:rPr>
      </w:pPr>
      <w:r w:rsidRPr="001022A0">
        <w:rPr>
          <w:rFonts w:asciiTheme="majorHAnsi" w:hAnsiTheme="majorHAnsi"/>
        </w:rPr>
        <w:t xml:space="preserve">From the above table it is evident that the consumer base has increased </w:t>
      </w:r>
      <w:r w:rsidR="00056C4C">
        <w:rPr>
          <w:rFonts w:asciiTheme="majorHAnsi" w:hAnsiTheme="majorHAnsi"/>
        </w:rPr>
        <w:t>substantially</w:t>
      </w:r>
      <w:r w:rsidRPr="001022A0">
        <w:rPr>
          <w:rFonts w:asciiTheme="majorHAnsi" w:hAnsiTheme="majorHAnsi"/>
        </w:rPr>
        <w:t xml:space="preserve"> during the span of </w:t>
      </w:r>
      <w:r w:rsidR="00056C4C">
        <w:rPr>
          <w:rFonts w:asciiTheme="majorHAnsi" w:hAnsiTheme="majorHAnsi"/>
        </w:rPr>
        <w:t>last 1</w:t>
      </w:r>
      <w:r w:rsidRPr="001022A0">
        <w:rPr>
          <w:rFonts w:asciiTheme="majorHAnsi" w:hAnsiTheme="majorHAnsi"/>
        </w:rPr>
        <w:t>0 years and at the same time the employee strength has reduced.</w:t>
      </w:r>
    </w:p>
    <w:p w14:paraId="2ABCCE83" w14:textId="6988EA7B" w:rsidR="005304A5" w:rsidRPr="001022A0" w:rsidRDefault="005304A5" w:rsidP="001022A0">
      <w:pPr>
        <w:spacing w:line="360" w:lineRule="auto"/>
        <w:jc w:val="both"/>
        <w:rPr>
          <w:rFonts w:asciiTheme="majorHAnsi" w:hAnsiTheme="majorHAnsi"/>
        </w:rPr>
      </w:pPr>
      <w:r w:rsidRPr="001022A0">
        <w:rPr>
          <w:rFonts w:asciiTheme="majorHAnsi" w:hAnsiTheme="majorHAnsi"/>
        </w:rPr>
        <w:t xml:space="preserve">Employees in TPWODL have been </w:t>
      </w:r>
      <w:r w:rsidR="001022A0" w:rsidRPr="001022A0">
        <w:rPr>
          <w:rFonts w:asciiTheme="majorHAnsi" w:hAnsiTheme="majorHAnsi"/>
        </w:rPr>
        <w:t>categorized</w:t>
      </w:r>
      <w:r w:rsidRPr="001022A0">
        <w:rPr>
          <w:rFonts w:asciiTheme="majorHAnsi" w:hAnsiTheme="majorHAnsi"/>
        </w:rPr>
        <w:t xml:space="preserve"> under 3 categories as appended below:</w:t>
      </w:r>
    </w:p>
    <w:p w14:paraId="284B545A" w14:textId="77777777" w:rsidR="005304A5" w:rsidRPr="001022A0" w:rsidRDefault="005304A5" w:rsidP="005304A5">
      <w:pPr>
        <w:jc w:val="both"/>
        <w:rPr>
          <w:rFonts w:asciiTheme="majorHAnsi" w:hAnsiTheme="majorHAnsi"/>
          <w:color w:val="FF0000"/>
        </w:rPr>
      </w:pPr>
      <w:r w:rsidRPr="001022A0">
        <w:rPr>
          <w:rFonts w:asciiTheme="majorHAnsi" w:hAnsiTheme="majorHAnsi"/>
          <w:noProof/>
          <w:color w:val="FF0000"/>
        </w:rPr>
        <mc:AlternateContent>
          <mc:Choice Requires="wpg">
            <w:drawing>
              <wp:anchor distT="0" distB="0" distL="114300" distR="114300" simplePos="0" relativeHeight="251658240" behindDoc="0" locked="0" layoutInCell="1" allowOverlap="1" wp14:anchorId="5EC2C175" wp14:editId="2359B144">
                <wp:simplePos x="0" y="0"/>
                <wp:positionH relativeFrom="column">
                  <wp:posOffset>114300</wp:posOffset>
                </wp:positionH>
                <wp:positionV relativeFrom="paragraph">
                  <wp:posOffset>113665</wp:posOffset>
                </wp:positionV>
                <wp:extent cx="5137150" cy="2057400"/>
                <wp:effectExtent l="76200" t="38100" r="101600" b="114300"/>
                <wp:wrapNone/>
                <wp:docPr id="1799388062" name="Group 6"/>
                <wp:cNvGraphicFramePr/>
                <a:graphic xmlns:a="http://schemas.openxmlformats.org/drawingml/2006/main">
                  <a:graphicData uri="http://schemas.microsoft.com/office/word/2010/wordprocessingGroup">
                    <wpg:wgp>
                      <wpg:cNvGrpSpPr/>
                      <wpg:grpSpPr>
                        <a:xfrm>
                          <a:off x="0" y="0"/>
                          <a:ext cx="5137150" cy="2057400"/>
                          <a:chOff x="0" y="0"/>
                          <a:chExt cx="5137150" cy="2057400"/>
                        </a:xfrm>
                      </wpg:grpSpPr>
                      <wps:wsp>
                        <wps:cNvPr id="1014474163" name="Rectangle: Rounded Corners 1"/>
                        <wps:cNvSpPr/>
                        <wps:spPr>
                          <a:xfrm>
                            <a:off x="0" y="0"/>
                            <a:ext cx="5137150" cy="368300"/>
                          </a:xfrm>
                          <a:prstGeom prst="roundRect">
                            <a:avLst/>
                          </a:prstGeom>
                          <a:solidFill>
                            <a:schemeClr val="tx2">
                              <a:lumMod val="20000"/>
                              <a:lumOff val="80000"/>
                            </a:schemeClr>
                          </a:solidFill>
                          <a:scene3d>
                            <a:camera prst="orthographicFront"/>
                            <a:lightRig rig="threePt" dir="t"/>
                          </a:scene3d>
                          <a:sp3d>
                            <a:bevelT prst="relaxedInset"/>
                          </a:sp3d>
                        </wps:spPr>
                        <wps:style>
                          <a:lnRef idx="0">
                            <a:schemeClr val="accent1"/>
                          </a:lnRef>
                          <a:fillRef idx="3">
                            <a:schemeClr val="accent1"/>
                          </a:fillRef>
                          <a:effectRef idx="3">
                            <a:schemeClr val="accent1"/>
                          </a:effectRef>
                          <a:fontRef idx="minor">
                            <a:schemeClr val="lt1"/>
                          </a:fontRef>
                        </wps:style>
                        <wps:txbx>
                          <w:txbxContent>
                            <w:p w14:paraId="5367DB41" w14:textId="77777777" w:rsidR="00EC121F" w:rsidRPr="00024BF0" w:rsidRDefault="00EC121F" w:rsidP="005304A5">
                              <w:pPr>
                                <w:jc w:val="center"/>
                                <w:rPr>
                                  <w:b/>
                                  <w:bCs/>
                                  <w:color w:val="000000" w:themeColor="text1"/>
                                  <w:sz w:val="28"/>
                                  <w:szCs w:val="28"/>
                                </w:rPr>
                              </w:pPr>
                              <w:r w:rsidRPr="00024BF0">
                                <w:rPr>
                                  <w:b/>
                                  <w:bCs/>
                                  <w:color w:val="000000" w:themeColor="text1"/>
                                  <w:sz w:val="28"/>
                                  <w:szCs w:val="28"/>
                                </w:rPr>
                                <w:t>Category of Employees/ Outsourced in TPWODL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6068122" name="Straight Connector 2"/>
                        <wps:cNvCnPr/>
                        <wps:spPr>
                          <a:xfrm>
                            <a:off x="787400" y="349250"/>
                            <a:ext cx="0" cy="381000"/>
                          </a:xfrm>
                          <a:prstGeom prst="line">
                            <a:avLst/>
                          </a:prstGeom>
                        </wps:spPr>
                        <wps:style>
                          <a:lnRef idx="2">
                            <a:schemeClr val="dk1"/>
                          </a:lnRef>
                          <a:fillRef idx="0">
                            <a:schemeClr val="dk1"/>
                          </a:fillRef>
                          <a:effectRef idx="1">
                            <a:schemeClr val="dk1"/>
                          </a:effectRef>
                          <a:fontRef idx="minor">
                            <a:schemeClr val="tx1"/>
                          </a:fontRef>
                        </wps:style>
                        <wps:bodyPr/>
                      </wps:wsp>
                      <wps:wsp>
                        <wps:cNvPr id="897614462" name="Straight Connector 2"/>
                        <wps:cNvCnPr/>
                        <wps:spPr>
                          <a:xfrm>
                            <a:off x="2559050" y="336550"/>
                            <a:ext cx="0" cy="381000"/>
                          </a:xfrm>
                          <a:prstGeom prst="line">
                            <a:avLst/>
                          </a:prstGeom>
                        </wps:spPr>
                        <wps:style>
                          <a:lnRef idx="2">
                            <a:schemeClr val="dk1"/>
                          </a:lnRef>
                          <a:fillRef idx="0">
                            <a:schemeClr val="dk1"/>
                          </a:fillRef>
                          <a:effectRef idx="1">
                            <a:schemeClr val="dk1"/>
                          </a:effectRef>
                          <a:fontRef idx="minor">
                            <a:schemeClr val="tx1"/>
                          </a:fontRef>
                        </wps:style>
                        <wps:bodyPr/>
                      </wps:wsp>
                      <wps:wsp>
                        <wps:cNvPr id="1200811642" name="Straight Connector 2"/>
                        <wps:cNvCnPr/>
                        <wps:spPr>
                          <a:xfrm>
                            <a:off x="4362450" y="342900"/>
                            <a:ext cx="0" cy="381000"/>
                          </a:xfrm>
                          <a:prstGeom prst="line">
                            <a:avLst/>
                          </a:prstGeom>
                        </wps:spPr>
                        <wps:style>
                          <a:lnRef idx="2">
                            <a:schemeClr val="dk1"/>
                          </a:lnRef>
                          <a:fillRef idx="0">
                            <a:schemeClr val="dk1"/>
                          </a:fillRef>
                          <a:effectRef idx="1">
                            <a:schemeClr val="dk1"/>
                          </a:effectRef>
                          <a:fontRef idx="minor">
                            <a:schemeClr val="tx1"/>
                          </a:fontRef>
                        </wps:style>
                        <wps:bodyPr/>
                      </wps:wsp>
                      <wps:wsp>
                        <wps:cNvPr id="2026575450" name="Rectangle 3"/>
                        <wps:cNvSpPr/>
                        <wps:spPr>
                          <a:xfrm>
                            <a:off x="184150" y="711200"/>
                            <a:ext cx="1187450" cy="450850"/>
                          </a:xfrm>
                          <a:prstGeom prst="rect">
                            <a:avLst/>
                          </a:prstGeom>
                          <a:solidFill>
                            <a:schemeClr val="tx2">
                              <a:lumMod val="20000"/>
                              <a:lumOff val="80000"/>
                            </a:schemeClr>
                          </a:solidFill>
                          <a:scene3d>
                            <a:camera prst="orthographicFront"/>
                            <a:lightRig rig="threePt" dir="t"/>
                          </a:scene3d>
                          <a:sp3d>
                            <a:bevelT prst="relaxedInset"/>
                          </a:sp3d>
                        </wps:spPr>
                        <wps:style>
                          <a:lnRef idx="0">
                            <a:schemeClr val="accent1"/>
                          </a:lnRef>
                          <a:fillRef idx="3">
                            <a:schemeClr val="accent1"/>
                          </a:fillRef>
                          <a:effectRef idx="3">
                            <a:schemeClr val="accent1"/>
                          </a:effectRef>
                          <a:fontRef idx="minor">
                            <a:schemeClr val="lt1"/>
                          </a:fontRef>
                        </wps:style>
                        <wps:txbx>
                          <w:txbxContent>
                            <w:p w14:paraId="5B2D9F5B" w14:textId="77777777" w:rsidR="00EC121F" w:rsidRPr="00024BF0" w:rsidRDefault="00EC121F" w:rsidP="005304A5">
                              <w:pPr>
                                <w:jc w:val="center"/>
                                <w:rPr>
                                  <w:b/>
                                  <w:bCs/>
                                  <w:color w:val="000000" w:themeColor="text1"/>
                                  <w:sz w:val="20"/>
                                  <w:szCs w:val="20"/>
                                </w:rPr>
                              </w:pPr>
                              <w:r w:rsidRPr="00024BF0">
                                <w:rPr>
                                  <w:b/>
                                  <w:bCs/>
                                  <w:color w:val="000000" w:themeColor="text1"/>
                                  <w:sz w:val="20"/>
                                  <w:szCs w:val="20"/>
                                </w:rPr>
                                <w:t>CTC Employees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4520313" name="Rectangle 3"/>
                        <wps:cNvSpPr/>
                        <wps:spPr>
                          <a:xfrm>
                            <a:off x="3727450" y="723900"/>
                            <a:ext cx="1257300" cy="476250"/>
                          </a:xfrm>
                          <a:prstGeom prst="rect">
                            <a:avLst/>
                          </a:prstGeom>
                          <a:solidFill>
                            <a:schemeClr val="tx2">
                              <a:lumMod val="20000"/>
                              <a:lumOff val="80000"/>
                            </a:schemeClr>
                          </a:solidFill>
                          <a:scene3d>
                            <a:camera prst="orthographicFront"/>
                            <a:lightRig rig="threePt" dir="t"/>
                          </a:scene3d>
                          <a:sp3d>
                            <a:bevelT prst="relaxedInset"/>
                          </a:sp3d>
                        </wps:spPr>
                        <wps:style>
                          <a:lnRef idx="0">
                            <a:schemeClr val="accent1"/>
                          </a:lnRef>
                          <a:fillRef idx="3">
                            <a:schemeClr val="accent1"/>
                          </a:fillRef>
                          <a:effectRef idx="3">
                            <a:schemeClr val="accent1"/>
                          </a:effectRef>
                          <a:fontRef idx="minor">
                            <a:schemeClr val="lt1"/>
                          </a:fontRef>
                        </wps:style>
                        <wps:txbx>
                          <w:txbxContent>
                            <w:p w14:paraId="481D8FB8" w14:textId="77777777" w:rsidR="00EC121F" w:rsidRPr="00024BF0" w:rsidRDefault="00EC121F" w:rsidP="005304A5">
                              <w:pPr>
                                <w:jc w:val="center"/>
                                <w:rPr>
                                  <w:b/>
                                  <w:bCs/>
                                  <w:color w:val="000000" w:themeColor="text1"/>
                                  <w:sz w:val="20"/>
                                  <w:szCs w:val="20"/>
                                </w:rPr>
                              </w:pPr>
                              <w:r w:rsidRPr="00024BF0">
                                <w:rPr>
                                  <w:b/>
                                  <w:bCs/>
                                  <w:color w:val="000000" w:themeColor="text1"/>
                                  <w:sz w:val="20"/>
                                  <w:szCs w:val="20"/>
                                </w:rPr>
                                <w:t>Outsourced Employees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4308257" name="Rectangle 3"/>
                        <wps:cNvSpPr/>
                        <wps:spPr>
                          <a:xfrm>
                            <a:off x="1879600" y="717550"/>
                            <a:ext cx="1358900" cy="482600"/>
                          </a:xfrm>
                          <a:prstGeom prst="rect">
                            <a:avLst/>
                          </a:prstGeom>
                          <a:solidFill>
                            <a:schemeClr val="tx2">
                              <a:lumMod val="20000"/>
                              <a:lumOff val="80000"/>
                            </a:schemeClr>
                          </a:solidFill>
                          <a:scene3d>
                            <a:camera prst="orthographicFront"/>
                            <a:lightRig rig="threePt" dir="t"/>
                          </a:scene3d>
                          <a:sp3d>
                            <a:bevelT prst="relaxedInset"/>
                          </a:sp3d>
                        </wps:spPr>
                        <wps:style>
                          <a:lnRef idx="0">
                            <a:schemeClr val="accent1"/>
                          </a:lnRef>
                          <a:fillRef idx="3">
                            <a:schemeClr val="accent1"/>
                          </a:fillRef>
                          <a:effectRef idx="3">
                            <a:schemeClr val="accent1"/>
                          </a:effectRef>
                          <a:fontRef idx="minor">
                            <a:schemeClr val="lt1"/>
                          </a:fontRef>
                        </wps:style>
                        <wps:txbx>
                          <w:txbxContent>
                            <w:p w14:paraId="1B02C402" w14:textId="77777777" w:rsidR="00EC121F" w:rsidRPr="00024BF0" w:rsidRDefault="00EC121F" w:rsidP="005304A5">
                              <w:pPr>
                                <w:jc w:val="center"/>
                                <w:rPr>
                                  <w:b/>
                                  <w:bCs/>
                                  <w:color w:val="000000" w:themeColor="text1"/>
                                  <w:sz w:val="20"/>
                                  <w:szCs w:val="20"/>
                                </w:rPr>
                              </w:pPr>
                              <w:r w:rsidRPr="00024BF0">
                                <w:rPr>
                                  <w:b/>
                                  <w:bCs/>
                                  <w:color w:val="000000" w:themeColor="text1"/>
                                  <w:sz w:val="20"/>
                                  <w:szCs w:val="20"/>
                                </w:rPr>
                                <w:t>Inherited/ Erstwhile Employees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7292063" name="Rectangle 4"/>
                        <wps:cNvSpPr/>
                        <wps:spPr>
                          <a:xfrm>
                            <a:off x="184150" y="1231900"/>
                            <a:ext cx="1187450" cy="825500"/>
                          </a:xfrm>
                          <a:prstGeom prst="rect">
                            <a:avLst/>
                          </a:prstGeom>
                          <a:solidFill>
                            <a:schemeClr val="tx2">
                              <a:lumMod val="20000"/>
                              <a:lumOff val="80000"/>
                            </a:schemeClr>
                          </a:solidFill>
                          <a:scene3d>
                            <a:camera prst="orthographicFront"/>
                            <a:lightRig rig="threePt" dir="t"/>
                          </a:scene3d>
                          <a:sp3d>
                            <a:bevelT prst="relaxedInset"/>
                          </a:sp3d>
                        </wps:spPr>
                        <wps:style>
                          <a:lnRef idx="0">
                            <a:schemeClr val="accent1"/>
                          </a:lnRef>
                          <a:fillRef idx="3">
                            <a:schemeClr val="accent1"/>
                          </a:fillRef>
                          <a:effectRef idx="3">
                            <a:schemeClr val="accent1"/>
                          </a:effectRef>
                          <a:fontRef idx="minor">
                            <a:schemeClr val="lt1"/>
                          </a:fontRef>
                        </wps:style>
                        <wps:txbx>
                          <w:txbxContent>
                            <w:p w14:paraId="58996177" w14:textId="77777777" w:rsidR="00EC121F" w:rsidRPr="00024BF0" w:rsidRDefault="00EC121F" w:rsidP="001972DE">
                              <w:pPr>
                                <w:pStyle w:val="ListParagraph"/>
                                <w:numPr>
                                  <w:ilvl w:val="0"/>
                                  <w:numId w:val="17"/>
                                </w:numPr>
                                <w:spacing w:after="160" w:line="259" w:lineRule="auto"/>
                                <w:jc w:val="both"/>
                                <w:rPr>
                                  <w:i/>
                                  <w:iCs/>
                                  <w:color w:val="000000" w:themeColor="text1"/>
                                  <w:sz w:val="16"/>
                                  <w:szCs w:val="16"/>
                                </w:rPr>
                              </w:pPr>
                              <w:r w:rsidRPr="00024BF0">
                                <w:rPr>
                                  <w:i/>
                                  <w:iCs/>
                                  <w:color w:val="000000" w:themeColor="text1"/>
                                  <w:sz w:val="16"/>
                                  <w:szCs w:val="16"/>
                                </w:rPr>
                                <w:t>Consultant/ FDA</w:t>
                              </w:r>
                            </w:p>
                            <w:p w14:paraId="0F3D0878" w14:textId="77777777" w:rsidR="00EC121F" w:rsidRPr="00024BF0" w:rsidRDefault="00EC121F" w:rsidP="001972DE">
                              <w:pPr>
                                <w:pStyle w:val="ListParagraph"/>
                                <w:numPr>
                                  <w:ilvl w:val="0"/>
                                  <w:numId w:val="17"/>
                                </w:numPr>
                                <w:spacing w:after="160" w:line="259" w:lineRule="auto"/>
                                <w:jc w:val="both"/>
                                <w:rPr>
                                  <w:i/>
                                  <w:iCs/>
                                  <w:color w:val="000000" w:themeColor="text1"/>
                                  <w:sz w:val="16"/>
                                  <w:szCs w:val="16"/>
                                </w:rPr>
                              </w:pPr>
                              <w:r w:rsidRPr="00024BF0">
                                <w:rPr>
                                  <w:i/>
                                  <w:iCs/>
                                  <w:color w:val="000000" w:themeColor="text1"/>
                                  <w:sz w:val="16"/>
                                  <w:szCs w:val="16"/>
                                </w:rPr>
                                <w:t>Trainee</w:t>
                              </w:r>
                            </w:p>
                            <w:p w14:paraId="337AAF33" w14:textId="77777777" w:rsidR="00EC121F" w:rsidRPr="00024BF0" w:rsidRDefault="00EC121F" w:rsidP="001972DE">
                              <w:pPr>
                                <w:pStyle w:val="ListParagraph"/>
                                <w:numPr>
                                  <w:ilvl w:val="0"/>
                                  <w:numId w:val="17"/>
                                </w:numPr>
                                <w:spacing w:after="160" w:line="259" w:lineRule="auto"/>
                                <w:jc w:val="both"/>
                                <w:rPr>
                                  <w:i/>
                                  <w:iCs/>
                                  <w:color w:val="000000" w:themeColor="text1"/>
                                  <w:sz w:val="16"/>
                                  <w:szCs w:val="16"/>
                                </w:rPr>
                              </w:pPr>
                              <w:r w:rsidRPr="00024BF0">
                                <w:rPr>
                                  <w:i/>
                                  <w:iCs/>
                                  <w:color w:val="000000" w:themeColor="text1"/>
                                  <w:sz w:val="16"/>
                                  <w:szCs w:val="16"/>
                                </w:rPr>
                                <w:t>Junior Mgmt.</w:t>
                              </w:r>
                            </w:p>
                            <w:p w14:paraId="049FF592" w14:textId="77777777" w:rsidR="00EC121F" w:rsidRPr="00024BF0" w:rsidRDefault="00EC121F" w:rsidP="001972DE">
                              <w:pPr>
                                <w:pStyle w:val="ListParagraph"/>
                                <w:numPr>
                                  <w:ilvl w:val="0"/>
                                  <w:numId w:val="17"/>
                                </w:numPr>
                                <w:spacing w:after="160" w:line="259" w:lineRule="auto"/>
                                <w:jc w:val="both"/>
                                <w:rPr>
                                  <w:i/>
                                  <w:iCs/>
                                  <w:color w:val="000000" w:themeColor="text1"/>
                                  <w:sz w:val="16"/>
                                  <w:szCs w:val="16"/>
                                </w:rPr>
                              </w:pPr>
                              <w:r w:rsidRPr="00024BF0">
                                <w:rPr>
                                  <w:i/>
                                  <w:iCs/>
                                  <w:color w:val="000000" w:themeColor="text1"/>
                                  <w:sz w:val="16"/>
                                  <w:szCs w:val="16"/>
                                </w:rPr>
                                <w:t>Middle Mgmt.</w:t>
                              </w:r>
                            </w:p>
                            <w:p w14:paraId="079CA4CE" w14:textId="77777777" w:rsidR="00EC121F" w:rsidRPr="00024BF0" w:rsidRDefault="00EC121F" w:rsidP="001972DE">
                              <w:pPr>
                                <w:pStyle w:val="ListParagraph"/>
                                <w:numPr>
                                  <w:ilvl w:val="0"/>
                                  <w:numId w:val="17"/>
                                </w:numPr>
                                <w:spacing w:after="160" w:line="259" w:lineRule="auto"/>
                                <w:jc w:val="both"/>
                                <w:rPr>
                                  <w:i/>
                                  <w:iCs/>
                                  <w:color w:val="000000" w:themeColor="text1"/>
                                  <w:sz w:val="16"/>
                                  <w:szCs w:val="16"/>
                                </w:rPr>
                              </w:pPr>
                              <w:r w:rsidRPr="00024BF0">
                                <w:rPr>
                                  <w:i/>
                                  <w:iCs/>
                                  <w:color w:val="000000" w:themeColor="text1"/>
                                  <w:sz w:val="16"/>
                                  <w:szCs w:val="16"/>
                                </w:rPr>
                                <w:t>Top Mgmt.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0068386" name="Rectangle 3"/>
                        <wps:cNvSpPr/>
                        <wps:spPr>
                          <a:xfrm>
                            <a:off x="1892300" y="1263650"/>
                            <a:ext cx="1346200" cy="685800"/>
                          </a:xfrm>
                          <a:prstGeom prst="rect">
                            <a:avLst/>
                          </a:prstGeom>
                          <a:solidFill>
                            <a:schemeClr val="tx2">
                              <a:lumMod val="20000"/>
                              <a:lumOff val="80000"/>
                            </a:schemeClr>
                          </a:solidFill>
                          <a:scene3d>
                            <a:camera prst="orthographicFront"/>
                            <a:lightRig rig="threePt" dir="t"/>
                          </a:scene3d>
                          <a:sp3d>
                            <a:bevelT prst="relaxedInset"/>
                          </a:sp3d>
                        </wps:spPr>
                        <wps:style>
                          <a:lnRef idx="0">
                            <a:schemeClr val="accent1"/>
                          </a:lnRef>
                          <a:fillRef idx="3">
                            <a:schemeClr val="accent1"/>
                          </a:fillRef>
                          <a:effectRef idx="3">
                            <a:schemeClr val="accent1"/>
                          </a:effectRef>
                          <a:fontRef idx="minor">
                            <a:schemeClr val="lt1"/>
                          </a:fontRef>
                        </wps:style>
                        <wps:txbx>
                          <w:txbxContent>
                            <w:p w14:paraId="6BC0C735" w14:textId="77777777" w:rsidR="00EC121F" w:rsidRPr="00024BF0" w:rsidRDefault="00EC121F" w:rsidP="001972DE">
                              <w:pPr>
                                <w:pStyle w:val="ListParagraph"/>
                                <w:numPr>
                                  <w:ilvl w:val="0"/>
                                  <w:numId w:val="18"/>
                                </w:numPr>
                                <w:spacing w:after="160" w:line="259" w:lineRule="auto"/>
                                <w:jc w:val="both"/>
                                <w:rPr>
                                  <w:i/>
                                  <w:iCs/>
                                  <w:color w:val="000000" w:themeColor="text1"/>
                                  <w:sz w:val="16"/>
                                  <w:szCs w:val="16"/>
                                </w:rPr>
                              </w:pPr>
                              <w:r w:rsidRPr="00024BF0">
                                <w:rPr>
                                  <w:i/>
                                  <w:iCs/>
                                  <w:color w:val="000000" w:themeColor="text1"/>
                                  <w:sz w:val="16"/>
                                  <w:szCs w:val="16"/>
                                </w:rPr>
                                <w:t>Non-executive</w:t>
                              </w:r>
                            </w:p>
                            <w:p w14:paraId="5DA7308B" w14:textId="77777777" w:rsidR="00EC121F" w:rsidRPr="00024BF0" w:rsidRDefault="00EC121F" w:rsidP="001972DE">
                              <w:pPr>
                                <w:pStyle w:val="ListParagraph"/>
                                <w:numPr>
                                  <w:ilvl w:val="0"/>
                                  <w:numId w:val="18"/>
                                </w:numPr>
                                <w:spacing w:after="160" w:line="259" w:lineRule="auto"/>
                                <w:jc w:val="both"/>
                                <w:rPr>
                                  <w:i/>
                                  <w:iCs/>
                                  <w:color w:val="000000" w:themeColor="text1"/>
                                  <w:sz w:val="16"/>
                                  <w:szCs w:val="16"/>
                                </w:rPr>
                              </w:pPr>
                              <w:r w:rsidRPr="00024BF0">
                                <w:rPr>
                                  <w:i/>
                                  <w:iCs/>
                                  <w:color w:val="000000" w:themeColor="text1"/>
                                  <w:sz w:val="16"/>
                                  <w:szCs w:val="16"/>
                                </w:rPr>
                                <w:t>Junior Mgmt.</w:t>
                              </w:r>
                            </w:p>
                            <w:p w14:paraId="71FE1ABC" w14:textId="77777777" w:rsidR="00EC121F" w:rsidRPr="00024BF0" w:rsidRDefault="00EC121F" w:rsidP="001972DE">
                              <w:pPr>
                                <w:pStyle w:val="ListParagraph"/>
                                <w:numPr>
                                  <w:ilvl w:val="0"/>
                                  <w:numId w:val="18"/>
                                </w:numPr>
                                <w:spacing w:after="160" w:line="259" w:lineRule="auto"/>
                                <w:jc w:val="both"/>
                                <w:rPr>
                                  <w:i/>
                                  <w:iCs/>
                                  <w:color w:val="000000" w:themeColor="text1"/>
                                  <w:sz w:val="16"/>
                                  <w:szCs w:val="16"/>
                                </w:rPr>
                              </w:pPr>
                              <w:r w:rsidRPr="00024BF0">
                                <w:rPr>
                                  <w:i/>
                                  <w:iCs/>
                                  <w:color w:val="000000" w:themeColor="text1"/>
                                  <w:sz w:val="16"/>
                                  <w:szCs w:val="16"/>
                                </w:rPr>
                                <w:t>Middle Mgmt.</w:t>
                              </w:r>
                            </w:p>
                            <w:p w14:paraId="3C54A11F" w14:textId="77777777" w:rsidR="00EC121F" w:rsidRPr="00024BF0" w:rsidRDefault="00EC121F" w:rsidP="001972DE">
                              <w:pPr>
                                <w:pStyle w:val="ListParagraph"/>
                                <w:numPr>
                                  <w:ilvl w:val="0"/>
                                  <w:numId w:val="18"/>
                                </w:numPr>
                                <w:spacing w:after="160" w:line="259" w:lineRule="auto"/>
                                <w:jc w:val="both"/>
                                <w:rPr>
                                  <w:i/>
                                  <w:iCs/>
                                  <w:color w:val="000000" w:themeColor="text1"/>
                                  <w:sz w:val="16"/>
                                  <w:szCs w:val="16"/>
                                </w:rPr>
                              </w:pPr>
                              <w:r w:rsidRPr="00024BF0">
                                <w:rPr>
                                  <w:i/>
                                  <w:iCs/>
                                  <w:color w:val="000000" w:themeColor="text1"/>
                                  <w:sz w:val="16"/>
                                  <w:szCs w:val="16"/>
                                </w:rPr>
                                <w:t>Top Mgmt.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1532351" name="Rectangle 3"/>
                        <wps:cNvSpPr/>
                        <wps:spPr>
                          <a:xfrm>
                            <a:off x="3727450" y="1263650"/>
                            <a:ext cx="1257300" cy="279400"/>
                          </a:xfrm>
                          <a:prstGeom prst="rect">
                            <a:avLst/>
                          </a:prstGeom>
                          <a:solidFill>
                            <a:schemeClr val="tx2">
                              <a:lumMod val="20000"/>
                              <a:lumOff val="80000"/>
                            </a:schemeClr>
                          </a:solidFill>
                          <a:scene3d>
                            <a:camera prst="orthographicFront"/>
                            <a:lightRig rig="threePt" dir="t"/>
                          </a:scene3d>
                          <a:sp3d>
                            <a:bevelT prst="relaxedInset"/>
                          </a:sp3d>
                        </wps:spPr>
                        <wps:style>
                          <a:lnRef idx="0">
                            <a:schemeClr val="accent1"/>
                          </a:lnRef>
                          <a:fillRef idx="3">
                            <a:schemeClr val="accent1"/>
                          </a:fillRef>
                          <a:effectRef idx="3">
                            <a:schemeClr val="accent1"/>
                          </a:effectRef>
                          <a:fontRef idx="minor">
                            <a:schemeClr val="lt1"/>
                          </a:fontRef>
                        </wps:style>
                        <wps:txbx>
                          <w:txbxContent>
                            <w:p w14:paraId="026FB94B" w14:textId="77777777" w:rsidR="00EC121F" w:rsidRPr="00056C4C" w:rsidRDefault="00EC121F" w:rsidP="00056C4C">
                              <w:pPr>
                                <w:spacing w:after="160" w:line="259" w:lineRule="auto"/>
                                <w:jc w:val="both"/>
                                <w:rPr>
                                  <w:i/>
                                  <w:iCs/>
                                  <w:color w:val="000000" w:themeColor="text1"/>
                                  <w:sz w:val="16"/>
                                  <w:szCs w:val="16"/>
                                </w:rPr>
                              </w:pPr>
                              <w:r w:rsidRPr="00056C4C">
                                <w:rPr>
                                  <w:i/>
                                  <w:iCs/>
                                  <w:color w:val="000000" w:themeColor="text1"/>
                                  <w:sz w:val="16"/>
                                  <w:szCs w:val="16"/>
                                </w:rPr>
                                <w:t>Business Associates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EC2C175" id="Group 6" o:spid="_x0000_s1026" style="position:absolute;left:0;text-align:left;margin-left:9pt;margin-top:8.95pt;width:404.5pt;height:162pt;z-index:251658240" coordsize="51371,20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">
                <v:roundrect id="Rectangle: Rounded Corners 1" o:spid="_x0000_s1027" style="position:absolute;width:51371;height:3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" fillcolor="#c6d9f1 [671]" stroked="f">
                  <v:shadow on="t" color="black" opacity="22937f" origin=",.5" offset="0,.63889mm"/>
                  <v:textbox>
                    <w:txbxContent>
                      <w:p w14:paraId="5367DB41" w14:textId="77777777" w:rsidR="00EC121F" w:rsidRPr="00024BF0" w:rsidRDefault="00EC121F" w:rsidP="005304A5">
                        <w:pPr>
                          <w:jc w:val="center"/>
                          <w:rPr>
                            <w:b/>
                            <w:bCs/>
                            <w:color w:val="000000" w:themeColor="text1"/>
                            <w:sz w:val="28"/>
                            <w:szCs w:val="28"/>
                          </w:rPr>
                        </w:pPr>
                        <w:r w:rsidRPr="00024BF0">
                          <w:rPr>
                            <w:b/>
                            <w:bCs/>
                            <w:color w:val="000000" w:themeColor="text1"/>
                            <w:sz w:val="28"/>
                            <w:szCs w:val="28"/>
                          </w:rPr>
                          <w:t>Category of Employees/ Outsourced in TPWODL</w:t>
                        </w:r>
                      </w:p>
                    </w:txbxContent>
                  </v:textbox>
                </v:roundrect>
                <v:line id="Straight Connector 2" o:spid="_x0000_s1028" style="position:absolute;visibility:visible;mso-wrap-style:square" from="7874,3492" to="7874,7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" strokecolor="black [3200]" strokeweight="2pt">
                  <v:shadow on="t" color="black" opacity="24903f" origin=",.5" offset="0,.55556mm"/>
                </v:line>
                <v:line id="Straight Connector 2" o:spid="_x0000_s1029" style="position:absolute;visibility:visible;mso-wrap-style:square" from="25590,3365" to="25590,7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" strokecolor="black [3200]" strokeweight="2pt">
                  <v:shadow on="t" color="black" opacity="24903f" origin=",.5" offset="0,.55556mm"/>
                </v:line>
                <v:line id="Straight Connector 2" o:spid="_x0000_s1030" style="position:absolute;visibility:visible;mso-wrap-style:square" from="43624,3429" to="43624,7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" strokecolor="black [3200]" strokeweight="2pt">
                  <v:shadow on="t" color="black" opacity="24903f" origin=",.5" offset="0,.55556mm"/>
                </v:line>
                <v:rect id="Rectangle 3" o:spid="_x0000_s1031" style="position:absolute;left:1841;top:7112;width:11875;height:4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" fillcolor="#c6d9f1 [671]" stroked="f">
                  <v:shadow on="t" color="black" opacity="22937f" origin=",.5" offset="0,.63889mm"/>
                  <v:textbox>
                    <w:txbxContent>
                      <w:p w14:paraId="5B2D9F5B" w14:textId="77777777" w:rsidR="00EC121F" w:rsidRPr="00024BF0" w:rsidRDefault="00EC121F" w:rsidP="005304A5">
                        <w:pPr>
                          <w:jc w:val="center"/>
                          <w:rPr>
                            <w:b/>
                            <w:bCs/>
                            <w:color w:val="000000" w:themeColor="text1"/>
                            <w:sz w:val="20"/>
                            <w:szCs w:val="20"/>
                          </w:rPr>
                        </w:pPr>
                        <w:r w:rsidRPr="00024BF0">
                          <w:rPr>
                            <w:b/>
                            <w:bCs/>
                            <w:color w:val="000000" w:themeColor="text1"/>
                            <w:sz w:val="20"/>
                            <w:szCs w:val="20"/>
                          </w:rPr>
                          <w:t>CTC Employees</w:t>
                        </w:r>
                      </w:p>
                    </w:txbxContent>
                  </v:textbox>
                </v:rect>
                <v:rect id="Rectangle 3" o:spid="_x0000_s1032" style="position:absolute;left:37274;top:7239;width:12573;height:4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" fillcolor="#c6d9f1 [671]" stroked="f">
                  <v:shadow on="t" color="black" opacity="22937f" origin=",.5" offset="0,.63889mm"/>
                  <v:textbox>
                    <w:txbxContent>
                      <w:p w14:paraId="481D8FB8" w14:textId="77777777" w:rsidR="00EC121F" w:rsidRPr="00024BF0" w:rsidRDefault="00EC121F" w:rsidP="005304A5">
                        <w:pPr>
                          <w:jc w:val="center"/>
                          <w:rPr>
                            <w:b/>
                            <w:bCs/>
                            <w:color w:val="000000" w:themeColor="text1"/>
                            <w:sz w:val="20"/>
                            <w:szCs w:val="20"/>
                          </w:rPr>
                        </w:pPr>
                        <w:r w:rsidRPr="00024BF0">
                          <w:rPr>
                            <w:b/>
                            <w:bCs/>
                            <w:color w:val="000000" w:themeColor="text1"/>
                            <w:sz w:val="20"/>
                            <w:szCs w:val="20"/>
                          </w:rPr>
                          <w:t>Outsourced Employees</w:t>
                        </w:r>
                      </w:p>
                    </w:txbxContent>
                  </v:textbox>
                </v:rect>
                <v:rect id="Rectangle 3" o:spid="_x0000_s1033" style="position:absolute;left:18796;top:7175;width:13589;height:48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" fillcolor="#c6d9f1 [671]" stroked="f">
                  <v:shadow on="t" color="black" opacity="22937f" origin=",.5" offset="0,.63889mm"/>
                  <v:textbox>
                    <w:txbxContent>
                      <w:p w14:paraId="1B02C402" w14:textId="77777777" w:rsidR="00EC121F" w:rsidRPr="00024BF0" w:rsidRDefault="00EC121F" w:rsidP="005304A5">
                        <w:pPr>
                          <w:jc w:val="center"/>
                          <w:rPr>
                            <w:b/>
                            <w:bCs/>
                            <w:color w:val="000000" w:themeColor="text1"/>
                            <w:sz w:val="20"/>
                            <w:szCs w:val="20"/>
                          </w:rPr>
                        </w:pPr>
                        <w:r w:rsidRPr="00024BF0">
                          <w:rPr>
                            <w:b/>
                            <w:bCs/>
                            <w:color w:val="000000" w:themeColor="text1"/>
                            <w:sz w:val="20"/>
                            <w:szCs w:val="20"/>
                          </w:rPr>
                          <w:t>Inherited/ Erstwhile Employees</w:t>
                        </w:r>
                      </w:p>
                    </w:txbxContent>
                  </v:textbox>
                </v:rect>
                <v:rect id="Rectangle 4" o:spid="_x0000_s1034" style="position:absolute;left:1841;top:12319;width:11875;height:8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" fillcolor="#c6d9f1 [671]" stroked="f">
                  <v:shadow on="t" color="black" opacity="22937f" origin=",.5" offset="0,.63889mm"/>
                  <v:textbox>
                    <w:txbxContent>
                      <w:p w14:paraId="58996177" w14:textId="77777777" w:rsidR="00EC121F" w:rsidRPr="00024BF0" w:rsidRDefault="00EC121F" w:rsidP="001972DE">
                        <w:pPr>
                          <w:pStyle w:val="ListParagraph"/>
                          <w:numPr>
                            <w:ilvl w:val="0"/>
                            <w:numId w:val="17"/>
                          </w:numPr>
                          <w:spacing w:after="160" w:line="259" w:lineRule="auto"/>
                          <w:jc w:val="both"/>
                          <w:rPr>
                            <w:i/>
                            <w:iCs/>
                            <w:color w:val="000000" w:themeColor="text1"/>
                            <w:sz w:val="16"/>
                            <w:szCs w:val="16"/>
                          </w:rPr>
                        </w:pPr>
                        <w:r w:rsidRPr="00024BF0">
                          <w:rPr>
                            <w:i/>
                            <w:iCs/>
                            <w:color w:val="000000" w:themeColor="text1"/>
                            <w:sz w:val="16"/>
                            <w:szCs w:val="16"/>
                          </w:rPr>
                          <w:t>Consultant/ FDA</w:t>
                        </w:r>
                      </w:p>
                      <w:p w14:paraId="0F3D0878" w14:textId="77777777" w:rsidR="00EC121F" w:rsidRPr="00024BF0" w:rsidRDefault="00EC121F" w:rsidP="001972DE">
                        <w:pPr>
                          <w:pStyle w:val="ListParagraph"/>
                          <w:numPr>
                            <w:ilvl w:val="0"/>
                            <w:numId w:val="17"/>
                          </w:numPr>
                          <w:spacing w:after="160" w:line="259" w:lineRule="auto"/>
                          <w:jc w:val="both"/>
                          <w:rPr>
                            <w:i/>
                            <w:iCs/>
                            <w:color w:val="000000" w:themeColor="text1"/>
                            <w:sz w:val="16"/>
                            <w:szCs w:val="16"/>
                          </w:rPr>
                        </w:pPr>
                        <w:r w:rsidRPr="00024BF0">
                          <w:rPr>
                            <w:i/>
                            <w:iCs/>
                            <w:color w:val="000000" w:themeColor="text1"/>
                            <w:sz w:val="16"/>
                            <w:szCs w:val="16"/>
                          </w:rPr>
                          <w:t>Trainee</w:t>
                        </w:r>
                      </w:p>
                      <w:p w14:paraId="337AAF33" w14:textId="77777777" w:rsidR="00EC121F" w:rsidRPr="00024BF0" w:rsidRDefault="00EC121F" w:rsidP="001972DE">
                        <w:pPr>
                          <w:pStyle w:val="ListParagraph"/>
                          <w:numPr>
                            <w:ilvl w:val="0"/>
                            <w:numId w:val="17"/>
                          </w:numPr>
                          <w:spacing w:after="160" w:line="259" w:lineRule="auto"/>
                          <w:jc w:val="both"/>
                          <w:rPr>
                            <w:i/>
                            <w:iCs/>
                            <w:color w:val="000000" w:themeColor="text1"/>
                            <w:sz w:val="16"/>
                            <w:szCs w:val="16"/>
                          </w:rPr>
                        </w:pPr>
                        <w:r w:rsidRPr="00024BF0">
                          <w:rPr>
                            <w:i/>
                            <w:iCs/>
                            <w:color w:val="000000" w:themeColor="text1"/>
                            <w:sz w:val="16"/>
                            <w:szCs w:val="16"/>
                          </w:rPr>
                          <w:t>Junior Mgmt.</w:t>
                        </w:r>
                      </w:p>
                      <w:p w14:paraId="049FF592" w14:textId="77777777" w:rsidR="00EC121F" w:rsidRPr="00024BF0" w:rsidRDefault="00EC121F" w:rsidP="001972DE">
                        <w:pPr>
                          <w:pStyle w:val="ListParagraph"/>
                          <w:numPr>
                            <w:ilvl w:val="0"/>
                            <w:numId w:val="17"/>
                          </w:numPr>
                          <w:spacing w:after="160" w:line="259" w:lineRule="auto"/>
                          <w:jc w:val="both"/>
                          <w:rPr>
                            <w:i/>
                            <w:iCs/>
                            <w:color w:val="000000" w:themeColor="text1"/>
                            <w:sz w:val="16"/>
                            <w:szCs w:val="16"/>
                          </w:rPr>
                        </w:pPr>
                        <w:r w:rsidRPr="00024BF0">
                          <w:rPr>
                            <w:i/>
                            <w:iCs/>
                            <w:color w:val="000000" w:themeColor="text1"/>
                            <w:sz w:val="16"/>
                            <w:szCs w:val="16"/>
                          </w:rPr>
                          <w:t>Middle Mgmt.</w:t>
                        </w:r>
                      </w:p>
                      <w:p w14:paraId="079CA4CE" w14:textId="77777777" w:rsidR="00EC121F" w:rsidRPr="00024BF0" w:rsidRDefault="00EC121F" w:rsidP="001972DE">
                        <w:pPr>
                          <w:pStyle w:val="ListParagraph"/>
                          <w:numPr>
                            <w:ilvl w:val="0"/>
                            <w:numId w:val="17"/>
                          </w:numPr>
                          <w:spacing w:after="160" w:line="259" w:lineRule="auto"/>
                          <w:jc w:val="both"/>
                          <w:rPr>
                            <w:i/>
                            <w:iCs/>
                            <w:color w:val="000000" w:themeColor="text1"/>
                            <w:sz w:val="16"/>
                            <w:szCs w:val="16"/>
                          </w:rPr>
                        </w:pPr>
                        <w:r w:rsidRPr="00024BF0">
                          <w:rPr>
                            <w:i/>
                            <w:iCs/>
                            <w:color w:val="000000" w:themeColor="text1"/>
                            <w:sz w:val="16"/>
                            <w:szCs w:val="16"/>
                          </w:rPr>
                          <w:t>Top Mgmt.</w:t>
                        </w:r>
                      </w:p>
                    </w:txbxContent>
                  </v:textbox>
                </v:rect>
                <v:rect id="Rectangle 3" o:spid="_x0000_s1035" style="position:absolute;left:18923;top:12636;width:13462;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" fillcolor="#c6d9f1 [671]" stroked="f">
                  <v:shadow on="t" color="black" opacity="22937f" origin=",.5" offset="0,.63889mm"/>
                  <v:textbox>
                    <w:txbxContent>
                      <w:p w14:paraId="6BC0C735" w14:textId="77777777" w:rsidR="00EC121F" w:rsidRPr="00024BF0" w:rsidRDefault="00EC121F" w:rsidP="001972DE">
                        <w:pPr>
                          <w:pStyle w:val="ListParagraph"/>
                          <w:numPr>
                            <w:ilvl w:val="0"/>
                            <w:numId w:val="18"/>
                          </w:numPr>
                          <w:spacing w:after="160" w:line="259" w:lineRule="auto"/>
                          <w:jc w:val="both"/>
                          <w:rPr>
                            <w:i/>
                            <w:iCs/>
                            <w:color w:val="000000" w:themeColor="text1"/>
                            <w:sz w:val="16"/>
                            <w:szCs w:val="16"/>
                          </w:rPr>
                        </w:pPr>
                        <w:r w:rsidRPr="00024BF0">
                          <w:rPr>
                            <w:i/>
                            <w:iCs/>
                            <w:color w:val="000000" w:themeColor="text1"/>
                            <w:sz w:val="16"/>
                            <w:szCs w:val="16"/>
                          </w:rPr>
                          <w:t>Non-executive</w:t>
                        </w:r>
                      </w:p>
                      <w:p w14:paraId="5DA7308B" w14:textId="77777777" w:rsidR="00EC121F" w:rsidRPr="00024BF0" w:rsidRDefault="00EC121F" w:rsidP="001972DE">
                        <w:pPr>
                          <w:pStyle w:val="ListParagraph"/>
                          <w:numPr>
                            <w:ilvl w:val="0"/>
                            <w:numId w:val="18"/>
                          </w:numPr>
                          <w:spacing w:after="160" w:line="259" w:lineRule="auto"/>
                          <w:jc w:val="both"/>
                          <w:rPr>
                            <w:i/>
                            <w:iCs/>
                            <w:color w:val="000000" w:themeColor="text1"/>
                            <w:sz w:val="16"/>
                            <w:szCs w:val="16"/>
                          </w:rPr>
                        </w:pPr>
                        <w:r w:rsidRPr="00024BF0">
                          <w:rPr>
                            <w:i/>
                            <w:iCs/>
                            <w:color w:val="000000" w:themeColor="text1"/>
                            <w:sz w:val="16"/>
                            <w:szCs w:val="16"/>
                          </w:rPr>
                          <w:t>Junior Mgmt.</w:t>
                        </w:r>
                      </w:p>
                      <w:p w14:paraId="71FE1ABC" w14:textId="77777777" w:rsidR="00EC121F" w:rsidRPr="00024BF0" w:rsidRDefault="00EC121F" w:rsidP="001972DE">
                        <w:pPr>
                          <w:pStyle w:val="ListParagraph"/>
                          <w:numPr>
                            <w:ilvl w:val="0"/>
                            <w:numId w:val="18"/>
                          </w:numPr>
                          <w:spacing w:after="160" w:line="259" w:lineRule="auto"/>
                          <w:jc w:val="both"/>
                          <w:rPr>
                            <w:i/>
                            <w:iCs/>
                            <w:color w:val="000000" w:themeColor="text1"/>
                            <w:sz w:val="16"/>
                            <w:szCs w:val="16"/>
                          </w:rPr>
                        </w:pPr>
                        <w:r w:rsidRPr="00024BF0">
                          <w:rPr>
                            <w:i/>
                            <w:iCs/>
                            <w:color w:val="000000" w:themeColor="text1"/>
                            <w:sz w:val="16"/>
                            <w:szCs w:val="16"/>
                          </w:rPr>
                          <w:t>Middle Mgmt.</w:t>
                        </w:r>
                      </w:p>
                      <w:p w14:paraId="3C54A11F" w14:textId="77777777" w:rsidR="00EC121F" w:rsidRPr="00024BF0" w:rsidRDefault="00EC121F" w:rsidP="001972DE">
                        <w:pPr>
                          <w:pStyle w:val="ListParagraph"/>
                          <w:numPr>
                            <w:ilvl w:val="0"/>
                            <w:numId w:val="18"/>
                          </w:numPr>
                          <w:spacing w:after="160" w:line="259" w:lineRule="auto"/>
                          <w:jc w:val="both"/>
                          <w:rPr>
                            <w:i/>
                            <w:iCs/>
                            <w:color w:val="000000" w:themeColor="text1"/>
                            <w:sz w:val="16"/>
                            <w:szCs w:val="16"/>
                          </w:rPr>
                        </w:pPr>
                        <w:r w:rsidRPr="00024BF0">
                          <w:rPr>
                            <w:i/>
                            <w:iCs/>
                            <w:color w:val="000000" w:themeColor="text1"/>
                            <w:sz w:val="16"/>
                            <w:szCs w:val="16"/>
                          </w:rPr>
                          <w:t>Top Mgmt.</w:t>
                        </w:r>
                      </w:p>
                    </w:txbxContent>
                  </v:textbox>
                </v:rect>
                <v:rect id="Rectangle 3" o:spid="_x0000_s1036" style="position:absolute;left:37274;top:12636;width:12573;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" fillcolor="#c6d9f1 [671]" stroked="f">
                  <v:shadow on="t" color="black" opacity="22937f" origin=",.5" offset="0,.63889mm"/>
                  <v:textbox>
                    <w:txbxContent>
                      <w:p w14:paraId="026FB94B" w14:textId="77777777" w:rsidR="00EC121F" w:rsidRPr="00056C4C" w:rsidRDefault="00EC121F" w:rsidP="00056C4C">
                        <w:pPr>
                          <w:spacing w:after="160" w:line="259" w:lineRule="auto"/>
                          <w:jc w:val="both"/>
                          <w:rPr>
                            <w:i/>
                            <w:iCs/>
                            <w:color w:val="000000" w:themeColor="text1"/>
                            <w:sz w:val="16"/>
                            <w:szCs w:val="16"/>
                          </w:rPr>
                        </w:pPr>
                        <w:r w:rsidRPr="00056C4C">
                          <w:rPr>
                            <w:i/>
                            <w:iCs/>
                            <w:color w:val="000000" w:themeColor="text1"/>
                            <w:sz w:val="16"/>
                            <w:szCs w:val="16"/>
                          </w:rPr>
                          <w:t>Business Associates</w:t>
                        </w:r>
                      </w:p>
                    </w:txbxContent>
                  </v:textbox>
                </v:rect>
              </v:group>
            </w:pict>
          </mc:Fallback>
        </mc:AlternateContent>
      </w:r>
    </w:p>
    <w:p w14:paraId="6CEFD596" w14:textId="77777777" w:rsidR="005304A5" w:rsidRPr="001022A0" w:rsidRDefault="005304A5" w:rsidP="005304A5">
      <w:pPr>
        <w:jc w:val="both"/>
        <w:rPr>
          <w:rFonts w:asciiTheme="majorHAnsi" w:hAnsiTheme="majorHAnsi"/>
          <w:color w:val="FF0000"/>
        </w:rPr>
      </w:pPr>
    </w:p>
    <w:p w14:paraId="47E1D3FA" w14:textId="77777777" w:rsidR="005304A5" w:rsidRPr="001022A0" w:rsidRDefault="005304A5" w:rsidP="005304A5">
      <w:pPr>
        <w:jc w:val="both"/>
        <w:rPr>
          <w:rFonts w:asciiTheme="majorHAnsi" w:hAnsiTheme="majorHAnsi"/>
          <w:color w:val="FF0000"/>
        </w:rPr>
      </w:pPr>
    </w:p>
    <w:p w14:paraId="3D8DFAA8" w14:textId="77777777" w:rsidR="005304A5" w:rsidRPr="001022A0" w:rsidRDefault="005304A5" w:rsidP="005304A5">
      <w:pPr>
        <w:jc w:val="both"/>
        <w:rPr>
          <w:rFonts w:asciiTheme="majorHAnsi" w:hAnsiTheme="majorHAnsi"/>
          <w:color w:val="FF0000"/>
        </w:rPr>
      </w:pPr>
    </w:p>
    <w:p w14:paraId="0AD5DAE6" w14:textId="77777777" w:rsidR="005304A5" w:rsidRPr="001022A0" w:rsidRDefault="005304A5" w:rsidP="005304A5">
      <w:pPr>
        <w:jc w:val="both"/>
        <w:rPr>
          <w:rFonts w:asciiTheme="majorHAnsi" w:hAnsiTheme="majorHAnsi"/>
          <w:color w:val="FF0000"/>
        </w:rPr>
      </w:pPr>
    </w:p>
    <w:p w14:paraId="493B5131" w14:textId="77777777" w:rsidR="005304A5" w:rsidRPr="001022A0" w:rsidRDefault="005304A5" w:rsidP="005304A5">
      <w:pPr>
        <w:jc w:val="both"/>
        <w:rPr>
          <w:rFonts w:asciiTheme="majorHAnsi" w:hAnsiTheme="majorHAnsi"/>
          <w:color w:val="FF0000"/>
        </w:rPr>
      </w:pPr>
    </w:p>
    <w:p w14:paraId="03A6A204" w14:textId="77777777" w:rsidR="005304A5" w:rsidRPr="001022A0" w:rsidRDefault="005304A5" w:rsidP="005304A5">
      <w:pPr>
        <w:jc w:val="both"/>
        <w:rPr>
          <w:rFonts w:asciiTheme="majorHAnsi" w:hAnsiTheme="majorHAnsi"/>
          <w:color w:val="FF0000"/>
        </w:rPr>
      </w:pPr>
    </w:p>
    <w:p w14:paraId="2AA2256F" w14:textId="77777777" w:rsidR="005304A5" w:rsidRPr="001022A0" w:rsidRDefault="005304A5" w:rsidP="005304A5">
      <w:pPr>
        <w:jc w:val="both"/>
        <w:rPr>
          <w:rFonts w:asciiTheme="majorHAnsi" w:hAnsiTheme="majorHAnsi"/>
          <w:color w:val="FF0000"/>
        </w:rPr>
      </w:pPr>
    </w:p>
    <w:p w14:paraId="60E03575" w14:textId="77777777" w:rsidR="005304A5" w:rsidRPr="001022A0" w:rsidRDefault="005304A5" w:rsidP="005304A5">
      <w:pPr>
        <w:jc w:val="both"/>
        <w:rPr>
          <w:rFonts w:asciiTheme="majorHAnsi" w:hAnsiTheme="majorHAnsi"/>
          <w:color w:val="FF0000"/>
        </w:rPr>
      </w:pPr>
    </w:p>
    <w:p w14:paraId="1C9D58D4" w14:textId="77777777" w:rsidR="005304A5" w:rsidRPr="001022A0" w:rsidRDefault="005304A5" w:rsidP="005304A5">
      <w:pPr>
        <w:jc w:val="both"/>
        <w:rPr>
          <w:rFonts w:asciiTheme="majorHAnsi" w:hAnsiTheme="majorHAnsi"/>
          <w:color w:val="FF0000"/>
        </w:rPr>
      </w:pPr>
    </w:p>
    <w:p w14:paraId="60D53E33" w14:textId="77777777" w:rsidR="005304A5" w:rsidRPr="001022A0" w:rsidRDefault="005304A5" w:rsidP="005304A5">
      <w:pPr>
        <w:jc w:val="both"/>
        <w:rPr>
          <w:rFonts w:asciiTheme="majorHAnsi" w:hAnsiTheme="majorHAnsi"/>
          <w:color w:val="FF0000"/>
        </w:rPr>
      </w:pPr>
    </w:p>
    <w:p w14:paraId="34BF1875" w14:textId="77777777" w:rsidR="005304A5" w:rsidRPr="001022A0" w:rsidRDefault="005304A5" w:rsidP="005304A5">
      <w:pPr>
        <w:jc w:val="both"/>
        <w:rPr>
          <w:rFonts w:asciiTheme="majorHAnsi" w:hAnsiTheme="majorHAnsi"/>
          <w:color w:val="FF0000"/>
        </w:rPr>
      </w:pPr>
    </w:p>
    <w:p w14:paraId="5F90E6B5" w14:textId="77777777" w:rsidR="005304A5" w:rsidRPr="001022A0" w:rsidRDefault="005304A5" w:rsidP="005304A5">
      <w:pPr>
        <w:jc w:val="both"/>
        <w:rPr>
          <w:rFonts w:asciiTheme="majorHAnsi" w:hAnsiTheme="majorHAnsi"/>
          <w:color w:val="FF0000"/>
        </w:rPr>
      </w:pPr>
    </w:p>
    <w:p w14:paraId="2982CCB9" w14:textId="0F86813F" w:rsidR="005304A5" w:rsidRPr="001022A0" w:rsidRDefault="005304A5" w:rsidP="0097212A">
      <w:pPr>
        <w:spacing w:beforeLines="100" w:before="240" w:afterLines="100" w:after="240" w:line="360" w:lineRule="auto"/>
        <w:jc w:val="both"/>
        <w:rPr>
          <w:rFonts w:asciiTheme="majorHAnsi" w:hAnsiTheme="majorHAnsi"/>
        </w:rPr>
      </w:pPr>
      <w:r w:rsidRPr="000B24C2">
        <w:rPr>
          <w:rFonts w:asciiTheme="majorHAnsi" w:hAnsiTheme="majorHAnsi"/>
          <w:color w:val="000000" w:themeColor="text1"/>
        </w:rPr>
        <w:t xml:space="preserve">The Licensee has recruited </w:t>
      </w:r>
      <w:r w:rsidR="000B24C2" w:rsidRPr="000B24C2">
        <w:rPr>
          <w:rFonts w:asciiTheme="majorHAnsi" w:hAnsiTheme="majorHAnsi"/>
          <w:color w:val="000000" w:themeColor="text1"/>
        </w:rPr>
        <w:t>128</w:t>
      </w:r>
      <w:r w:rsidRPr="000B24C2">
        <w:rPr>
          <w:rFonts w:asciiTheme="majorHAnsi" w:hAnsiTheme="majorHAnsi"/>
          <w:color w:val="000000" w:themeColor="text1"/>
        </w:rPr>
        <w:t xml:space="preserve"> </w:t>
      </w:r>
      <w:r w:rsidR="006052C2" w:rsidRPr="000B24C2">
        <w:rPr>
          <w:rFonts w:asciiTheme="majorHAnsi" w:hAnsiTheme="majorHAnsi"/>
          <w:color w:val="000000" w:themeColor="text1"/>
        </w:rPr>
        <w:t xml:space="preserve">nos. of </w:t>
      </w:r>
      <w:r w:rsidRPr="000B24C2">
        <w:rPr>
          <w:rFonts w:asciiTheme="majorHAnsi" w:hAnsiTheme="majorHAnsi"/>
          <w:color w:val="000000" w:themeColor="text1"/>
        </w:rPr>
        <w:t>employees in FY 2</w:t>
      </w:r>
      <w:r w:rsidR="000B24C2" w:rsidRPr="000B24C2">
        <w:rPr>
          <w:rFonts w:asciiTheme="majorHAnsi" w:hAnsiTheme="majorHAnsi"/>
          <w:color w:val="000000" w:themeColor="text1"/>
        </w:rPr>
        <w:t>4</w:t>
      </w:r>
      <w:r w:rsidRPr="000B24C2">
        <w:rPr>
          <w:rFonts w:asciiTheme="majorHAnsi" w:hAnsiTheme="majorHAnsi"/>
          <w:color w:val="000000" w:themeColor="text1"/>
        </w:rPr>
        <w:t>-2</w:t>
      </w:r>
      <w:r w:rsidR="000B24C2" w:rsidRPr="000B24C2">
        <w:rPr>
          <w:rFonts w:asciiTheme="majorHAnsi" w:hAnsiTheme="majorHAnsi"/>
          <w:color w:val="000000" w:themeColor="text1"/>
        </w:rPr>
        <w:t>5</w:t>
      </w:r>
      <w:r w:rsidRPr="000B24C2">
        <w:rPr>
          <w:rFonts w:asciiTheme="majorHAnsi" w:hAnsiTheme="majorHAnsi"/>
          <w:color w:val="000000" w:themeColor="text1"/>
        </w:rPr>
        <w:t xml:space="preserve"> and planned for </w:t>
      </w:r>
      <w:r w:rsidR="00D311E6" w:rsidRPr="000B24C2">
        <w:rPr>
          <w:rFonts w:asciiTheme="majorHAnsi" w:hAnsiTheme="majorHAnsi"/>
          <w:color w:val="000000" w:themeColor="text1"/>
        </w:rPr>
        <w:t>1</w:t>
      </w:r>
      <w:r w:rsidR="00BC4051">
        <w:rPr>
          <w:rFonts w:asciiTheme="majorHAnsi" w:hAnsiTheme="majorHAnsi"/>
          <w:color w:val="000000" w:themeColor="text1"/>
        </w:rPr>
        <w:t>8</w:t>
      </w:r>
      <w:r w:rsidR="000B24C2" w:rsidRPr="000B24C2">
        <w:rPr>
          <w:rFonts w:asciiTheme="majorHAnsi" w:hAnsiTheme="majorHAnsi"/>
          <w:color w:val="000000" w:themeColor="text1"/>
        </w:rPr>
        <w:t>0</w:t>
      </w:r>
      <w:r w:rsidRPr="000B24C2">
        <w:rPr>
          <w:rFonts w:asciiTheme="majorHAnsi" w:hAnsiTheme="majorHAnsi"/>
          <w:color w:val="000000" w:themeColor="text1"/>
        </w:rPr>
        <w:t xml:space="preserve"> nos. of employees in FY 2</w:t>
      </w:r>
      <w:r w:rsidR="00DD0312" w:rsidRPr="000B24C2">
        <w:rPr>
          <w:rFonts w:asciiTheme="majorHAnsi" w:hAnsiTheme="majorHAnsi"/>
          <w:color w:val="000000" w:themeColor="text1"/>
        </w:rPr>
        <w:t>5</w:t>
      </w:r>
      <w:r w:rsidR="000B24C2" w:rsidRPr="000B24C2">
        <w:rPr>
          <w:rFonts w:asciiTheme="majorHAnsi" w:hAnsiTheme="majorHAnsi"/>
          <w:color w:val="000000" w:themeColor="text1"/>
        </w:rPr>
        <w:t>-26</w:t>
      </w:r>
      <w:r w:rsidRPr="000B24C2">
        <w:rPr>
          <w:rFonts w:asciiTheme="majorHAnsi" w:hAnsiTheme="majorHAnsi"/>
          <w:color w:val="000000" w:themeColor="text1"/>
        </w:rPr>
        <w:t xml:space="preserve"> &amp; </w:t>
      </w:r>
      <w:r w:rsidR="0024414C">
        <w:rPr>
          <w:rFonts w:asciiTheme="majorHAnsi" w:hAnsiTheme="majorHAnsi"/>
          <w:color w:val="000000" w:themeColor="text1"/>
        </w:rPr>
        <w:t>160</w:t>
      </w:r>
      <w:r w:rsidRPr="000B24C2">
        <w:rPr>
          <w:rFonts w:asciiTheme="majorHAnsi" w:hAnsiTheme="majorHAnsi"/>
          <w:color w:val="000000" w:themeColor="text1"/>
        </w:rPr>
        <w:t xml:space="preserve"> nos. of employees in FY </w:t>
      </w:r>
      <w:r w:rsidR="007507C7" w:rsidRPr="000B24C2">
        <w:rPr>
          <w:rFonts w:asciiTheme="majorHAnsi" w:hAnsiTheme="majorHAnsi"/>
          <w:color w:val="000000" w:themeColor="text1"/>
        </w:rPr>
        <w:t>26-27</w:t>
      </w:r>
      <w:r w:rsidRPr="000B24C2">
        <w:rPr>
          <w:rFonts w:asciiTheme="majorHAnsi" w:hAnsiTheme="majorHAnsi"/>
          <w:color w:val="000000" w:themeColor="text1"/>
        </w:rPr>
        <w:t xml:space="preserve"> for recruitment. The proposed </w:t>
      </w:r>
      <w:r w:rsidRPr="001022A0">
        <w:rPr>
          <w:rFonts w:asciiTheme="majorHAnsi" w:hAnsiTheme="majorHAnsi"/>
        </w:rPr>
        <w:t xml:space="preserve">recruitments are in line with the employee strength benchmark of 1.4 employees per 1000 consumers as directed by the Hon’ble Commission. </w:t>
      </w:r>
    </w:p>
    <w:p w14:paraId="19F48DEE" w14:textId="6A0B2606" w:rsidR="005304A5" w:rsidRDefault="005304A5" w:rsidP="0097212A">
      <w:pPr>
        <w:spacing w:beforeLines="100" w:before="240" w:afterLines="100" w:after="240" w:line="360" w:lineRule="auto"/>
        <w:jc w:val="both"/>
        <w:rPr>
          <w:rFonts w:asciiTheme="majorHAnsi" w:hAnsiTheme="majorHAnsi"/>
        </w:rPr>
      </w:pPr>
      <w:r w:rsidRPr="001022A0">
        <w:rPr>
          <w:rFonts w:asciiTheme="majorHAnsi" w:hAnsiTheme="majorHAnsi"/>
        </w:rPr>
        <w:t xml:space="preserve">The position of the employees up to the end of FY </w:t>
      </w:r>
      <w:r w:rsidR="007507C7">
        <w:rPr>
          <w:rFonts w:asciiTheme="majorHAnsi" w:hAnsiTheme="majorHAnsi"/>
        </w:rPr>
        <w:t>26-27</w:t>
      </w:r>
      <w:r w:rsidRPr="001022A0">
        <w:rPr>
          <w:rFonts w:asciiTheme="majorHAnsi" w:hAnsiTheme="majorHAnsi"/>
        </w:rPr>
        <w:t xml:space="preserve"> </w:t>
      </w:r>
      <w:r w:rsidR="00056C4C">
        <w:rPr>
          <w:rFonts w:asciiTheme="majorHAnsi" w:hAnsiTheme="majorHAnsi"/>
        </w:rPr>
        <w:t>considering the approval of</w:t>
      </w:r>
      <w:r w:rsidRPr="001022A0">
        <w:rPr>
          <w:rFonts w:asciiTheme="majorHAnsi" w:hAnsiTheme="majorHAnsi"/>
        </w:rPr>
        <w:t xml:space="preserve"> the Hon’ble Commission and as proposed by the Licensee is shown in the following table: -</w:t>
      </w:r>
    </w:p>
    <w:p w14:paraId="48BEB668" w14:textId="5CA5C6FD" w:rsidR="00D9721E" w:rsidRDefault="00D9721E" w:rsidP="0097212A">
      <w:pPr>
        <w:spacing w:beforeLines="100" w:before="240" w:afterLines="100" w:after="240" w:line="360" w:lineRule="auto"/>
        <w:jc w:val="both"/>
        <w:rPr>
          <w:rFonts w:asciiTheme="majorHAnsi" w:hAnsiTheme="majorHAnsi"/>
        </w:rPr>
      </w:pPr>
    </w:p>
    <w:p w14:paraId="5ECFB7AB" w14:textId="61C5FA34" w:rsidR="00D9721E" w:rsidRDefault="00D9721E" w:rsidP="0097212A">
      <w:pPr>
        <w:spacing w:beforeLines="100" w:before="240" w:afterLines="100" w:after="240" w:line="360" w:lineRule="auto"/>
        <w:jc w:val="both"/>
        <w:rPr>
          <w:rFonts w:asciiTheme="majorHAnsi" w:hAnsiTheme="majorHAnsi"/>
        </w:rPr>
      </w:pPr>
    </w:p>
    <w:p w14:paraId="031C89FE" w14:textId="77777777" w:rsidR="00D9721E" w:rsidRPr="001022A0" w:rsidRDefault="00D9721E" w:rsidP="0097212A">
      <w:pPr>
        <w:spacing w:beforeLines="100" w:before="240" w:afterLines="100" w:after="240" w:line="360" w:lineRule="auto"/>
        <w:jc w:val="both"/>
        <w:rPr>
          <w:rFonts w:asciiTheme="majorHAnsi" w:hAnsiTheme="majorHAnsi"/>
        </w:rPr>
      </w:pPr>
    </w:p>
    <w:tbl>
      <w:tblPr>
        <w:tblStyle w:val="TableGrid"/>
        <w:tblW w:w="9781" w:type="dxa"/>
        <w:tblInd w:w="-431" w:type="dxa"/>
        <w:tblLook w:val="04A0" w:firstRow="1" w:lastRow="0" w:firstColumn="1" w:lastColumn="0" w:noHBand="0" w:noVBand="1"/>
      </w:tblPr>
      <w:tblGrid>
        <w:gridCol w:w="846"/>
        <w:gridCol w:w="5534"/>
        <w:gridCol w:w="1842"/>
        <w:gridCol w:w="1559"/>
      </w:tblGrid>
      <w:tr w:rsidR="005304A5" w:rsidRPr="00D9721E" w14:paraId="1B074E78" w14:textId="77777777" w:rsidTr="000B24C2">
        <w:trPr>
          <w:tblHeader/>
        </w:trPr>
        <w:tc>
          <w:tcPr>
            <w:tcW w:w="846" w:type="dxa"/>
            <w:shd w:val="clear" w:color="auto" w:fill="C6D9F1" w:themeFill="text2" w:themeFillTint="33"/>
            <w:vAlign w:val="center"/>
          </w:tcPr>
          <w:p w14:paraId="55F5AA31" w14:textId="77777777" w:rsidR="005304A5" w:rsidRPr="00D9721E" w:rsidRDefault="005304A5" w:rsidP="005304A5">
            <w:pPr>
              <w:jc w:val="center"/>
              <w:rPr>
                <w:rFonts w:asciiTheme="majorHAnsi" w:hAnsiTheme="majorHAnsi"/>
                <w:b/>
                <w:bCs/>
                <w:sz w:val="20"/>
                <w:szCs w:val="22"/>
              </w:rPr>
            </w:pPr>
            <w:r w:rsidRPr="00D9721E">
              <w:rPr>
                <w:rFonts w:asciiTheme="majorHAnsi" w:hAnsiTheme="majorHAnsi"/>
                <w:b/>
                <w:bCs/>
                <w:sz w:val="20"/>
                <w:szCs w:val="22"/>
              </w:rPr>
              <w:t>S. No.</w:t>
            </w:r>
          </w:p>
        </w:tc>
        <w:tc>
          <w:tcPr>
            <w:tcW w:w="5534" w:type="dxa"/>
            <w:shd w:val="clear" w:color="auto" w:fill="C6D9F1" w:themeFill="text2" w:themeFillTint="33"/>
            <w:vAlign w:val="center"/>
          </w:tcPr>
          <w:p w14:paraId="4C8F059F" w14:textId="77777777" w:rsidR="005304A5" w:rsidRPr="00D9721E" w:rsidRDefault="005304A5" w:rsidP="005304A5">
            <w:pPr>
              <w:rPr>
                <w:rFonts w:asciiTheme="majorHAnsi" w:hAnsiTheme="majorHAnsi"/>
                <w:b/>
                <w:bCs/>
                <w:sz w:val="20"/>
                <w:szCs w:val="22"/>
              </w:rPr>
            </w:pPr>
            <w:r w:rsidRPr="00D9721E">
              <w:rPr>
                <w:rFonts w:asciiTheme="majorHAnsi" w:hAnsiTheme="majorHAnsi"/>
                <w:b/>
                <w:bCs/>
                <w:sz w:val="20"/>
                <w:szCs w:val="22"/>
              </w:rPr>
              <w:t>Particulars</w:t>
            </w:r>
          </w:p>
        </w:tc>
        <w:tc>
          <w:tcPr>
            <w:tcW w:w="1842" w:type="dxa"/>
            <w:shd w:val="clear" w:color="auto" w:fill="C6D9F1" w:themeFill="text2" w:themeFillTint="33"/>
            <w:vAlign w:val="center"/>
          </w:tcPr>
          <w:p w14:paraId="25D78D37" w14:textId="77777777" w:rsidR="005304A5" w:rsidRPr="00D9721E" w:rsidRDefault="005304A5" w:rsidP="005304A5">
            <w:pPr>
              <w:jc w:val="center"/>
              <w:rPr>
                <w:rFonts w:asciiTheme="majorHAnsi" w:hAnsiTheme="majorHAnsi"/>
                <w:b/>
                <w:bCs/>
                <w:sz w:val="20"/>
                <w:szCs w:val="22"/>
              </w:rPr>
            </w:pPr>
            <w:r w:rsidRPr="00D9721E">
              <w:rPr>
                <w:rFonts w:asciiTheme="majorHAnsi" w:hAnsiTheme="majorHAnsi"/>
                <w:b/>
                <w:bCs/>
                <w:sz w:val="20"/>
                <w:szCs w:val="22"/>
              </w:rPr>
              <w:t xml:space="preserve">Approved by Hon’ble Commission </w:t>
            </w:r>
          </w:p>
        </w:tc>
        <w:tc>
          <w:tcPr>
            <w:tcW w:w="1559" w:type="dxa"/>
            <w:shd w:val="clear" w:color="auto" w:fill="C6D9F1" w:themeFill="text2" w:themeFillTint="33"/>
            <w:vAlign w:val="center"/>
          </w:tcPr>
          <w:p w14:paraId="59513266" w14:textId="569ABBA4" w:rsidR="005304A5" w:rsidRPr="00D9721E" w:rsidRDefault="004605C9" w:rsidP="005304A5">
            <w:pPr>
              <w:jc w:val="center"/>
              <w:rPr>
                <w:rFonts w:asciiTheme="majorHAnsi" w:hAnsiTheme="majorHAnsi"/>
                <w:b/>
                <w:bCs/>
                <w:sz w:val="20"/>
                <w:szCs w:val="22"/>
              </w:rPr>
            </w:pPr>
            <w:r w:rsidRPr="00D9721E">
              <w:rPr>
                <w:rFonts w:asciiTheme="majorHAnsi" w:hAnsiTheme="majorHAnsi"/>
                <w:b/>
                <w:bCs/>
                <w:sz w:val="20"/>
                <w:szCs w:val="22"/>
              </w:rPr>
              <w:t xml:space="preserve">Actual as per </w:t>
            </w:r>
            <w:r w:rsidR="005304A5" w:rsidRPr="00D9721E">
              <w:rPr>
                <w:rFonts w:asciiTheme="majorHAnsi" w:hAnsiTheme="majorHAnsi"/>
                <w:b/>
                <w:bCs/>
                <w:sz w:val="20"/>
                <w:szCs w:val="22"/>
              </w:rPr>
              <w:t>TPWODL</w:t>
            </w:r>
          </w:p>
        </w:tc>
      </w:tr>
      <w:tr w:rsidR="005304A5" w:rsidRPr="00D9721E" w14:paraId="73663855" w14:textId="77777777" w:rsidTr="000B24C2">
        <w:tc>
          <w:tcPr>
            <w:tcW w:w="846" w:type="dxa"/>
            <w:vAlign w:val="center"/>
          </w:tcPr>
          <w:p w14:paraId="025A1C27" w14:textId="77777777" w:rsidR="005304A5" w:rsidRPr="00D9721E" w:rsidRDefault="005304A5" w:rsidP="005304A5">
            <w:pPr>
              <w:jc w:val="center"/>
              <w:rPr>
                <w:rFonts w:asciiTheme="majorHAnsi" w:hAnsiTheme="majorHAnsi"/>
                <w:b/>
                <w:bCs/>
                <w:sz w:val="20"/>
                <w:szCs w:val="22"/>
              </w:rPr>
            </w:pPr>
            <w:r w:rsidRPr="00D9721E">
              <w:rPr>
                <w:rFonts w:asciiTheme="majorHAnsi" w:hAnsiTheme="majorHAnsi"/>
                <w:b/>
                <w:bCs/>
                <w:sz w:val="20"/>
                <w:szCs w:val="22"/>
              </w:rPr>
              <w:t>A</w:t>
            </w:r>
          </w:p>
        </w:tc>
        <w:tc>
          <w:tcPr>
            <w:tcW w:w="8935" w:type="dxa"/>
            <w:gridSpan w:val="3"/>
            <w:vAlign w:val="center"/>
          </w:tcPr>
          <w:p w14:paraId="55F6AD61" w14:textId="77777777" w:rsidR="005304A5" w:rsidRPr="00D9721E" w:rsidRDefault="005304A5" w:rsidP="005304A5">
            <w:pPr>
              <w:rPr>
                <w:rFonts w:asciiTheme="majorHAnsi" w:hAnsiTheme="majorHAnsi"/>
                <w:b/>
                <w:bCs/>
                <w:sz w:val="20"/>
                <w:szCs w:val="22"/>
              </w:rPr>
            </w:pPr>
            <w:r w:rsidRPr="00D9721E">
              <w:rPr>
                <w:rFonts w:asciiTheme="majorHAnsi" w:hAnsiTheme="majorHAnsi"/>
                <w:b/>
                <w:bCs/>
                <w:sz w:val="20"/>
                <w:szCs w:val="22"/>
              </w:rPr>
              <w:t>Inherited Employees</w:t>
            </w:r>
          </w:p>
        </w:tc>
      </w:tr>
      <w:tr w:rsidR="005304A5" w:rsidRPr="00D9721E" w14:paraId="02EDC8B0" w14:textId="77777777" w:rsidTr="000B24C2">
        <w:tc>
          <w:tcPr>
            <w:tcW w:w="846" w:type="dxa"/>
            <w:vAlign w:val="center"/>
          </w:tcPr>
          <w:p w14:paraId="338BFA68" w14:textId="77777777" w:rsidR="005304A5" w:rsidRPr="00D9721E" w:rsidRDefault="005304A5" w:rsidP="005304A5">
            <w:pPr>
              <w:jc w:val="right"/>
              <w:rPr>
                <w:rFonts w:asciiTheme="majorHAnsi" w:hAnsiTheme="majorHAnsi"/>
                <w:b/>
                <w:bCs/>
                <w:sz w:val="20"/>
                <w:szCs w:val="22"/>
              </w:rPr>
            </w:pPr>
            <w:r w:rsidRPr="00D9721E">
              <w:rPr>
                <w:rFonts w:asciiTheme="majorHAnsi" w:hAnsiTheme="majorHAnsi"/>
                <w:b/>
                <w:bCs/>
                <w:sz w:val="20"/>
                <w:szCs w:val="22"/>
              </w:rPr>
              <w:t>1</w:t>
            </w:r>
          </w:p>
        </w:tc>
        <w:tc>
          <w:tcPr>
            <w:tcW w:w="5534" w:type="dxa"/>
            <w:vAlign w:val="center"/>
          </w:tcPr>
          <w:p w14:paraId="1C12466B" w14:textId="450AE9C1" w:rsidR="005304A5" w:rsidRPr="00D9721E" w:rsidRDefault="005304A5" w:rsidP="005304A5">
            <w:pPr>
              <w:rPr>
                <w:rFonts w:asciiTheme="majorHAnsi" w:hAnsiTheme="majorHAnsi"/>
                <w:b/>
                <w:bCs/>
                <w:sz w:val="20"/>
                <w:szCs w:val="22"/>
              </w:rPr>
            </w:pPr>
            <w:r w:rsidRPr="00D9721E">
              <w:rPr>
                <w:rFonts w:asciiTheme="majorHAnsi" w:hAnsiTheme="majorHAnsi"/>
                <w:b/>
                <w:bCs/>
                <w:sz w:val="20"/>
                <w:szCs w:val="22"/>
              </w:rPr>
              <w:t>No. of employees as on 01.04.202</w:t>
            </w:r>
            <w:r w:rsidR="00A9098F" w:rsidRPr="00D9721E">
              <w:rPr>
                <w:rFonts w:asciiTheme="majorHAnsi" w:hAnsiTheme="majorHAnsi"/>
                <w:b/>
                <w:bCs/>
                <w:sz w:val="20"/>
                <w:szCs w:val="22"/>
              </w:rPr>
              <w:t>4</w:t>
            </w:r>
          </w:p>
        </w:tc>
        <w:tc>
          <w:tcPr>
            <w:tcW w:w="1842" w:type="dxa"/>
            <w:vAlign w:val="center"/>
          </w:tcPr>
          <w:p w14:paraId="04243A29" w14:textId="57A3AFA7" w:rsidR="005304A5" w:rsidRPr="00D9721E" w:rsidRDefault="004F46A0" w:rsidP="005304A5">
            <w:pPr>
              <w:jc w:val="center"/>
              <w:rPr>
                <w:rFonts w:asciiTheme="majorHAnsi" w:hAnsiTheme="majorHAnsi"/>
                <w:b/>
                <w:bCs/>
                <w:sz w:val="20"/>
                <w:szCs w:val="22"/>
              </w:rPr>
            </w:pPr>
            <w:r w:rsidRPr="00D9721E">
              <w:rPr>
                <w:rFonts w:asciiTheme="majorHAnsi" w:hAnsiTheme="majorHAnsi"/>
                <w:b/>
                <w:bCs/>
                <w:sz w:val="20"/>
                <w:szCs w:val="22"/>
              </w:rPr>
              <w:t>1</w:t>
            </w:r>
            <w:r w:rsidR="000B24C2" w:rsidRPr="00D9721E">
              <w:rPr>
                <w:rFonts w:asciiTheme="majorHAnsi" w:hAnsiTheme="majorHAnsi"/>
                <w:b/>
                <w:bCs/>
                <w:sz w:val="20"/>
                <w:szCs w:val="22"/>
              </w:rPr>
              <w:t>885</w:t>
            </w:r>
          </w:p>
        </w:tc>
        <w:tc>
          <w:tcPr>
            <w:tcW w:w="1559" w:type="dxa"/>
            <w:vAlign w:val="center"/>
          </w:tcPr>
          <w:p w14:paraId="7CD7EEB6" w14:textId="61E8CB6D" w:rsidR="005304A5" w:rsidRPr="00D9721E" w:rsidRDefault="00A478BD" w:rsidP="005304A5">
            <w:pPr>
              <w:jc w:val="center"/>
              <w:rPr>
                <w:rFonts w:asciiTheme="majorHAnsi" w:hAnsiTheme="majorHAnsi"/>
                <w:b/>
                <w:bCs/>
                <w:sz w:val="20"/>
                <w:szCs w:val="22"/>
              </w:rPr>
            </w:pPr>
            <w:r w:rsidRPr="00D9721E">
              <w:rPr>
                <w:rFonts w:asciiTheme="majorHAnsi" w:hAnsiTheme="majorHAnsi"/>
                <w:b/>
                <w:bCs/>
                <w:sz w:val="20"/>
                <w:szCs w:val="22"/>
              </w:rPr>
              <w:t>1</w:t>
            </w:r>
            <w:r w:rsidR="00FB5664" w:rsidRPr="00D9721E">
              <w:rPr>
                <w:rFonts w:asciiTheme="majorHAnsi" w:hAnsiTheme="majorHAnsi"/>
                <w:b/>
                <w:bCs/>
                <w:sz w:val="20"/>
                <w:szCs w:val="22"/>
              </w:rPr>
              <w:t>885</w:t>
            </w:r>
          </w:p>
        </w:tc>
      </w:tr>
      <w:tr w:rsidR="005304A5" w:rsidRPr="00D9721E" w14:paraId="521C0ACE" w14:textId="77777777" w:rsidTr="000B24C2">
        <w:tc>
          <w:tcPr>
            <w:tcW w:w="846" w:type="dxa"/>
            <w:vAlign w:val="center"/>
          </w:tcPr>
          <w:p w14:paraId="7738B21E" w14:textId="77777777" w:rsidR="005304A5" w:rsidRPr="00D9721E" w:rsidRDefault="005304A5" w:rsidP="005304A5">
            <w:pPr>
              <w:jc w:val="right"/>
              <w:rPr>
                <w:rFonts w:asciiTheme="majorHAnsi" w:hAnsiTheme="majorHAnsi"/>
                <w:sz w:val="20"/>
                <w:szCs w:val="22"/>
              </w:rPr>
            </w:pPr>
            <w:r w:rsidRPr="00D9721E">
              <w:rPr>
                <w:rFonts w:asciiTheme="majorHAnsi" w:hAnsiTheme="majorHAnsi"/>
                <w:sz w:val="20"/>
                <w:szCs w:val="22"/>
              </w:rPr>
              <w:t>2</w:t>
            </w:r>
          </w:p>
        </w:tc>
        <w:tc>
          <w:tcPr>
            <w:tcW w:w="5534" w:type="dxa"/>
            <w:vAlign w:val="center"/>
          </w:tcPr>
          <w:p w14:paraId="55163338" w14:textId="4F59EA98" w:rsidR="005304A5" w:rsidRPr="00D9721E" w:rsidRDefault="005304A5" w:rsidP="005304A5">
            <w:pPr>
              <w:rPr>
                <w:rFonts w:asciiTheme="majorHAnsi" w:hAnsiTheme="majorHAnsi"/>
                <w:sz w:val="20"/>
                <w:szCs w:val="22"/>
              </w:rPr>
            </w:pPr>
            <w:r w:rsidRPr="00D9721E">
              <w:rPr>
                <w:rFonts w:asciiTheme="majorHAnsi" w:hAnsiTheme="majorHAnsi"/>
                <w:sz w:val="20"/>
                <w:szCs w:val="22"/>
              </w:rPr>
              <w:t xml:space="preserve">Add: Addition during FY </w:t>
            </w:r>
            <w:r w:rsidR="000B24C2" w:rsidRPr="00D9721E">
              <w:rPr>
                <w:rFonts w:asciiTheme="majorHAnsi" w:hAnsiTheme="majorHAnsi"/>
                <w:sz w:val="20"/>
                <w:szCs w:val="22"/>
              </w:rPr>
              <w:t>24-25</w:t>
            </w:r>
          </w:p>
        </w:tc>
        <w:tc>
          <w:tcPr>
            <w:tcW w:w="1842" w:type="dxa"/>
            <w:vAlign w:val="center"/>
          </w:tcPr>
          <w:p w14:paraId="4FB7C1BC" w14:textId="77777777" w:rsidR="005304A5" w:rsidRPr="00D9721E" w:rsidRDefault="005304A5" w:rsidP="005304A5">
            <w:pPr>
              <w:jc w:val="center"/>
              <w:rPr>
                <w:rFonts w:asciiTheme="majorHAnsi" w:hAnsiTheme="majorHAnsi"/>
                <w:sz w:val="20"/>
                <w:szCs w:val="22"/>
              </w:rPr>
            </w:pPr>
            <w:r w:rsidRPr="00D9721E">
              <w:rPr>
                <w:rFonts w:asciiTheme="majorHAnsi" w:hAnsiTheme="majorHAnsi"/>
                <w:sz w:val="20"/>
                <w:szCs w:val="22"/>
              </w:rPr>
              <w:t>0</w:t>
            </w:r>
          </w:p>
        </w:tc>
        <w:tc>
          <w:tcPr>
            <w:tcW w:w="1559" w:type="dxa"/>
            <w:vAlign w:val="center"/>
          </w:tcPr>
          <w:p w14:paraId="579033B2" w14:textId="28C6453F" w:rsidR="005304A5" w:rsidRPr="00D9721E" w:rsidRDefault="00A478BD" w:rsidP="005304A5">
            <w:pPr>
              <w:jc w:val="center"/>
              <w:rPr>
                <w:rFonts w:asciiTheme="majorHAnsi" w:hAnsiTheme="majorHAnsi"/>
                <w:sz w:val="20"/>
                <w:szCs w:val="22"/>
              </w:rPr>
            </w:pPr>
            <w:r w:rsidRPr="00D9721E">
              <w:rPr>
                <w:rFonts w:asciiTheme="majorHAnsi" w:hAnsiTheme="majorHAnsi"/>
                <w:sz w:val="20"/>
                <w:szCs w:val="22"/>
              </w:rPr>
              <w:t>0</w:t>
            </w:r>
          </w:p>
        </w:tc>
      </w:tr>
      <w:tr w:rsidR="005304A5" w:rsidRPr="00D9721E" w14:paraId="3B8BC8CD" w14:textId="77777777" w:rsidTr="000B24C2">
        <w:tc>
          <w:tcPr>
            <w:tcW w:w="846" w:type="dxa"/>
            <w:vAlign w:val="center"/>
          </w:tcPr>
          <w:p w14:paraId="18D76432" w14:textId="77777777" w:rsidR="005304A5" w:rsidRPr="00D9721E" w:rsidRDefault="005304A5" w:rsidP="005304A5">
            <w:pPr>
              <w:jc w:val="right"/>
              <w:rPr>
                <w:rFonts w:asciiTheme="majorHAnsi" w:hAnsiTheme="majorHAnsi"/>
                <w:sz w:val="20"/>
                <w:szCs w:val="22"/>
              </w:rPr>
            </w:pPr>
            <w:r w:rsidRPr="00D9721E">
              <w:rPr>
                <w:rFonts w:asciiTheme="majorHAnsi" w:hAnsiTheme="majorHAnsi"/>
                <w:sz w:val="20"/>
                <w:szCs w:val="22"/>
              </w:rPr>
              <w:t>3</w:t>
            </w:r>
          </w:p>
        </w:tc>
        <w:tc>
          <w:tcPr>
            <w:tcW w:w="5534" w:type="dxa"/>
            <w:vAlign w:val="center"/>
          </w:tcPr>
          <w:p w14:paraId="1A2B8019" w14:textId="6542A3AF" w:rsidR="005304A5" w:rsidRPr="00D9721E" w:rsidRDefault="005304A5" w:rsidP="005304A5">
            <w:pPr>
              <w:rPr>
                <w:rFonts w:asciiTheme="majorHAnsi" w:hAnsiTheme="majorHAnsi"/>
                <w:sz w:val="20"/>
                <w:szCs w:val="22"/>
              </w:rPr>
            </w:pPr>
            <w:r w:rsidRPr="00D9721E">
              <w:rPr>
                <w:rFonts w:asciiTheme="majorHAnsi" w:hAnsiTheme="majorHAnsi"/>
                <w:sz w:val="20"/>
                <w:szCs w:val="22"/>
              </w:rPr>
              <w:t>Less: Retirement/Expired/ Resignation during FY 2</w:t>
            </w:r>
            <w:r w:rsidR="000B24C2" w:rsidRPr="00D9721E">
              <w:rPr>
                <w:rFonts w:asciiTheme="majorHAnsi" w:hAnsiTheme="majorHAnsi"/>
                <w:sz w:val="20"/>
                <w:szCs w:val="22"/>
              </w:rPr>
              <w:t>4</w:t>
            </w:r>
            <w:r w:rsidRPr="00D9721E">
              <w:rPr>
                <w:rFonts w:asciiTheme="majorHAnsi" w:hAnsiTheme="majorHAnsi"/>
                <w:sz w:val="20"/>
                <w:szCs w:val="22"/>
              </w:rPr>
              <w:t>-2</w:t>
            </w:r>
            <w:r w:rsidR="000B24C2" w:rsidRPr="00D9721E">
              <w:rPr>
                <w:rFonts w:asciiTheme="majorHAnsi" w:hAnsiTheme="majorHAnsi"/>
                <w:sz w:val="20"/>
                <w:szCs w:val="22"/>
              </w:rPr>
              <w:t>5</w:t>
            </w:r>
          </w:p>
        </w:tc>
        <w:tc>
          <w:tcPr>
            <w:tcW w:w="1842" w:type="dxa"/>
            <w:vAlign w:val="center"/>
          </w:tcPr>
          <w:p w14:paraId="11DDFFD3" w14:textId="13AF2F3E" w:rsidR="005304A5" w:rsidRPr="00D9721E" w:rsidRDefault="000B24C2" w:rsidP="005304A5">
            <w:pPr>
              <w:jc w:val="center"/>
              <w:rPr>
                <w:rFonts w:asciiTheme="majorHAnsi" w:hAnsiTheme="majorHAnsi"/>
                <w:sz w:val="20"/>
                <w:szCs w:val="22"/>
              </w:rPr>
            </w:pPr>
            <w:r w:rsidRPr="00D9721E">
              <w:rPr>
                <w:rFonts w:asciiTheme="majorHAnsi" w:hAnsiTheme="majorHAnsi"/>
                <w:sz w:val="20"/>
                <w:szCs w:val="22"/>
              </w:rPr>
              <w:t>57</w:t>
            </w:r>
          </w:p>
        </w:tc>
        <w:tc>
          <w:tcPr>
            <w:tcW w:w="1559" w:type="dxa"/>
            <w:vAlign w:val="center"/>
          </w:tcPr>
          <w:p w14:paraId="0CABF2BC" w14:textId="11B87C3C" w:rsidR="005304A5" w:rsidRPr="00D9721E" w:rsidRDefault="00FB5664" w:rsidP="005304A5">
            <w:pPr>
              <w:jc w:val="center"/>
              <w:rPr>
                <w:rFonts w:asciiTheme="majorHAnsi" w:hAnsiTheme="majorHAnsi"/>
                <w:sz w:val="20"/>
                <w:szCs w:val="22"/>
              </w:rPr>
            </w:pPr>
            <w:r w:rsidRPr="00D9721E">
              <w:rPr>
                <w:rFonts w:asciiTheme="majorHAnsi" w:hAnsiTheme="majorHAnsi"/>
                <w:sz w:val="20"/>
                <w:szCs w:val="22"/>
              </w:rPr>
              <w:t>63</w:t>
            </w:r>
          </w:p>
        </w:tc>
      </w:tr>
      <w:tr w:rsidR="005304A5" w:rsidRPr="00D9721E" w14:paraId="6355C386" w14:textId="77777777" w:rsidTr="000B24C2">
        <w:tc>
          <w:tcPr>
            <w:tcW w:w="846" w:type="dxa"/>
            <w:vAlign w:val="center"/>
          </w:tcPr>
          <w:p w14:paraId="7CA32448" w14:textId="77777777" w:rsidR="005304A5" w:rsidRPr="00D9721E" w:rsidRDefault="005304A5" w:rsidP="005304A5">
            <w:pPr>
              <w:jc w:val="right"/>
              <w:rPr>
                <w:rFonts w:asciiTheme="majorHAnsi" w:hAnsiTheme="majorHAnsi"/>
                <w:b/>
                <w:bCs/>
                <w:sz w:val="20"/>
                <w:szCs w:val="22"/>
              </w:rPr>
            </w:pPr>
            <w:r w:rsidRPr="00D9721E">
              <w:rPr>
                <w:rFonts w:asciiTheme="majorHAnsi" w:hAnsiTheme="majorHAnsi"/>
                <w:b/>
                <w:bCs/>
                <w:sz w:val="20"/>
                <w:szCs w:val="22"/>
              </w:rPr>
              <w:t>4</w:t>
            </w:r>
          </w:p>
        </w:tc>
        <w:tc>
          <w:tcPr>
            <w:tcW w:w="5534" w:type="dxa"/>
            <w:vAlign w:val="center"/>
          </w:tcPr>
          <w:p w14:paraId="19B3C6C2" w14:textId="18C353E9" w:rsidR="005304A5" w:rsidRPr="00D9721E" w:rsidRDefault="005304A5" w:rsidP="005304A5">
            <w:pPr>
              <w:rPr>
                <w:rFonts w:asciiTheme="majorHAnsi" w:hAnsiTheme="majorHAnsi"/>
                <w:b/>
                <w:bCs/>
                <w:sz w:val="20"/>
                <w:szCs w:val="22"/>
              </w:rPr>
            </w:pPr>
            <w:r w:rsidRPr="00D9721E">
              <w:rPr>
                <w:rFonts w:asciiTheme="majorHAnsi" w:hAnsiTheme="majorHAnsi"/>
                <w:b/>
                <w:bCs/>
                <w:sz w:val="20"/>
                <w:szCs w:val="22"/>
              </w:rPr>
              <w:t>No. of employees as on 31.03.202</w:t>
            </w:r>
            <w:r w:rsidR="000B24C2" w:rsidRPr="00D9721E">
              <w:rPr>
                <w:rFonts w:asciiTheme="majorHAnsi" w:hAnsiTheme="majorHAnsi"/>
                <w:b/>
                <w:bCs/>
                <w:sz w:val="20"/>
                <w:szCs w:val="22"/>
              </w:rPr>
              <w:t>5</w:t>
            </w:r>
          </w:p>
        </w:tc>
        <w:tc>
          <w:tcPr>
            <w:tcW w:w="1842" w:type="dxa"/>
            <w:vAlign w:val="center"/>
          </w:tcPr>
          <w:p w14:paraId="20DCC9D5" w14:textId="7DE2FA00" w:rsidR="005304A5" w:rsidRPr="00D9721E" w:rsidRDefault="00B04C12" w:rsidP="005304A5">
            <w:pPr>
              <w:jc w:val="center"/>
              <w:rPr>
                <w:rFonts w:asciiTheme="majorHAnsi" w:hAnsiTheme="majorHAnsi"/>
                <w:b/>
                <w:bCs/>
                <w:sz w:val="20"/>
                <w:szCs w:val="22"/>
              </w:rPr>
            </w:pPr>
            <w:r w:rsidRPr="00D9721E">
              <w:rPr>
                <w:rFonts w:asciiTheme="majorHAnsi" w:hAnsiTheme="majorHAnsi"/>
                <w:b/>
                <w:bCs/>
                <w:sz w:val="20"/>
                <w:szCs w:val="22"/>
              </w:rPr>
              <w:t>18</w:t>
            </w:r>
            <w:r w:rsidR="000B24C2" w:rsidRPr="00D9721E">
              <w:rPr>
                <w:rFonts w:asciiTheme="majorHAnsi" w:hAnsiTheme="majorHAnsi"/>
                <w:b/>
                <w:bCs/>
                <w:sz w:val="20"/>
                <w:szCs w:val="22"/>
              </w:rPr>
              <w:t>28</w:t>
            </w:r>
          </w:p>
        </w:tc>
        <w:tc>
          <w:tcPr>
            <w:tcW w:w="1559" w:type="dxa"/>
            <w:vAlign w:val="center"/>
          </w:tcPr>
          <w:p w14:paraId="5137C38C" w14:textId="5851CC74" w:rsidR="005304A5" w:rsidRPr="00D9721E" w:rsidRDefault="00A478BD" w:rsidP="005304A5">
            <w:pPr>
              <w:jc w:val="center"/>
              <w:rPr>
                <w:rFonts w:asciiTheme="majorHAnsi" w:hAnsiTheme="majorHAnsi"/>
                <w:b/>
                <w:bCs/>
                <w:sz w:val="20"/>
                <w:szCs w:val="22"/>
              </w:rPr>
            </w:pPr>
            <w:r w:rsidRPr="00D9721E">
              <w:rPr>
                <w:rFonts w:asciiTheme="majorHAnsi" w:hAnsiTheme="majorHAnsi"/>
                <w:b/>
                <w:bCs/>
                <w:sz w:val="20"/>
                <w:szCs w:val="22"/>
              </w:rPr>
              <w:t>18</w:t>
            </w:r>
            <w:r w:rsidR="00FB5664" w:rsidRPr="00D9721E">
              <w:rPr>
                <w:rFonts w:asciiTheme="majorHAnsi" w:hAnsiTheme="majorHAnsi"/>
                <w:b/>
                <w:bCs/>
                <w:sz w:val="20"/>
                <w:szCs w:val="22"/>
              </w:rPr>
              <w:t>22</w:t>
            </w:r>
          </w:p>
        </w:tc>
      </w:tr>
      <w:tr w:rsidR="005304A5" w:rsidRPr="00D9721E" w14:paraId="41BAE3DC" w14:textId="77777777" w:rsidTr="000B24C2">
        <w:tc>
          <w:tcPr>
            <w:tcW w:w="846" w:type="dxa"/>
            <w:vAlign w:val="center"/>
          </w:tcPr>
          <w:p w14:paraId="6C3ADA92" w14:textId="77777777" w:rsidR="005304A5" w:rsidRPr="00D9721E" w:rsidRDefault="005304A5" w:rsidP="005304A5">
            <w:pPr>
              <w:jc w:val="right"/>
              <w:rPr>
                <w:rFonts w:asciiTheme="majorHAnsi" w:hAnsiTheme="majorHAnsi"/>
                <w:sz w:val="20"/>
                <w:szCs w:val="22"/>
              </w:rPr>
            </w:pPr>
            <w:r w:rsidRPr="00D9721E">
              <w:rPr>
                <w:rFonts w:asciiTheme="majorHAnsi" w:hAnsiTheme="majorHAnsi"/>
                <w:sz w:val="20"/>
                <w:szCs w:val="22"/>
              </w:rPr>
              <w:t>5</w:t>
            </w:r>
          </w:p>
        </w:tc>
        <w:tc>
          <w:tcPr>
            <w:tcW w:w="5534" w:type="dxa"/>
            <w:vAlign w:val="center"/>
          </w:tcPr>
          <w:p w14:paraId="28E00CA6" w14:textId="77A3F357" w:rsidR="005304A5" w:rsidRPr="00D9721E" w:rsidRDefault="005304A5" w:rsidP="005304A5">
            <w:pPr>
              <w:rPr>
                <w:rFonts w:asciiTheme="majorHAnsi" w:hAnsiTheme="majorHAnsi"/>
                <w:sz w:val="20"/>
                <w:szCs w:val="22"/>
              </w:rPr>
            </w:pPr>
            <w:r w:rsidRPr="00D9721E">
              <w:rPr>
                <w:rFonts w:asciiTheme="majorHAnsi" w:hAnsiTheme="majorHAnsi"/>
                <w:sz w:val="20"/>
                <w:szCs w:val="22"/>
              </w:rPr>
              <w:t>Add: Addition during FY 2</w:t>
            </w:r>
            <w:r w:rsidR="000B24C2" w:rsidRPr="00D9721E">
              <w:rPr>
                <w:rFonts w:asciiTheme="majorHAnsi" w:hAnsiTheme="majorHAnsi"/>
                <w:sz w:val="20"/>
                <w:szCs w:val="22"/>
              </w:rPr>
              <w:t>5</w:t>
            </w:r>
            <w:r w:rsidRPr="00D9721E">
              <w:rPr>
                <w:rFonts w:asciiTheme="majorHAnsi" w:hAnsiTheme="majorHAnsi"/>
                <w:sz w:val="20"/>
                <w:szCs w:val="22"/>
              </w:rPr>
              <w:t>-2</w:t>
            </w:r>
            <w:r w:rsidR="000B24C2" w:rsidRPr="00D9721E">
              <w:rPr>
                <w:rFonts w:asciiTheme="majorHAnsi" w:hAnsiTheme="majorHAnsi"/>
                <w:sz w:val="20"/>
                <w:szCs w:val="22"/>
              </w:rPr>
              <w:t>6</w:t>
            </w:r>
          </w:p>
        </w:tc>
        <w:tc>
          <w:tcPr>
            <w:tcW w:w="1842" w:type="dxa"/>
            <w:vAlign w:val="center"/>
          </w:tcPr>
          <w:p w14:paraId="36520EA7" w14:textId="77777777" w:rsidR="005304A5" w:rsidRPr="00D9721E" w:rsidRDefault="005304A5" w:rsidP="005304A5">
            <w:pPr>
              <w:jc w:val="center"/>
              <w:rPr>
                <w:rFonts w:asciiTheme="majorHAnsi" w:hAnsiTheme="majorHAnsi"/>
                <w:sz w:val="20"/>
                <w:szCs w:val="22"/>
              </w:rPr>
            </w:pPr>
            <w:r w:rsidRPr="00D9721E">
              <w:rPr>
                <w:rFonts w:asciiTheme="majorHAnsi" w:hAnsiTheme="majorHAnsi"/>
                <w:sz w:val="20"/>
                <w:szCs w:val="22"/>
              </w:rPr>
              <w:t>0</w:t>
            </w:r>
          </w:p>
        </w:tc>
        <w:tc>
          <w:tcPr>
            <w:tcW w:w="1559" w:type="dxa"/>
            <w:vAlign w:val="center"/>
          </w:tcPr>
          <w:p w14:paraId="0508E80D" w14:textId="7AB17DEA" w:rsidR="005304A5" w:rsidRPr="00D9721E" w:rsidRDefault="00EC3A40" w:rsidP="005304A5">
            <w:pPr>
              <w:jc w:val="center"/>
              <w:rPr>
                <w:rFonts w:asciiTheme="majorHAnsi" w:hAnsiTheme="majorHAnsi"/>
                <w:sz w:val="20"/>
                <w:szCs w:val="22"/>
              </w:rPr>
            </w:pPr>
            <w:r w:rsidRPr="00D9721E">
              <w:rPr>
                <w:rFonts w:asciiTheme="majorHAnsi" w:hAnsiTheme="majorHAnsi"/>
                <w:sz w:val="20"/>
                <w:szCs w:val="22"/>
              </w:rPr>
              <w:t>0</w:t>
            </w:r>
          </w:p>
        </w:tc>
      </w:tr>
      <w:tr w:rsidR="005304A5" w:rsidRPr="00D9721E" w14:paraId="50E1DD21" w14:textId="77777777" w:rsidTr="000B24C2">
        <w:tc>
          <w:tcPr>
            <w:tcW w:w="846" w:type="dxa"/>
            <w:vAlign w:val="center"/>
          </w:tcPr>
          <w:p w14:paraId="39C43E0C" w14:textId="77777777" w:rsidR="005304A5" w:rsidRPr="00D9721E" w:rsidRDefault="005304A5" w:rsidP="005304A5">
            <w:pPr>
              <w:jc w:val="right"/>
              <w:rPr>
                <w:rFonts w:asciiTheme="majorHAnsi" w:hAnsiTheme="majorHAnsi"/>
                <w:sz w:val="20"/>
                <w:szCs w:val="22"/>
              </w:rPr>
            </w:pPr>
            <w:r w:rsidRPr="00D9721E">
              <w:rPr>
                <w:rFonts w:asciiTheme="majorHAnsi" w:hAnsiTheme="majorHAnsi"/>
                <w:sz w:val="20"/>
                <w:szCs w:val="22"/>
              </w:rPr>
              <w:t>6</w:t>
            </w:r>
          </w:p>
        </w:tc>
        <w:tc>
          <w:tcPr>
            <w:tcW w:w="5534" w:type="dxa"/>
            <w:vAlign w:val="center"/>
          </w:tcPr>
          <w:p w14:paraId="388D2502" w14:textId="7B09FAD2" w:rsidR="005304A5" w:rsidRPr="00D9721E" w:rsidRDefault="005304A5" w:rsidP="005304A5">
            <w:pPr>
              <w:rPr>
                <w:rFonts w:asciiTheme="majorHAnsi" w:hAnsiTheme="majorHAnsi"/>
                <w:sz w:val="20"/>
                <w:szCs w:val="22"/>
              </w:rPr>
            </w:pPr>
            <w:r w:rsidRPr="00D9721E">
              <w:rPr>
                <w:rFonts w:asciiTheme="majorHAnsi" w:hAnsiTheme="majorHAnsi"/>
                <w:sz w:val="20"/>
                <w:szCs w:val="22"/>
              </w:rPr>
              <w:t>Less: Retirement/Expired/ Resignation during year FY 2</w:t>
            </w:r>
            <w:r w:rsidR="000B24C2" w:rsidRPr="00D9721E">
              <w:rPr>
                <w:rFonts w:asciiTheme="majorHAnsi" w:hAnsiTheme="majorHAnsi"/>
                <w:sz w:val="20"/>
                <w:szCs w:val="22"/>
              </w:rPr>
              <w:t>5-26</w:t>
            </w:r>
          </w:p>
        </w:tc>
        <w:tc>
          <w:tcPr>
            <w:tcW w:w="1842" w:type="dxa"/>
            <w:vAlign w:val="center"/>
          </w:tcPr>
          <w:p w14:paraId="19D17E9E" w14:textId="5D934907" w:rsidR="005304A5" w:rsidRPr="00D9721E" w:rsidRDefault="000B24C2" w:rsidP="005304A5">
            <w:pPr>
              <w:jc w:val="center"/>
              <w:rPr>
                <w:rFonts w:asciiTheme="majorHAnsi" w:hAnsiTheme="majorHAnsi"/>
                <w:sz w:val="20"/>
                <w:szCs w:val="22"/>
              </w:rPr>
            </w:pPr>
            <w:r w:rsidRPr="00D9721E">
              <w:rPr>
                <w:rFonts w:asciiTheme="majorHAnsi" w:hAnsiTheme="majorHAnsi"/>
                <w:sz w:val="20"/>
                <w:szCs w:val="22"/>
              </w:rPr>
              <w:t>40</w:t>
            </w:r>
          </w:p>
        </w:tc>
        <w:tc>
          <w:tcPr>
            <w:tcW w:w="1559" w:type="dxa"/>
            <w:vAlign w:val="center"/>
          </w:tcPr>
          <w:p w14:paraId="14F3326B" w14:textId="36F9318F" w:rsidR="005304A5" w:rsidRPr="00D9721E" w:rsidRDefault="001E3E92" w:rsidP="005304A5">
            <w:pPr>
              <w:jc w:val="center"/>
              <w:rPr>
                <w:rFonts w:asciiTheme="majorHAnsi" w:hAnsiTheme="majorHAnsi"/>
                <w:sz w:val="20"/>
                <w:szCs w:val="22"/>
              </w:rPr>
            </w:pPr>
            <w:r>
              <w:rPr>
                <w:rFonts w:asciiTheme="majorHAnsi" w:hAnsiTheme="majorHAnsi"/>
                <w:sz w:val="20"/>
                <w:szCs w:val="22"/>
              </w:rPr>
              <w:t>45</w:t>
            </w:r>
          </w:p>
        </w:tc>
      </w:tr>
      <w:tr w:rsidR="005304A5" w:rsidRPr="00D9721E" w14:paraId="04036BE9" w14:textId="77777777" w:rsidTr="000B24C2">
        <w:tc>
          <w:tcPr>
            <w:tcW w:w="846" w:type="dxa"/>
            <w:vAlign w:val="center"/>
          </w:tcPr>
          <w:p w14:paraId="03ED25EA" w14:textId="77777777" w:rsidR="005304A5" w:rsidRPr="00D9721E" w:rsidRDefault="005304A5" w:rsidP="005304A5">
            <w:pPr>
              <w:jc w:val="right"/>
              <w:rPr>
                <w:rFonts w:asciiTheme="majorHAnsi" w:hAnsiTheme="majorHAnsi"/>
                <w:b/>
                <w:bCs/>
                <w:sz w:val="20"/>
                <w:szCs w:val="22"/>
              </w:rPr>
            </w:pPr>
            <w:r w:rsidRPr="00D9721E">
              <w:rPr>
                <w:rFonts w:asciiTheme="majorHAnsi" w:hAnsiTheme="majorHAnsi"/>
                <w:b/>
                <w:bCs/>
                <w:sz w:val="20"/>
                <w:szCs w:val="22"/>
              </w:rPr>
              <w:t>7</w:t>
            </w:r>
          </w:p>
        </w:tc>
        <w:tc>
          <w:tcPr>
            <w:tcW w:w="5534" w:type="dxa"/>
            <w:vAlign w:val="center"/>
          </w:tcPr>
          <w:p w14:paraId="3BD43D34" w14:textId="0F6AF8F5" w:rsidR="005304A5" w:rsidRPr="00D9721E" w:rsidRDefault="005304A5" w:rsidP="005304A5">
            <w:pPr>
              <w:rPr>
                <w:rFonts w:asciiTheme="majorHAnsi" w:hAnsiTheme="majorHAnsi"/>
                <w:b/>
                <w:bCs/>
                <w:sz w:val="20"/>
                <w:szCs w:val="22"/>
              </w:rPr>
            </w:pPr>
            <w:r w:rsidRPr="00D9721E">
              <w:rPr>
                <w:rFonts w:asciiTheme="majorHAnsi" w:hAnsiTheme="majorHAnsi"/>
                <w:b/>
                <w:bCs/>
                <w:sz w:val="20"/>
                <w:szCs w:val="22"/>
              </w:rPr>
              <w:t>No. of employees as on 31.03.202</w:t>
            </w:r>
            <w:r w:rsidR="000B24C2" w:rsidRPr="00D9721E">
              <w:rPr>
                <w:rFonts w:asciiTheme="majorHAnsi" w:hAnsiTheme="majorHAnsi"/>
                <w:b/>
                <w:bCs/>
                <w:sz w:val="20"/>
                <w:szCs w:val="22"/>
              </w:rPr>
              <w:t>6</w:t>
            </w:r>
            <w:r w:rsidR="00732AEC" w:rsidRPr="00D9721E">
              <w:rPr>
                <w:rFonts w:asciiTheme="majorHAnsi" w:hAnsiTheme="majorHAnsi"/>
                <w:b/>
                <w:bCs/>
                <w:sz w:val="20"/>
                <w:szCs w:val="22"/>
              </w:rPr>
              <w:t xml:space="preserve"> </w:t>
            </w:r>
          </w:p>
        </w:tc>
        <w:tc>
          <w:tcPr>
            <w:tcW w:w="1842" w:type="dxa"/>
            <w:vAlign w:val="center"/>
          </w:tcPr>
          <w:p w14:paraId="583CBA66" w14:textId="74597664" w:rsidR="005304A5" w:rsidRPr="00D9721E" w:rsidRDefault="00B04C12" w:rsidP="005304A5">
            <w:pPr>
              <w:jc w:val="center"/>
              <w:rPr>
                <w:rFonts w:asciiTheme="majorHAnsi" w:hAnsiTheme="majorHAnsi"/>
                <w:b/>
                <w:bCs/>
                <w:sz w:val="20"/>
                <w:szCs w:val="22"/>
              </w:rPr>
            </w:pPr>
            <w:r w:rsidRPr="00D9721E">
              <w:rPr>
                <w:rFonts w:asciiTheme="majorHAnsi" w:hAnsiTheme="majorHAnsi"/>
                <w:b/>
                <w:bCs/>
                <w:sz w:val="20"/>
                <w:szCs w:val="22"/>
              </w:rPr>
              <w:t>1</w:t>
            </w:r>
            <w:r w:rsidR="000B24C2" w:rsidRPr="00D9721E">
              <w:rPr>
                <w:rFonts w:asciiTheme="majorHAnsi" w:hAnsiTheme="majorHAnsi"/>
                <w:b/>
                <w:bCs/>
                <w:sz w:val="20"/>
                <w:szCs w:val="22"/>
              </w:rPr>
              <w:t>788</w:t>
            </w:r>
          </w:p>
        </w:tc>
        <w:tc>
          <w:tcPr>
            <w:tcW w:w="1559" w:type="dxa"/>
            <w:vAlign w:val="center"/>
          </w:tcPr>
          <w:p w14:paraId="2CC7B1F9" w14:textId="1C4B0C8E" w:rsidR="005304A5" w:rsidRPr="00D9721E" w:rsidRDefault="00EC3A40" w:rsidP="005304A5">
            <w:pPr>
              <w:jc w:val="center"/>
              <w:rPr>
                <w:rFonts w:asciiTheme="majorHAnsi" w:hAnsiTheme="majorHAnsi"/>
                <w:b/>
                <w:bCs/>
                <w:sz w:val="20"/>
                <w:szCs w:val="22"/>
              </w:rPr>
            </w:pPr>
            <w:r w:rsidRPr="00D9721E">
              <w:rPr>
                <w:rFonts w:asciiTheme="majorHAnsi" w:hAnsiTheme="majorHAnsi"/>
                <w:b/>
                <w:bCs/>
                <w:sz w:val="20"/>
                <w:szCs w:val="22"/>
              </w:rPr>
              <w:t>1</w:t>
            </w:r>
            <w:r w:rsidR="00FB5664" w:rsidRPr="00D9721E">
              <w:rPr>
                <w:rFonts w:asciiTheme="majorHAnsi" w:hAnsiTheme="majorHAnsi"/>
                <w:b/>
                <w:bCs/>
                <w:sz w:val="20"/>
                <w:szCs w:val="22"/>
              </w:rPr>
              <w:t>77</w:t>
            </w:r>
            <w:r w:rsidR="00EF6D46">
              <w:rPr>
                <w:rFonts w:asciiTheme="majorHAnsi" w:hAnsiTheme="majorHAnsi"/>
                <w:b/>
                <w:bCs/>
                <w:sz w:val="20"/>
                <w:szCs w:val="22"/>
              </w:rPr>
              <w:t>7</w:t>
            </w:r>
          </w:p>
        </w:tc>
      </w:tr>
      <w:tr w:rsidR="005304A5" w:rsidRPr="00D9721E" w14:paraId="0DC65144" w14:textId="77777777" w:rsidTr="000B24C2">
        <w:tc>
          <w:tcPr>
            <w:tcW w:w="846" w:type="dxa"/>
            <w:vAlign w:val="center"/>
          </w:tcPr>
          <w:p w14:paraId="124F83F1" w14:textId="77777777" w:rsidR="005304A5" w:rsidRPr="00D9721E" w:rsidRDefault="005304A5" w:rsidP="005304A5">
            <w:pPr>
              <w:jc w:val="center"/>
              <w:rPr>
                <w:rFonts w:asciiTheme="majorHAnsi" w:hAnsiTheme="majorHAnsi"/>
                <w:b/>
                <w:bCs/>
                <w:sz w:val="20"/>
                <w:szCs w:val="22"/>
              </w:rPr>
            </w:pPr>
            <w:r w:rsidRPr="00D9721E">
              <w:rPr>
                <w:rFonts w:asciiTheme="majorHAnsi" w:hAnsiTheme="majorHAnsi"/>
                <w:b/>
                <w:bCs/>
                <w:sz w:val="20"/>
                <w:szCs w:val="22"/>
              </w:rPr>
              <w:t>B</w:t>
            </w:r>
          </w:p>
        </w:tc>
        <w:tc>
          <w:tcPr>
            <w:tcW w:w="8935" w:type="dxa"/>
            <w:gridSpan w:val="3"/>
            <w:vAlign w:val="center"/>
          </w:tcPr>
          <w:p w14:paraId="0F85742B" w14:textId="77777777" w:rsidR="005304A5" w:rsidRPr="00D9721E" w:rsidRDefault="005304A5" w:rsidP="005304A5">
            <w:pPr>
              <w:rPr>
                <w:rFonts w:asciiTheme="majorHAnsi" w:hAnsiTheme="majorHAnsi"/>
                <w:b/>
                <w:bCs/>
                <w:sz w:val="20"/>
                <w:szCs w:val="22"/>
              </w:rPr>
            </w:pPr>
            <w:r w:rsidRPr="00D9721E">
              <w:rPr>
                <w:rFonts w:asciiTheme="majorHAnsi" w:hAnsiTheme="majorHAnsi"/>
                <w:b/>
                <w:bCs/>
                <w:sz w:val="20"/>
                <w:szCs w:val="22"/>
              </w:rPr>
              <w:t>CTC Employees</w:t>
            </w:r>
          </w:p>
        </w:tc>
      </w:tr>
      <w:tr w:rsidR="005304A5" w:rsidRPr="00D9721E" w14:paraId="172479F4" w14:textId="77777777" w:rsidTr="000B24C2">
        <w:tc>
          <w:tcPr>
            <w:tcW w:w="846" w:type="dxa"/>
            <w:vAlign w:val="center"/>
          </w:tcPr>
          <w:p w14:paraId="0C2867A9" w14:textId="77777777" w:rsidR="005304A5" w:rsidRPr="00D9721E" w:rsidRDefault="005304A5" w:rsidP="005304A5">
            <w:pPr>
              <w:jc w:val="right"/>
              <w:rPr>
                <w:rFonts w:asciiTheme="majorHAnsi" w:hAnsiTheme="majorHAnsi"/>
                <w:b/>
                <w:bCs/>
                <w:sz w:val="20"/>
                <w:szCs w:val="22"/>
              </w:rPr>
            </w:pPr>
            <w:r w:rsidRPr="00D9721E">
              <w:rPr>
                <w:rFonts w:asciiTheme="majorHAnsi" w:hAnsiTheme="majorHAnsi"/>
                <w:b/>
                <w:bCs/>
                <w:sz w:val="20"/>
                <w:szCs w:val="22"/>
              </w:rPr>
              <w:t>8</w:t>
            </w:r>
          </w:p>
        </w:tc>
        <w:tc>
          <w:tcPr>
            <w:tcW w:w="5534" w:type="dxa"/>
            <w:vAlign w:val="center"/>
          </w:tcPr>
          <w:p w14:paraId="051D7C97" w14:textId="715BB264" w:rsidR="005304A5" w:rsidRPr="00D9721E" w:rsidRDefault="005304A5" w:rsidP="005304A5">
            <w:pPr>
              <w:rPr>
                <w:rFonts w:asciiTheme="majorHAnsi" w:hAnsiTheme="majorHAnsi"/>
                <w:b/>
                <w:bCs/>
                <w:sz w:val="20"/>
                <w:szCs w:val="22"/>
              </w:rPr>
            </w:pPr>
            <w:r w:rsidRPr="00D9721E">
              <w:rPr>
                <w:rFonts w:asciiTheme="majorHAnsi" w:hAnsiTheme="majorHAnsi"/>
                <w:b/>
                <w:bCs/>
                <w:sz w:val="20"/>
                <w:szCs w:val="22"/>
              </w:rPr>
              <w:t>No. of employees as on 01.04.202</w:t>
            </w:r>
            <w:r w:rsidR="000B24C2" w:rsidRPr="00D9721E">
              <w:rPr>
                <w:rFonts w:asciiTheme="majorHAnsi" w:hAnsiTheme="majorHAnsi"/>
                <w:b/>
                <w:bCs/>
                <w:sz w:val="20"/>
                <w:szCs w:val="22"/>
              </w:rPr>
              <w:t>4</w:t>
            </w:r>
          </w:p>
        </w:tc>
        <w:tc>
          <w:tcPr>
            <w:tcW w:w="1842" w:type="dxa"/>
            <w:vAlign w:val="center"/>
          </w:tcPr>
          <w:p w14:paraId="57415730" w14:textId="7FEB8D48" w:rsidR="005304A5" w:rsidRPr="00D9721E" w:rsidRDefault="00B04C12" w:rsidP="005304A5">
            <w:pPr>
              <w:jc w:val="center"/>
              <w:rPr>
                <w:rFonts w:asciiTheme="majorHAnsi" w:hAnsiTheme="majorHAnsi"/>
                <w:b/>
                <w:bCs/>
                <w:sz w:val="20"/>
                <w:szCs w:val="22"/>
              </w:rPr>
            </w:pPr>
            <w:r w:rsidRPr="00D9721E">
              <w:rPr>
                <w:rFonts w:asciiTheme="majorHAnsi" w:hAnsiTheme="majorHAnsi"/>
                <w:b/>
                <w:bCs/>
                <w:sz w:val="20"/>
                <w:szCs w:val="22"/>
              </w:rPr>
              <w:t>1</w:t>
            </w:r>
            <w:r w:rsidR="000B24C2" w:rsidRPr="00D9721E">
              <w:rPr>
                <w:rFonts w:asciiTheme="majorHAnsi" w:hAnsiTheme="majorHAnsi"/>
                <w:b/>
                <w:bCs/>
                <w:sz w:val="20"/>
                <w:szCs w:val="22"/>
              </w:rPr>
              <w:t>410</w:t>
            </w:r>
          </w:p>
        </w:tc>
        <w:tc>
          <w:tcPr>
            <w:tcW w:w="1559" w:type="dxa"/>
            <w:vAlign w:val="center"/>
          </w:tcPr>
          <w:p w14:paraId="00BABE55" w14:textId="0B658C35" w:rsidR="005304A5" w:rsidRPr="00D9721E" w:rsidRDefault="00EC3A40" w:rsidP="005304A5">
            <w:pPr>
              <w:jc w:val="center"/>
              <w:rPr>
                <w:rFonts w:asciiTheme="majorHAnsi" w:hAnsiTheme="majorHAnsi"/>
                <w:b/>
                <w:bCs/>
                <w:sz w:val="20"/>
                <w:szCs w:val="22"/>
              </w:rPr>
            </w:pPr>
            <w:r w:rsidRPr="00D9721E">
              <w:rPr>
                <w:rFonts w:asciiTheme="majorHAnsi" w:hAnsiTheme="majorHAnsi"/>
                <w:b/>
                <w:bCs/>
                <w:sz w:val="20"/>
                <w:szCs w:val="22"/>
              </w:rPr>
              <w:t>1</w:t>
            </w:r>
            <w:r w:rsidR="00FB5664" w:rsidRPr="00D9721E">
              <w:rPr>
                <w:rFonts w:asciiTheme="majorHAnsi" w:hAnsiTheme="majorHAnsi"/>
                <w:b/>
                <w:bCs/>
                <w:sz w:val="20"/>
                <w:szCs w:val="22"/>
              </w:rPr>
              <w:t>410</w:t>
            </w:r>
          </w:p>
        </w:tc>
      </w:tr>
      <w:tr w:rsidR="005304A5" w:rsidRPr="00D9721E" w14:paraId="10BA9CB9" w14:textId="77777777" w:rsidTr="000B24C2">
        <w:tc>
          <w:tcPr>
            <w:tcW w:w="846" w:type="dxa"/>
            <w:vAlign w:val="center"/>
          </w:tcPr>
          <w:p w14:paraId="6D674C86" w14:textId="77777777" w:rsidR="005304A5" w:rsidRPr="00D9721E" w:rsidRDefault="005304A5" w:rsidP="005304A5">
            <w:pPr>
              <w:jc w:val="right"/>
              <w:rPr>
                <w:rFonts w:asciiTheme="majorHAnsi" w:hAnsiTheme="majorHAnsi"/>
                <w:sz w:val="20"/>
                <w:szCs w:val="22"/>
              </w:rPr>
            </w:pPr>
            <w:r w:rsidRPr="00D9721E">
              <w:rPr>
                <w:rFonts w:asciiTheme="majorHAnsi" w:hAnsiTheme="majorHAnsi"/>
                <w:sz w:val="20"/>
                <w:szCs w:val="22"/>
              </w:rPr>
              <w:t>9</w:t>
            </w:r>
          </w:p>
        </w:tc>
        <w:tc>
          <w:tcPr>
            <w:tcW w:w="5534" w:type="dxa"/>
            <w:vAlign w:val="center"/>
          </w:tcPr>
          <w:p w14:paraId="2EEF8F94" w14:textId="79C061F1" w:rsidR="005304A5" w:rsidRPr="00D9721E" w:rsidRDefault="005304A5" w:rsidP="005304A5">
            <w:pPr>
              <w:rPr>
                <w:rFonts w:asciiTheme="majorHAnsi" w:hAnsiTheme="majorHAnsi"/>
                <w:b/>
                <w:bCs/>
                <w:sz w:val="20"/>
                <w:szCs w:val="22"/>
              </w:rPr>
            </w:pPr>
            <w:r w:rsidRPr="00D9721E">
              <w:rPr>
                <w:rFonts w:asciiTheme="majorHAnsi" w:hAnsiTheme="majorHAnsi"/>
                <w:sz w:val="20"/>
                <w:szCs w:val="22"/>
              </w:rPr>
              <w:t>Add: Addition during FY 2</w:t>
            </w:r>
            <w:r w:rsidR="000B24C2" w:rsidRPr="00D9721E">
              <w:rPr>
                <w:rFonts w:asciiTheme="majorHAnsi" w:hAnsiTheme="majorHAnsi"/>
                <w:sz w:val="20"/>
                <w:szCs w:val="22"/>
              </w:rPr>
              <w:t>4-25</w:t>
            </w:r>
          </w:p>
        </w:tc>
        <w:tc>
          <w:tcPr>
            <w:tcW w:w="1842" w:type="dxa"/>
            <w:vAlign w:val="center"/>
          </w:tcPr>
          <w:p w14:paraId="3763E95F" w14:textId="6D2692EF" w:rsidR="005304A5" w:rsidRPr="00D9721E" w:rsidRDefault="000B24C2" w:rsidP="005304A5">
            <w:pPr>
              <w:jc w:val="center"/>
              <w:rPr>
                <w:rFonts w:asciiTheme="majorHAnsi" w:hAnsiTheme="majorHAnsi"/>
                <w:sz w:val="20"/>
                <w:szCs w:val="22"/>
              </w:rPr>
            </w:pPr>
            <w:r w:rsidRPr="00D9721E">
              <w:rPr>
                <w:rFonts w:asciiTheme="majorHAnsi" w:hAnsiTheme="majorHAnsi"/>
                <w:sz w:val="20"/>
                <w:szCs w:val="22"/>
              </w:rPr>
              <w:t>124</w:t>
            </w:r>
          </w:p>
        </w:tc>
        <w:tc>
          <w:tcPr>
            <w:tcW w:w="1559" w:type="dxa"/>
            <w:vAlign w:val="center"/>
          </w:tcPr>
          <w:p w14:paraId="0EFCBBBB" w14:textId="00780912" w:rsidR="005304A5" w:rsidRPr="00D9721E" w:rsidRDefault="00FB5664" w:rsidP="005304A5">
            <w:pPr>
              <w:jc w:val="center"/>
              <w:rPr>
                <w:rFonts w:asciiTheme="majorHAnsi" w:hAnsiTheme="majorHAnsi"/>
                <w:sz w:val="20"/>
                <w:szCs w:val="22"/>
              </w:rPr>
            </w:pPr>
            <w:r w:rsidRPr="00D9721E">
              <w:rPr>
                <w:rFonts w:asciiTheme="majorHAnsi" w:hAnsiTheme="majorHAnsi"/>
                <w:sz w:val="20"/>
                <w:szCs w:val="22"/>
              </w:rPr>
              <w:t>128</w:t>
            </w:r>
          </w:p>
        </w:tc>
      </w:tr>
      <w:tr w:rsidR="005304A5" w:rsidRPr="00D9721E" w14:paraId="6FE434CE" w14:textId="77777777" w:rsidTr="000B24C2">
        <w:tc>
          <w:tcPr>
            <w:tcW w:w="846" w:type="dxa"/>
            <w:vAlign w:val="center"/>
          </w:tcPr>
          <w:p w14:paraId="621B29FD" w14:textId="77777777" w:rsidR="005304A5" w:rsidRPr="00D9721E" w:rsidRDefault="005304A5" w:rsidP="005304A5">
            <w:pPr>
              <w:jc w:val="right"/>
              <w:rPr>
                <w:rFonts w:asciiTheme="majorHAnsi" w:hAnsiTheme="majorHAnsi"/>
                <w:sz w:val="20"/>
                <w:szCs w:val="22"/>
              </w:rPr>
            </w:pPr>
            <w:r w:rsidRPr="00D9721E">
              <w:rPr>
                <w:rFonts w:asciiTheme="majorHAnsi" w:hAnsiTheme="majorHAnsi"/>
                <w:sz w:val="20"/>
                <w:szCs w:val="22"/>
              </w:rPr>
              <w:t>10</w:t>
            </w:r>
          </w:p>
        </w:tc>
        <w:tc>
          <w:tcPr>
            <w:tcW w:w="5534" w:type="dxa"/>
            <w:vAlign w:val="center"/>
          </w:tcPr>
          <w:p w14:paraId="4726C55F" w14:textId="6512A528" w:rsidR="005304A5" w:rsidRPr="00D9721E" w:rsidRDefault="005304A5" w:rsidP="005304A5">
            <w:pPr>
              <w:rPr>
                <w:rFonts w:asciiTheme="majorHAnsi" w:hAnsiTheme="majorHAnsi"/>
                <w:sz w:val="20"/>
                <w:szCs w:val="22"/>
              </w:rPr>
            </w:pPr>
            <w:r w:rsidRPr="00D9721E">
              <w:rPr>
                <w:rFonts w:asciiTheme="majorHAnsi" w:hAnsiTheme="majorHAnsi"/>
                <w:sz w:val="20"/>
                <w:szCs w:val="22"/>
              </w:rPr>
              <w:t>Less: Retirement/Expired/ Resignation during FY 2</w:t>
            </w:r>
            <w:r w:rsidR="000B24C2" w:rsidRPr="00D9721E">
              <w:rPr>
                <w:rFonts w:asciiTheme="majorHAnsi" w:hAnsiTheme="majorHAnsi"/>
                <w:sz w:val="20"/>
                <w:szCs w:val="22"/>
              </w:rPr>
              <w:t>4-25</w:t>
            </w:r>
          </w:p>
        </w:tc>
        <w:tc>
          <w:tcPr>
            <w:tcW w:w="1842" w:type="dxa"/>
            <w:vAlign w:val="center"/>
          </w:tcPr>
          <w:p w14:paraId="356EAE05" w14:textId="536729F2" w:rsidR="005304A5" w:rsidRPr="00D9721E" w:rsidRDefault="00B04C12" w:rsidP="005304A5">
            <w:pPr>
              <w:jc w:val="center"/>
              <w:rPr>
                <w:rFonts w:asciiTheme="majorHAnsi" w:hAnsiTheme="majorHAnsi"/>
                <w:sz w:val="20"/>
                <w:szCs w:val="22"/>
              </w:rPr>
            </w:pPr>
            <w:r w:rsidRPr="00D9721E">
              <w:rPr>
                <w:rFonts w:asciiTheme="majorHAnsi" w:hAnsiTheme="majorHAnsi"/>
                <w:sz w:val="20"/>
                <w:szCs w:val="22"/>
              </w:rPr>
              <w:t>5</w:t>
            </w:r>
            <w:r w:rsidR="000B24C2" w:rsidRPr="00D9721E">
              <w:rPr>
                <w:rFonts w:asciiTheme="majorHAnsi" w:hAnsiTheme="majorHAnsi"/>
                <w:sz w:val="20"/>
                <w:szCs w:val="22"/>
              </w:rPr>
              <w:t>3</w:t>
            </w:r>
          </w:p>
        </w:tc>
        <w:tc>
          <w:tcPr>
            <w:tcW w:w="1559" w:type="dxa"/>
            <w:vAlign w:val="center"/>
          </w:tcPr>
          <w:p w14:paraId="7216CDDB" w14:textId="1A2BD8FD" w:rsidR="005304A5" w:rsidRPr="00D9721E" w:rsidRDefault="00FB5664" w:rsidP="005304A5">
            <w:pPr>
              <w:jc w:val="center"/>
              <w:rPr>
                <w:rFonts w:asciiTheme="majorHAnsi" w:hAnsiTheme="majorHAnsi"/>
                <w:sz w:val="20"/>
                <w:szCs w:val="22"/>
              </w:rPr>
            </w:pPr>
            <w:r w:rsidRPr="00D9721E">
              <w:rPr>
                <w:rFonts w:asciiTheme="majorHAnsi" w:hAnsiTheme="majorHAnsi"/>
                <w:sz w:val="20"/>
                <w:szCs w:val="22"/>
              </w:rPr>
              <w:t>85</w:t>
            </w:r>
          </w:p>
        </w:tc>
      </w:tr>
      <w:tr w:rsidR="005304A5" w:rsidRPr="00D9721E" w14:paraId="21A9CAE3" w14:textId="77777777" w:rsidTr="000B24C2">
        <w:tc>
          <w:tcPr>
            <w:tcW w:w="846" w:type="dxa"/>
            <w:vAlign w:val="center"/>
          </w:tcPr>
          <w:p w14:paraId="20CAB28E" w14:textId="77777777" w:rsidR="005304A5" w:rsidRPr="00D9721E" w:rsidRDefault="005304A5" w:rsidP="005304A5">
            <w:pPr>
              <w:jc w:val="right"/>
              <w:rPr>
                <w:rFonts w:asciiTheme="majorHAnsi" w:hAnsiTheme="majorHAnsi"/>
                <w:b/>
                <w:bCs/>
                <w:sz w:val="20"/>
                <w:szCs w:val="22"/>
              </w:rPr>
            </w:pPr>
            <w:r w:rsidRPr="00D9721E">
              <w:rPr>
                <w:rFonts w:asciiTheme="majorHAnsi" w:hAnsiTheme="majorHAnsi"/>
                <w:b/>
                <w:bCs/>
                <w:sz w:val="20"/>
                <w:szCs w:val="22"/>
              </w:rPr>
              <w:t>11</w:t>
            </w:r>
          </w:p>
        </w:tc>
        <w:tc>
          <w:tcPr>
            <w:tcW w:w="5534" w:type="dxa"/>
            <w:vAlign w:val="center"/>
          </w:tcPr>
          <w:p w14:paraId="1B30C4D5" w14:textId="7797B1C2" w:rsidR="005304A5" w:rsidRPr="00D9721E" w:rsidRDefault="005304A5" w:rsidP="005304A5">
            <w:pPr>
              <w:rPr>
                <w:rFonts w:asciiTheme="majorHAnsi" w:hAnsiTheme="majorHAnsi"/>
                <w:b/>
                <w:bCs/>
                <w:sz w:val="20"/>
                <w:szCs w:val="22"/>
              </w:rPr>
            </w:pPr>
            <w:r w:rsidRPr="00D9721E">
              <w:rPr>
                <w:rFonts w:asciiTheme="majorHAnsi" w:hAnsiTheme="majorHAnsi"/>
                <w:b/>
                <w:bCs/>
                <w:sz w:val="20"/>
                <w:szCs w:val="22"/>
              </w:rPr>
              <w:t>No. of employees as on 31.03.202</w:t>
            </w:r>
            <w:r w:rsidR="000B24C2" w:rsidRPr="00D9721E">
              <w:rPr>
                <w:rFonts w:asciiTheme="majorHAnsi" w:hAnsiTheme="majorHAnsi"/>
                <w:b/>
                <w:bCs/>
                <w:sz w:val="20"/>
                <w:szCs w:val="22"/>
              </w:rPr>
              <w:t>5</w:t>
            </w:r>
          </w:p>
        </w:tc>
        <w:tc>
          <w:tcPr>
            <w:tcW w:w="1842" w:type="dxa"/>
            <w:vAlign w:val="center"/>
          </w:tcPr>
          <w:p w14:paraId="38FBF1A7" w14:textId="4D9390CC" w:rsidR="005304A5" w:rsidRPr="00D9721E" w:rsidRDefault="005304A5" w:rsidP="005304A5">
            <w:pPr>
              <w:jc w:val="center"/>
              <w:rPr>
                <w:rFonts w:asciiTheme="majorHAnsi" w:hAnsiTheme="majorHAnsi"/>
                <w:b/>
                <w:bCs/>
                <w:sz w:val="20"/>
                <w:szCs w:val="22"/>
              </w:rPr>
            </w:pPr>
            <w:r w:rsidRPr="00D9721E">
              <w:rPr>
                <w:rFonts w:asciiTheme="majorHAnsi" w:hAnsiTheme="majorHAnsi"/>
                <w:b/>
                <w:bCs/>
                <w:sz w:val="20"/>
                <w:szCs w:val="22"/>
              </w:rPr>
              <w:t>1</w:t>
            </w:r>
            <w:r w:rsidR="000B24C2" w:rsidRPr="00D9721E">
              <w:rPr>
                <w:rFonts w:asciiTheme="majorHAnsi" w:hAnsiTheme="majorHAnsi"/>
                <w:b/>
                <w:bCs/>
                <w:sz w:val="20"/>
                <w:szCs w:val="22"/>
              </w:rPr>
              <w:t>481</w:t>
            </w:r>
          </w:p>
        </w:tc>
        <w:tc>
          <w:tcPr>
            <w:tcW w:w="1559" w:type="dxa"/>
            <w:vAlign w:val="center"/>
          </w:tcPr>
          <w:p w14:paraId="34725814" w14:textId="189F63CA" w:rsidR="005304A5" w:rsidRPr="00D9721E" w:rsidRDefault="00EC3A40" w:rsidP="005304A5">
            <w:pPr>
              <w:jc w:val="center"/>
              <w:rPr>
                <w:rFonts w:asciiTheme="majorHAnsi" w:hAnsiTheme="majorHAnsi"/>
                <w:b/>
                <w:bCs/>
                <w:sz w:val="20"/>
                <w:szCs w:val="22"/>
              </w:rPr>
            </w:pPr>
            <w:r w:rsidRPr="00D9721E">
              <w:rPr>
                <w:rFonts w:asciiTheme="majorHAnsi" w:hAnsiTheme="majorHAnsi"/>
                <w:b/>
                <w:bCs/>
                <w:sz w:val="20"/>
                <w:szCs w:val="22"/>
              </w:rPr>
              <w:t>14</w:t>
            </w:r>
            <w:r w:rsidR="00FB5664" w:rsidRPr="00D9721E">
              <w:rPr>
                <w:rFonts w:asciiTheme="majorHAnsi" w:hAnsiTheme="majorHAnsi"/>
                <w:b/>
                <w:bCs/>
                <w:sz w:val="20"/>
                <w:szCs w:val="22"/>
              </w:rPr>
              <w:t>53</w:t>
            </w:r>
          </w:p>
        </w:tc>
      </w:tr>
      <w:tr w:rsidR="005304A5" w:rsidRPr="00D9721E" w14:paraId="3F578DA3" w14:textId="77777777" w:rsidTr="000B24C2">
        <w:tc>
          <w:tcPr>
            <w:tcW w:w="846" w:type="dxa"/>
            <w:vAlign w:val="center"/>
          </w:tcPr>
          <w:p w14:paraId="09D93538" w14:textId="77777777" w:rsidR="005304A5" w:rsidRPr="00D9721E" w:rsidRDefault="005304A5" w:rsidP="005304A5">
            <w:pPr>
              <w:jc w:val="right"/>
              <w:rPr>
                <w:rFonts w:asciiTheme="majorHAnsi" w:hAnsiTheme="majorHAnsi"/>
                <w:sz w:val="20"/>
                <w:szCs w:val="22"/>
              </w:rPr>
            </w:pPr>
            <w:r w:rsidRPr="00D9721E">
              <w:rPr>
                <w:rFonts w:asciiTheme="majorHAnsi" w:hAnsiTheme="majorHAnsi"/>
                <w:sz w:val="20"/>
                <w:szCs w:val="22"/>
              </w:rPr>
              <w:t>12</w:t>
            </w:r>
          </w:p>
        </w:tc>
        <w:tc>
          <w:tcPr>
            <w:tcW w:w="5534" w:type="dxa"/>
            <w:vAlign w:val="center"/>
          </w:tcPr>
          <w:p w14:paraId="6CDB5525" w14:textId="7AD5D94A" w:rsidR="005304A5" w:rsidRPr="00D9721E" w:rsidRDefault="005304A5" w:rsidP="005304A5">
            <w:pPr>
              <w:rPr>
                <w:rFonts w:asciiTheme="majorHAnsi" w:hAnsiTheme="majorHAnsi"/>
                <w:b/>
                <w:bCs/>
                <w:sz w:val="20"/>
                <w:szCs w:val="22"/>
              </w:rPr>
            </w:pPr>
            <w:r w:rsidRPr="00D9721E">
              <w:rPr>
                <w:rFonts w:asciiTheme="majorHAnsi" w:hAnsiTheme="majorHAnsi"/>
                <w:sz w:val="20"/>
                <w:szCs w:val="22"/>
              </w:rPr>
              <w:t>Add: Addition during FY 2</w:t>
            </w:r>
            <w:r w:rsidR="000B24C2" w:rsidRPr="00D9721E">
              <w:rPr>
                <w:rFonts w:asciiTheme="majorHAnsi" w:hAnsiTheme="majorHAnsi"/>
                <w:sz w:val="20"/>
                <w:szCs w:val="22"/>
              </w:rPr>
              <w:t>5-26</w:t>
            </w:r>
          </w:p>
        </w:tc>
        <w:tc>
          <w:tcPr>
            <w:tcW w:w="1842" w:type="dxa"/>
            <w:vAlign w:val="center"/>
          </w:tcPr>
          <w:p w14:paraId="355E684D" w14:textId="7A764652" w:rsidR="005304A5" w:rsidRPr="00D9721E" w:rsidRDefault="000B24C2" w:rsidP="005304A5">
            <w:pPr>
              <w:jc w:val="center"/>
              <w:rPr>
                <w:rFonts w:asciiTheme="majorHAnsi" w:hAnsiTheme="majorHAnsi"/>
                <w:sz w:val="20"/>
                <w:szCs w:val="22"/>
              </w:rPr>
            </w:pPr>
            <w:r w:rsidRPr="00D9721E">
              <w:rPr>
                <w:rFonts w:asciiTheme="majorHAnsi" w:hAnsiTheme="majorHAnsi"/>
                <w:sz w:val="20"/>
                <w:szCs w:val="22"/>
              </w:rPr>
              <w:t>215</w:t>
            </w:r>
          </w:p>
        </w:tc>
        <w:tc>
          <w:tcPr>
            <w:tcW w:w="1559" w:type="dxa"/>
            <w:vAlign w:val="center"/>
          </w:tcPr>
          <w:p w14:paraId="01D40F31" w14:textId="4E758073" w:rsidR="005304A5" w:rsidRPr="00D9721E" w:rsidRDefault="004B0F99" w:rsidP="005304A5">
            <w:pPr>
              <w:jc w:val="center"/>
              <w:rPr>
                <w:rFonts w:asciiTheme="majorHAnsi" w:hAnsiTheme="majorHAnsi"/>
                <w:sz w:val="20"/>
                <w:szCs w:val="22"/>
              </w:rPr>
            </w:pPr>
            <w:r w:rsidRPr="00D9721E">
              <w:rPr>
                <w:rFonts w:asciiTheme="majorHAnsi" w:hAnsiTheme="majorHAnsi"/>
                <w:sz w:val="20"/>
                <w:szCs w:val="22"/>
              </w:rPr>
              <w:t>1</w:t>
            </w:r>
            <w:r w:rsidR="001E3E92">
              <w:rPr>
                <w:rFonts w:asciiTheme="majorHAnsi" w:hAnsiTheme="majorHAnsi"/>
                <w:sz w:val="20"/>
                <w:szCs w:val="22"/>
              </w:rPr>
              <w:t>80</w:t>
            </w:r>
          </w:p>
        </w:tc>
      </w:tr>
      <w:tr w:rsidR="005304A5" w:rsidRPr="00D9721E" w14:paraId="0BC1C2E2" w14:textId="77777777" w:rsidTr="000B24C2">
        <w:tc>
          <w:tcPr>
            <w:tcW w:w="846" w:type="dxa"/>
            <w:vAlign w:val="center"/>
          </w:tcPr>
          <w:p w14:paraId="1CE180F5" w14:textId="77777777" w:rsidR="005304A5" w:rsidRPr="00D9721E" w:rsidRDefault="005304A5" w:rsidP="005304A5">
            <w:pPr>
              <w:jc w:val="right"/>
              <w:rPr>
                <w:rFonts w:asciiTheme="majorHAnsi" w:hAnsiTheme="majorHAnsi"/>
                <w:sz w:val="20"/>
                <w:szCs w:val="22"/>
              </w:rPr>
            </w:pPr>
            <w:r w:rsidRPr="00D9721E">
              <w:rPr>
                <w:rFonts w:asciiTheme="majorHAnsi" w:hAnsiTheme="majorHAnsi"/>
                <w:sz w:val="20"/>
                <w:szCs w:val="22"/>
              </w:rPr>
              <w:t>13</w:t>
            </w:r>
          </w:p>
        </w:tc>
        <w:tc>
          <w:tcPr>
            <w:tcW w:w="5534" w:type="dxa"/>
            <w:vAlign w:val="center"/>
          </w:tcPr>
          <w:p w14:paraId="121D0036" w14:textId="6B7D8293" w:rsidR="005304A5" w:rsidRPr="00D9721E" w:rsidRDefault="005304A5" w:rsidP="005304A5">
            <w:pPr>
              <w:rPr>
                <w:rFonts w:asciiTheme="majorHAnsi" w:hAnsiTheme="majorHAnsi"/>
                <w:sz w:val="20"/>
                <w:szCs w:val="22"/>
              </w:rPr>
            </w:pPr>
            <w:r w:rsidRPr="00D9721E">
              <w:rPr>
                <w:rFonts w:asciiTheme="majorHAnsi" w:hAnsiTheme="majorHAnsi"/>
                <w:sz w:val="20"/>
                <w:szCs w:val="22"/>
              </w:rPr>
              <w:t>Less: Retirement/Expired/ Resignation during year FY 2</w:t>
            </w:r>
            <w:r w:rsidR="000B24C2" w:rsidRPr="00D9721E">
              <w:rPr>
                <w:rFonts w:asciiTheme="majorHAnsi" w:hAnsiTheme="majorHAnsi"/>
                <w:sz w:val="20"/>
                <w:szCs w:val="22"/>
              </w:rPr>
              <w:t>5-26</w:t>
            </w:r>
          </w:p>
        </w:tc>
        <w:tc>
          <w:tcPr>
            <w:tcW w:w="1842" w:type="dxa"/>
            <w:vAlign w:val="center"/>
          </w:tcPr>
          <w:p w14:paraId="7D9DDCD9" w14:textId="77777777" w:rsidR="005304A5" w:rsidRPr="00D9721E" w:rsidRDefault="005304A5" w:rsidP="005304A5">
            <w:pPr>
              <w:jc w:val="center"/>
              <w:rPr>
                <w:rFonts w:asciiTheme="majorHAnsi" w:hAnsiTheme="majorHAnsi"/>
                <w:sz w:val="20"/>
                <w:szCs w:val="22"/>
              </w:rPr>
            </w:pPr>
            <w:r w:rsidRPr="00D9721E">
              <w:rPr>
                <w:rFonts w:asciiTheme="majorHAnsi" w:hAnsiTheme="majorHAnsi"/>
                <w:sz w:val="20"/>
                <w:szCs w:val="22"/>
              </w:rPr>
              <w:t>0</w:t>
            </w:r>
          </w:p>
        </w:tc>
        <w:tc>
          <w:tcPr>
            <w:tcW w:w="1559" w:type="dxa"/>
            <w:vAlign w:val="center"/>
          </w:tcPr>
          <w:p w14:paraId="2C2E6ABE" w14:textId="4DFBA040" w:rsidR="005304A5" w:rsidRPr="00D9721E" w:rsidRDefault="0049268E" w:rsidP="005304A5">
            <w:pPr>
              <w:jc w:val="center"/>
              <w:rPr>
                <w:rFonts w:asciiTheme="majorHAnsi" w:hAnsiTheme="majorHAnsi"/>
                <w:sz w:val="20"/>
                <w:szCs w:val="22"/>
              </w:rPr>
            </w:pPr>
            <w:r>
              <w:rPr>
                <w:rFonts w:asciiTheme="majorHAnsi" w:hAnsiTheme="majorHAnsi"/>
                <w:sz w:val="20"/>
                <w:szCs w:val="22"/>
              </w:rPr>
              <w:t>50</w:t>
            </w:r>
          </w:p>
        </w:tc>
      </w:tr>
      <w:tr w:rsidR="005304A5" w:rsidRPr="00D9721E" w14:paraId="0377980F" w14:textId="77777777" w:rsidTr="000B24C2">
        <w:tc>
          <w:tcPr>
            <w:tcW w:w="846" w:type="dxa"/>
            <w:vAlign w:val="center"/>
          </w:tcPr>
          <w:p w14:paraId="235E12FF" w14:textId="77777777" w:rsidR="005304A5" w:rsidRPr="00D9721E" w:rsidRDefault="005304A5" w:rsidP="005304A5">
            <w:pPr>
              <w:jc w:val="right"/>
              <w:rPr>
                <w:rFonts w:asciiTheme="majorHAnsi" w:hAnsiTheme="majorHAnsi"/>
                <w:b/>
                <w:bCs/>
                <w:sz w:val="20"/>
                <w:szCs w:val="22"/>
              </w:rPr>
            </w:pPr>
            <w:r w:rsidRPr="00D9721E">
              <w:rPr>
                <w:rFonts w:asciiTheme="majorHAnsi" w:hAnsiTheme="majorHAnsi"/>
                <w:b/>
                <w:bCs/>
                <w:sz w:val="20"/>
                <w:szCs w:val="22"/>
              </w:rPr>
              <w:t>14</w:t>
            </w:r>
          </w:p>
        </w:tc>
        <w:tc>
          <w:tcPr>
            <w:tcW w:w="5534" w:type="dxa"/>
            <w:vAlign w:val="center"/>
          </w:tcPr>
          <w:p w14:paraId="6B0B91A2" w14:textId="322E19F1" w:rsidR="005304A5" w:rsidRPr="00D9721E" w:rsidRDefault="005304A5" w:rsidP="005304A5">
            <w:pPr>
              <w:rPr>
                <w:rFonts w:asciiTheme="majorHAnsi" w:hAnsiTheme="majorHAnsi"/>
                <w:b/>
                <w:bCs/>
                <w:sz w:val="20"/>
                <w:szCs w:val="22"/>
              </w:rPr>
            </w:pPr>
            <w:r w:rsidRPr="00D9721E">
              <w:rPr>
                <w:rFonts w:asciiTheme="majorHAnsi" w:hAnsiTheme="majorHAnsi"/>
                <w:b/>
                <w:bCs/>
                <w:sz w:val="20"/>
                <w:szCs w:val="22"/>
              </w:rPr>
              <w:t>No. of employees as on 31.03.202</w:t>
            </w:r>
            <w:r w:rsidR="000B24C2" w:rsidRPr="00D9721E">
              <w:rPr>
                <w:rFonts w:asciiTheme="majorHAnsi" w:hAnsiTheme="majorHAnsi"/>
                <w:b/>
                <w:bCs/>
                <w:sz w:val="20"/>
                <w:szCs w:val="22"/>
              </w:rPr>
              <w:t>6</w:t>
            </w:r>
          </w:p>
        </w:tc>
        <w:tc>
          <w:tcPr>
            <w:tcW w:w="1842" w:type="dxa"/>
            <w:vAlign w:val="center"/>
          </w:tcPr>
          <w:p w14:paraId="35DEDB41" w14:textId="601E6FED" w:rsidR="005304A5" w:rsidRPr="00D9721E" w:rsidRDefault="005304A5" w:rsidP="005304A5">
            <w:pPr>
              <w:jc w:val="center"/>
              <w:rPr>
                <w:rFonts w:asciiTheme="majorHAnsi" w:hAnsiTheme="majorHAnsi"/>
                <w:b/>
                <w:bCs/>
                <w:sz w:val="20"/>
                <w:szCs w:val="22"/>
              </w:rPr>
            </w:pPr>
            <w:r w:rsidRPr="00D9721E">
              <w:rPr>
                <w:rFonts w:asciiTheme="majorHAnsi" w:hAnsiTheme="majorHAnsi"/>
                <w:b/>
                <w:bCs/>
                <w:sz w:val="20"/>
                <w:szCs w:val="22"/>
              </w:rPr>
              <w:t>1</w:t>
            </w:r>
            <w:r w:rsidR="000B24C2" w:rsidRPr="00D9721E">
              <w:rPr>
                <w:rFonts w:asciiTheme="majorHAnsi" w:hAnsiTheme="majorHAnsi"/>
                <w:b/>
                <w:bCs/>
                <w:sz w:val="20"/>
                <w:szCs w:val="22"/>
              </w:rPr>
              <w:t>696</w:t>
            </w:r>
          </w:p>
        </w:tc>
        <w:tc>
          <w:tcPr>
            <w:tcW w:w="1559" w:type="dxa"/>
            <w:vAlign w:val="center"/>
          </w:tcPr>
          <w:p w14:paraId="418E1991" w14:textId="11042382" w:rsidR="005304A5" w:rsidRPr="00D9721E" w:rsidRDefault="004B0F99" w:rsidP="005304A5">
            <w:pPr>
              <w:jc w:val="center"/>
              <w:rPr>
                <w:rFonts w:asciiTheme="majorHAnsi" w:hAnsiTheme="majorHAnsi"/>
                <w:b/>
                <w:bCs/>
                <w:sz w:val="20"/>
                <w:szCs w:val="22"/>
              </w:rPr>
            </w:pPr>
            <w:r w:rsidRPr="00D9721E">
              <w:rPr>
                <w:rFonts w:asciiTheme="majorHAnsi" w:hAnsiTheme="majorHAnsi"/>
                <w:b/>
                <w:bCs/>
                <w:sz w:val="20"/>
                <w:szCs w:val="22"/>
              </w:rPr>
              <w:t>1</w:t>
            </w:r>
            <w:r w:rsidR="001E3E92">
              <w:rPr>
                <w:rFonts w:asciiTheme="majorHAnsi" w:hAnsiTheme="majorHAnsi"/>
                <w:b/>
                <w:bCs/>
                <w:sz w:val="20"/>
                <w:szCs w:val="22"/>
              </w:rPr>
              <w:t>583</w:t>
            </w:r>
          </w:p>
        </w:tc>
      </w:tr>
      <w:tr w:rsidR="005304A5" w:rsidRPr="00D9721E" w14:paraId="4A45EF02" w14:textId="77777777" w:rsidTr="000B24C2">
        <w:tc>
          <w:tcPr>
            <w:tcW w:w="846" w:type="dxa"/>
            <w:vAlign w:val="center"/>
          </w:tcPr>
          <w:p w14:paraId="1E113CC3" w14:textId="77777777" w:rsidR="005304A5" w:rsidRPr="00D9721E" w:rsidRDefault="005304A5" w:rsidP="005304A5">
            <w:pPr>
              <w:jc w:val="right"/>
              <w:rPr>
                <w:rFonts w:asciiTheme="majorHAnsi" w:hAnsiTheme="majorHAnsi"/>
                <w:b/>
                <w:bCs/>
                <w:sz w:val="20"/>
                <w:szCs w:val="22"/>
              </w:rPr>
            </w:pPr>
            <w:r w:rsidRPr="00D9721E">
              <w:rPr>
                <w:rFonts w:asciiTheme="majorHAnsi" w:hAnsiTheme="majorHAnsi"/>
                <w:b/>
                <w:bCs/>
                <w:sz w:val="20"/>
                <w:szCs w:val="22"/>
              </w:rPr>
              <w:t>15</w:t>
            </w:r>
          </w:p>
        </w:tc>
        <w:tc>
          <w:tcPr>
            <w:tcW w:w="5534" w:type="dxa"/>
            <w:vAlign w:val="center"/>
          </w:tcPr>
          <w:p w14:paraId="1654B8FE" w14:textId="77777777" w:rsidR="005304A5" w:rsidRPr="00D9721E" w:rsidRDefault="005304A5" w:rsidP="005304A5">
            <w:pPr>
              <w:rPr>
                <w:rFonts w:asciiTheme="majorHAnsi" w:hAnsiTheme="majorHAnsi"/>
                <w:b/>
                <w:bCs/>
                <w:sz w:val="20"/>
                <w:szCs w:val="22"/>
              </w:rPr>
            </w:pPr>
            <w:r w:rsidRPr="00D9721E">
              <w:rPr>
                <w:rFonts w:asciiTheme="majorHAnsi" w:hAnsiTheme="majorHAnsi"/>
                <w:b/>
                <w:bCs/>
                <w:sz w:val="20"/>
                <w:szCs w:val="22"/>
              </w:rPr>
              <w:t>Total no. of employees including CTC</w:t>
            </w:r>
          </w:p>
        </w:tc>
        <w:tc>
          <w:tcPr>
            <w:tcW w:w="1842" w:type="dxa"/>
            <w:vAlign w:val="center"/>
          </w:tcPr>
          <w:p w14:paraId="4B49ABEF" w14:textId="4D582B6F" w:rsidR="005304A5" w:rsidRPr="00D9721E" w:rsidRDefault="005304A5" w:rsidP="005304A5">
            <w:pPr>
              <w:jc w:val="center"/>
              <w:rPr>
                <w:rFonts w:asciiTheme="majorHAnsi" w:hAnsiTheme="majorHAnsi"/>
                <w:b/>
                <w:bCs/>
                <w:sz w:val="20"/>
                <w:szCs w:val="22"/>
              </w:rPr>
            </w:pPr>
            <w:r w:rsidRPr="00D9721E">
              <w:rPr>
                <w:rFonts w:asciiTheme="majorHAnsi" w:hAnsiTheme="majorHAnsi"/>
                <w:b/>
                <w:bCs/>
                <w:sz w:val="20"/>
                <w:szCs w:val="22"/>
              </w:rPr>
              <w:t>3</w:t>
            </w:r>
            <w:r w:rsidR="000B24C2" w:rsidRPr="00D9721E">
              <w:rPr>
                <w:rFonts w:asciiTheme="majorHAnsi" w:hAnsiTheme="majorHAnsi"/>
                <w:b/>
                <w:bCs/>
                <w:sz w:val="20"/>
                <w:szCs w:val="22"/>
              </w:rPr>
              <w:t>484</w:t>
            </w:r>
          </w:p>
        </w:tc>
        <w:tc>
          <w:tcPr>
            <w:tcW w:w="1559" w:type="dxa"/>
            <w:vAlign w:val="center"/>
          </w:tcPr>
          <w:p w14:paraId="6455CA7C" w14:textId="41095635" w:rsidR="005304A5" w:rsidRPr="00D9721E" w:rsidRDefault="004B0F99" w:rsidP="005304A5">
            <w:pPr>
              <w:jc w:val="center"/>
              <w:rPr>
                <w:rFonts w:asciiTheme="majorHAnsi" w:hAnsiTheme="majorHAnsi"/>
                <w:b/>
                <w:bCs/>
                <w:sz w:val="20"/>
                <w:szCs w:val="22"/>
              </w:rPr>
            </w:pPr>
            <w:r w:rsidRPr="00D9721E">
              <w:rPr>
                <w:rFonts w:asciiTheme="majorHAnsi" w:hAnsiTheme="majorHAnsi"/>
                <w:b/>
                <w:bCs/>
                <w:sz w:val="20"/>
                <w:szCs w:val="22"/>
              </w:rPr>
              <w:t>3</w:t>
            </w:r>
            <w:r w:rsidR="00FB5664" w:rsidRPr="00D9721E">
              <w:rPr>
                <w:rFonts w:asciiTheme="majorHAnsi" w:hAnsiTheme="majorHAnsi"/>
                <w:b/>
                <w:bCs/>
                <w:sz w:val="20"/>
                <w:szCs w:val="22"/>
              </w:rPr>
              <w:t>3</w:t>
            </w:r>
            <w:r w:rsidR="001E3E92">
              <w:rPr>
                <w:rFonts w:asciiTheme="majorHAnsi" w:hAnsiTheme="majorHAnsi"/>
                <w:b/>
                <w:bCs/>
                <w:sz w:val="20"/>
                <w:szCs w:val="22"/>
              </w:rPr>
              <w:t>60</w:t>
            </w:r>
          </w:p>
        </w:tc>
      </w:tr>
      <w:tr w:rsidR="005304A5" w:rsidRPr="00D9721E" w14:paraId="218A8570" w14:textId="77777777" w:rsidTr="000B24C2">
        <w:tc>
          <w:tcPr>
            <w:tcW w:w="846" w:type="dxa"/>
            <w:vAlign w:val="center"/>
          </w:tcPr>
          <w:p w14:paraId="77EEF225" w14:textId="77777777" w:rsidR="005304A5" w:rsidRPr="00D9721E" w:rsidRDefault="005304A5" w:rsidP="005304A5">
            <w:pPr>
              <w:jc w:val="right"/>
              <w:rPr>
                <w:rFonts w:asciiTheme="majorHAnsi" w:hAnsiTheme="majorHAnsi"/>
                <w:sz w:val="20"/>
                <w:szCs w:val="22"/>
              </w:rPr>
            </w:pPr>
            <w:r w:rsidRPr="00D9721E">
              <w:rPr>
                <w:rFonts w:asciiTheme="majorHAnsi" w:hAnsiTheme="majorHAnsi"/>
                <w:sz w:val="20"/>
                <w:szCs w:val="22"/>
              </w:rPr>
              <w:t>16</w:t>
            </w:r>
          </w:p>
        </w:tc>
        <w:tc>
          <w:tcPr>
            <w:tcW w:w="5534" w:type="dxa"/>
            <w:vAlign w:val="center"/>
          </w:tcPr>
          <w:p w14:paraId="24CC6E27" w14:textId="0BE8FC3D" w:rsidR="005304A5" w:rsidRPr="00D9721E" w:rsidRDefault="005304A5" w:rsidP="005304A5">
            <w:pPr>
              <w:rPr>
                <w:rFonts w:asciiTheme="majorHAnsi" w:hAnsiTheme="majorHAnsi"/>
                <w:b/>
                <w:bCs/>
                <w:sz w:val="20"/>
                <w:szCs w:val="22"/>
              </w:rPr>
            </w:pPr>
            <w:r w:rsidRPr="00D9721E">
              <w:rPr>
                <w:rFonts w:asciiTheme="majorHAnsi" w:hAnsiTheme="majorHAnsi"/>
                <w:sz w:val="20"/>
                <w:szCs w:val="22"/>
              </w:rPr>
              <w:t xml:space="preserve">Add: </w:t>
            </w:r>
            <w:r w:rsidR="00516CBE" w:rsidRPr="00D9721E">
              <w:rPr>
                <w:rFonts w:asciiTheme="majorHAnsi" w:hAnsiTheme="majorHAnsi"/>
                <w:sz w:val="20"/>
                <w:szCs w:val="22"/>
              </w:rPr>
              <w:t xml:space="preserve">Proposed </w:t>
            </w:r>
            <w:r w:rsidRPr="00D9721E">
              <w:rPr>
                <w:rFonts w:asciiTheme="majorHAnsi" w:hAnsiTheme="majorHAnsi"/>
                <w:sz w:val="20"/>
                <w:szCs w:val="22"/>
              </w:rPr>
              <w:t xml:space="preserve">Addition during FY </w:t>
            </w:r>
            <w:r w:rsidR="007507C7" w:rsidRPr="00D9721E">
              <w:rPr>
                <w:rFonts w:asciiTheme="majorHAnsi" w:hAnsiTheme="majorHAnsi"/>
                <w:sz w:val="20"/>
                <w:szCs w:val="22"/>
              </w:rPr>
              <w:t>26-27</w:t>
            </w:r>
          </w:p>
        </w:tc>
        <w:tc>
          <w:tcPr>
            <w:tcW w:w="1842" w:type="dxa"/>
            <w:vAlign w:val="center"/>
          </w:tcPr>
          <w:p w14:paraId="51AA999F" w14:textId="77777777" w:rsidR="005304A5" w:rsidRPr="00D9721E" w:rsidRDefault="005304A5" w:rsidP="005304A5">
            <w:pPr>
              <w:jc w:val="center"/>
              <w:rPr>
                <w:rFonts w:asciiTheme="majorHAnsi" w:hAnsiTheme="majorHAnsi"/>
                <w:sz w:val="20"/>
                <w:szCs w:val="22"/>
              </w:rPr>
            </w:pPr>
          </w:p>
        </w:tc>
        <w:tc>
          <w:tcPr>
            <w:tcW w:w="1559" w:type="dxa"/>
            <w:vAlign w:val="center"/>
          </w:tcPr>
          <w:p w14:paraId="18D43F3B" w14:textId="4D28684A" w:rsidR="005304A5" w:rsidRPr="00D9721E" w:rsidRDefault="001E3E92" w:rsidP="005304A5">
            <w:pPr>
              <w:jc w:val="center"/>
              <w:rPr>
                <w:rFonts w:asciiTheme="majorHAnsi" w:hAnsiTheme="majorHAnsi"/>
                <w:sz w:val="20"/>
                <w:szCs w:val="22"/>
              </w:rPr>
            </w:pPr>
            <w:r>
              <w:rPr>
                <w:rFonts w:asciiTheme="majorHAnsi" w:hAnsiTheme="majorHAnsi"/>
                <w:sz w:val="20"/>
                <w:szCs w:val="22"/>
              </w:rPr>
              <w:t>160</w:t>
            </w:r>
          </w:p>
        </w:tc>
      </w:tr>
      <w:tr w:rsidR="005304A5" w:rsidRPr="00D9721E" w14:paraId="3E06E256" w14:textId="77777777" w:rsidTr="000B24C2">
        <w:tc>
          <w:tcPr>
            <w:tcW w:w="846" w:type="dxa"/>
            <w:vAlign w:val="center"/>
          </w:tcPr>
          <w:p w14:paraId="5A2DECB5" w14:textId="77777777" w:rsidR="005304A5" w:rsidRPr="00D9721E" w:rsidRDefault="005304A5" w:rsidP="005304A5">
            <w:pPr>
              <w:jc w:val="right"/>
              <w:rPr>
                <w:rFonts w:asciiTheme="majorHAnsi" w:hAnsiTheme="majorHAnsi"/>
                <w:sz w:val="20"/>
                <w:szCs w:val="22"/>
              </w:rPr>
            </w:pPr>
            <w:r w:rsidRPr="00D9721E">
              <w:rPr>
                <w:rFonts w:asciiTheme="majorHAnsi" w:hAnsiTheme="majorHAnsi"/>
                <w:sz w:val="20"/>
                <w:szCs w:val="22"/>
              </w:rPr>
              <w:t>17</w:t>
            </w:r>
          </w:p>
        </w:tc>
        <w:tc>
          <w:tcPr>
            <w:tcW w:w="5534" w:type="dxa"/>
            <w:vAlign w:val="center"/>
          </w:tcPr>
          <w:p w14:paraId="2EDEBF7C" w14:textId="0E0F8BE0" w:rsidR="005304A5" w:rsidRPr="00D9721E" w:rsidRDefault="005304A5" w:rsidP="005304A5">
            <w:pPr>
              <w:rPr>
                <w:rFonts w:asciiTheme="majorHAnsi" w:hAnsiTheme="majorHAnsi"/>
                <w:b/>
                <w:bCs/>
                <w:sz w:val="20"/>
                <w:szCs w:val="22"/>
              </w:rPr>
            </w:pPr>
            <w:r w:rsidRPr="00D9721E">
              <w:rPr>
                <w:rFonts w:asciiTheme="majorHAnsi" w:hAnsiTheme="majorHAnsi"/>
                <w:sz w:val="20"/>
                <w:szCs w:val="22"/>
              </w:rPr>
              <w:t xml:space="preserve">Less: </w:t>
            </w:r>
            <w:r w:rsidR="00516CBE" w:rsidRPr="00D9721E">
              <w:rPr>
                <w:rFonts w:asciiTheme="majorHAnsi" w:hAnsiTheme="majorHAnsi"/>
                <w:sz w:val="20"/>
                <w:szCs w:val="22"/>
              </w:rPr>
              <w:t xml:space="preserve">Expected </w:t>
            </w:r>
            <w:r w:rsidRPr="00D9721E">
              <w:rPr>
                <w:rFonts w:asciiTheme="majorHAnsi" w:hAnsiTheme="majorHAnsi"/>
                <w:sz w:val="20"/>
                <w:szCs w:val="22"/>
              </w:rPr>
              <w:t xml:space="preserve">Retirement/Expired/ Resignation during year FY </w:t>
            </w:r>
            <w:r w:rsidR="007507C7" w:rsidRPr="00D9721E">
              <w:rPr>
                <w:rFonts w:asciiTheme="majorHAnsi" w:hAnsiTheme="majorHAnsi"/>
                <w:sz w:val="20"/>
                <w:szCs w:val="22"/>
              </w:rPr>
              <w:t>26-27</w:t>
            </w:r>
          </w:p>
        </w:tc>
        <w:tc>
          <w:tcPr>
            <w:tcW w:w="1842" w:type="dxa"/>
            <w:vAlign w:val="center"/>
          </w:tcPr>
          <w:p w14:paraId="3264C8D2" w14:textId="77777777" w:rsidR="005304A5" w:rsidRPr="00D9721E" w:rsidRDefault="005304A5" w:rsidP="005304A5">
            <w:pPr>
              <w:jc w:val="center"/>
              <w:rPr>
                <w:rFonts w:asciiTheme="majorHAnsi" w:hAnsiTheme="majorHAnsi"/>
                <w:sz w:val="20"/>
                <w:szCs w:val="22"/>
              </w:rPr>
            </w:pPr>
          </w:p>
        </w:tc>
        <w:tc>
          <w:tcPr>
            <w:tcW w:w="1559" w:type="dxa"/>
            <w:vAlign w:val="center"/>
          </w:tcPr>
          <w:p w14:paraId="5F78F2C9" w14:textId="2E75798D" w:rsidR="005304A5" w:rsidRPr="00D9721E" w:rsidRDefault="001E3E92" w:rsidP="005304A5">
            <w:pPr>
              <w:jc w:val="center"/>
              <w:rPr>
                <w:rFonts w:asciiTheme="majorHAnsi" w:hAnsiTheme="majorHAnsi"/>
                <w:sz w:val="20"/>
                <w:szCs w:val="22"/>
              </w:rPr>
            </w:pPr>
            <w:r>
              <w:rPr>
                <w:rFonts w:asciiTheme="majorHAnsi" w:hAnsiTheme="majorHAnsi"/>
                <w:sz w:val="20"/>
                <w:szCs w:val="22"/>
              </w:rPr>
              <w:t>37</w:t>
            </w:r>
          </w:p>
        </w:tc>
      </w:tr>
      <w:tr w:rsidR="005304A5" w:rsidRPr="00D9721E" w14:paraId="6B11B654" w14:textId="77777777" w:rsidTr="000B24C2">
        <w:tc>
          <w:tcPr>
            <w:tcW w:w="846" w:type="dxa"/>
            <w:vAlign w:val="center"/>
          </w:tcPr>
          <w:p w14:paraId="2925C480" w14:textId="77777777" w:rsidR="005304A5" w:rsidRPr="00D9721E" w:rsidRDefault="005304A5" w:rsidP="005304A5">
            <w:pPr>
              <w:jc w:val="center"/>
              <w:rPr>
                <w:rFonts w:asciiTheme="majorHAnsi" w:hAnsiTheme="majorHAnsi"/>
                <w:b/>
                <w:bCs/>
                <w:sz w:val="20"/>
                <w:szCs w:val="22"/>
              </w:rPr>
            </w:pPr>
            <w:r w:rsidRPr="00D9721E">
              <w:rPr>
                <w:rFonts w:asciiTheme="majorHAnsi" w:hAnsiTheme="majorHAnsi"/>
                <w:b/>
                <w:bCs/>
                <w:sz w:val="20"/>
                <w:szCs w:val="22"/>
              </w:rPr>
              <w:t>C</w:t>
            </w:r>
          </w:p>
        </w:tc>
        <w:tc>
          <w:tcPr>
            <w:tcW w:w="5534" w:type="dxa"/>
            <w:vAlign w:val="center"/>
          </w:tcPr>
          <w:p w14:paraId="28F03260" w14:textId="54EB98DF" w:rsidR="005304A5" w:rsidRPr="00D9721E" w:rsidRDefault="00516CBE" w:rsidP="005304A5">
            <w:pPr>
              <w:rPr>
                <w:rFonts w:asciiTheme="majorHAnsi" w:hAnsiTheme="majorHAnsi"/>
                <w:b/>
                <w:bCs/>
                <w:sz w:val="20"/>
                <w:szCs w:val="22"/>
              </w:rPr>
            </w:pPr>
            <w:r w:rsidRPr="00D9721E">
              <w:rPr>
                <w:rFonts w:asciiTheme="majorHAnsi" w:hAnsiTheme="majorHAnsi"/>
                <w:b/>
                <w:bCs/>
                <w:sz w:val="20"/>
                <w:szCs w:val="22"/>
              </w:rPr>
              <w:t xml:space="preserve">Proposed </w:t>
            </w:r>
            <w:r w:rsidR="005304A5" w:rsidRPr="00D9721E">
              <w:rPr>
                <w:rFonts w:asciiTheme="majorHAnsi" w:hAnsiTheme="majorHAnsi"/>
                <w:b/>
                <w:bCs/>
                <w:sz w:val="20"/>
                <w:szCs w:val="22"/>
              </w:rPr>
              <w:t>No. of employees as on 31.03.202</w:t>
            </w:r>
            <w:r w:rsidR="000B24C2" w:rsidRPr="00D9721E">
              <w:rPr>
                <w:rFonts w:asciiTheme="majorHAnsi" w:hAnsiTheme="majorHAnsi"/>
                <w:b/>
                <w:bCs/>
                <w:sz w:val="20"/>
                <w:szCs w:val="22"/>
              </w:rPr>
              <w:t>7</w:t>
            </w:r>
            <w:r w:rsidR="005304A5" w:rsidRPr="00D9721E">
              <w:rPr>
                <w:rFonts w:asciiTheme="majorHAnsi" w:hAnsiTheme="majorHAnsi"/>
                <w:b/>
                <w:bCs/>
                <w:sz w:val="20"/>
                <w:szCs w:val="22"/>
              </w:rPr>
              <w:t xml:space="preserve"> (incl. CTC)</w:t>
            </w:r>
          </w:p>
        </w:tc>
        <w:tc>
          <w:tcPr>
            <w:tcW w:w="1842" w:type="dxa"/>
            <w:vAlign w:val="center"/>
          </w:tcPr>
          <w:p w14:paraId="21C9587B" w14:textId="77777777" w:rsidR="005304A5" w:rsidRPr="00D9721E" w:rsidRDefault="005304A5" w:rsidP="005304A5">
            <w:pPr>
              <w:jc w:val="center"/>
              <w:rPr>
                <w:rFonts w:asciiTheme="majorHAnsi" w:hAnsiTheme="majorHAnsi"/>
                <w:sz w:val="20"/>
                <w:szCs w:val="22"/>
              </w:rPr>
            </w:pPr>
          </w:p>
        </w:tc>
        <w:tc>
          <w:tcPr>
            <w:tcW w:w="1559" w:type="dxa"/>
            <w:vAlign w:val="center"/>
          </w:tcPr>
          <w:p w14:paraId="445424B9" w14:textId="3DD8D89F" w:rsidR="005304A5" w:rsidRPr="00D9721E" w:rsidRDefault="002A1088" w:rsidP="005304A5">
            <w:pPr>
              <w:jc w:val="center"/>
              <w:rPr>
                <w:rFonts w:asciiTheme="majorHAnsi" w:hAnsiTheme="majorHAnsi"/>
                <w:b/>
                <w:bCs/>
                <w:sz w:val="20"/>
                <w:szCs w:val="22"/>
              </w:rPr>
            </w:pPr>
            <w:r w:rsidRPr="00D9721E">
              <w:rPr>
                <w:rFonts w:asciiTheme="majorHAnsi" w:hAnsiTheme="majorHAnsi"/>
                <w:b/>
                <w:bCs/>
                <w:sz w:val="20"/>
                <w:szCs w:val="22"/>
              </w:rPr>
              <w:t>3</w:t>
            </w:r>
            <w:r w:rsidR="001E3E92">
              <w:rPr>
                <w:rFonts w:asciiTheme="majorHAnsi" w:hAnsiTheme="majorHAnsi"/>
                <w:b/>
                <w:bCs/>
                <w:sz w:val="20"/>
                <w:szCs w:val="22"/>
              </w:rPr>
              <w:t>483</w:t>
            </w:r>
          </w:p>
        </w:tc>
      </w:tr>
    </w:tbl>
    <w:p w14:paraId="3D19AB46" w14:textId="77777777" w:rsidR="001022A0" w:rsidRDefault="001022A0" w:rsidP="005304A5">
      <w:pPr>
        <w:jc w:val="both"/>
        <w:rPr>
          <w:rFonts w:asciiTheme="majorHAnsi" w:hAnsiTheme="majorHAnsi"/>
          <w:color w:val="FF0000"/>
        </w:rPr>
      </w:pPr>
    </w:p>
    <w:p w14:paraId="218CAEA7" w14:textId="15D0E389" w:rsidR="005304A5" w:rsidRDefault="005304A5" w:rsidP="0097212A">
      <w:pPr>
        <w:spacing w:beforeLines="100" w:before="240" w:afterLines="100" w:after="240" w:line="360" w:lineRule="auto"/>
        <w:jc w:val="both"/>
        <w:rPr>
          <w:rFonts w:asciiTheme="majorHAnsi" w:hAnsiTheme="majorHAnsi"/>
        </w:rPr>
      </w:pPr>
      <w:r w:rsidRPr="001022A0">
        <w:rPr>
          <w:rFonts w:asciiTheme="majorHAnsi" w:hAnsiTheme="majorHAnsi"/>
        </w:rPr>
        <w:t xml:space="preserve">As can be seen from the above table, the Licensee is well within the limits of the total no. of employees as </w:t>
      </w:r>
      <w:r w:rsidRPr="00FB5664">
        <w:rPr>
          <w:rFonts w:asciiTheme="majorHAnsi" w:hAnsiTheme="majorHAnsi"/>
        </w:rPr>
        <w:t>on 31.03.202</w:t>
      </w:r>
      <w:r w:rsidR="00FB5664" w:rsidRPr="00FB5664">
        <w:rPr>
          <w:rFonts w:asciiTheme="majorHAnsi" w:hAnsiTheme="majorHAnsi"/>
        </w:rPr>
        <w:t>6</w:t>
      </w:r>
      <w:r w:rsidRPr="00FB5664">
        <w:rPr>
          <w:rFonts w:asciiTheme="majorHAnsi" w:hAnsiTheme="majorHAnsi"/>
        </w:rPr>
        <w:t>.</w:t>
      </w:r>
      <w:r w:rsidRPr="001022A0">
        <w:rPr>
          <w:rFonts w:asciiTheme="majorHAnsi" w:hAnsiTheme="majorHAnsi"/>
        </w:rPr>
        <w:t xml:space="preserve"> </w:t>
      </w:r>
    </w:p>
    <w:p w14:paraId="1CB8F4FA" w14:textId="3783D42F" w:rsidR="00516CBE" w:rsidRDefault="00516CBE" w:rsidP="0097212A">
      <w:pPr>
        <w:pStyle w:val="BodyText2"/>
        <w:spacing w:beforeLines="100" w:before="240" w:afterLines="100" w:after="240" w:line="360" w:lineRule="auto"/>
        <w:jc w:val="both"/>
        <w:rPr>
          <w:rFonts w:asciiTheme="majorHAnsi" w:hAnsiTheme="majorHAnsi" w:cstheme="minorHAnsi"/>
          <w:sz w:val="24"/>
          <w:szCs w:val="24"/>
        </w:rPr>
      </w:pPr>
      <w:r w:rsidRPr="001022A0">
        <w:rPr>
          <w:rFonts w:asciiTheme="majorHAnsi" w:hAnsiTheme="majorHAnsi" w:cstheme="minorHAnsi"/>
          <w:sz w:val="24"/>
          <w:szCs w:val="24"/>
        </w:rPr>
        <w:t xml:space="preserve">On recruitment front, the Licensee has considered </w:t>
      </w:r>
      <w:r w:rsidR="001E3E92">
        <w:rPr>
          <w:rFonts w:asciiTheme="majorHAnsi" w:hAnsiTheme="majorHAnsi" w:cstheme="minorHAnsi"/>
          <w:sz w:val="24"/>
          <w:szCs w:val="24"/>
        </w:rPr>
        <w:t>160</w:t>
      </w:r>
      <w:r w:rsidRPr="00FB5664">
        <w:rPr>
          <w:rFonts w:asciiTheme="majorHAnsi" w:hAnsiTheme="majorHAnsi" w:cstheme="minorHAnsi"/>
          <w:sz w:val="24"/>
          <w:szCs w:val="24"/>
        </w:rPr>
        <w:t xml:space="preserve"> nos. (</w:t>
      </w:r>
      <w:r w:rsidR="001E3E92">
        <w:rPr>
          <w:rFonts w:asciiTheme="majorHAnsi" w:hAnsiTheme="majorHAnsi" w:cstheme="minorHAnsi"/>
          <w:sz w:val="24"/>
          <w:szCs w:val="24"/>
        </w:rPr>
        <w:t>6</w:t>
      </w:r>
      <w:r w:rsidR="00FB5664" w:rsidRPr="00FB5664">
        <w:rPr>
          <w:rFonts w:asciiTheme="majorHAnsi" w:hAnsiTheme="majorHAnsi" w:cstheme="minorHAnsi"/>
          <w:sz w:val="24"/>
          <w:szCs w:val="24"/>
        </w:rPr>
        <w:t>5</w:t>
      </w:r>
      <w:r w:rsidRPr="00FB5664">
        <w:rPr>
          <w:rFonts w:asciiTheme="majorHAnsi" w:hAnsiTheme="majorHAnsi" w:cstheme="minorHAnsi"/>
          <w:sz w:val="24"/>
          <w:szCs w:val="24"/>
        </w:rPr>
        <w:t xml:space="preserve"> nos. Executives and </w:t>
      </w:r>
      <w:r w:rsidR="001E3E92">
        <w:rPr>
          <w:rFonts w:asciiTheme="majorHAnsi" w:hAnsiTheme="majorHAnsi" w:cstheme="minorHAnsi"/>
          <w:sz w:val="24"/>
          <w:szCs w:val="24"/>
        </w:rPr>
        <w:t>9</w:t>
      </w:r>
      <w:r w:rsidR="00FB5664" w:rsidRPr="00FB5664">
        <w:rPr>
          <w:rFonts w:asciiTheme="majorHAnsi" w:hAnsiTheme="majorHAnsi" w:cstheme="minorHAnsi"/>
          <w:sz w:val="24"/>
          <w:szCs w:val="24"/>
        </w:rPr>
        <w:t>5</w:t>
      </w:r>
      <w:r w:rsidRPr="00FB5664">
        <w:rPr>
          <w:rFonts w:asciiTheme="majorHAnsi" w:hAnsiTheme="majorHAnsi" w:cstheme="minorHAnsi"/>
          <w:sz w:val="24"/>
          <w:szCs w:val="24"/>
        </w:rPr>
        <w:t xml:space="preserve"> Non-executives) for the ensuing year FY </w:t>
      </w:r>
      <w:r w:rsidR="007507C7" w:rsidRPr="00FB5664">
        <w:rPr>
          <w:rFonts w:asciiTheme="majorHAnsi" w:hAnsiTheme="majorHAnsi" w:cstheme="minorHAnsi"/>
          <w:sz w:val="24"/>
          <w:szCs w:val="24"/>
        </w:rPr>
        <w:t>26-27</w:t>
      </w:r>
      <w:r w:rsidRPr="00FB5664">
        <w:rPr>
          <w:rFonts w:asciiTheme="majorHAnsi" w:hAnsiTheme="majorHAnsi" w:cstheme="minorHAnsi"/>
          <w:sz w:val="24"/>
          <w:szCs w:val="24"/>
        </w:rPr>
        <w:t>. The C</w:t>
      </w:r>
      <w:r w:rsidRPr="004605C9">
        <w:rPr>
          <w:rFonts w:asciiTheme="majorHAnsi" w:hAnsiTheme="majorHAnsi" w:cstheme="minorHAnsi"/>
          <w:sz w:val="24"/>
          <w:szCs w:val="24"/>
        </w:rPr>
        <w:t>onsumer base</w:t>
      </w:r>
      <w:r w:rsidRPr="001022A0">
        <w:rPr>
          <w:rFonts w:asciiTheme="majorHAnsi" w:hAnsiTheme="majorHAnsi" w:cstheme="minorHAnsi"/>
          <w:sz w:val="24"/>
          <w:szCs w:val="24"/>
        </w:rPr>
        <w:t xml:space="preserve"> including TD &amp; PD as on 30</w:t>
      </w:r>
      <w:r w:rsidRPr="001022A0">
        <w:rPr>
          <w:rFonts w:asciiTheme="majorHAnsi" w:hAnsiTheme="majorHAnsi" w:cstheme="minorHAnsi"/>
          <w:sz w:val="24"/>
          <w:szCs w:val="24"/>
          <w:vertAlign w:val="superscript"/>
        </w:rPr>
        <w:t>th</w:t>
      </w:r>
      <w:r w:rsidRPr="001022A0">
        <w:rPr>
          <w:rFonts w:asciiTheme="majorHAnsi" w:hAnsiTheme="majorHAnsi" w:cstheme="minorHAnsi"/>
          <w:sz w:val="24"/>
          <w:szCs w:val="24"/>
        </w:rPr>
        <w:t xml:space="preserve"> September 202</w:t>
      </w:r>
      <w:r w:rsidR="00FB5664">
        <w:rPr>
          <w:rFonts w:asciiTheme="majorHAnsi" w:hAnsiTheme="majorHAnsi" w:cstheme="minorHAnsi"/>
          <w:sz w:val="24"/>
          <w:szCs w:val="24"/>
        </w:rPr>
        <w:t xml:space="preserve">5 </w:t>
      </w:r>
      <w:r w:rsidRPr="001022A0">
        <w:rPr>
          <w:rFonts w:asciiTheme="majorHAnsi" w:hAnsiTheme="majorHAnsi" w:cstheme="minorHAnsi"/>
          <w:sz w:val="24"/>
          <w:szCs w:val="24"/>
        </w:rPr>
        <w:t>is as follows:</w:t>
      </w:r>
    </w:p>
    <w:tbl>
      <w:tblPr>
        <w:tblStyle w:val="TableGrid"/>
        <w:tblW w:w="0" w:type="auto"/>
        <w:jc w:val="center"/>
        <w:tblLook w:val="04A0" w:firstRow="1" w:lastRow="0" w:firstColumn="1" w:lastColumn="0" w:noHBand="0" w:noVBand="1"/>
      </w:tblPr>
      <w:tblGrid>
        <w:gridCol w:w="846"/>
        <w:gridCol w:w="4819"/>
        <w:gridCol w:w="2268"/>
      </w:tblGrid>
      <w:tr w:rsidR="00516CBE" w:rsidRPr="002C5E90" w14:paraId="1D07A766" w14:textId="77777777" w:rsidTr="00D57861">
        <w:trPr>
          <w:jc w:val="center"/>
        </w:trPr>
        <w:tc>
          <w:tcPr>
            <w:tcW w:w="846" w:type="dxa"/>
            <w:shd w:val="clear" w:color="auto" w:fill="C6D9F1" w:themeFill="text2" w:themeFillTint="33"/>
            <w:vAlign w:val="center"/>
          </w:tcPr>
          <w:p w14:paraId="7E9ACA06" w14:textId="77777777" w:rsidR="00516CBE" w:rsidRPr="002C5E90" w:rsidRDefault="00516CBE" w:rsidP="00E5670D">
            <w:pPr>
              <w:pStyle w:val="BodyText2"/>
              <w:spacing w:before="0" w:after="0"/>
              <w:jc w:val="center"/>
              <w:rPr>
                <w:rFonts w:asciiTheme="majorHAnsi" w:hAnsiTheme="majorHAnsi" w:cstheme="minorHAnsi"/>
                <w:b/>
                <w:bCs/>
                <w:sz w:val="22"/>
                <w:szCs w:val="22"/>
              </w:rPr>
            </w:pPr>
            <w:bookmarkStart w:id="20" w:name="_Hlk151549515"/>
            <w:r w:rsidRPr="002C5E90">
              <w:rPr>
                <w:rFonts w:asciiTheme="majorHAnsi" w:hAnsiTheme="majorHAnsi" w:cstheme="minorHAnsi"/>
                <w:b/>
                <w:bCs/>
                <w:sz w:val="22"/>
                <w:szCs w:val="22"/>
              </w:rPr>
              <w:t>S. No.</w:t>
            </w:r>
          </w:p>
        </w:tc>
        <w:tc>
          <w:tcPr>
            <w:tcW w:w="4819" w:type="dxa"/>
            <w:shd w:val="clear" w:color="auto" w:fill="C6D9F1" w:themeFill="text2" w:themeFillTint="33"/>
            <w:vAlign w:val="center"/>
          </w:tcPr>
          <w:p w14:paraId="134532A8" w14:textId="77777777" w:rsidR="00516CBE" w:rsidRPr="002C5E90" w:rsidRDefault="00516CBE" w:rsidP="00E5670D">
            <w:pPr>
              <w:pStyle w:val="BodyText2"/>
              <w:spacing w:before="0" w:after="0"/>
              <w:rPr>
                <w:rFonts w:asciiTheme="majorHAnsi" w:hAnsiTheme="majorHAnsi" w:cstheme="minorHAnsi"/>
                <w:b/>
                <w:bCs/>
                <w:sz w:val="22"/>
                <w:szCs w:val="22"/>
              </w:rPr>
            </w:pPr>
            <w:r w:rsidRPr="002C5E90">
              <w:rPr>
                <w:rFonts w:asciiTheme="majorHAnsi" w:hAnsiTheme="majorHAnsi" w:cstheme="minorHAnsi"/>
                <w:b/>
                <w:bCs/>
                <w:sz w:val="22"/>
                <w:szCs w:val="22"/>
              </w:rPr>
              <w:t>Particulars</w:t>
            </w:r>
          </w:p>
        </w:tc>
        <w:tc>
          <w:tcPr>
            <w:tcW w:w="2268" w:type="dxa"/>
            <w:shd w:val="clear" w:color="auto" w:fill="C6D9F1" w:themeFill="text2" w:themeFillTint="33"/>
            <w:vAlign w:val="center"/>
          </w:tcPr>
          <w:p w14:paraId="60B50EDA" w14:textId="77777777" w:rsidR="00516CBE" w:rsidRPr="002C5E90" w:rsidRDefault="00516CBE" w:rsidP="00E5670D">
            <w:pPr>
              <w:pStyle w:val="BodyText2"/>
              <w:spacing w:before="0" w:after="0"/>
              <w:jc w:val="center"/>
              <w:rPr>
                <w:rFonts w:asciiTheme="majorHAnsi" w:hAnsiTheme="majorHAnsi" w:cstheme="minorHAnsi"/>
                <w:b/>
                <w:bCs/>
                <w:sz w:val="22"/>
                <w:szCs w:val="22"/>
              </w:rPr>
            </w:pPr>
            <w:r w:rsidRPr="002C5E90">
              <w:rPr>
                <w:rFonts w:asciiTheme="majorHAnsi" w:hAnsiTheme="majorHAnsi" w:cstheme="minorHAnsi"/>
                <w:b/>
                <w:bCs/>
                <w:sz w:val="22"/>
                <w:szCs w:val="22"/>
              </w:rPr>
              <w:t>Lakhs</w:t>
            </w:r>
          </w:p>
        </w:tc>
      </w:tr>
      <w:tr w:rsidR="00516CBE" w:rsidRPr="002C5E90" w14:paraId="66354FEE" w14:textId="77777777" w:rsidTr="00D57861">
        <w:trPr>
          <w:jc w:val="center"/>
        </w:trPr>
        <w:tc>
          <w:tcPr>
            <w:tcW w:w="846" w:type="dxa"/>
            <w:vAlign w:val="center"/>
          </w:tcPr>
          <w:p w14:paraId="49ADC49A" w14:textId="77777777" w:rsidR="00516CBE" w:rsidRPr="002C5E90" w:rsidRDefault="00516CBE" w:rsidP="00E5670D">
            <w:pPr>
              <w:pStyle w:val="BodyText2"/>
              <w:spacing w:before="0" w:after="0"/>
              <w:jc w:val="center"/>
              <w:rPr>
                <w:rFonts w:asciiTheme="majorHAnsi" w:hAnsiTheme="majorHAnsi" w:cstheme="minorHAnsi"/>
                <w:sz w:val="22"/>
                <w:szCs w:val="22"/>
              </w:rPr>
            </w:pPr>
            <w:r w:rsidRPr="002C5E90">
              <w:rPr>
                <w:rFonts w:asciiTheme="majorHAnsi" w:hAnsiTheme="majorHAnsi" w:cstheme="minorHAnsi"/>
                <w:sz w:val="22"/>
                <w:szCs w:val="22"/>
              </w:rPr>
              <w:t>1</w:t>
            </w:r>
          </w:p>
        </w:tc>
        <w:tc>
          <w:tcPr>
            <w:tcW w:w="4819" w:type="dxa"/>
            <w:vAlign w:val="center"/>
          </w:tcPr>
          <w:p w14:paraId="2A5C2BE7" w14:textId="45F680B4" w:rsidR="00516CBE" w:rsidRPr="002C5E90" w:rsidRDefault="00516CBE" w:rsidP="00E5670D">
            <w:pPr>
              <w:pStyle w:val="BodyText2"/>
              <w:spacing w:before="0" w:after="0"/>
              <w:rPr>
                <w:rFonts w:asciiTheme="majorHAnsi" w:hAnsiTheme="majorHAnsi" w:cstheme="minorHAnsi"/>
                <w:sz w:val="22"/>
                <w:szCs w:val="22"/>
              </w:rPr>
            </w:pPr>
            <w:r w:rsidRPr="002C5E90">
              <w:rPr>
                <w:rFonts w:asciiTheme="majorHAnsi" w:hAnsiTheme="majorHAnsi" w:cstheme="minorHAnsi"/>
                <w:sz w:val="22"/>
                <w:szCs w:val="22"/>
              </w:rPr>
              <w:t xml:space="preserve">Live </w:t>
            </w:r>
            <w:r w:rsidR="00746487">
              <w:rPr>
                <w:rFonts w:asciiTheme="majorHAnsi" w:hAnsiTheme="majorHAnsi" w:cstheme="minorHAnsi"/>
                <w:sz w:val="22"/>
                <w:szCs w:val="22"/>
              </w:rPr>
              <w:t xml:space="preserve">+ TD </w:t>
            </w:r>
            <w:r w:rsidRPr="002C5E90">
              <w:rPr>
                <w:rFonts w:asciiTheme="majorHAnsi" w:hAnsiTheme="majorHAnsi" w:cstheme="minorHAnsi"/>
                <w:sz w:val="22"/>
                <w:szCs w:val="22"/>
              </w:rPr>
              <w:t>Consumers as on 30</w:t>
            </w:r>
            <w:r w:rsidRPr="002C5E90">
              <w:rPr>
                <w:rFonts w:asciiTheme="majorHAnsi" w:hAnsiTheme="majorHAnsi" w:cstheme="minorHAnsi"/>
                <w:sz w:val="22"/>
                <w:szCs w:val="22"/>
                <w:vertAlign w:val="superscript"/>
              </w:rPr>
              <w:t>th</w:t>
            </w:r>
            <w:r w:rsidRPr="002C5E90">
              <w:rPr>
                <w:rFonts w:asciiTheme="majorHAnsi" w:hAnsiTheme="majorHAnsi" w:cstheme="minorHAnsi"/>
                <w:sz w:val="22"/>
                <w:szCs w:val="22"/>
              </w:rPr>
              <w:t xml:space="preserve"> Sep 2</w:t>
            </w:r>
            <w:r w:rsidR="00FB5664">
              <w:rPr>
                <w:rFonts w:asciiTheme="majorHAnsi" w:hAnsiTheme="majorHAnsi" w:cstheme="minorHAnsi"/>
                <w:sz w:val="22"/>
                <w:szCs w:val="22"/>
              </w:rPr>
              <w:t>5</w:t>
            </w:r>
          </w:p>
        </w:tc>
        <w:tc>
          <w:tcPr>
            <w:tcW w:w="2268" w:type="dxa"/>
            <w:vAlign w:val="center"/>
          </w:tcPr>
          <w:p w14:paraId="2D0CFC3C" w14:textId="0B26D451" w:rsidR="00516CBE" w:rsidRPr="002C5E90" w:rsidRDefault="00516CBE" w:rsidP="00E5670D">
            <w:pPr>
              <w:pStyle w:val="BodyText2"/>
              <w:spacing w:before="0" w:after="0"/>
              <w:jc w:val="center"/>
              <w:rPr>
                <w:rFonts w:asciiTheme="majorHAnsi" w:hAnsiTheme="majorHAnsi" w:cstheme="minorHAnsi"/>
                <w:sz w:val="22"/>
                <w:szCs w:val="22"/>
              </w:rPr>
            </w:pPr>
            <w:r>
              <w:rPr>
                <w:rFonts w:asciiTheme="majorHAnsi" w:hAnsiTheme="majorHAnsi" w:cstheme="minorHAnsi"/>
                <w:sz w:val="22"/>
                <w:szCs w:val="22"/>
              </w:rPr>
              <w:t>2</w:t>
            </w:r>
            <w:r w:rsidR="00FB5664">
              <w:rPr>
                <w:rFonts w:asciiTheme="majorHAnsi" w:hAnsiTheme="majorHAnsi" w:cstheme="minorHAnsi"/>
                <w:sz w:val="22"/>
                <w:szCs w:val="22"/>
              </w:rPr>
              <w:t>2.20</w:t>
            </w:r>
          </w:p>
        </w:tc>
      </w:tr>
      <w:tr w:rsidR="00516CBE" w:rsidRPr="002C5E90" w14:paraId="4BA3F9BA" w14:textId="77777777" w:rsidTr="00D57861">
        <w:trPr>
          <w:jc w:val="center"/>
        </w:trPr>
        <w:tc>
          <w:tcPr>
            <w:tcW w:w="846" w:type="dxa"/>
            <w:vAlign w:val="center"/>
          </w:tcPr>
          <w:p w14:paraId="264837E7" w14:textId="77777777" w:rsidR="00516CBE" w:rsidRPr="002C5E90" w:rsidRDefault="00516CBE" w:rsidP="00E5670D">
            <w:pPr>
              <w:pStyle w:val="BodyText2"/>
              <w:spacing w:before="0" w:after="0"/>
              <w:jc w:val="center"/>
              <w:rPr>
                <w:rFonts w:asciiTheme="majorHAnsi" w:hAnsiTheme="majorHAnsi" w:cstheme="minorHAnsi"/>
                <w:sz w:val="22"/>
                <w:szCs w:val="22"/>
              </w:rPr>
            </w:pPr>
            <w:r w:rsidRPr="002C5E90">
              <w:rPr>
                <w:rFonts w:asciiTheme="majorHAnsi" w:hAnsiTheme="majorHAnsi" w:cstheme="minorHAnsi"/>
                <w:sz w:val="22"/>
                <w:szCs w:val="22"/>
              </w:rPr>
              <w:t>2</w:t>
            </w:r>
          </w:p>
        </w:tc>
        <w:tc>
          <w:tcPr>
            <w:tcW w:w="4819" w:type="dxa"/>
            <w:vAlign w:val="center"/>
          </w:tcPr>
          <w:p w14:paraId="3B95559C" w14:textId="77777777" w:rsidR="00516CBE" w:rsidRPr="002C5E90" w:rsidRDefault="00516CBE" w:rsidP="00E5670D">
            <w:pPr>
              <w:pStyle w:val="BodyText2"/>
              <w:spacing w:before="0" w:after="0"/>
              <w:rPr>
                <w:rFonts w:asciiTheme="majorHAnsi" w:hAnsiTheme="majorHAnsi" w:cstheme="minorHAnsi"/>
                <w:sz w:val="22"/>
                <w:szCs w:val="22"/>
              </w:rPr>
            </w:pPr>
            <w:r w:rsidRPr="002C5E90">
              <w:rPr>
                <w:rFonts w:asciiTheme="majorHAnsi" w:hAnsiTheme="majorHAnsi" w:cstheme="minorHAnsi"/>
                <w:sz w:val="22"/>
                <w:szCs w:val="22"/>
              </w:rPr>
              <w:t>PD consumers</w:t>
            </w:r>
          </w:p>
        </w:tc>
        <w:tc>
          <w:tcPr>
            <w:tcW w:w="2268" w:type="dxa"/>
            <w:vAlign w:val="center"/>
          </w:tcPr>
          <w:p w14:paraId="6B022074" w14:textId="4235A88B" w:rsidR="00516CBE" w:rsidRPr="002C5E90" w:rsidRDefault="00FB5664" w:rsidP="00E5670D">
            <w:pPr>
              <w:pStyle w:val="BodyText2"/>
              <w:spacing w:before="0" w:after="0"/>
              <w:jc w:val="center"/>
              <w:rPr>
                <w:rFonts w:asciiTheme="majorHAnsi" w:hAnsiTheme="majorHAnsi" w:cstheme="minorHAnsi"/>
                <w:sz w:val="22"/>
                <w:szCs w:val="22"/>
              </w:rPr>
            </w:pPr>
            <w:r>
              <w:rPr>
                <w:rFonts w:asciiTheme="majorHAnsi" w:hAnsiTheme="majorHAnsi" w:cstheme="minorHAnsi"/>
                <w:sz w:val="22"/>
                <w:szCs w:val="22"/>
              </w:rPr>
              <w:t>6.93</w:t>
            </w:r>
          </w:p>
        </w:tc>
      </w:tr>
      <w:tr w:rsidR="00516CBE" w:rsidRPr="002C5E90" w14:paraId="1AF0A0DA" w14:textId="77777777" w:rsidTr="00D57861">
        <w:trPr>
          <w:jc w:val="center"/>
        </w:trPr>
        <w:tc>
          <w:tcPr>
            <w:tcW w:w="846" w:type="dxa"/>
            <w:vAlign w:val="center"/>
          </w:tcPr>
          <w:p w14:paraId="6CB02A83" w14:textId="77777777" w:rsidR="00516CBE" w:rsidRPr="002C5E90" w:rsidRDefault="00516CBE" w:rsidP="00E5670D">
            <w:pPr>
              <w:pStyle w:val="BodyText2"/>
              <w:spacing w:before="0" w:after="0"/>
              <w:jc w:val="center"/>
              <w:rPr>
                <w:rFonts w:asciiTheme="majorHAnsi" w:hAnsiTheme="majorHAnsi" w:cstheme="minorHAnsi"/>
                <w:b/>
                <w:bCs/>
                <w:sz w:val="22"/>
                <w:szCs w:val="22"/>
              </w:rPr>
            </w:pPr>
            <w:r>
              <w:rPr>
                <w:rFonts w:asciiTheme="majorHAnsi" w:hAnsiTheme="majorHAnsi" w:cstheme="minorHAnsi"/>
                <w:b/>
                <w:bCs/>
                <w:sz w:val="22"/>
                <w:szCs w:val="22"/>
              </w:rPr>
              <w:t>3</w:t>
            </w:r>
          </w:p>
        </w:tc>
        <w:tc>
          <w:tcPr>
            <w:tcW w:w="4819" w:type="dxa"/>
            <w:vAlign w:val="center"/>
          </w:tcPr>
          <w:p w14:paraId="3D5BCA8B" w14:textId="4A464E7F" w:rsidR="00516CBE" w:rsidRPr="002C5E90" w:rsidRDefault="00516CBE" w:rsidP="00E5670D">
            <w:pPr>
              <w:pStyle w:val="BodyText2"/>
              <w:spacing w:before="0" w:after="0"/>
              <w:rPr>
                <w:rFonts w:asciiTheme="majorHAnsi" w:hAnsiTheme="majorHAnsi" w:cstheme="minorHAnsi"/>
                <w:b/>
                <w:bCs/>
                <w:sz w:val="22"/>
                <w:szCs w:val="22"/>
              </w:rPr>
            </w:pPr>
            <w:r w:rsidRPr="002C5E90">
              <w:rPr>
                <w:rFonts w:asciiTheme="majorHAnsi" w:hAnsiTheme="majorHAnsi" w:cstheme="minorHAnsi"/>
                <w:b/>
                <w:bCs/>
                <w:sz w:val="22"/>
                <w:szCs w:val="22"/>
              </w:rPr>
              <w:t>Total consumer base as on 30</w:t>
            </w:r>
            <w:r w:rsidRPr="002C5E90">
              <w:rPr>
                <w:rFonts w:asciiTheme="majorHAnsi" w:hAnsiTheme="majorHAnsi" w:cstheme="minorHAnsi"/>
                <w:b/>
                <w:bCs/>
                <w:sz w:val="22"/>
                <w:szCs w:val="22"/>
                <w:vertAlign w:val="superscript"/>
              </w:rPr>
              <w:t>th</w:t>
            </w:r>
            <w:r w:rsidRPr="002C5E90">
              <w:rPr>
                <w:rFonts w:asciiTheme="majorHAnsi" w:hAnsiTheme="majorHAnsi" w:cstheme="minorHAnsi"/>
                <w:b/>
                <w:bCs/>
                <w:sz w:val="22"/>
                <w:szCs w:val="22"/>
              </w:rPr>
              <w:t xml:space="preserve"> Sep 2</w:t>
            </w:r>
            <w:r w:rsidR="00FB5664">
              <w:rPr>
                <w:rFonts w:asciiTheme="majorHAnsi" w:hAnsiTheme="majorHAnsi" w:cstheme="minorHAnsi"/>
                <w:b/>
                <w:bCs/>
                <w:sz w:val="22"/>
                <w:szCs w:val="22"/>
              </w:rPr>
              <w:t>5</w:t>
            </w:r>
          </w:p>
        </w:tc>
        <w:tc>
          <w:tcPr>
            <w:tcW w:w="2268" w:type="dxa"/>
            <w:vAlign w:val="center"/>
          </w:tcPr>
          <w:p w14:paraId="05760028" w14:textId="66EBF1F6" w:rsidR="00516CBE" w:rsidRPr="002C5E90" w:rsidRDefault="00FB5664" w:rsidP="00E5670D">
            <w:pPr>
              <w:pStyle w:val="BodyText2"/>
              <w:spacing w:before="0" w:after="0"/>
              <w:jc w:val="center"/>
              <w:rPr>
                <w:rFonts w:asciiTheme="majorHAnsi" w:hAnsiTheme="majorHAnsi" w:cstheme="minorHAnsi"/>
                <w:b/>
                <w:bCs/>
                <w:sz w:val="22"/>
                <w:szCs w:val="22"/>
              </w:rPr>
            </w:pPr>
            <w:r>
              <w:rPr>
                <w:rFonts w:asciiTheme="majorHAnsi" w:hAnsiTheme="majorHAnsi" w:cstheme="minorHAnsi"/>
                <w:b/>
                <w:bCs/>
                <w:sz w:val="22"/>
                <w:szCs w:val="22"/>
              </w:rPr>
              <w:t>29.13</w:t>
            </w:r>
          </w:p>
        </w:tc>
      </w:tr>
    </w:tbl>
    <w:bookmarkEnd w:id="20"/>
    <w:p w14:paraId="26446370" w14:textId="75F4A9E3" w:rsidR="00516CBE" w:rsidRDefault="00516CBE" w:rsidP="0097212A">
      <w:pPr>
        <w:pStyle w:val="BodyText2"/>
        <w:spacing w:beforeLines="100" w:before="240" w:afterLines="100" w:after="240" w:line="360" w:lineRule="auto"/>
        <w:jc w:val="both"/>
        <w:rPr>
          <w:rFonts w:asciiTheme="majorHAnsi" w:hAnsiTheme="majorHAnsi"/>
        </w:rPr>
      </w:pPr>
      <w:r>
        <w:rPr>
          <w:rFonts w:asciiTheme="majorHAnsi" w:hAnsiTheme="majorHAnsi" w:cstheme="minorHAnsi"/>
          <w:sz w:val="24"/>
          <w:szCs w:val="24"/>
          <w:lang w:val="en-GB"/>
        </w:rPr>
        <w:br/>
      </w:r>
      <w:r w:rsidRPr="00F32626">
        <w:rPr>
          <w:rFonts w:asciiTheme="majorHAnsi" w:hAnsiTheme="majorHAnsi" w:cstheme="minorHAnsi"/>
          <w:sz w:val="24"/>
          <w:szCs w:val="24"/>
          <w:lang w:val="en-GB"/>
        </w:rPr>
        <w:t xml:space="preserve">Considering the </w:t>
      </w:r>
      <w:r w:rsidRPr="00FB5664">
        <w:rPr>
          <w:rFonts w:asciiTheme="majorHAnsi" w:hAnsiTheme="majorHAnsi" w:cstheme="minorHAnsi"/>
          <w:sz w:val="24"/>
          <w:szCs w:val="24"/>
          <w:lang w:val="en-GB"/>
        </w:rPr>
        <w:t>total consumer base as on 30</w:t>
      </w:r>
      <w:r w:rsidRPr="00FB5664">
        <w:rPr>
          <w:rFonts w:asciiTheme="majorHAnsi" w:hAnsiTheme="majorHAnsi" w:cstheme="minorHAnsi"/>
          <w:sz w:val="24"/>
          <w:szCs w:val="24"/>
          <w:vertAlign w:val="superscript"/>
          <w:lang w:val="en-GB"/>
        </w:rPr>
        <w:t>th</w:t>
      </w:r>
      <w:r w:rsidRPr="00FB5664">
        <w:rPr>
          <w:rFonts w:asciiTheme="majorHAnsi" w:hAnsiTheme="majorHAnsi" w:cstheme="minorHAnsi"/>
          <w:sz w:val="24"/>
          <w:szCs w:val="24"/>
          <w:lang w:val="en-GB"/>
        </w:rPr>
        <w:t xml:space="preserve"> September 202</w:t>
      </w:r>
      <w:r w:rsidR="005970FE" w:rsidRPr="00FB5664">
        <w:rPr>
          <w:rFonts w:asciiTheme="majorHAnsi" w:hAnsiTheme="majorHAnsi" w:cstheme="minorHAnsi"/>
          <w:sz w:val="24"/>
          <w:szCs w:val="24"/>
          <w:lang w:val="en-GB"/>
        </w:rPr>
        <w:t>5</w:t>
      </w:r>
      <w:r w:rsidRPr="00FB5664">
        <w:rPr>
          <w:rFonts w:asciiTheme="majorHAnsi" w:hAnsiTheme="majorHAnsi" w:cstheme="minorHAnsi"/>
          <w:sz w:val="24"/>
          <w:szCs w:val="24"/>
          <w:lang w:val="en-GB"/>
        </w:rPr>
        <w:t xml:space="preserve"> (2</w:t>
      </w:r>
      <w:r w:rsidR="00FB5664" w:rsidRPr="00FB5664">
        <w:rPr>
          <w:rFonts w:asciiTheme="majorHAnsi" w:hAnsiTheme="majorHAnsi" w:cstheme="minorHAnsi"/>
          <w:sz w:val="24"/>
          <w:szCs w:val="24"/>
          <w:lang w:val="en-GB"/>
        </w:rPr>
        <w:t>9</w:t>
      </w:r>
      <w:r w:rsidRPr="00FB5664">
        <w:rPr>
          <w:rFonts w:asciiTheme="majorHAnsi" w:hAnsiTheme="majorHAnsi" w:cstheme="minorHAnsi"/>
          <w:sz w:val="24"/>
          <w:szCs w:val="24"/>
          <w:lang w:val="en-GB"/>
        </w:rPr>
        <w:t>.</w:t>
      </w:r>
      <w:r w:rsidR="00D9721E">
        <w:rPr>
          <w:rFonts w:asciiTheme="majorHAnsi" w:hAnsiTheme="majorHAnsi" w:cstheme="minorHAnsi"/>
          <w:sz w:val="24"/>
          <w:szCs w:val="24"/>
          <w:lang w:val="en-GB"/>
        </w:rPr>
        <w:t>13</w:t>
      </w:r>
      <w:r w:rsidRPr="00FB5664">
        <w:rPr>
          <w:rFonts w:asciiTheme="majorHAnsi" w:hAnsiTheme="majorHAnsi" w:cstheme="minorHAnsi"/>
          <w:sz w:val="24"/>
          <w:szCs w:val="24"/>
          <w:lang w:val="en-GB"/>
        </w:rPr>
        <w:t xml:space="preserve"> lakhs)</w:t>
      </w:r>
      <w:r w:rsidR="00746487" w:rsidRPr="00FB5664">
        <w:rPr>
          <w:rFonts w:asciiTheme="majorHAnsi" w:hAnsiTheme="majorHAnsi" w:cstheme="minorHAnsi"/>
          <w:sz w:val="24"/>
          <w:szCs w:val="24"/>
          <w:lang w:val="en-GB"/>
        </w:rPr>
        <w:t xml:space="preserve"> and the approved ratio of 1.4 per 1000 consumers</w:t>
      </w:r>
      <w:r w:rsidRPr="00FB5664">
        <w:rPr>
          <w:rFonts w:asciiTheme="majorHAnsi" w:hAnsiTheme="majorHAnsi" w:cstheme="minorHAnsi"/>
          <w:sz w:val="24"/>
          <w:szCs w:val="24"/>
          <w:lang w:val="en-GB"/>
        </w:rPr>
        <w:t>,</w:t>
      </w:r>
      <w:r w:rsidR="00746487" w:rsidRPr="00FB5664">
        <w:rPr>
          <w:rFonts w:asciiTheme="majorHAnsi" w:hAnsiTheme="majorHAnsi" w:cstheme="minorHAnsi"/>
          <w:sz w:val="24"/>
          <w:szCs w:val="24"/>
          <w:lang w:val="en-GB"/>
        </w:rPr>
        <w:t xml:space="preserve"> the total </w:t>
      </w:r>
      <w:r w:rsidRPr="00FB5664">
        <w:rPr>
          <w:rFonts w:asciiTheme="majorHAnsi" w:hAnsiTheme="majorHAnsi" w:cstheme="minorHAnsi"/>
          <w:sz w:val="24"/>
          <w:szCs w:val="24"/>
          <w:lang w:val="en-GB"/>
        </w:rPr>
        <w:t xml:space="preserve">no. of employee </w:t>
      </w:r>
      <w:r w:rsidR="00746487" w:rsidRPr="00FB5664">
        <w:rPr>
          <w:rFonts w:asciiTheme="majorHAnsi" w:hAnsiTheme="majorHAnsi" w:cstheme="minorHAnsi"/>
          <w:sz w:val="24"/>
          <w:szCs w:val="24"/>
          <w:lang w:val="en-GB"/>
        </w:rPr>
        <w:t>comes out to</w:t>
      </w:r>
      <w:r w:rsidRPr="00FB5664">
        <w:rPr>
          <w:rFonts w:asciiTheme="majorHAnsi" w:hAnsiTheme="majorHAnsi" w:cstheme="minorHAnsi"/>
          <w:sz w:val="24"/>
          <w:szCs w:val="24"/>
          <w:lang w:val="en-GB"/>
        </w:rPr>
        <w:t xml:space="preserve"> </w:t>
      </w:r>
      <w:r w:rsidR="00FB5664">
        <w:rPr>
          <w:rFonts w:asciiTheme="majorHAnsi" w:hAnsiTheme="majorHAnsi" w:cstheme="minorHAnsi"/>
          <w:sz w:val="24"/>
          <w:szCs w:val="24"/>
          <w:lang w:val="en-GB"/>
        </w:rPr>
        <w:t>4</w:t>
      </w:r>
      <w:r w:rsidR="00D9721E">
        <w:rPr>
          <w:rFonts w:asciiTheme="majorHAnsi" w:hAnsiTheme="majorHAnsi" w:cstheme="minorHAnsi"/>
          <w:sz w:val="24"/>
          <w:szCs w:val="24"/>
          <w:lang w:val="en-GB"/>
        </w:rPr>
        <w:t>078</w:t>
      </w:r>
      <w:r w:rsidRPr="00FB5664">
        <w:rPr>
          <w:rFonts w:asciiTheme="majorHAnsi" w:hAnsiTheme="majorHAnsi" w:cstheme="minorHAnsi"/>
          <w:sz w:val="24"/>
          <w:szCs w:val="24"/>
          <w:lang w:val="en-GB"/>
        </w:rPr>
        <w:t xml:space="preserve"> </w:t>
      </w:r>
      <w:r w:rsidR="00746487" w:rsidRPr="00FB5664">
        <w:rPr>
          <w:rFonts w:asciiTheme="majorHAnsi" w:hAnsiTheme="majorHAnsi" w:cstheme="minorHAnsi"/>
          <w:sz w:val="24"/>
          <w:szCs w:val="24"/>
          <w:lang w:val="en-GB"/>
        </w:rPr>
        <w:t>as on 31.03.202</w:t>
      </w:r>
      <w:r w:rsidR="00FB5664" w:rsidRPr="00FB5664">
        <w:rPr>
          <w:rFonts w:asciiTheme="majorHAnsi" w:hAnsiTheme="majorHAnsi" w:cstheme="minorHAnsi"/>
          <w:sz w:val="24"/>
          <w:szCs w:val="24"/>
          <w:lang w:val="en-GB"/>
        </w:rPr>
        <w:t>6</w:t>
      </w:r>
      <w:r w:rsidRPr="00FB5664">
        <w:rPr>
          <w:rFonts w:asciiTheme="majorHAnsi" w:hAnsiTheme="majorHAnsi" w:cstheme="minorHAnsi"/>
          <w:sz w:val="24"/>
          <w:szCs w:val="24"/>
          <w:lang w:val="en-GB"/>
        </w:rPr>
        <w:t xml:space="preserve">. It would be pertinent to mention here that TPWODL has projected </w:t>
      </w:r>
      <w:r w:rsidR="00E311BA">
        <w:rPr>
          <w:rFonts w:asciiTheme="majorHAnsi" w:hAnsiTheme="majorHAnsi" w:cstheme="minorHAnsi"/>
          <w:sz w:val="24"/>
          <w:szCs w:val="24"/>
          <w:lang w:val="en-GB"/>
        </w:rPr>
        <w:t>3</w:t>
      </w:r>
      <w:r w:rsidR="001E3E92">
        <w:rPr>
          <w:rFonts w:asciiTheme="majorHAnsi" w:hAnsiTheme="majorHAnsi" w:cstheme="minorHAnsi"/>
          <w:sz w:val="24"/>
          <w:szCs w:val="24"/>
          <w:lang w:val="en-GB"/>
        </w:rPr>
        <w:t>48</w:t>
      </w:r>
      <w:r w:rsidR="00E311BA">
        <w:rPr>
          <w:rFonts w:asciiTheme="majorHAnsi" w:hAnsiTheme="majorHAnsi" w:cstheme="minorHAnsi"/>
          <w:sz w:val="24"/>
          <w:szCs w:val="24"/>
          <w:lang w:val="en-GB"/>
        </w:rPr>
        <w:t>3</w:t>
      </w:r>
      <w:r w:rsidRPr="00FB5664">
        <w:rPr>
          <w:rFonts w:asciiTheme="majorHAnsi" w:hAnsiTheme="majorHAnsi" w:cstheme="minorHAnsi"/>
          <w:sz w:val="24"/>
          <w:szCs w:val="24"/>
          <w:lang w:val="en-GB"/>
        </w:rPr>
        <w:t xml:space="preserve"> employees which is around 1.</w:t>
      </w:r>
      <w:r w:rsidR="001E3E92">
        <w:rPr>
          <w:rFonts w:asciiTheme="majorHAnsi" w:hAnsiTheme="majorHAnsi" w:cstheme="minorHAnsi"/>
          <w:sz w:val="24"/>
          <w:szCs w:val="24"/>
          <w:lang w:val="en-GB"/>
        </w:rPr>
        <w:t>20</w:t>
      </w:r>
      <w:r w:rsidRPr="00FB5664">
        <w:rPr>
          <w:rFonts w:asciiTheme="majorHAnsi" w:hAnsiTheme="majorHAnsi" w:cstheme="minorHAnsi"/>
          <w:sz w:val="24"/>
          <w:szCs w:val="24"/>
          <w:lang w:val="en-GB"/>
        </w:rPr>
        <w:t xml:space="preserve"> per 1000 consumers, which may kindly be</w:t>
      </w:r>
      <w:r w:rsidR="007D1404" w:rsidRPr="00FB5664">
        <w:rPr>
          <w:rFonts w:asciiTheme="majorHAnsi" w:hAnsiTheme="majorHAnsi" w:cstheme="minorHAnsi"/>
          <w:sz w:val="24"/>
          <w:szCs w:val="24"/>
          <w:lang w:val="en-GB"/>
        </w:rPr>
        <w:t xml:space="preserve"> taken into record</w:t>
      </w:r>
      <w:r w:rsidRPr="00FB5664">
        <w:rPr>
          <w:rFonts w:asciiTheme="majorHAnsi" w:hAnsiTheme="majorHAnsi" w:cstheme="minorHAnsi"/>
          <w:sz w:val="24"/>
          <w:szCs w:val="24"/>
          <w:lang w:val="en-GB"/>
        </w:rPr>
        <w:t>. The no. of PD consumers has been added with the live as the Licensee has to reach such consumer</w:t>
      </w:r>
      <w:r w:rsidRPr="001022A0">
        <w:rPr>
          <w:rFonts w:asciiTheme="majorHAnsi" w:hAnsiTheme="majorHAnsi" w:cstheme="minorHAnsi"/>
          <w:sz w:val="24"/>
          <w:szCs w:val="24"/>
          <w:lang w:val="en-GB"/>
        </w:rPr>
        <w:t xml:space="preserve"> round the year for arrear recovery, reconnection, regularisation to bring them into billing fold, continuous watch/ enforcement to ensure non-use of energy through illegal means etc.</w:t>
      </w:r>
    </w:p>
    <w:p w14:paraId="59CE8E8B" w14:textId="75EA1811" w:rsidR="00D46BF5" w:rsidRDefault="00D46BF5" w:rsidP="0097212A">
      <w:pPr>
        <w:spacing w:beforeLines="100" w:before="240" w:afterLines="100" w:after="240" w:line="360" w:lineRule="auto"/>
        <w:jc w:val="both"/>
        <w:rPr>
          <w:rFonts w:asciiTheme="majorHAnsi" w:hAnsiTheme="majorHAnsi"/>
        </w:rPr>
      </w:pPr>
      <w:r>
        <w:rPr>
          <w:rFonts w:asciiTheme="majorHAnsi" w:hAnsiTheme="majorHAnsi"/>
        </w:rPr>
        <w:t>The item-wise bifurcation of the employee expenses as projected by the Licensee for ensuing year is tabulated as under:</w:t>
      </w:r>
    </w:p>
    <w:tbl>
      <w:tblPr>
        <w:tblW w:w="96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59"/>
        <w:gridCol w:w="1134"/>
        <w:gridCol w:w="1134"/>
        <w:gridCol w:w="2552"/>
      </w:tblGrid>
      <w:tr w:rsidR="002563C9" w:rsidRPr="00D46BF5" w14:paraId="10458622" w14:textId="29F4C5AC" w:rsidTr="0097212A">
        <w:trPr>
          <w:trHeight w:val="810"/>
          <w:tblHeader/>
        </w:trPr>
        <w:tc>
          <w:tcPr>
            <w:tcW w:w="562" w:type="dxa"/>
            <w:shd w:val="clear" w:color="auto" w:fill="C6D9F1" w:themeFill="text2" w:themeFillTint="33"/>
            <w:vAlign w:val="center"/>
            <w:hideMark/>
          </w:tcPr>
          <w:p w14:paraId="7C217D91" w14:textId="56166866" w:rsidR="002563C9" w:rsidRPr="002563C9" w:rsidRDefault="002563C9">
            <w:pPr>
              <w:rPr>
                <w:rFonts w:asciiTheme="majorHAnsi" w:hAnsiTheme="majorHAnsi" w:cs="Arial"/>
                <w:b/>
                <w:bCs/>
                <w:sz w:val="22"/>
                <w:szCs w:val="22"/>
              </w:rPr>
            </w:pPr>
            <w:r w:rsidRPr="002563C9">
              <w:rPr>
                <w:rFonts w:asciiTheme="majorHAnsi" w:hAnsiTheme="majorHAnsi" w:cs="Arial"/>
                <w:b/>
                <w:bCs/>
                <w:sz w:val="22"/>
                <w:szCs w:val="22"/>
              </w:rPr>
              <w:t>S. No.</w:t>
            </w:r>
          </w:p>
        </w:tc>
        <w:tc>
          <w:tcPr>
            <w:tcW w:w="4259" w:type="dxa"/>
            <w:shd w:val="clear" w:color="auto" w:fill="C6D9F1" w:themeFill="text2" w:themeFillTint="33"/>
            <w:vAlign w:val="center"/>
            <w:hideMark/>
          </w:tcPr>
          <w:p w14:paraId="2BDB11E6" w14:textId="53B7CABF" w:rsidR="002563C9" w:rsidRPr="002563C9" w:rsidRDefault="002563C9">
            <w:pPr>
              <w:rPr>
                <w:rFonts w:asciiTheme="majorHAnsi" w:hAnsiTheme="majorHAnsi" w:cs="Arial"/>
                <w:b/>
                <w:bCs/>
                <w:sz w:val="22"/>
                <w:szCs w:val="22"/>
              </w:rPr>
            </w:pPr>
            <w:r w:rsidRPr="002563C9">
              <w:rPr>
                <w:rFonts w:asciiTheme="majorHAnsi" w:hAnsiTheme="majorHAnsi" w:cs="Arial"/>
                <w:b/>
                <w:bCs/>
                <w:sz w:val="22"/>
                <w:szCs w:val="22"/>
              </w:rPr>
              <w:t>Particulars</w:t>
            </w:r>
          </w:p>
        </w:tc>
        <w:tc>
          <w:tcPr>
            <w:tcW w:w="1134" w:type="dxa"/>
            <w:shd w:val="clear" w:color="auto" w:fill="C6D9F1" w:themeFill="text2" w:themeFillTint="33"/>
            <w:vAlign w:val="center"/>
            <w:hideMark/>
          </w:tcPr>
          <w:p w14:paraId="70AD8507" w14:textId="36567E44" w:rsidR="002563C9" w:rsidRDefault="002563C9">
            <w:pPr>
              <w:jc w:val="center"/>
              <w:rPr>
                <w:rFonts w:asciiTheme="majorHAnsi" w:hAnsiTheme="majorHAnsi" w:cs="Arial"/>
                <w:b/>
                <w:bCs/>
                <w:sz w:val="22"/>
                <w:szCs w:val="22"/>
              </w:rPr>
            </w:pPr>
            <w:r w:rsidRPr="002563C9">
              <w:rPr>
                <w:rFonts w:asciiTheme="majorHAnsi" w:hAnsiTheme="majorHAnsi" w:cs="Arial"/>
                <w:b/>
                <w:bCs/>
                <w:sz w:val="22"/>
                <w:szCs w:val="22"/>
              </w:rPr>
              <w:t>FY 2</w:t>
            </w:r>
            <w:r w:rsidR="0027699D">
              <w:rPr>
                <w:rFonts w:asciiTheme="majorHAnsi" w:hAnsiTheme="majorHAnsi" w:cs="Arial"/>
                <w:b/>
                <w:bCs/>
                <w:sz w:val="22"/>
                <w:szCs w:val="22"/>
              </w:rPr>
              <w:t>5</w:t>
            </w:r>
            <w:r w:rsidRPr="002563C9">
              <w:rPr>
                <w:rFonts w:asciiTheme="majorHAnsi" w:hAnsiTheme="majorHAnsi" w:cs="Arial"/>
                <w:b/>
                <w:bCs/>
                <w:sz w:val="22"/>
                <w:szCs w:val="22"/>
              </w:rPr>
              <w:t>-2</w:t>
            </w:r>
            <w:r w:rsidR="0027699D">
              <w:rPr>
                <w:rFonts w:asciiTheme="majorHAnsi" w:hAnsiTheme="majorHAnsi" w:cs="Arial"/>
                <w:b/>
                <w:bCs/>
                <w:sz w:val="22"/>
                <w:szCs w:val="22"/>
              </w:rPr>
              <w:t>6</w:t>
            </w:r>
          </w:p>
          <w:p w14:paraId="5AAAF038" w14:textId="4591CC7A" w:rsidR="00464027" w:rsidRPr="002563C9" w:rsidRDefault="00464027">
            <w:pPr>
              <w:jc w:val="center"/>
              <w:rPr>
                <w:rFonts w:asciiTheme="majorHAnsi" w:hAnsiTheme="majorHAnsi" w:cs="Arial"/>
                <w:b/>
                <w:bCs/>
                <w:sz w:val="22"/>
                <w:szCs w:val="22"/>
              </w:rPr>
            </w:pPr>
            <w:r>
              <w:rPr>
                <w:rFonts w:asciiTheme="majorHAnsi" w:hAnsiTheme="majorHAnsi" w:cs="Arial"/>
                <w:b/>
                <w:bCs/>
                <w:sz w:val="22"/>
                <w:szCs w:val="22"/>
              </w:rPr>
              <w:t>(Rs. Cr.)</w:t>
            </w:r>
          </w:p>
        </w:tc>
        <w:tc>
          <w:tcPr>
            <w:tcW w:w="1134" w:type="dxa"/>
            <w:shd w:val="clear" w:color="auto" w:fill="C6D9F1" w:themeFill="text2" w:themeFillTint="33"/>
            <w:vAlign w:val="center"/>
            <w:hideMark/>
          </w:tcPr>
          <w:p w14:paraId="0BB17A80" w14:textId="3D5278D0" w:rsidR="002563C9" w:rsidRDefault="002563C9">
            <w:pPr>
              <w:jc w:val="center"/>
              <w:rPr>
                <w:rFonts w:asciiTheme="majorHAnsi" w:hAnsiTheme="majorHAnsi" w:cs="Arial"/>
                <w:b/>
                <w:bCs/>
                <w:sz w:val="22"/>
                <w:szCs w:val="22"/>
              </w:rPr>
            </w:pPr>
            <w:r w:rsidRPr="002563C9">
              <w:rPr>
                <w:rFonts w:asciiTheme="majorHAnsi" w:hAnsiTheme="majorHAnsi" w:cs="Arial"/>
                <w:b/>
                <w:bCs/>
                <w:sz w:val="22"/>
                <w:szCs w:val="22"/>
              </w:rPr>
              <w:t xml:space="preserve">FY </w:t>
            </w:r>
            <w:r w:rsidR="007507C7">
              <w:rPr>
                <w:rFonts w:asciiTheme="majorHAnsi" w:hAnsiTheme="majorHAnsi" w:cs="Arial"/>
                <w:b/>
                <w:bCs/>
                <w:sz w:val="22"/>
                <w:szCs w:val="22"/>
              </w:rPr>
              <w:t>26-27</w:t>
            </w:r>
          </w:p>
          <w:p w14:paraId="6ACE8808" w14:textId="6685F18C" w:rsidR="00464027" w:rsidRPr="002563C9" w:rsidRDefault="00464027">
            <w:pPr>
              <w:jc w:val="center"/>
              <w:rPr>
                <w:rFonts w:asciiTheme="majorHAnsi" w:hAnsiTheme="majorHAnsi" w:cs="Arial"/>
                <w:b/>
                <w:bCs/>
                <w:sz w:val="22"/>
                <w:szCs w:val="22"/>
              </w:rPr>
            </w:pPr>
            <w:r>
              <w:rPr>
                <w:rFonts w:asciiTheme="majorHAnsi" w:hAnsiTheme="majorHAnsi" w:cs="Arial"/>
                <w:b/>
                <w:bCs/>
                <w:sz w:val="22"/>
                <w:szCs w:val="22"/>
              </w:rPr>
              <w:t>(Rs. Cr.)</w:t>
            </w:r>
          </w:p>
        </w:tc>
        <w:tc>
          <w:tcPr>
            <w:tcW w:w="2552" w:type="dxa"/>
            <w:shd w:val="clear" w:color="auto" w:fill="C6D9F1" w:themeFill="text2" w:themeFillTint="33"/>
            <w:vAlign w:val="center"/>
          </w:tcPr>
          <w:p w14:paraId="2E503106" w14:textId="492A5305" w:rsidR="002563C9" w:rsidRPr="002563C9" w:rsidRDefault="002563C9" w:rsidP="002563C9">
            <w:pPr>
              <w:rPr>
                <w:rFonts w:asciiTheme="majorHAnsi" w:hAnsiTheme="majorHAnsi" w:cs="Arial"/>
                <w:b/>
                <w:bCs/>
                <w:sz w:val="22"/>
                <w:szCs w:val="22"/>
              </w:rPr>
            </w:pPr>
            <w:r>
              <w:rPr>
                <w:rFonts w:asciiTheme="majorHAnsi" w:hAnsiTheme="majorHAnsi" w:cs="Arial"/>
                <w:b/>
                <w:bCs/>
                <w:sz w:val="22"/>
                <w:szCs w:val="22"/>
              </w:rPr>
              <w:t>Remarks</w:t>
            </w:r>
          </w:p>
        </w:tc>
      </w:tr>
      <w:tr w:rsidR="002563C9" w:rsidRPr="00D46BF5" w14:paraId="711B4A80" w14:textId="2DFE2286" w:rsidTr="0027699D">
        <w:trPr>
          <w:trHeight w:val="260"/>
        </w:trPr>
        <w:tc>
          <w:tcPr>
            <w:tcW w:w="562" w:type="dxa"/>
            <w:vAlign w:val="center"/>
            <w:hideMark/>
          </w:tcPr>
          <w:p w14:paraId="6BE9C5CF"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1</w:t>
            </w:r>
          </w:p>
        </w:tc>
        <w:tc>
          <w:tcPr>
            <w:tcW w:w="4259" w:type="dxa"/>
            <w:vAlign w:val="bottom"/>
            <w:hideMark/>
          </w:tcPr>
          <w:p w14:paraId="0256907C" w14:textId="77777777" w:rsidR="002563C9" w:rsidRPr="00D46BF5" w:rsidRDefault="002563C9">
            <w:pPr>
              <w:rPr>
                <w:rFonts w:asciiTheme="majorHAnsi" w:hAnsiTheme="majorHAnsi" w:cs="Arial"/>
                <w:sz w:val="22"/>
                <w:szCs w:val="22"/>
              </w:rPr>
            </w:pPr>
            <w:r w:rsidRPr="00D46BF5">
              <w:rPr>
                <w:rFonts w:asciiTheme="majorHAnsi" w:hAnsiTheme="majorHAnsi" w:cs="Arial"/>
                <w:sz w:val="22"/>
                <w:szCs w:val="22"/>
              </w:rPr>
              <w:t>Basic Pay</w:t>
            </w:r>
          </w:p>
        </w:tc>
        <w:tc>
          <w:tcPr>
            <w:tcW w:w="1134" w:type="dxa"/>
            <w:vMerge w:val="restart"/>
            <w:noWrap/>
            <w:vAlign w:val="center"/>
          </w:tcPr>
          <w:p w14:paraId="4DB6FA99" w14:textId="29F3620C" w:rsidR="002563C9" w:rsidRPr="00DB7066" w:rsidRDefault="0027699D">
            <w:pPr>
              <w:jc w:val="right"/>
              <w:rPr>
                <w:rFonts w:asciiTheme="majorHAnsi" w:hAnsiTheme="majorHAnsi" w:cs="Arial"/>
                <w:sz w:val="22"/>
                <w:szCs w:val="22"/>
              </w:rPr>
            </w:pPr>
            <w:r w:rsidRPr="00DB7066">
              <w:rPr>
                <w:rFonts w:asciiTheme="majorHAnsi" w:hAnsiTheme="majorHAnsi" w:cs="Arial"/>
                <w:sz w:val="22"/>
                <w:szCs w:val="22"/>
              </w:rPr>
              <w:t>16</w:t>
            </w:r>
            <w:r w:rsidR="001E3E92">
              <w:rPr>
                <w:rFonts w:asciiTheme="majorHAnsi" w:hAnsiTheme="majorHAnsi" w:cs="Arial"/>
                <w:sz w:val="22"/>
                <w:szCs w:val="22"/>
              </w:rPr>
              <w:t>8.42</w:t>
            </w:r>
          </w:p>
        </w:tc>
        <w:tc>
          <w:tcPr>
            <w:tcW w:w="1134" w:type="dxa"/>
            <w:vMerge w:val="restart"/>
            <w:noWrap/>
            <w:vAlign w:val="center"/>
          </w:tcPr>
          <w:p w14:paraId="7FB88BEE" w14:textId="586854B0" w:rsidR="002563C9" w:rsidRPr="00DB7066" w:rsidRDefault="005E48E7">
            <w:pPr>
              <w:jc w:val="right"/>
              <w:rPr>
                <w:rFonts w:asciiTheme="majorHAnsi" w:hAnsiTheme="majorHAnsi" w:cs="Arial"/>
                <w:sz w:val="22"/>
                <w:szCs w:val="22"/>
              </w:rPr>
            </w:pPr>
            <w:r w:rsidRPr="00DB7066">
              <w:rPr>
                <w:rFonts w:asciiTheme="majorHAnsi" w:hAnsiTheme="majorHAnsi" w:cs="Arial"/>
                <w:sz w:val="22"/>
                <w:szCs w:val="22"/>
              </w:rPr>
              <w:t>17</w:t>
            </w:r>
            <w:r w:rsidR="001E3E92">
              <w:rPr>
                <w:rFonts w:asciiTheme="majorHAnsi" w:hAnsiTheme="majorHAnsi" w:cs="Arial"/>
                <w:sz w:val="22"/>
                <w:szCs w:val="22"/>
              </w:rPr>
              <w:t>9.49</w:t>
            </w:r>
          </w:p>
        </w:tc>
        <w:tc>
          <w:tcPr>
            <w:tcW w:w="2552" w:type="dxa"/>
            <w:vMerge w:val="restart"/>
            <w:vAlign w:val="center"/>
          </w:tcPr>
          <w:p w14:paraId="097F3A70" w14:textId="06DF5563" w:rsidR="002563C9" w:rsidRPr="00DB7066" w:rsidRDefault="00AC6F62" w:rsidP="002563C9">
            <w:pPr>
              <w:rPr>
                <w:rFonts w:asciiTheme="majorHAnsi" w:hAnsiTheme="majorHAnsi" w:cs="Arial"/>
                <w:sz w:val="22"/>
                <w:szCs w:val="22"/>
              </w:rPr>
            </w:pPr>
            <w:r>
              <w:rPr>
                <w:rFonts w:asciiTheme="majorHAnsi" w:hAnsiTheme="majorHAnsi" w:cs="Arial"/>
                <w:sz w:val="22"/>
                <w:szCs w:val="22"/>
              </w:rPr>
              <w:t>3% escalation</w:t>
            </w:r>
          </w:p>
        </w:tc>
      </w:tr>
      <w:tr w:rsidR="002563C9" w:rsidRPr="00D46BF5" w14:paraId="5F30C322" w14:textId="0BE5A828" w:rsidTr="0027699D">
        <w:trPr>
          <w:trHeight w:val="260"/>
        </w:trPr>
        <w:tc>
          <w:tcPr>
            <w:tcW w:w="562" w:type="dxa"/>
            <w:vAlign w:val="center"/>
            <w:hideMark/>
          </w:tcPr>
          <w:p w14:paraId="3F05F5F4"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2</w:t>
            </w:r>
          </w:p>
        </w:tc>
        <w:tc>
          <w:tcPr>
            <w:tcW w:w="4259" w:type="dxa"/>
            <w:vAlign w:val="bottom"/>
            <w:hideMark/>
          </w:tcPr>
          <w:p w14:paraId="62B96961" w14:textId="77777777" w:rsidR="002563C9" w:rsidRPr="00D46BF5" w:rsidRDefault="002563C9">
            <w:pPr>
              <w:rPr>
                <w:rFonts w:asciiTheme="majorHAnsi" w:hAnsiTheme="majorHAnsi" w:cs="Arial"/>
                <w:sz w:val="22"/>
                <w:szCs w:val="22"/>
              </w:rPr>
            </w:pPr>
            <w:r w:rsidRPr="00D46BF5">
              <w:rPr>
                <w:rFonts w:asciiTheme="majorHAnsi" w:hAnsiTheme="majorHAnsi" w:cs="Arial"/>
                <w:sz w:val="22"/>
                <w:szCs w:val="22"/>
              </w:rPr>
              <w:t>Grade Pay</w:t>
            </w:r>
          </w:p>
        </w:tc>
        <w:tc>
          <w:tcPr>
            <w:tcW w:w="1134" w:type="dxa"/>
            <w:vMerge/>
            <w:vAlign w:val="center"/>
          </w:tcPr>
          <w:p w14:paraId="1DCCA767" w14:textId="77777777" w:rsidR="002563C9" w:rsidRPr="00DB7066" w:rsidRDefault="002563C9">
            <w:pPr>
              <w:rPr>
                <w:rFonts w:asciiTheme="majorHAnsi" w:hAnsiTheme="majorHAnsi" w:cs="Arial"/>
                <w:sz w:val="22"/>
                <w:szCs w:val="22"/>
              </w:rPr>
            </w:pPr>
          </w:p>
        </w:tc>
        <w:tc>
          <w:tcPr>
            <w:tcW w:w="1134" w:type="dxa"/>
            <w:vMerge/>
            <w:vAlign w:val="center"/>
          </w:tcPr>
          <w:p w14:paraId="4F3EDCA7" w14:textId="77777777" w:rsidR="002563C9" w:rsidRPr="00DB7066" w:rsidRDefault="002563C9">
            <w:pPr>
              <w:rPr>
                <w:rFonts w:asciiTheme="majorHAnsi" w:hAnsiTheme="majorHAnsi" w:cs="Arial"/>
                <w:sz w:val="22"/>
                <w:szCs w:val="22"/>
              </w:rPr>
            </w:pPr>
          </w:p>
        </w:tc>
        <w:tc>
          <w:tcPr>
            <w:tcW w:w="2552" w:type="dxa"/>
            <w:vMerge/>
            <w:vAlign w:val="center"/>
          </w:tcPr>
          <w:p w14:paraId="0470BCDC" w14:textId="77777777" w:rsidR="002563C9" w:rsidRPr="00DB7066" w:rsidRDefault="002563C9" w:rsidP="002563C9">
            <w:pPr>
              <w:rPr>
                <w:rFonts w:asciiTheme="majorHAnsi" w:hAnsiTheme="majorHAnsi" w:cs="Arial"/>
                <w:sz w:val="22"/>
                <w:szCs w:val="22"/>
              </w:rPr>
            </w:pPr>
          </w:p>
        </w:tc>
      </w:tr>
      <w:tr w:rsidR="002563C9" w:rsidRPr="00D46BF5" w14:paraId="18519AFA" w14:textId="62AC556B" w:rsidTr="0027699D">
        <w:trPr>
          <w:trHeight w:val="260"/>
        </w:trPr>
        <w:tc>
          <w:tcPr>
            <w:tcW w:w="562" w:type="dxa"/>
            <w:vAlign w:val="center"/>
            <w:hideMark/>
          </w:tcPr>
          <w:p w14:paraId="6CBAE104"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3</w:t>
            </w:r>
          </w:p>
        </w:tc>
        <w:tc>
          <w:tcPr>
            <w:tcW w:w="4259" w:type="dxa"/>
            <w:vAlign w:val="bottom"/>
            <w:hideMark/>
          </w:tcPr>
          <w:p w14:paraId="58574559" w14:textId="77777777" w:rsidR="002563C9" w:rsidRPr="00D46BF5" w:rsidRDefault="002563C9">
            <w:pPr>
              <w:rPr>
                <w:rFonts w:asciiTheme="majorHAnsi" w:hAnsiTheme="majorHAnsi" w:cs="Arial"/>
                <w:sz w:val="22"/>
                <w:szCs w:val="22"/>
              </w:rPr>
            </w:pPr>
            <w:r w:rsidRPr="00D46BF5">
              <w:rPr>
                <w:rFonts w:asciiTheme="majorHAnsi" w:hAnsiTheme="majorHAnsi" w:cs="Arial"/>
                <w:sz w:val="22"/>
                <w:szCs w:val="22"/>
              </w:rPr>
              <w:t>Dearness Allowance</w:t>
            </w:r>
          </w:p>
        </w:tc>
        <w:tc>
          <w:tcPr>
            <w:tcW w:w="1134" w:type="dxa"/>
            <w:noWrap/>
            <w:vAlign w:val="center"/>
          </w:tcPr>
          <w:p w14:paraId="1E30CE0B" w14:textId="1ADAFC90" w:rsidR="002563C9" w:rsidRPr="00DB7066" w:rsidRDefault="0027699D">
            <w:pPr>
              <w:jc w:val="right"/>
              <w:rPr>
                <w:rFonts w:asciiTheme="majorHAnsi" w:hAnsiTheme="majorHAnsi" w:cs="Arial"/>
                <w:sz w:val="22"/>
                <w:szCs w:val="22"/>
              </w:rPr>
            </w:pPr>
            <w:r w:rsidRPr="00DB7066">
              <w:rPr>
                <w:rFonts w:asciiTheme="majorHAnsi" w:hAnsiTheme="majorHAnsi" w:cs="Arial"/>
                <w:sz w:val="22"/>
                <w:szCs w:val="22"/>
              </w:rPr>
              <w:t>63.</w:t>
            </w:r>
            <w:r w:rsidR="001E3E92">
              <w:rPr>
                <w:rFonts w:asciiTheme="majorHAnsi" w:hAnsiTheme="majorHAnsi" w:cs="Arial"/>
                <w:sz w:val="22"/>
                <w:szCs w:val="22"/>
              </w:rPr>
              <w:t>17</w:t>
            </w:r>
          </w:p>
        </w:tc>
        <w:tc>
          <w:tcPr>
            <w:tcW w:w="1134" w:type="dxa"/>
            <w:noWrap/>
            <w:vAlign w:val="center"/>
          </w:tcPr>
          <w:p w14:paraId="515D4F9E" w14:textId="53431436" w:rsidR="002563C9" w:rsidRPr="00DB7066" w:rsidRDefault="005E48E7">
            <w:pPr>
              <w:jc w:val="right"/>
              <w:rPr>
                <w:rFonts w:asciiTheme="majorHAnsi" w:hAnsiTheme="majorHAnsi" w:cs="Arial"/>
                <w:sz w:val="22"/>
                <w:szCs w:val="22"/>
              </w:rPr>
            </w:pPr>
            <w:r w:rsidRPr="00DB7066">
              <w:rPr>
                <w:rFonts w:asciiTheme="majorHAnsi" w:hAnsiTheme="majorHAnsi" w:cs="Arial"/>
                <w:sz w:val="22"/>
                <w:szCs w:val="22"/>
              </w:rPr>
              <w:t>68.</w:t>
            </w:r>
            <w:r w:rsidR="001E3E92">
              <w:rPr>
                <w:rFonts w:asciiTheme="majorHAnsi" w:hAnsiTheme="majorHAnsi" w:cs="Arial"/>
                <w:sz w:val="22"/>
                <w:szCs w:val="22"/>
              </w:rPr>
              <w:t>60</w:t>
            </w:r>
          </w:p>
        </w:tc>
        <w:tc>
          <w:tcPr>
            <w:tcW w:w="2552" w:type="dxa"/>
            <w:vAlign w:val="center"/>
          </w:tcPr>
          <w:p w14:paraId="0855D03A" w14:textId="77777777" w:rsidR="002563C9" w:rsidRPr="00DB7066" w:rsidRDefault="002563C9" w:rsidP="002563C9">
            <w:pPr>
              <w:rPr>
                <w:rFonts w:asciiTheme="majorHAnsi" w:hAnsiTheme="majorHAnsi" w:cs="Arial"/>
                <w:sz w:val="22"/>
                <w:szCs w:val="22"/>
              </w:rPr>
            </w:pPr>
          </w:p>
        </w:tc>
      </w:tr>
      <w:tr w:rsidR="002563C9" w:rsidRPr="00D46BF5" w14:paraId="16686682" w14:textId="7E8A9003" w:rsidTr="0027699D">
        <w:trPr>
          <w:trHeight w:val="260"/>
        </w:trPr>
        <w:tc>
          <w:tcPr>
            <w:tcW w:w="562" w:type="dxa"/>
            <w:vAlign w:val="center"/>
            <w:hideMark/>
          </w:tcPr>
          <w:p w14:paraId="0DB317F4"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4</w:t>
            </w:r>
          </w:p>
        </w:tc>
        <w:tc>
          <w:tcPr>
            <w:tcW w:w="4259" w:type="dxa"/>
            <w:vAlign w:val="bottom"/>
            <w:hideMark/>
          </w:tcPr>
          <w:p w14:paraId="2AAAA8C9" w14:textId="77777777" w:rsidR="002563C9" w:rsidRPr="00D46BF5" w:rsidRDefault="002563C9">
            <w:pPr>
              <w:rPr>
                <w:rFonts w:asciiTheme="majorHAnsi" w:hAnsiTheme="majorHAnsi" w:cs="Arial"/>
                <w:sz w:val="22"/>
                <w:szCs w:val="22"/>
              </w:rPr>
            </w:pPr>
            <w:r w:rsidRPr="00D46BF5">
              <w:rPr>
                <w:rFonts w:asciiTheme="majorHAnsi" w:hAnsiTheme="majorHAnsi" w:cs="Arial"/>
                <w:sz w:val="22"/>
                <w:szCs w:val="22"/>
              </w:rPr>
              <w:t>Reimbursement of House Rent</w:t>
            </w:r>
          </w:p>
        </w:tc>
        <w:tc>
          <w:tcPr>
            <w:tcW w:w="1134" w:type="dxa"/>
            <w:noWrap/>
            <w:vAlign w:val="center"/>
          </w:tcPr>
          <w:p w14:paraId="2F00317F" w14:textId="2F5239E0" w:rsidR="002563C9" w:rsidRPr="00DB7066" w:rsidRDefault="001E3E92">
            <w:pPr>
              <w:jc w:val="right"/>
              <w:rPr>
                <w:rFonts w:asciiTheme="majorHAnsi" w:hAnsiTheme="majorHAnsi" w:cs="Arial"/>
                <w:sz w:val="22"/>
                <w:szCs w:val="22"/>
              </w:rPr>
            </w:pPr>
            <w:r>
              <w:rPr>
                <w:rFonts w:asciiTheme="majorHAnsi" w:hAnsiTheme="majorHAnsi" w:cs="Arial"/>
                <w:sz w:val="22"/>
                <w:szCs w:val="22"/>
              </w:rPr>
              <w:t>19.97</w:t>
            </w:r>
          </w:p>
        </w:tc>
        <w:tc>
          <w:tcPr>
            <w:tcW w:w="1134" w:type="dxa"/>
            <w:noWrap/>
            <w:vAlign w:val="center"/>
          </w:tcPr>
          <w:p w14:paraId="35778E88" w14:textId="28EED909" w:rsidR="002563C9" w:rsidRPr="00DB7066" w:rsidRDefault="001E3E92">
            <w:pPr>
              <w:jc w:val="right"/>
              <w:rPr>
                <w:rFonts w:asciiTheme="majorHAnsi" w:hAnsiTheme="majorHAnsi" w:cs="Arial"/>
                <w:sz w:val="22"/>
                <w:szCs w:val="22"/>
              </w:rPr>
            </w:pPr>
            <w:r>
              <w:rPr>
                <w:rFonts w:asciiTheme="majorHAnsi" w:hAnsiTheme="majorHAnsi" w:cs="Arial"/>
                <w:sz w:val="22"/>
                <w:szCs w:val="22"/>
              </w:rPr>
              <w:t>22.91</w:t>
            </w:r>
          </w:p>
        </w:tc>
        <w:tc>
          <w:tcPr>
            <w:tcW w:w="2552" w:type="dxa"/>
            <w:vAlign w:val="center"/>
          </w:tcPr>
          <w:p w14:paraId="24C3CEE8" w14:textId="20D98DE1" w:rsidR="002563C9" w:rsidRPr="00DB7066" w:rsidRDefault="005C6BFA" w:rsidP="002563C9">
            <w:pPr>
              <w:rPr>
                <w:rFonts w:asciiTheme="majorHAnsi" w:hAnsiTheme="majorHAnsi" w:cs="Arial"/>
                <w:sz w:val="22"/>
                <w:szCs w:val="22"/>
              </w:rPr>
            </w:pPr>
            <w:r>
              <w:rPr>
                <w:rFonts w:asciiTheme="majorHAnsi" w:hAnsiTheme="majorHAnsi" w:cs="Arial"/>
                <w:sz w:val="22"/>
                <w:szCs w:val="22"/>
              </w:rPr>
              <w:t xml:space="preserve">20% of basic </w:t>
            </w:r>
          </w:p>
        </w:tc>
      </w:tr>
      <w:tr w:rsidR="002563C9" w:rsidRPr="00D46BF5" w14:paraId="3267D1CB" w14:textId="55250746" w:rsidTr="0027699D">
        <w:trPr>
          <w:trHeight w:val="260"/>
        </w:trPr>
        <w:tc>
          <w:tcPr>
            <w:tcW w:w="562" w:type="dxa"/>
            <w:vAlign w:val="center"/>
            <w:hideMark/>
          </w:tcPr>
          <w:p w14:paraId="3E314EAF"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5</w:t>
            </w:r>
          </w:p>
        </w:tc>
        <w:tc>
          <w:tcPr>
            <w:tcW w:w="4259" w:type="dxa"/>
            <w:vAlign w:val="bottom"/>
            <w:hideMark/>
          </w:tcPr>
          <w:p w14:paraId="04A47807" w14:textId="77777777" w:rsidR="002563C9" w:rsidRPr="00D46BF5" w:rsidRDefault="002563C9">
            <w:pPr>
              <w:rPr>
                <w:rFonts w:asciiTheme="majorHAnsi" w:hAnsiTheme="majorHAnsi" w:cs="Arial"/>
                <w:sz w:val="22"/>
                <w:szCs w:val="22"/>
              </w:rPr>
            </w:pPr>
            <w:r w:rsidRPr="00D46BF5">
              <w:rPr>
                <w:rFonts w:asciiTheme="majorHAnsi" w:hAnsiTheme="majorHAnsi" w:cs="Arial"/>
                <w:sz w:val="22"/>
                <w:szCs w:val="22"/>
              </w:rPr>
              <w:t>Other Allowance</w:t>
            </w:r>
          </w:p>
        </w:tc>
        <w:tc>
          <w:tcPr>
            <w:tcW w:w="1134" w:type="dxa"/>
            <w:noWrap/>
            <w:vAlign w:val="center"/>
          </w:tcPr>
          <w:p w14:paraId="3D3D3236" w14:textId="6F685AD5" w:rsidR="002563C9" w:rsidRPr="00DB7066" w:rsidRDefault="001E3E92">
            <w:pPr>
              <w:jc w:val="right"/>
              <w:rPr>
                <w:rFonts w:asciiTheme="majorHAnsi" w:hAnsiTheme="majorHAnsi" w:cs="Arial"/>
                <w:sz w:val="22"/>
                <w:szCs w:val="22"/>
              </w:rPr>
            </w:pPr>
            <w:r>
              <w:rPr>
                <w:rFonts w:asciiTheme="majorHAnsi" w:hAnsiTheme="majorHAnsi" w:cs="Arial"/>
                <w:sz w:val="22"/>
                <w:szCs w:val="22"/>
              </w:rPr>
              <w:t>12.74</w:t>
            </w:r>
          </w:p>
        </w:tc>
        <w:tc>
          <w:tcPr>
            <w:tcW w:w="1134" w:type="dxa"/>
            <w:noWrap/>
            <w:vAlign w:val="center"/>
          </w:tcPr>
          <w:p w14:paraId="6FBC1130" w14:textId="5BAD946F" w:rsidR="002563C9" w:rsidRPr="00DB7066" w:rsidRDefault="001E3E92">
            <w:pPr>
              <w:jc w:val="right"/>
              <w:rPr>
                <w:rFonts w:asciiTheme="majorHAnsi" w:hAnsiTheme="majorHAnsi" w:cs="Arial"/>
                <w:sz w:val="22"/>
                <w:szCs w:val="22"/>
              </w:rPr>
            </w:pPr>
            <w:r>
              <w:rPr>
                <w:rFonts w:asciiTheme="majorHAnsi" w:hAnsiTheme="majorHAnsi" w:cs="Arial"/>
                <w:sz w:val="22"/>
                <w:szCs w:val="22"/>
              </w:rPr>
              <w:t>14.05</w:t>
            </w:r>
          </w:p>
        </w:tc>
        <w:tc>
          <w:tcPr>
            <w:tcW w:w="2552" w:type="dxa"/>
            <w:vAlign w:val="center"/>
          </w:tcPr>
          <w:p w14:paraId="0894F288" w14:textId="77777777" w:rsidR="002563C9" w:rsidRPr="00DB7066" w:rsidRDefault="002563C9" w:rsidP="002563C9">
            <w:pPr>
              <w:rPr>
                <w:rFonts w:asciiTheme="majorHAnsi" w:hAnsiTheme="majorHAnsi" w:cs="Arial"/>
                <w:sz w:val="22"/>
                <w:szCs w:val="22"/>
              </w:rPr>
            </w:pPr>
          </w:p>
        </w:tc>
      </w:tr>
      <w:tr w:rsidR="002563C9" w:rsidRPr="00D46BF5" w14:paraId="4D34E0C8" w14:textId="69A2500C" w:rsidTr="0027699D">
        <w:trPr>
          <w:trHeight w:val="310"/>
        </w:trPr>
        <w:tc>
          <w:tcPr>
            <w:tcW w:w="562" w:type="dxa"/>
            <w:vAlign w:val="center"/>
            <w:hideMark/>
          </w:tcPr>
          <w:p w14:paraId="53E820FA"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6</w:t>
            </w:r>
          </w:p>
        </w:tc>
        <w:tc>
          <w:tcPr>
            <w:tcW w:w="4259" w:type="dxa"/>
            <w:vAlign w:val="bottom"/>
            <w:hideMark/>
          </w:tcPr>
          <w:p w14:paraId="0B45F48F" w14:textId="6C3DE408" w:rsidR="002563C9" w:rsidRPr="00D46BF5" w:rsidRDefault="001E3E92">
            <w:pPr>
              <w:rPr>
                <w:rFonts w:asciiTheme="majorHAnsi" w:hAnsiTheme="majorHAnsi" w:cs="Arial"/>
                <w:sz w:val="22"/>
                <w:szCs w:val="22"/>
              </w:rPr>
            </w:pPr>
            <w:r>
              <w:rPr>
                <w:rFonts w:asciiTheme="majorHAnsi" w:hAnsiTheme="majorHAnsi" w:cs="Arial"/>
                <w:sz w:val="22"/>
                <w:szCs w:val="22"/>
              </w:rPr>
              <w:t>Variable pay</w:t>
            </w:r>
          </w:p>
        </w:tc>
        <w:tc>
          <w:tcPr>
            <w:tcW w:w="1134" w:type="dxa"/>
            <w:noWrap/>
            <w:vAlign w:val="center"/>
          </w:tcPr>
          <w:p w14:paraId="255A4172" w14:textId="1350C9C8" w:rsidR="002563C9" w:rsidRPr="00DB7066" w:rsidRDefault="001E3E92">
            <w:pPr>
              <w:jc w:val="right"/>
              <w:rPr>
                <w:rFonts w:asciiTheme="majorHAnsi" w:hAnsiTheme="majorHAnsi" w:cs="Arial"/>
                <w:sz w:val="22"/>
                <w:szCs w:val="22"/>
              </w:rPr>
            </w:pPr>
            <w:r>
              <w:rPr>
                <w:rFonts w:asciiTheme="majorHAnsi" w:hAnsiTheme="majorHAnsi" w:cs="Arial"/>
                <w:sz w:val="22"/>
                <w:szCs w:val="22"/>
              </w:rPr>
              <w:t>85.04</w:t>
            </w:r>
          </w:p>
        </w:tc>
        <w:tc>
          <w:tcPr>
            <w:tcW w:w="1134" w:type="dxa"/>
            <w:noWrap/>
            <w:vAlign w:val="center"/>
          </w:tcPr>
          <w:p w14:paraId="128D86DD" w14:textId="3E589098" w:rsidR="002563C9" w:rsidRPr="00DB7066" w:rsidRDefault="001E3E92">
            <w:pPr>
              <w:jc w:val="right"/>
              <w:rPr>
                <w:rFonts w:asciiTheme="majorHAnsi" w:hAnsiTheme="majorHAnsi" w:cs="Arial"/>
                <w:sz w:val="22"/>
                <w:szCs w:val="22"/>
              </w:rPr>
            </w:pPr>
            <w:r>
              <w:rPr>
                <w:rFonts w:asciiTheme="majorHAnsi" w:hAnsiTheme="majorHAnsi" w:cs="Arial"/>
                <w:sz w:val="22"/>
                <w:szCs w:val="22"/>
              </w:rPr>
              <w:t>98.18</w:t>
            </w:r>
          </w:p>
        </w:tc>
        <w:tc>
          <w:tcPr>
            <w:tcW w:w="2552" w:type="dxa"/>
            <w:vAlign w:val="center"/>
          </w:tcPr>
          <w:p w14:paraId="12E5BB4C" w14:textId="77777777" w:rsidR="002563C9" w:rsidRPr="00DB7066" w:rsidRDefault="002563C9" w:rsidP="002563C9">
            <w:pPr>
              <w:rPr>
                <w:rFonts w:asciiTheme="majorHAnsi" w:hAnsiTheme="majorHAnsi" w:cs="Arial"/>
                <w:sz w:val="22"/>
                <w:szCs w:val="22"/>
              </w:rPr>
            </w:pPr>
          </w:p>
        </w:tc>
      </w:tr>
      <w:tr w:rsidR="002563C9" w:rsidRPr="00D46BF5" w14:paraId="4A5E1793" w14:textId="1B4FF063" w:rsidTr="0027699D">
        <w:trPr>
          <w:trHeight w:val="310"/>
        </w:trPr>
        <w:tc>
          <w:tcPr>
            <w:tcW w:w="562" w:type="dxa"/>
            <w:vAlign w:val="center"/>
            <w:hideMark/>
          </w:tcPr>
          <w:p w14:paraId="00A03246"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7</w:t>
            </w:r>
          </w:p>
        </w:tc>
        <w:tc>
          <w:tcPr>
            <w:tcW w:w="4259" w:type="dxa"/>
            <w:vAlign w:val="bottom"/>
            <w:hideMark/>
          </w:tcPr>
          <w:p w14:paraId="1CB56433" w14:textId="77777777" w:rsidR="002563C9" w:rsidRPr="00D46BF5" w:rsidRDefault="002563C9">
            <w:pPr>
              <w:jc w:val="right"/>
              <w:rPr>
                <w:rFonts w:asciiTheme="majorHAnsi" w:hAnsiTheme="majorHAnsi" w:cs="Arial"/>
                <w:b/>
                <w:bCs/>
                <w:sz w:val="22"/>
                <w:szCs w:val="22"/>
              </w:rPr>
            </w:pPr>
            <w:r w:rsidRPr="00D46BF5">
              <w:rPr>
                <w:rFonts w:asciiTheme="majorHAnsi" w:hAnsiTheme="majorHAnsi" w:cs="Arial"/>
                <w:b/>
                <w:bCs/>
                <w:sz w:val="22"/>
                <w:szCs w:val="22"/>
              </w:rPr>
              <w:t>Subtotal (1 to 6)</w:t>
            </w:r>
          </w:p>
        </w:tc>
        <w:tc>
          <w:tcPr>
            <w:tcW w:w="1134" w:type="dxa"/>
            <w:noWrap/>
            <w:vAlign w:val="center"/>
          </w:tcPr>
          <w:p w14:paraId="7CA55788" w14:textId="41B9771D" w:rsidR="002563C9" w:rsidRPr="00DB7066" w:rsidRDefault="0027699D">
            <w:pPr>
              <w:jc w:val="right"/>
              <w:rPr>
                <w:rFonts w:asciiTheme="majorHAnsi" w:hAnsiTheme="majorHAnsi" w:cs="Arial"/>
                <w:b/>
                <w:bCs/>
                <w:sz w:val="22"/>
                <w:szCs w:val="22"/>
              </w:rPr>
            </w:pPr>
            <w:r w:rsidRPr="00DB7066">
              <w:rPr>
                <w:rFonts w:asciiTheme="majorHAnsi" w:hAnsiTheme="majorHAnsi" w:cs="Arial"/>
                <w:b/>
                <w:bCs/>
                <w:sz w:val="22"/>
                <w:szCs w:val="22"/>
              </w:rPr>
              <w:t>3</w:t>
            </w:r>
            <w:r w:rsidR="001E3E92">
              <w:rPr>
                <w:rFonts w:asciiTheme="majorHAnsi" w:hAnsiTheme="majorHAnsi" w:cs="Arial"/>
                <w:b/>
                <w:bCs/>
                <w:sz w:val="22"/>
                <w:szCs w:val="22"/>
              </w:rPr>
              <w:t>49.35</w:t>
            </w:r>
          </w:p>
        </w:tc>
        <w:tc>
          <w:tcPr>
            <w:tcW w:w="1134" w:type="dxa"/>
            <w:noWrap/>
            <w:vAlign w:val="center"/>
          </w:tcPr>
          <w:p w14:paraId="6E1BFDE1" w14:textId="4FA21BEA" w:rsidR="002563C9" w:rsidRPr="00DB7066" w:rsidRDefault="005E48E7">
            <w:pPr>
              <w:jc w:val="right"/>
              <w:rPr>
                <w:rFonts w:asciiTheme="majorHAnsi" w:hAnsiTheme="majorHAnsi" w:cs="Arial"/>
                <w:b/>
                <w:bCs/>
                <w:sz w:val="22"/>
                <w:szCs w:val="22"/>
              </w:rPr>
            </w:pPr>
            <w:r w:rsidRPr="00DB7066">
              <w:rPr>
                <w:rFonts w:asciiTheme="majorHAnsi" w:hAnsiTheme="majorHAnsi" w:cs="Arial"/>
                <w:b/>
                <w:bCs/>
                <w:sz w:val="22"/>
                <w:szCs w:val="22"/>
              </w:rPr>
              <w:t>3</w:t>
            </w:r>
            <w:r w:rsidR="001E3E92">
              <w:rPr>
                <w:rFonts w:asciiTheme="majorHAnsi" w:hAnsiTheme="majorHAnsi" w:cs="Arial"/>
                <w:b/>
                <w:bCs/>
                <w:sz w:val="22"/>
                <w:szCs w:val="22"/>
              </w:rPr>
              <w:t>83.23</w:t>
            </w:r>
          </w:p>
        </w:tc>
        <w:tc>
          <w:tcPr>
            <w:tcW w:w="2552" w:type="dxa"/>
            <w:vAlign w:val="center"/>
          </w:tcPr>
          <w:p w14:paraId="64C5C86D" w14:textId="77777777" w:rsidR="002563C9" w:rsidRPr="00DB7066" w:rsidRDefault="002563C9" w:rsidP="002563C9">
            <w:pPr>
              <w:rPr>
                <w:rFonts w:asciiTheme="majorHAnsi" w:hAnsiTheme="majorHAnsi" w:cs="Arial"/>
                <w:b/>
                <w:bCs/>
                <w:sz w:val="22"/>
                <w:szCs w:val="22"/>
              </w:rPr>
            </w:pPr>
          </w:p>
        </w:tc>
      </w:tr>
      <w:tr w:rsidR="002563C9" w:rsidRPr="00D46BF5" w14:paraId="4D9819ED" w14:textId="7EABCB5B" w:rsidTr="0027699D">
        <w:trPr>
          <w:trHeight w:val="260"/>
        </w:trPr>
        <w:tc>
          <w:tcPr>
            <w:tcW w:w="562" w:type="dxa"/>
            <w:vAlign w:val="center"/>
            <w:hideMark/>
          </w:tcPr>
          <w:p w14:paraId="16BB3DF8"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 </w:t>
            </w:r>
          </w:p>
        </w:tc>
        <w:tc>
          <w:tcPr>
            <w:tcW w:w="4259" w:type="dxa"/>
            <w:vAlign w:val="bottom"/>
            <w:hideMark/>
          </w:tcPr>
          <w:p w14:paraId="28450539" w14:textId="77777777" w:rsidR="002563C9" w:rsidRPr="00D46BF5" w:rsidRDefault="002563C9">
            <w:pPr>
              <w:rPr>
                <w:rFonts w:asciiTheme="majorHAnsi" w:hAnsiTheme="majorHAnsi" w:cs="Arial"/>
                <w:b/>
                <w:bCs/>
                <w:sz w:val="22"/>
                <w:szCs w:val="22"/>
              </w:rPr>
            </w:pPr>
            <w:r w:rsidRPr="00D46BF5">
              <w:rPr>
                <w:rFonts w:asciiTheme="majorHAnsi" w:hAnsiTheme="majorHAnsi" w:cs="Arial"/>
                <w:b/>
                <w:bCs/>
                <w:sz w:val="22"/>
                <w:szCs w:val="22"/>
              </w:rPr>
              <w:t>Additional Employee cost</w:t>
            </w:r>
          </w:p>
        </w:tc>
        <w:tc>
          <w:tcPr>
            <w:tcW w:w="1134" w:type="dxa"/>
            <w:noWrap/>
            <w:vAlign w:val="center"/>
          </w:tcPr>
          <w:p w14:paraId="13A0C8E1" w14:textId="475C9CA5" w:rsidR="002563C9" w:rsidRPr="00DB7066" w:rsidRDefault="002563C9">
            <w:pPr>
              <w:jc w:val="right"/>
              <w:rPr>
                <w:rFonts w:asciiTheme="majorHAnsi" w:hAnsiTheme="majorHAnsi" w:cs="Arial"/>
                <w:sz w:val="22"/>
                <w:szCs w:val="22"/>
              </w:rPr>
            </w:pPr>
          </w:p>
        </w:tc>
        <w:tc>
          <w:tcPr>
            <w:tcW w:w="1134" w:type="dxa"/>
            <w:noWrap/>
            <w:vAlign w:val="center"/>
          </w:tcPr>
          <w:p w14:paraId="1A472520" w14:textId="3CCD2920" w:rsidR="002563C9" w:rsidRPr="00DB7066" w:rsidRDefault="002563C9">
            <w:pPr>
              <w:jc w:val="right"/>
              <w:rPr>
                <w:rFonts w:asciiTheme="majorHAnsi" w:hAnsiTheme="majorHAnsi" w:cs="Arial"/>
                <w:sz w:val="22"/>
                <w:szCs w:val="22"/>
              </w:rPr>
            </w:pPr>
          </w:p>
        </w:tc>
        <w:tc>
          <w:tcPr>
            <w:tcW w:w="2552" w:type="dxa"/>
            <w:vAlign w:val="center"/>
          </w:tcPr>
          <w:p w14:paraId="1FA56CC1" w14:textId="77777777" w:rsidR="002563C9" w:rsidRPr="00DB7066" w:rsidRDefault="002563C9" w:rsidP="002563C9">
            <w:pPr>
              <w:rPr>
                <w:rFonts w:asciiTheme="majorHAnsi" w:hAnsiTheme="majorHAnsi" w:cs="Arial"/>
                <w:sz w:val="22"/>
                <w:szCs w:val="22"/>
              </w:rPr>
            </w:pPr>
          </w:p>
        </w:tc>
      </w:tr>
      <w:tr w:rsidR="002563C9" w:rsidRPr="00D46BF5" w14:paraId="0CD96805" w14:textId="0667C531" w:rsidTr="0027699D">
        <w:trPr>
          <w:trHeight w:val="260"/>
        </w:trPr>
        <w:tc>
          <w:tcPr>
            <w:tcW w:w="562" w:type="dxa"/>
            <w:vAlign w:val="center"/>
            <w:hideMark/>
          </w:tcPr>
          <w:p w14:paraId="5F277422"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8</w:t>
            </w:r>
          </w:p>
        </w:tc>
        <w:tc>
          <w:tcPr>
            <w:tcW w:w="4259" w:type="dxa"/>
            <w:vAlign w:val="bottom"/>
            <w:hideMark/>
          </w:tcPr>
          <w:p w14:paraId="079F30CB" w14:textId="77777777" w:rsidR="002563C9" w:rsidRPr="00D46BF5" w:rsidRDefault="002563C9">
            <w:pPr>
              <w:rPr>
                <w:rFonts w:asciiTheme="majorHAnsi" w:hAnsiTheme="majorHAnsi" w:cs="Arial"/>
                <w:sz w:val="22"/>
                <w:szCs w:val="22"/>
              </w:rPr>
            </w:pPr>
            <w:r w:rsidRPr="00D46BF5">
              <w:rPr>
                <w:rFonts w:asciiTheme="majorHAnsi" w:hAnsiTheme="majorHAnsi" w:cs="Arial"/>
                <w:sz w:val="22"/>
                <w:szCs w:val="22"/>
              </w:rPr>
              <w:t>Contractual Obligation</w:t>
            </w:r>
          </w:p>
        </w:tc>
        <w:tc>
          <w:tcPr>
            <w:tcW w:w="1134" w:type="dxa"/>
            <w:noWrap/>
            <w:vAlign w:val="center"/>
          </w:tcPr>
          <w:p w14:paraId="6ED52A8A" w14:textId="5BED2371" w:rsidR="002563C9" w:rsidRPr="00DB7066" w:rsidRDefault="001E3E92">
            <w:pPr>
              <w:jc w:val="right"/>
              <w:rPr>
                <w:rFonts w:asciiTheme="majorHAnsi" w:hAnsiTheme="majorHAnsi" w:cs="Arial"/>
                <w:sz w:val="22"/>
                <w:szCs w:val="22"/>
              </w:rPr>
            </w:pPr>
            <w:r>
              <w:rPr>
                <w:rFonts w:asciiTheme="majorHAnsi" w:hAnsiTheme="majorHAnsi" w:cs="Arial"/>
                <w:sz w:val="22"/>
                <w:szCs w:val="22"/>
              </w:rPr>
              <w:t>60.24</w:t>
            </w:r>
          </w:p>
        </w:tc>
        <w:tc>
          <w:tcPr>
            <w:tcW w:w="1134" w:type="dxa"/>
            <w:noWrap/>
            <w:vAlign w:val="center"/>
          </w:tcPr>
          <w:p w14:paraId="02CDD733" w14:textId="526D0E4F" w:rsidR="002563C9" w:rsidRPr="00DB7066" w:rsidRDefault="00B92B32">
            <w:pPr>
              <w:jc w:val="right"/>
              <w:rPr>
                <w:rFonts w:asciiTheme="majorHAnsi" w:hAnsiTheme="majorHAnsi" w:cs="Arial"/>
                <w:sz w:val="22"/>
                <w:szCs w:val="22"/>
              </w:rPr>
            </w:pPr>
            <w:r>
              <w:rPr>
                <w:rFonts w:asciiTheme="majorHAnsi" w:hAnsiTheme="majorHAnsi" w:cs="Arial"/>
                <w:sz w:val="22"/>
                <w:szCs w:val="22"/>
              </w:rPr>
              <w:t>64.45</w:t>
            </w:r>
          </w:p>
        </w:tc>
        <w:tc>
          <w:tcPr>
            <w:tcW w:w="2552" w:type="dxa"/>
            <w:vAlign w:val="center"/>
          </w:tcPr>
          <w:p w14:paraId="56049442" w14:textId="1A34CBD3" w:rsidR="002563C9" w:rsidRPr="00DB7066" w:rsidRDefault="005C6BFA" w:rsidP="002563C9">
            <w:pPr>
              <w:rPr>
                <w:rFonts w:asciiTheme="majorHAnsi" w:hAnsiTheme="majorHAnsi" w:cs="Arial"/>
                <w:sz w:val="22"/>
                <w:szCs w:val="22"/>
              </w:rPr>
            </w:pPr>
            <w:r>
              <w:rPr>
                <w:rFonts w:asciiTheme="majorHAnsi" w:hAnsiTheme="majorHAnsi" w:cs="Arial"/>
                <w:sz w:val="22"/>
                <w:szCs w:val="22"/>
              </w:rPr>
              <w:t>7% increase considered</w:t>
            </w:r>
          </w:p>
        </w:tc>
      </w:tr>
      <w:tr w:rsidR="002563C9" w:rsidRPr="00D46BF5" w14:paraId="2E4F9A4B" w14:textId="777DA174" w:rsidTr="0027699D">
        <w:trPr>
          <w:trHeight w:val="260"/>
        </w:trPr>
        <w:tc>
          <w:tcPr>
            <w:tcW w:w="562" w:type="dxa"/>
            <w:vAlign w:val="center"/>
            <w:hideMark/>
          </w:tcPr>
          <w:p w14:paraId="0E1580C2"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10</w:t>
            </w:r>
          </w:p>
        </w:tc>
        <w:tc>
          <w:tcPr>
            <w:tcW w:w="4259" w:type="dxa"/>
            <w:vAlign w:val="center"/>
            <w:hideMark/>
          </w:tcPr>
          <w:p w14:paraId="69F9449A" w14:textId="77777777" w:rsidR="002563C9" w:rsidRPr="00D46BF5" w:rsidRDefault="002563C9" w:rsidP="00464027">
            <w:pPr>
              <w:rPr>
                <w:rFonts w:asciiTheme="majorHAnsi" w:hAnsiTheme="majorHAnsi" w:cs="Arial"/>
                <w:sz w:val="22"/>
                <w:szCs w:val="22"/>
              </w:rPr>
            </w:pPr>
            <w:r w:rsidRPr="00D46BF5">
              <w:rPr>
                <w:rFonts w:asciiTheme="majorHAnsi" w:hAnsiTheme="majorHAnsi" w:cs="Arial"/>
                <w:sz w:val="22"/>
                <w:szCs w:val="22"/>
              </w:rPr>
              <w:t>Others if any (Impact of Restructuring)</w:t>
            </w:r>
          </w:p>
        </w:tc>
        <w:tc>
          <w:tcPr>
            <w:tcW w:w="1134" w:type="dxa"/>
            <w:noWrap/>
            <w:vAlign w:val="center"/>
          </w:tcPr>
          <w:p w14:paraId="037095B8" w14:textId="0BE2D0B6" w:rsidR="002563C9" w:rsidRPr="00DB7066" w:rsidRDefault="0027699D">
            <w:pPr>
              <w:jc w:val="right"/>
              <w:rPr>
                <w:rFonts w:asciiTheme="majorHAnsi" w:hAnsiTheme="majorHAnsi" w:cs="Arial"/>
                <w:sz w:val="22"/>
                <w:szCs w:val="22"/>
              </w:rPr>
            </w:pPr>
            <w:r w:rsidRPr="00DB7066">
              <w:rPr>
                <w:rFonts w:asciiTheme="majorHAnsi" w:hAnsiTheme="majorHAnsi" w:cs="Arial"/>
                <w:sz w:val="22"/>
                <w:szCs w:val="22"/>
              </w:rPr>
              <w:t>-</w:t>
            </w:r>
          </w:p>
        </w:tc>
        <w:tc>
          <w:tcPr>
            <w:tcW w:w="1134" w:type="dxa"/>
            <w:noWrap/>
            <w:vAlign w:val="center"/>
          </w:tcPr>
          <w:p w14:paraId="112C7243" w14:textId="4FDBFB1C" w:rsidR="002563C9" w:rsidRPr="00DB7066" w:rsidRDefault="005E48E7">
            <w:pPr>
              <w:jc w:val="right"/>
              <w:rPr>
                <w:rFonts w:asciiTheme="majorHAnsi" w:hAnsiTheme="majorHAnsi" w:cs="Arial"/>
                <w:sz w:val="22"/>
                <w:szCs w:val="22"/>
              </w:rPr>
            </w:pPr>
            <w:r w:rsidRPr="00DB7066">
              <w:rPr>
                <w:rFonts w:asciiTheme="majorHAnsi" w:hAnsiTheme="majorHAnsi" w:cs="Arial"/>
                <w:sz w:val="22"/>
                <w:szCs w:val="22"/>
              </w:rPr>
              <w:t>-</w:t>
            </w:r>
          </w:p>
        </w:tc>
        <w:tc>
          <w:tcPr>
            <w:tcW w:w="2552" w:type="dxa"/>
            <w:vAlign w:val="center"/>
          </w:tcPr>
          <w:p w14:paraId="29A7E8B6" w14:textId="65023522" w:rsidR="002563C9" w:rsidRPr="00DB7066" w:rsidRDefault="002563C9" w:rsidP="002563C9">
            <w:pPr>
              <w:rPr>
                <w:rFonts w:asciiTheme="majorHAnsi" w:hAnsiTheme="majorHAnsi" w:cs="Arial"/>
                <w:sz w:val="22"/>
                <w:szCs w:val="22"/>
              </w:rPr>
            </w:pPr>
          </w:p>
        </w:tc>
      </w:tr>
      <w:tr w:rsidR="002563C9" w:rsidRPr="00D46BF5" w14:paraId="2AF4F14A" w14:textId="1EBC81AB" w:rsidTr="0027699D">
        <w:trPr>
          <w:trHeight w:val="520"/>
        </w:trPr>
        <w:tc>
          <w:tcPr>
            <w:tcW w:w="562" w:type="dxa"/>
            <w:vAlign w:val="center"/>
            <w:hideMark/>
          </w:tcPr>
          <w:p w14:paraId="3EDF0DE2"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11</w:t>
            </w:r>
          </w:p>
        </w:tc>
        <w:tc>
          <w:tcPr>
            <w:tcW w:w="4259" w:type="dxa"/>
            <w:vAlign w:val="bottom"/>
            <w:hideMark/>
          </w:tcPr>
          <w:p w14:paraId="0E245A64" w14:textId="2D525972" w:rsidR="002563C9" w:rsidRPr="00D46BF5" w:rsidRDefault="002563C9">
            <w:pPr>
              <w:rPr>
                <w:rFonts w:asciiTheme="majorHAnsi" w:hAnsiTheme="majorHAnsi" w:cs="Arial"/>
                <w:b/>
                <w:bCs/>
                <w:sz w:val="22"/>
                <w:szCs w:val="22"/>
              </w:rPr>
            </w:pPr>
            <w:r w:rsidRPr="00D46BF5">
              <w:rPr>
                <w:rFonts w:asciiTheme="majorHAnsi" w:hAnsiTheme="majorHAnsi" w:cs="Arial"/>
                <w:b/>
                <w:bCs/>
                <w:sz w:val="22"/>
                <w:szCs w:val="22"/>
              </w:rPr>
              <w:t>Total additional Employee cost</w:t>
            </w:r>
            <w:r>
              <w:rPr>
                <w:rFonts w:asciiTheme="majorHAnsi" w:hAnsiTheme="majorHAnsi" w:cs="Arial"/>
                <w:b/>
                <w:bCs/>
                <w:sz w:val="22"/>
                <w:szCs w:val="22"/>
              </w:rPr>
              <w:t xml:space="preserve"> </w:t>
            </w:r>
            <w:r w:rsidRPr="00D46BF5">
              <w:rPr>
                <w:rFonts w:asciiTheme="majorHAnsi" w:hAnsiTheme="majorHAnsi" w:cs="Arial"/>
                <w:b/>
                <w:bCs/>
                <w:sz w:val="22"/>
                <w:szCs w:val="22"/>
              </w:rPr>
              <w:t>(8 to 10)</w:t>
            </w:r>
          </w:p>
        </w:tc>
        <w:tc>
          <w:tcPr>
            <w:tcW w:w="1134" w:type="dxa"/>
            <w:noWrap/>
            <w:vAlign w:val="center"/>
          </w:tcPr>
          <w:p w14:paraId="17086B47" w14:textId="657B15D0" w:rsidR="002563C9" w:rsidRPr="00DB7066" w:rsidRDefault="0027699D">
            <w:pPr>
              <w:jc w:val="right"/>
              <w:rPr>
                <w:rFonts w:asciiTheme="majorHAnsi" w:hAnsiTheme="majorHAnsi" w:cs="Arial"/>
                <w:b/>
                <w:bCs/>
                <w:sz w:val="22"/>
                <w:szCs w:val="22"/>
              </w:rPr>
            </w:pPr>
            <w:r w:rsidRPr="00DB7066">
              <w:rPr>
                <w:rFonts w:asciiTheme="majorHAnsi" w:hAnsiTheme="majorHAnsi" w:cs="Arial"/>
                <w:b/>
                <w:bCs/>
                <w:sz w:val="22"/>
                <w:szCs w:val="22"/>
              </w:rPr>
              <w:t>60.24</w:t>
            </w:r>
          </w:p>
        </w:tc>
        <w:tc>
          <w:tcPr>
            <w:tcW w:w="1134" w:type="dxa"/>
            <w:noWrap/>
            <w:vAlign w:val="center"/>
          </w:tcPr>
          <w:p w14:paraId="39084063" w14:textId="31A74775" w:rsidR="002563C9" w:rsidRPr="00DB7066" w:rsidRDefault="005E48E7">
            <w:pPr>
              <w:jc w:val="right"/>
              <w:rPr>
                <w:rFonts w:asciiTheme="majorHAnsi" w:hAnsiTheme="majorHAnsi" w:cs="Arial"/>
                <w:b/>
                <w:bCs/>
                <w:sz w:val="22"/>
                <w:szCs w:val="22"/>
              </w:rPr>
            </w:pPr>
            <w:r w:rsidRPr="00DB7066">
              <w:rPr>
                <w:rFonts w:asciiTheme="majorHAnsi" w:hAnsiTheme="majorHAnsi" w:cs="Arial"/>
                <w:b/>
                <w:bCs/>
                <w:sz w:val="22"/>
                <w:szCs w:val="22"/>
              </w:rPr>
              <w:t>64.45</w:t>
            </w:r>
          </w:p>
        </w:tc>
        <w:tc>
          <w:tcPr>
            <w:tcW w:w="2552" w:type="dxa"/>
            <w:vAlign w:val="center"/>
          </w:tcPr>
          <w:p w14:paraId="40C736AB" w14:textId="77777777" w:rsidR="002563C9" w:rsidRPr="00DB7066" w:rsidRDefault="002563C9" w:rsidP="002563C9">
            <w:pPr>
              <w:rPr>
                <w:rFonts w:asciiTheme="majorHAnsi" w:hAnsiTheme="majorHAnsi" w:cs="Arial"/>
                <w:b/>
                <w:bCs/>
                <w:sz w:val="22"/>
                <w:szCs w:val="22"/>
              </w:rPr>
            </w:pPr>
          </w:p>
        </w:tc>
      </w:tr>
      <w:tr w:rsidR="002563C9" w:rsidRPr="00D46BF5" w14:paraId="32D765DC" w14:textId="7D491702" w:rsidTr="0027699D">
        <w:trPr>
          <w:trHeight w:val="260"/>
        </w:trPr>
        <w:tc>
          <w:tcPr>
            <w:tcW w:w="562" w:type="dxa"/>
            <w:vAlign w:val="center"/>
            <w:hideMark/>
          </w:tcPr>
          <w:p w14:paraId="11D97E53"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 </w:t>
            </w:r>
          </w:p>
        </w:tc>
        <w:tc>
          <w:tcPr>
            <w:tcW w:w="4259" w:type="dxa"/>
            <w:vAlign w:val="bottom"/>
            <w:hideMark/>
          </w:tcPr>
          <w:p w14:paraId="5FCFF2D8" w14:textId="77777777" w:rsidR="002563C9" w:rsidRPr="00D46BF5" w:rsidRDefault="002563C9">
            <w:pPr>
              <w:rPr>
                <w:rFonts w:asciiTheme="majorHAnsi" w:hAnsiTheme="majorHAnsi" w:cs="Arial"/>
                <w:b/>
                <w:bCs/>
                <w:sz w:val="22"/>
                <w:szCs w:val="22"/>
              </w:rPr>
            </w:pPr>
            <w:r w:rsidRPr="00D46BF5">
              <w:rPr>
                <w:rFonts w:asciiTheme="majorHAnsi" w:hAnsiTheme="majorHAnsi" w:cs="Arial"/>
                <w:b/>
                <w:bCs/>
                <w:sz w:val="22"/>
                <w:szCs w:val="22"/>
              </w:rPr>
              <w:t>OTHER STAFF COST</w:t>
            </w:r>
          </w:p>
        </w:tc>
        <w:tc>
          <w:tcPr>
            <w:tcW w:w="1134" w:type="dxa"/>
            <w:noWrap/>
            <w:vAlign w:val="center"/>
          </w:tcPr>
          <w:p w14:paraId="55201CAF" w14:textId="360C8E04" w:rsidR="002563C9" w:rsidRPr="00DB7066" w:rsidRDefault="002563C9">
            <w:pPr>
              <w:jc w:val="right"/>
              <w:rPr>
                <w:rFonts w:asciiTheme="majorHAnsi" w:hAnsiTheme="majorHAnsi" w:cs="Arial"/>
                <w:sz w:val="22"/>
                <w:szCs w:val="22"/>
              </w:rPr>
            </w:pPr>
          </w:p>
        </w:tc>
        <w:tc>
          <w:tcPr>
            <w:tcW w:w="1134" w:type="dxa"/>
            <w:noWrap/>
            <w:vAlign w:val="center"/>
          </w:tcPr>
          <w:p w14:paraId="4BF94C9A" w14:textId="72A81A79" w:rsidR="002563C9" w:rsidRPr="00DB7066" w:rsidRDefault="002563C9">
            <w:pPr>
              <w:jc w:val="right"/>
              <w:rPr>
                <w:rFonts w:asciiTheme="majorHAnsi" w:hAnsiTheme="majorHAnsi" w:cs="Arial"/>
                <w:sz w:val="22"/>
                <w:szCs w:val="22"/>
              </w:rPr>
            </w:pPr>
          </w:p>
        </w:tc>
        <w:tc>
          <w:tcPr>
            <w:tcW w:w="2552" w:type="dxa"/>
            <w:vAlign w:val="center"/>
          </w:tcPr>
          <w:p w14:paraId="7804AF7E" w14:textId="77777777" w:rsidR="002563C9" w:rsidRPr="00DB7066" w:rsidRDefault="002563C9" w:rsidP="002563C9">
            <w:pPr>
              <w:rPr>
                <w:rFonts w:asciiTheme="majorHAnsi" w:hAnsiTheme="majorHAnsi" w:cs="Arial"/>
                <w:sz w:val="22"/>
                <w:szCs w:val="22"/>
              </w:rPr>
            </w:pPr>
          </w:p>
        </w:tc>
      </w:tr>
      <w:tr w:rsidR="002563C9" w:rsidRPr="00D46BF5" w14:paraId="7D4D1C64" w14:textId="2FBEF79A" w:rsidTr="0027699D">
        <w:trPr>
          <w:trHeight w:val="260"/>
        </w:trPr>
        <w:tc>
          <w:tcPr>
            <w:tcW w:w="562" w:type="dxa"/>
            <w:vAlign w:val="center"/>
            <w:hideMark/>
          </w:tcPr>
          <w:p w14:paraId="0C6B6C5C"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12</w:t>
            </w:r>
          </w:p>
        </w:tc>
        <w:tc>
          <w:tcPr>
            <w:tcW w:w="4259" w:type="dxa"/>
            <w:vAlign w:val="bottom"/>
            <w:hideMark/>
          </w:tcPr>
          <w:p w14:paraId="1028CB2F" w14:textId="77777777" w:rsidR="002563C9" w:rsidRPr="00D46BF5" w:rsidRDefault="002563C9">
            <w:pPr>
              <w:rPr>
                <w:rFonts w:asciiTheme="majorHAnsi" w:hAnsiTheme="majorHAnsi" w:cs="Arial"/>
                <w:sz w:val="22"/>
                <w:szCs w:val="22"/>
              </w:rPr>
            </w:pPr>
            <w:r w:rsidRPr="00D46BF5">
              <w:rPr>
                <w:rFonts w:asciiTheme="majorHAnsi" w:hAnsiTheme="majorHAnsi" w:cs="Arial"/>
                <w:sz w:val="22"/>
                <w:szCs w:val="22"/>
              </w:rPr>
              <w:t>Reimbursement of Medical Expenses</w:t>
            </w:r>
          </w:p>
        </w:tc>
        <w:tc>
          <w:tcPr>
            <w:tcW w:w="1134" w:type="dxa"/>
            <w:noWrap/>
            <w:vAlign w:val="center"/>
          </w:tcPr>
          <w:p w14:paraId="49BAF991" w14:textId="38205A8B" w:rsidR="002563C9" w:rsidRPr="00DB7066" w:rsidRDefault="001E3E92">
            <w:pPr>
              <w:jc w:val="right"/>
              <w:rPr>
                <w:rFonts w:asciiTheme="majorHAnsi" w:hAnsiTheme="majorHAnsi" w:cs="Arial"/>
                <w:sz w:val="22"/>
                <w:szCs w:val="22"/>
              </w:rPr>
            </w:pPr>
            <w:r>
              <w:rPr>
                <w:rFonts w:asciiTheme="majorHAnsi" w:hAnsiTheme="majorHAnsi" w:cs="Arial"/>
                <w:sz w:val="22"/>
                <w:szCs w:val="22"/>
              </w:rPr>
              <w:t>5.46</w:t>
            </w:r>
          </w:p>
        </w:tc>
        <w:tc>
          <w:tcPr>
            <w:tcW w:w="1134" w:type="dxa"/>
            <w:noWrap/>
            <w:vAlign w:val="center"/>
          </w:tcPr>
          <w:p w14:paraId="25051282" w14:textId="0C10437F" w:rsidR="002563C9" w:rsidRPr="00DB7066" w:rsidRDefault="00B92B32">
            <w:pPr>
              <w:jc w:val="right"/>
              <w:rPr>
                <w:rFonts w:asciiTheme="majorHAnsi" w:hAnsiTheme="majorHAnsi" w:cs="Arial"/>
                <w:sz w:val="22"/>
                <w:szCs w:val="22"/>
              </w:rPr>
            </w:pPr>
            <w:r>
              <w:rPr>
                <w:rFonts w:asciiTheme="majorHAnsi" w:hAnsiTheme="majorHAnsi" w:cs="Arial"/>
                <w:sz w:val="22"/>
                <w:szCs w:val="22"/>
              </w:rPr>
              <w:t>5.73</w:t>
            </w:r>
          </w:p>
        </w:tc>
        <w:tc>
          <w:tcPr>
            <w:tcW w:w="2552" w:type="dxa"/>
            <w:vAlign w:val="center"/>
          </w:tcPr>
          <w:p w14:paraId="4C2D8C50" w14:textId="40A200CA" w:rsidR="002563C9" w:rsidRPr="00DB7066" w:rsidRDefault="005C6BFA" w:rsidP="002563C9">
            <w:pPr>
              <w:rPr>
                <w:rFonts w:asciiTheme="majorHAnsi" w:hAnsiTheme="majorHAnsi" w:cs="Arial"/>
                <w:sz w:val="22"/>
                <w:szCs w:val="22"/>
              </w:rPr>
            </w:pPr>
            <w:r>
              <w:rPr>
                <w:rFonts w:asciiTheme="majorHAnsi" w:hAnsiTheme="majorHAnsi" w:cs="Arial"/>
                <w:sz w:val="22"/>
                <w:szCs w:val="22"/>
              </w:rPr>
              <w:t xml:space="preserve">5% of Basic </w:t>
            </w:r>
          </w:p>
        </w:tc>
      </w:tr>
      <w:tr w:rsidR="002563C9" w:rsidRPr="00D46BF5" w14:paraId="362E36B7" w14:textId="2352827A" w:rsidTr="0027699D">
        <w:trPr>
          <w:trHeight w:val="260"/>
        </w:trPr>
        <w:tc>
          <w:tcPr>
            <w:tcW w:w="562" w:type="dxa"/>
            <w:vAlign w:val="center"/>
            <w:hideMark/>
          </w:tcPr>
          <w:p w14:paraId="12472383"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13</w:t>
            </w:r>
          </w:p>
        </w:tc>
        <w:tc>
          <w:tcPr>
            <w:tcW w:w="4259" w:type="dxa"/>
            <w:vAlign w:val="bottom"/>
            <w:hideMark/>
          </w:tcPr>
          <w:p w14:paraId="4E2A23BE" w14:textId="77777777" w:rsidR="002563C9" w:rsidRPr="00D46BF5" w:rsidRDefault="002563C9">
            <w:pPr>
              <w:rPr>
                <w:rFonts w:asciiTheme="majorHAnsi" w:hAnsiTheme="majorHAnsi" w:cs="Arial"/>
                <w:sz w:val="22"/>
                <w:szCs w:val="22"/>
              </w:rPr>
            </w:pPr>
            <w:r w:rsidRPr="00D46BF5">
              <w:rPr>
                <w:rFonts w:asciiTheme="majorHAnsi" w:hAnsiTheme="majorHAnsi" w:cs="Arial"/>
                <w:sz w:val="22"/>
                <w:szCs w:val="22"/>
              </w:rPr>
              <w:t>Leave Travel Concession</w:t>
            </w:r>
          </w:p>
        </w:tc>
        <w:tc>
          <w:tcPr>
            <w:tcW w:w="1134" w:type="dxa"/>
            <w:noWrap/>
            <w:vAlign w:val="center"/>
          </w:tcPr>
          <w:p w14:paraId="06A2C003" w14:textId="1C5ADC94" w:rsidR="002563C9" w:rsidRPr="00DB7066" w:rsidRDefault="001E3E92">
            <w:pPr>
              <w:jc w:val="right"/>
              <w:rPr>
                <w:rFonts w:asciiTheme="majorHAnsi" w:hAnsiTheme="majorHAnsi" w:cs="Arial"/>
                <w:sz w:val="22"/>
                <w:szCs w:val="22"/>
              </w:rPr>
            </w:pPr>
            <w:r>
              <w:rPr>
                <w:rFonts w:asciiTheme="majorHAnsi" w:hAnsiTheme="majorHAnsi" w:cs="Arial"/>
                <w:sz w:val="22"/>
                <w:szCs w:val="22"/>
              </w:rPr>
              <w:t>-</w:t>
            </w:r>
          </w:p>
        </w:tc>
        <w:tc>
          <w:tcPr>
            <w:tcW w:w="1134" w:type="dxa"/>
            <w:noWrap/>
            <w:vAlign w:val="center"/>
          </w:tcPr>
          <w:p w14:paraId="2CACD82E" w14:textId="184829C2" w:rsidR="002563C9" w:rsidRPr="00DB7066" w:rsidRDefault="00B92B32">
            <w:pPr>
              <w:jc w:val="right"/>
              <w:rPr>
                <w:rFonts w:asciiTheme="majorHAnsi" w:hAnsiTheme="majorHAnsi" w:cs="Arial"/>
                <w:sz w:val="22"/>
                <w:szCs w:val="22"/>
              </w:rPr>
            </w:pPr>
            <w:r>
              <w:rPr>
                <w:rFonts w:asciiTheme="majorHAnsi" w:hAnsiTheme="majorHAnsi" w:cs="Arial"/>
                <w:sz w:val="22"/>
                <w:szCs w:val="22"/>
              </w:rPr>
              <w:t>-</w:t>
            </w:r>
          </w:p>
        </w:tc>
        <w:tc>
          <w:tcPr>
            <w:tcW w:w="2552" w:type="dxa"/>
            <w:vAlign w:val="center"/>
          </w:tcPr>
          <w:p w14:paraId="2F644994" w14:textId="77777777" w:rsidR="002563C9" w:rsidRPr="00DB7066" w:rsidRDefault="002563C9" w:rsidP="002563C9">
            <w:pPr>
              <w:rPr>
                <w:rFonts w:asciiTheme="majorHAnsi" w:hAnsiTheme="majorHAnsi" w:cs="Arial"/>
                <w:sz w:val="22"/>
                <w:szCs w:val="22"/>
              </w:rPr>
            </w:pPr>
          </w:p>
        </w:tc>
      </w:tr>
      <w:tr w:rsidR="002563C9" w:rsidRPr="00D46BF5" w14:paraId="400E6B0E" w14:textId="5B005E1D" w:rsidTr="0027699D">
        <w:trPr>
          <w:trHeight w:val="260"/>
        </w:trPr>
        <w:tc>
          <w:tcPr>
            <w:tcW w:w="562" w:type="dxa"/>
            <w:vAlign w:val="center"/>
            <w:hideMark/>
          </w:tcPr>
          <w:p w14:paraId="25F5DD94"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14</w:t>
            </w:r>
          </w:p>
        </w:tc>
        <w:tc>
          <w:tcPr>
            <w:tcW w:w="4259" w:type="dxa"/>
            <w:vAlign w:val="bottom"/>
            <w:hideMark/>
          </w:tcPr>
          <w:p w14:paraId="64423B19" w14:textId="77777777" w:rsidR="002563C9" w:rsidRPr="00D46BF5" w:rsidRDefault="002563C9">
            <w:pPr>
              <w:rPr>
                <w:rFonts w:asciiTheme="majorHAnsi" w:hAnsiTheme="majorHAnsi" w:cs="Arial"/>
                <w:sz w:val="22"/>
                <w:szCs w:val="22"/>
              </w:rPr>
            </w:pPr>
            <w:r w:rsidRPr="00D46BF5">
              <w:rPr>
                <w:rFonts w:asciiTheme="majorHAnsi" w:hAnsiTheme="majorHAnsi" w:cs="Arial"/>
                <w:sz w:val="22"/>
                <w:szCs w:val="22"/>
              </w:rPr>
              <w:t>Interim Relief to Staff</w:t>
            </w:r>
          </w:p>
        </w:tc>
        <w:tc>
          <w:tcPr>
            <w:tcW w:w="1134" w:type="dxa"/>
            <w:noWrap/>
            <w:vAlign w:val="center"/>
          </w:tcPr>
          <w:p w14:paraId="1BA4FC70" w14:textId="3E43F986" w:rsidR="002563C9" w:rsidRPr="00DB7066" w:rsidRDefault="0027699D">
            <w:pPr>
              <w:jc w:val="right"/>
              <w:rPr>
                <w:rFonts w:asciiTheme="majorHAnsi" w:hAnsiTheme="majorHAnsi" w:cs="Arial"/>
                <w:sz w:val="22"/>
                <w:szCs w:val="22"/>
              </w:rPr>
            </w:pPr>
            <w:r w:rsidRPr="00DB7066">
              <w:rPr>
                <w:rFonts w:asciiTheme="majorHAnsi" w:hAnsiTheme="majorHAnsi" w:cs="Arial"/>
                <w:sz w:val="22"/>
                <w:szCs w:val="22"/>
              </w:rPr>
              <w:t>-</w:t>
            </w:r>
          </w:p>
        </w:tc>
        <w:tc>
          <w:tcPr>
            <w:tcW w:w="1134" w:type="dxa"/>
            <w:noWrap/>
            <w:vAlign w:val="center"/>
          </w:tcPr>
          <w:p w14:paraId="23750757" w14:textId="4683CC0A" w:rsidR="002563C9" w:rsidRPr="00DB7066" w:rsidRDefault="005E48E7">
            <w:pPr>
              <w:jc w:val="right"/>
              <w:rPr>
                <w:rFonts w:asciiTheme="majorHAnsi" w:hAnsiTheme="majorHAnsi" w:cs="Arial"/>
                <w:sz w:val="22"/>
                <w:szCs w:val="22"/>
              </w:rPr>
            </w:pPr>
            <w:r w:rsidRPr="00DB7066">
              <w:rPr>
                <w:rFonts w:asciiTheme="majorHAnsi" w:hAnsiTheme="majorHAnsi" w:cs="Arial"/>
                <w:sz w:val="22"/>
                <w:szCs w:val="22"/>
              </w:rPr>
              <w:t>-</w:t>
            </w:r>
          </w:p>
        </w:tc>
        <w:tc>
          <w:tcPr>
            <w:tcW w:w="2552" w:type="dxa"/>
            <w:vAlign w:val="center"/>
          </w:tcPr>
          <w:p w14:paraId="382767A9" w14:textId="77777777" w:rsidR="002563C9" w:rsidRPr="00DB7066" w:rsidRDefault="002563C9" w:rsidP="002563C9">
            <w:pPr>
              <w:rPr>
                <w:rFonts w:asciiTheme="majorHAnsi" w:hAnsiTheme="majorHAnsi" w:cs="Arial"/>
                <w:sz w:val="22"/>
                <w:szCs w:val="22"/>
              </w:rPr>
            </w:pPr>
          </w:p>
        </w:tc>
      </w:tr>
      <w:tr w:rsidR="002563C9" w:rsidRPr="00D46BF5" w14:paraId="2E1EAEFF" w14:textId="23ECDED7" w:rsidTr="0027699D">
        <w:trPr>
          <w:trHeight w:val="260"/>
        </w:trPr>
        <w:tc>
          <w:tcPr>
            <w:tcW w:w="562" w:type="dxa"/>
            <w:vAlign w:val="center"/>
            <w:hideMark/>
          </w:tcPr>
          <w:p w14:paraId="042DC232"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15</w:t>
            </w:r>
          </w:p>
        </w:tc>
        <w:tc>
          <w:tcPr>
            <w:tcW w:w="4259" w:type="dxa"/>
            <w:vAlign w:val="bottom"/>
            <w:hideMark/>
          </w:tcPr>
          <w:p w14:paraId="6A7F9DED" w14:textId="7CB7AC1A" w:rsidR="002563C9" w:rsidRPr="00D46BF5" w:rsidRDefault="002563C9">
            <w:pPr>
              <w:rPr>
                <w:rFonts w:asciiTheme="majorHAnsi" w:hAnsiTheme="majorHAnsi" w:cs="Arial"/>
                <w:sz w:val="22"/>
                <w:szCs w:val="22"/>
              </w:rPr>
            </w:pPr>
            <w:r w:rsidRPr="00D46BF5">
              <w:rPr>
                <w:rFonts w:asciiTheme="majorHAnsi" w:hAnsiTheme="majorHAnsi" w:cs="Arial"/>
                <w:sz w:val="22"/>
                <w:szCs w:val="22"/>
              </w:rPr>
              <w:t>Encashment of Earned Leave</w:t>
            </w:r>
            <w:r>
              <w:rPr>
                <w:rFonts w:asciiTheme="majorHAnsi" w:hAnsiTheme="majorHAnsi" w:cs="Arial"/>
                <w:sz w:val="22"/>
                <w:szCs w:val="22"/>
              </w:rPr>
              <w:t xml:space="preserve"> </w:t>
            </w:r>
            <w:r w:rsidRPr="00D46BF5">
              <w:rPr>
                <w:rFonts w:asciiTheme="majorHAnsi" w:hAnsiTheme="majorHAnsi" w:cs="Arial"/>
                <w:sz w:val="22"/>
                <w:szCs w:val="22"/>
              </w:rPr>
              <w:t>(UL)</w:t>
            </w:r>
          </w:p>
        </w:tc>
        <w:tc>
          <w:tcPr>
            <w:tcW w:w="1134" w:type="dxa"/>
            <w:noWrap/>
            <w:vAlign w:val="center"/>
          </w:tcPr>
          <w:p w14:paraId="756260B2" w14:textId="362FB2C6" w:rsidR="002563C9" w:rsidRPr="00DB7066" w:rsidRDefault="001E3E92">
            <w:pPr>
              <w:jc w:val="right"/>
              <w:rPr>
                <w:rFonts w:asciiTheme="majorHAnsi" w:hAnsiTheme="majorHAnsi" w:cs="Arial"/>
                <w:sz w:val="22"/>
                <w:szCs w:val="22"/>
              </w:rPr>
            </w:pPr>
            <w:r>
              <w:rPr>
                <w:rFonts w:asciiTheme="majorHAnsi" w:hAnsiTheme="majorHAnsi" w:cs="Arial"/>
                <w:sz w:val="22"/>
                <w:szCs w:val="22"/>
              </w:rPr>
              <w:t>-</w:t>
            </w:r>
          </w:p>
        </w:tc>
        <w:tc>
          <w:tcPr>
            <w:tcW w:w="1134" w:type="dxa"/>
            <w:noWrap/>
            <w:vAlign w:val="center"/>
          </w:tcPr>
          <w:p w14:paraId="5A247710" w14:textId="13E210F4" w:rsidR="002563C9" w:rsidRPr="00DB7066" w:rsidRDefault="00B92B32">
            <w:pPr>
              <w:jc w:val="right"/>
              <w:rPr>
                <w:rFonts w:asciiTheme="majorHAnsi" w:hAnsiTheme="majorHAnsi" w:cs="Arial"/>
                <w:sz w:val="22"/>
                <w:szCs w:val="22"/>
              </w:rPr>
            </w:pPr>
            <w:r>
              <w:rPr>
                <w:rFonts w:asciiTheme="majorHAnsi" w:hAnsiTheme="majorHAnsi" w:cs="Arial"/>
                <w:sz w:val="22"/>
                <w:szCs w:val="22"/>
              </w:rPr>
              <w:t>-</w:t>
            </w:r>
          </w:p>
        </w:tc>
        <w:tc>
          <w:tcPr>
            <w:tcW w:w="2552" w:type="dxa"/>
            <w:vAlign w:val="center"/>
          </w:tcPr>
          <w:p w14:paraId="512DB459" w14:textId="77777777" w:rsidR="002563C9" w:rsidRPr="00DB7066" w:rsidRDefault="002563C9" w:rsidP="002563C9">
            <w:pPr>
              <w:rPr>
                <w:rFonts w:asciiTheme="majorHAnsi" w:hAnsiTheme="majorHAnsi" w:cs="Arial"/>
                <w:sz w:val="22"/>
                <w:szCs w:val="22"/>
              </w:rPr>
            </w:pPr>
          </w:p>
        </w:tc>
      </w:tr>
      <w:tr w:rsidR="002563C9" w:rsidRPr="00D46BF5" w14:paraId="54623F82" w14:textId="79EDD997" w:rsidTr="0027699D">
        <w:trPr>
          <w:trHeight w:val="260"/>
        </w:trPr>
        <w:tc>
          <w:tcPr>
            <w:tcW w:w="562" w:type="dxa"/>
            <w:vAlign w:val="center"/>
            <w:hideMark/>
          </w:tcPr>
          <w:p w14:paraId="6A2C40EE"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16</w:t>
            </w:r>
          </w:p>
        </w:tc>
        <w:tc>
          <w:tcPr>
            <w:tcW w:w="4259" w:type="dxa"/>
            <w:vAlign w:val="bottom"/>
            <w:hideMark/>
          </w:tcPr>
          <w:p w14:paraId="3EC3D190" w14:textId="77777777" w:rsidR="002563C9" w:rsidRPr="00D46BF5" w:rsidRDefault="002563C9">
            <w:pPr>
              <w:rPr>
                <w:rFonts w:asciiTheme="majorHAnsi" w:hAnsiTheme="majorHAnsi" w:cs="Arial"/>
                <w:sz w:val="22"/>
                <w:szCs w:val="22"/>
              </w:rPr>
            </w:pPr>
            <w:r w:rsidRPr="00D46BF5">
              <w:rPr>
                <w:rFonts w:asciiTheme="majorHAnsi" w:hAnsiTheme="majorHAnsi" w:cs="Arial"/>
                <w:sz w:val="22"/>
                <w:szCs w:val="22"/>
              </w:rPr>
              <w:t>Honorarium</w:t>
            </w:r>
          </w:p>
        </w:tc>
        <w:tc>
          <w:tcPr>
            <w:tcW w:w="1134" w:type="dxa"/>
            <w:noWrap/>
            <w:vAlign w:val="center"/>
          </w:tcPr>
          <w:p w14:paraId="3096AD25" w14:textId="56804781" w:rsidR="002563C9" w:rsidRPr="00DB7066" w:rsidRDefault="001E3E92">
            <w:pPr>
              <w:jc w:val="right"/>
              <w:rPr>
                <w:rFonts w:asciiTheme="majorHAnsi" w:hAnsiTheme="majorHAnsi" w:cs="Arial"/>
                <w:sz w:val="22"/>
                <w:szCs w:val="22"/>
              </w:rPr>
            </w:pPr>
            <w:r>
              <w:rPr>
                <w:rFonts w:asciiTheme="majorHAnsi" w:hAnsiTheme="majorHAnsi" w:cs="Arial"/>
                <w:sz w:val="22"/>
                <w:szCs w:val="22"/>
              </w:rPr>
              <w:t>-</w:t>
            </w:r>
          </w:p>
        </w:tc>
        <w:tc>
          <w:tcPr>
            <w:tcW w:w="1134" w:type="dxa"/>
            <w:noWrap/>
            <w:vAlign w:val="center"/>
          </w:tcPr>
          <w:p w14:paraId="1F7D349E" w14:textId="43800B7E" w:rsidR="002563C9" w:rsidRPr="00DB7066" w:rsidRDefault="00B92B32">
            <w:pPr>
              <w:jc w:val="right"/>
              <w:rPr>
                <w:rFonts w:asciiTheme="majorHAnsi" w:hAnsiTheme="majorHAnsi" w:cs="Arial"/>
                <w:sz w:val="22"/>
                <w:szCs w:val="22"/>
              </w:rPr>
            </w:pPr>
            <w:r>
              <w:rPr>
                <w:rFonts w:asciiTheme="majorHAnsi" w:hAnsiTheme="majorHAnsi" w:cs="Arial"/>
                <w:sz w:val="22"/>
                <w:szCs w:val="22"/>
              </w:rPr>
              <w:t>-</w:t>
            </w:r>
          </w:p>
        </w:tc>
        <w:tc>
          <w:tcPr>
            <w:tcW w:w="2552" w:type="dxa"/>
            <w:vAlign w:val="center"/>
          </w:tcPr>
          <w:p w14:paraId="34C1778F" w14:textId="77777777" w:rsidR="002563C9" w:rsidRPr="00DB7066" w:rsidRDefault="002563C9" w:rsidP="002563C9">
            <w:pPr>
              <w:rPr>
                <w:rFonts w:asciiTheme="majorHAnsi" w:hAnsiTheme="majorHAnsi" w:cs="Arial"/>
                <w:sz w:val="22"/>
                <w:szCs w:val="22"/>
              </w:rPr>
            </w:pPr>
          </w:p>
        </w:tc>
      </w:tr>
      <w:tr w:rsidR="002563C9" w:rsidRPr="00D46BF5" w14:paraId="5B061451" w14:textId="34C9EFFD" w:rsidTr="0027699D">
        <w:trPr>
          <w:trHeight w:val="500"/>
        </w:trPr>
        <w:tc>
          <w:tcPr>
            <w:tcW w:w="562" w:type="dxa"/>
            <w:vAlign w:val="center"/>
            <w:hideMark/>
          </w:tcPr>
          <w:p w14:paraId="582B48D9"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17</w:t>
            </w:r>
          </w:p>
        </w:tc>
        <w:tc>
          <w:tcPr>
            <w:tcW w:w="4259" w:type="dxa"/>
            <w:vAlign w:val="bottom"/>
            <w:hideMark/>
          </w:tcPr>
          <w:p w14:paraId="0F9698E2" w14:textId="77777777" w:rsidR="002563C9" w:rsidRPr="00D46BF5" w:rsidRDefault="002563C9">
            <w:pPr>
              <w:rPr>
                <w:rFonts w:asciiTheme="majorHAnsi" w:hAnsiTheme="majorHAnsi" w:cs="Arial"/>
                <w:sz w:val="22"/>
                <w:szCs w:val="22"/>
              </w:rPr>
            </w:pPr>
            <w:r w:rsidRPr="00D46BF5">
              <w:rPr>
                <w:rFonts w:asciiTheme="majorHAnsi" w:hAnsiTheme="majorHAnsi" w:cs="Arial"/>
                <w:sz w:val="22"/>
                <w:szCs w:val="22"/>
              </w:rPr>
              <w:t>Payment under Workmen compensation Act</w:t>
            </w:r>
          </w:p>
        </w:tc>
        <w:tc>
          <w:tcPr>
            <w:tcW w:w="1134" w:type="dxa"/>
            <w:noWrap/>
            <w:vAlign w:val="center"/>
          </w:tcPr>
          <w:p w14:paraId="6E885E3B" w14:textId="4800DBDE" w:rsidR="002563C9" w:rsidRPr="00DB7066" w:rsidRDefault="0027699D">
            <w:pPr>
              <w:jc w:val="right"/>
              <w:rPr>
                <w:rFonts w:asciiTheme="majorHAnsi" w:hAnsiTheme="majorHAnsi" w:cs="Arial"/>
                <w:sz w:val="22"/>
                <w:szCs w:val="22"/>
              </w:rPr>
            </w:pPr>
            <w:r w:rsidRPr="00DB7066">
              <w:rPr>
                <w:rFonts w:asciiTheme="majorHAnsi" w:hAnsiTheme="majorHAnsi" w:cs="Arial"/>
                <w:sz w:val="22"/>
                <w:szCs w:val="22"/>
              </w:rPr>
              <w:t>-</w:t>
            </w:r>
          </w:p>
        </w:tc>
        <w:tc>
          <w:tcPr>
            <w:tcW w:w="1134" w:type="dxa"/>
            <w:noWrap/>
            <w:vAlign w:val="center"/>
          </w:tcPr>
          <w:p w14:paraId="0093E3CA" w14:textId="7F21FA67" w:rsidR="002563C9" w:rsidRPr="00DB7066" w:rsidRDefault="005E48E7">
            <w:pPr>
              <w:jc w:val="right"/>
              <w:rPr>
                <w:rFonts w:asciiTheme="majorHAnsi" w:hAnsiTheme="majorHAnsi" w:cs="Arial"/>
                <w:sz w:val="22"/>
                <w:szCs w:val="22"/>
              </w:rPr>
            </w:pPr>
            <w:r w:rsidRPr="00DB7066">
              <w:rPr>
                <w:rFonts w:asciiTheme="majorHAnsi" w:hAnsiTheme="majorHAnsi" w:cs="Arial"/>
                <w:sz w:val="22"/>
                <w:szCs w:val="22"/>
              </w:rPr>
              <w:t>-</w:t>
            </w:r>
          </w:p>
        </w:tc>
        <w:tc>
          <w:tcPr>
            <w:tcW w:w="2552" w:type="dxa"/>
            <w:vAlign w:val="center"/>
          </w:tcPr>
          <w:p w14:paraId="42089D45" w14:textId="77777777" w:rsidR="002563C9" w:rsidRPr="00DB7066" w:rsidRDefault="002563C9" w:rsidP="002563C9">
            <w:pPr>
              <w:rPr>
                <w:rFonts w:asciiTheme="majorHAnsi" w:hAnsiTheme="majorHAnsi" w:cs="Arial"/>
                <w:sz w:val="22"/>
                <w:szCs w:val="22"/>
              </w:rPr>
            </w:pPr>
          </w:p>
        </w:tc>
      </w:tr>
      <w:tr w:rsidR="002563C9" w:rsidRPr="00D46BF5" w14:paraId="00C30AC3" w14:textId="354D6EFE" w:rsidTr="0027699D">
        <w:trPr>
          <w:trHeight w:val="260"/>
        </w:trPr>
        <w:tc>
          <w:tcPr>
            <w:tcW w:w="562" w:type="dxa"/>
            <w:vAlign w:val="center"/>
            <w:hideMark/>
          </w:tcPr>
          <w:p w14:paraId="13465114"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18</w:t>
            </w:r>
          </w:p>
        </w:tc>
        <w:tc>
          <w:tcPr>
            <w:tcW w:w="4259" w:type="dxa"/>
            <w:vAlign w:val="bottom"/>
            <w:hideMark/>
          </w:tcPr>
          <w:p w14:paraId="0BA12417" w14:textId="77777777" w:rsidR="002563C9" w:rsidRPr="00D46BF5" w:rsidRDefault="002563C9">
            <w:pPr>
              <w:rPr>
                <w:rFonts w:asciiTheme="majorHAnsi" w:hAnsiTheme="majorHAnsi" w:cs="Arial"/>
                <w:sz w:val="22"/>
                <w:szCs w:val="22"/>
              </w:rPr>
            </w:pPr>
            <w:r w:rsidRPr="00D46BF5">
              <w:rPr>
                <w:rFonts w:asciiTheme="majorHAnsi" w:hAnsiTheme="majorHAnsi" w:cs="Arial"/>
                <w:sz w:val="22"/>
                <w:szCs w:val="22"/>
              </w:rPr>
              <w:t>Ex-gratia/Incentive</w:t>
            </w:r>
          </w:p>
        </w:tc>
        <w:tc>
          <w:tcPr>
            <w:tcW w:w="1134" w:type="dxa"/>
            <w:noWrap/>
            <w:vAlign w:val="center"/>
          </w:tcPr>
          <w:p w14:paraId="42037612" w14:textId="4CDCE8E6" w:rsidR="002563C9" w:rsidRPr="00DB7066" w:rsidRDefault="001E3E92">
            <w:pPr>
              <w:jc w:val="right"/>
              <w:rPr>
                <w:rFonts w:asciiTheme="majorHAnsi" w:hAnsiTheme="majorHAnsi" w:cs="Arial"/>
                <w:sz w:val="22"/>
                <w:szCs w:val="22"/>
              </w:rPr>
            </w:pPr>
            <w:r>
              <w:rPr>
                <w:rFonts w:asciiTheme="majorHAnsi" w:hAnsiTheme="majorHAnsi" w:cs="Arial"/>
                <w:sz w:val="22"/>
                <w:szCs w:val="22"/>
              </w:rPr>
              <w:t>-</w:t>
            </w:r>
          </w:p>
        </w:tc>
        <w:tc>
          <w:tcPr>
            <w:tcW w:w="1134" w:type="dxa"/>
            <w:noWrap/>
            <w:vAlign w:val="center"/>
          </w:tcPr>
          <w:p w14:paraId="19D57638" w14:textId="77878756" w:rsidR="002563C9" w:rsidRPr="00DB7066" w:rsidRDefault="00B92B32">
            <w:pPr>
              <w:jc w:val="right"/>
              <w:rPr>
                <w:rFonts w:asciiTheme="majorHAnsi" w:hAnsiTheme="majorHAnsi" w:cs="Arial"/>
                <w:sz w:val="22"/>
                <w:szCs w:val="22"/>
              </w:rPr>
            </w:pPr>
            <w:r>
              <w:rPr>
                <w:rFonts w:asciiTheme="majorHAnsi" w:hAnsiTheme="majorHAnsi" w:cs="Arial"/>
                <w:sz w:val="22"/>
                <w:szCs w:val="22"/>
              </w:rPr>
              <w:t>-</w:t>
            </w:r>
          </w:p>
        </w:tc>
        <w:tc>
          <w:tcPr>
            <w:tcW w:w="2552" w:type="dxa"/>
            <w:vAlign w:val="center"/>
          </w:tcPr>
          <w:p w14:paraId="76A7D28C" w14:textId="77777777" w:rsidR="002563C9" w:rsidRPr="00DB7066" w:rsidRDefault="002563C9" w:rsidP="002563C9">
            <w:pPr>
              <w:rPr>
                <w:rFonts w:asciiTheme="majorHAnsi" w:hAnsiTheme="majorHAnsi" w:cs="Arial"/>
                <w:sz w:val="22"/>
                <w:szCs w:val="22"/>
              </w:rPr>
            </w:pPr>
          </w:p>
        </w:tc>
      </w:tr>
      <w:tr w:rsidR="002563C9" w:rsidRPr="00D46BF5" w14:paraId="008CEB5B" w14:textId="0D806F57" w:rsidTr="0027699D">
        <w:trPr>
          <w:trHeight w:val="260"/>
        </w:trPr>
        <w:tc>
          <w:tcPr>
            <w:tcW w:w="562" w:type="dxa"/>
            <w:vAlign w:val="center"/>
            <w:hideMark/>
          </w:tcPr>
          <w:p w14:paraId="55809788"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19</w:t>
            </w:r>
          </w:p>
        </w:tc>
        <w:tc>
          <w:tcPr>
            <w:tcW w:w="4259" w:type="dxa"/>
            <w:vAlign w:val="bottom"/>
            <w:hideMark/>
          </w:tcPr>
          <w:p w14:paraId="41421B31" w14:textId="2CCE189E" w:rsidR="002563C9" w:rsidRPr="00D46BF5" w:rsidRDefault="002563C9">
            <w:pPr>
              <w:rPr>
                <w:rFonts w:asciiTheme="majorHAnsi" w:hAnsiTheme="majorHAnsi" w:cs="Arial"/>
                <w:sz w:val="22"/>
                <w:szCs w:val="22"/>
              </w:rPr>
            </w:pPr>
            <w:r w:rsidRPr="00D46BF5">
              <w:rPr>
                <w:rFonts w:asciiTheme="majorHAnsi" w:hAnsiTheme="majorHAnsi" w:cs="Arial"/>
                <w:sz w:val="22"/>
                <w:szCs w:val="22"/>
              </w:rPr>
              <w:t>Miscellaneous</w:t>
            </w:r>
            <w:r w:rsidR="00B92B32">
              <w:rPr>
                <w:rFonts w:asciiTheme="majorHAnsi" w:hAnsiTheme="majorHAnsi" w:cs="Arial"/>
                <w:sz w:val="22"/>
                <w:szCs w:val="22"/>
              </w:rPr>
              <w:t xml:space="preserve"> (PF Expenses)</w:t>
            </w:r>
          </w:p>
        </w:tc>
        <w:tc>
          <w:tcPr>
            <w:tcW w:w="1134" w:type="dxa"/>
            <w:noWrap/>
            <w:vAlign w:val="center"/>
          </w:tcPr>
          <w:p w14:paraId="4987D97C" w14:textId="7550D6D0" w:rsidR="002563C9" w:rsidRPr="00DB7066" w:rsidRDefault="001E3E92">
            <w:pPr>
              <w:jc w:val="right"/>
              <w:rPr>
                <w:rFonts w:asciiTheme="majorHAnsi" w:hAnsiTheme="majorHAnsi" w:cs="Arial"/>
                <w:sz w:val="22"/>
                <w:szCs w:val="22"/>
              </w:rPr>
            </w:pPr>
            <w:r>
              <w:rPr>
                <w:rFonts w:asciiTheme="majorHAnsi" w:hAnsiTheme="majorHAnsi" w:cs="Arial"/>
                <w:sz w:val="22"/>
                <w:szCs w:val="22"/>
              </w:rPr>
              <w:t>10.13</w:t>
            </w:r>
          </w:p>
        </w:tc>
        <w:tc>
          <w:tcPr>
            <w:tcW w:w="1134" w:type="dxa"/>
            <w:noWrap/>
            <w:vAlign w:val="center"/>
          </w:tcPr>
          <w:p w14:paraId="7BAF4681" w14:textId="678E0F42" w:rsidR="002563C9" w:rsidRPr="00DB7066" w:rsidRDefault="00B92B32">
            <w:pPr>
              <w:jc w:val="right"/>
              <w:rPr>
                <w:rFonts w:asciiTheme="majorHAnsi" w:hAnsiTheme="majorHAnsi" w:cs="Arial"/>
                <w:sz w:val="22"/>
                <w:szCs w:val="22"/>
              </w:rPr>
            </w:pPr>
            <w:r>
              <w:rPr>
                <w:rFonts w:asciiTheme="majorHAnsi" w:hAnsiTheme="majorHAnsi" w:cs="Arial"/>
                <w:sz w:val="22"/>
                <w:szCs w:val="22"/>
              </w:rPr>
              <w:t>11.37</w:t>
            </w:r>
          </w:p>
        </w:tc>
        <w:tc>
          <w:tcPr>
            <w:tcW w:w="2552" w:type="dxa"/>
            <w:vAlign w:val="center"/>
          </w:tcPr>
          <w:p w14:paraId="133C157B" w14:textId="77777777" w:rsidR="002563C9" w:rsidRPr="00DB7066" w:rsidRDefault="002563C9" w:rsidP="002563C9">
            <w:pPr>
              <w:rPr>
                <w:rFonts w:asciiTheme="majorHAnsi" w:hAnsiTheme="majorHAnsi" w:cs="Arial"/>
                <w:sz w:val="22"/>
                <w:szCs w:val="22"/>
              </w:rPr>
            </w:pPr>
          </w:p>
        </w:tc>
      </w:tr>
      <w:tr w:rsidR="002563C9" w:rsidRPr="00D46BF5" w14:paraId="423EA9B7" w14:textId="4DAF829C" w:rsidTr="0027699D">
        <w:trPr>
          <w:trHeight w:val="260"/>
        </w:trPr>
        <w:tc>
          <w:tcPr>
            <w:tcW w:w="562" w:type="dxa"/>
            <w:vAlign w:val="center"/>
            <w:hideMark/>
          </w:tcPr>
          <w:p w14:paraId="392DBE01"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20</w:t>
            </w:r>
          </w:p>
        </w:tc>
        <w:tc>
          <w:tcPr>
            <w:tcW w:w="4259" w:type="dxa"/>
            <w:vAlign w:val="bottom"/>
            <w:hideMark/>
          </w:tcPr>
          <w:p w14:paraId="2ADEEBD5" w14:textId="77777777" w:rsidR="002563C9" w:rsidRPr="00D46BF5" w:rsidRDefault="002563C9">
            <w:pPr>
              <w:jc w:val="right"/>
              <w:rPr>
                <w:rFonts w:asciiTheme="majorHAnsi" w:hAnsiTheme="majorHAnsi" w:cs="Arial"/>
                <w:b/>
                <w:bCs/>
                <w:sz w:val="22"/>
                <w:szCs w:val="22"/>
              </w:rPr>
            </w:pPr>
            <w:r w:rsidRPr="00D46BF5">
              <w:rPr>
                <w:rFonts w:asciiTheme="majorHAnsi" w:hAnsiTheme="majorHAnsi" w:cs="Arial"/>
                <w:b/>
                <w:bCs/>
                <w:sz w:val="22"/>
                <w:szCs w:val="22"/>
              </w:rPr>
              <w:t>Total of other staff cost (12 to 19)</w:t>
            </w:r>
          </w:p>
        </w:tc>
        <w:tc>
          <w:tcPr>
            <w:tcW w:w="1134" w:type="dxa"/>
            <w:noWrap/>
            <w:vAlign w:val="center"/>
          </w:tcPr>
          <w:p w14:paraId="5563FC83" w14:textId="6048FE0C" w:rsidR="002563C9" w:rsidRPr="00DB7066" w:rsidRDefault="001E3E92">
            <w:pPr>
              <w:jc w:val="right"/>
              <w:rPr>
                <w:rFonts w:asciiTheme="majorHAnsi" w:hAnsiTheme="majorHAnsi" w:cs="Arial"/>
                <w:b/>
                <w:bCs/>
                <w:sz w:val="22"/>
                <w:szCs w:val="22"/>
              </w:rPr>
            </w:pPr>
            <w:r>
              <w:rPr>
                <w:rFonts w:asciiTheme="majorHAnsi" w:hAnsiTheme="majorHAnsi" w:cs="Arial"/>
                <w:b/>
                <w:bCs/>
                <w:sz w:val="22"/>
                <w:szCs w:val="22"/>
              </w:rPr>
              <w:t>15.59</w:t>
            </w:r>
          </w:p>
        </w:tc>
        <w:tc>
          <w:tcPr>
            <w:tcW w:w="1134" w:type="dxa"/>
            <w:noWrap/>
            <w:vAlign w:val="center"/>
          </w:tcPr>
          <w:p w14:paraId="77DB1849" w14:textId="40D06989" w:rsidR="002563C9" w:rsidRPr="00DB7066" w:rsidRDefault="00B92B32">
            <w:pPr>
              <w:jc w:val="right"/>
              <w:rPr>
                <w:rFonts w:asciiTheme="majorHAnsi" w:hAnsiTheme="majorHAnsi" w:cs="Arial"/>
                <w:b/>
                <w:bCs/>
                <w:sz w:val="22"/>
                <w:szCs w:val="22"/>
              </w:rPr>
            </w:pPr>
            <w:r>
              <w:rPr>
                <w:rFonts w:asciiTheme="majorHAnsi" w:hAnsiTheme="majorHAnsi" w:cs="Arial"/>
                <w:b/>
                <w:bCs/>
                <w:sz w:val="22"/>
                <w:szCs w:val="22"/>
              </w:rPr>
              <w:t>17.10</w:t>
            </w:r>
          </w:p>
        </w:tc>
        <w:tc>
          <w:tcPr>
            <w:tcW w:w="2552" w:type="dxa"/>
            <w:vAlign w:val="center"/>
          </w:tcPr>
          <w:p w14:paraId="61328C69" w14:textId="77777777" w:rsidR="002563C9" w:rsidRPr="00DB7066" w:rsidRDefault="002563C9" w:rsidP="002563C9">
            <w:pPr>
              <w:rPr>
                <w:rFonts w:asciiTheme="majorHAnsi" w:hAnsiTheme="majorHAnsi" w:cs="Arial"/>
                <w:b/>
                <w:bCs/>
                <w:sz w:val="22"/>
                <w:szCs w:val="22"/>
              </w:rPr>
            </w:pPr>
          </w:p>
        </w:tc>
      </w:tr>
      <w:tr w:rsidR="002563C9" w:rsidRPr="00D46BF5" w14:paraId="4DBB241D" w14:textId="6F40CAD7" w:rsidTr="0027699D">
        <w:trPr>
          <w:trHeight w:val="260"/>
        </w:trPr>
        <w:tc>
          <w:tcPr>
            <w:tcW w:w="562" w:type="dxa"/>
            <w:vAlign w:val="center"/>
            <w:hideMark/>
          </w:tcPr>
          <w:p w14:paraId="7901AE3D"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21</w:t>
            </w:r>
          </w:p>
        </w:tc>
        <w:tc>
          <w:tcPr>
            <w:tcW w:w="4259" w:type="dxa"/>
            <w:vAlign w:val="bottom"/>
            <w:hideMark/>
          </w:tcPr>
          <w:p w14:paraId="5086556B" w14:textId="77777777" w:rsidR="002563C9" w:rsidRPr="00D46BF5" w:rsidRDefault="002563C9">
            <w:pPr>
              <w:rPr>
                <w:rFonts w:asciiTheme="majorHAnsi" w:hAnsiTheme="majorHAnsi" w:cs="Arial"/>
                <w:sz w:val="22"/>
                <w:szCs w:val="22"/>
              </w:rPr>
            </w:pPr>
            <w:r w:rsidRPr="00D46BF5">
              <w:rPr>
                <w:rFonts w:asciiTheme="majorHAnsi" w:hAnsiTheme="majorHAnsi" w:cs="Arial"/>
                <w:sz w:val="22"/>
                <w:szCs w:val="22"/>
              </w:rPr>
              <w:t>Staff Welfare Expenses</w:t>
            </w:r>
          </w:p>
        </w:tc>
        <w:tc>
          <w:tcPr>
            <w:tcW w:w="1134" w:type="dxa"/>
            <w:noWrap/>
            <w:vAlign w:val="center"/>
          </w:tcPr>
          <w:p w14:paraId="4AA663ED" w14:textId="7C90CC9E" w:rsidR="002563C9" w:rsidRPr="00DB7066" w:rsidRDefault="001E3E92">
            <w:pPr>
              <w:jc w:val="right"/>
              <w:rPr>
                <w:rFonts w:asciiTheme="majorHAnsi" w:hAnsiTheme="majorHAnsi" w:cs="Arial"/>
                <w:sz w:val="22"/>
                <w:szCs w:val="22"/>
              </w:rPr>
            </w:pPr>
            <w:r>
              <w:rPr>
                <w:rFonts w:asciiTheme="majorHAnsi" w:hAnsiTheme="majorHAnsi" w:cs="Arial"/>
                <w:sz w:val="22"/>
                <w:szCs w:val="22"/>
              </w:rPr>
              <w:t>17.60</w:t>
            </w:r>
          </w:p>
        </w:tc>
        <w:tc>
          <w:tcPr>
            <w:tcW w:w="1134" w:type="dxa"/>
            <w:noWrap/>
            <w:vAlign w:val="center"/>
          </w:tcPr>
          <w:p w14:paraId="6C544978" w14:textId="4E48D7D3" w:rsidR="002563C9" w:rsidRPr="00DB7066" w:rsidRDefault="00B92B32">
            <w:pPr>
              <w:jc w:val="right"/>
              <w:rPr>
                <w:rFonts w:asciiTheme="majorHAnsi" w:hAnsiTheme="majorHAnsi" w:cs="Arial"/>
                <w:sz w:val="22"/>
                <w:szCs w:val="22"/>
              </w:rPr>
            </w:pPr>
            <w:r>
              <w:rPr>
                <w:rFonts w:asciiTheme="majorHAnsi" w:hAnsiTheme="majorHAnsi" w:cs="Arial"/>
                <w:sz w:val="22"/>
                <w:szCs w:val="22"/>
              </w:rPr>
              <w:t>19.86</w:t>
            </w:r>
          </w:p>
        </w:tc>
        <w:tc>
          <w:tcPr>
            <w:tcW w:w="2552" w:type="dxa"/>
            <w:vAlign w:val="center"/>
          </w:tcPr>
          <w:p w14:paraId="23B2815C" w14:textId="77777777" w:rsidR="002563C9" w:rsidRPr="00DB7066" w:rsidRDefault="002563C9" w:rsidP="002563C9">
            <w:pPr>
              <w:rPr>
                <w:rFonts w:asciiTheme="majorHAnsi" w:hAnsiTheme="majorHAnsi" w:cs="Arial"/>
                <w:sz w:val="22"/>
                <w:szCs w:val="22"/>
              </w:rPr>
            </w:pPr>
          </w:p>
        </w:tc>
      </w:tr>
      <w:tr w:rsidR="007D1404" w:rsidRPr="00D46BF5" w14:paraId="52AEF276" w14:textId="069D7768" w:rsidTr="0027699D">
        <w:trPr>
          <w:trHeight w:val="260"/>
        </w:trPr>
        <w:tc>
          <w:tcPr>
            <w:tcW w:w="562" w:type="dxa"/>
            <w:vAlign w:val="center"/>
            <w:hideMark/>
          </w:tcPr>
          <w:p w14:paraId="1F655536" w14:textId="77777777" w:rsidR="007D1404" w:rsidRPr="00D46BF5" w:rsidRDefault="007D1404">
            <w:pPr>
              <w:jc w:val="center"/>
              <w:rPr>
                <w:rFonts w:asciiTheme="majorHAnsi" w:hAnsiTheme="majorHAnsi" w:cs="Arial"/>
                <w:sz w:val="22"/>
                <w:szCs w:val="22"/>
              </w:rPr>
            </w:pPr>
            <w:r w:rsidRPr="00D46BF5">
              <w:rPr>
                <w:rFonts w:asciiTheme="majorHAnsi" w:hAnsiTheme="majorHAnsi" w:cs="Arial"/>
                <w:sz w:val="22"/>
                <w:szCs w:val="22"/>
              </w:rPr>
              <w:t>22</w:t>
            </w:r>
          </w:p>
        </w:tc>
        <w:tc>
          <w:tcPr>
            <w:tcW w:w="4259" w:type="dxa"/>
            <w:vAlign w:val="bottom"/>
            <w:hideMark/>
          </w:tcPr>
          <w:p w14:paraId="0D82C8F2" w14:textId="0147535D" w:rsidR="007D1404" w:rsidRPr="00D46BF5" w:rsidRDefault="007D1404">
            <w:pPr>
              <w:rPr>
                <w:rFonts w:asciiTheme="majorHAnsi" w:hAnsiTheme="majorHAnsi" w:cs="Arial"/>
                <w:sz w:val="22"/>
                <w:szCs w:val="22"/>
              </w:rPr>
            </w:pPr>
            <w:r>
              <w:rPr>
                <w:rFonts w:asciiTheme="majorHAnsi" w:hAnsiTheme="majorHAnsi" w:cs="Arial"/>
                <w:sz w:val="22"/>
                <w:szCs w:val="22"/>
              </w:rPr>
              <w:t>T</w:t>
            </w:r>
            <w:r w:rsidRPr="00D46BF5">
              <w:rPr>
                <w:rFonts w:asciiTheme="majorHAnsi" w:hAnsiTheme="majorHAnsi" w:cs="Arial"/>
                <w:sz w:val="22"/>
                <w:szCs w:val="22"/>
              </w:rPr>
              <w:t>erminal Benefits</w:t>
            </w:r>
            <w:r>
              <w:rPr>
                <w:rFonts w:asciiTheme="majorHAnsi" w:hAnsiTheme="majorHAnsi" w:cs="Arial"/>
                <w:sz w:val="22"/>
                <w:szCs w:val="22"/>
              </w:rPr>
              <w:t xml:space="preserve"> </w:t>
            </w:r>
            <w:r w:rsidRPr="00D46BF5">
              <w:rPr>
                <w:rFonts w:asciiTheme="majorHAnsi" w:hAnsiTheme="majorHAnsi" w:cs="Arial"/>
                <w:sz w:val="22"/>
                <w:szCs w:val="22"/>
              </w:rPr>
              <w:t>(Pension)</w:t>
            </w:r>
          </w:p>
        </w:tc>
        <w:tc>
          <w:tcPr>
            <w:tcW w:w="1134" w:type="dxa"/>
            <w:noWrap/>
            <w:vAlign w:val="center"/>
          </w:tcPr>
          <w:p w14:paraId="1DB9F649" w14:textId="15094C10" w:rsidR="007D1404" w:rsidRPr="00DB7066" w:rsidRDefault="001E3E92">
            <w:pPr>
              <w:jc w:val="right"/>
              <w:rPr>
                <w:rFonts w:asciiTheme="majorHAnsi" w:hAnsiTheme="majorHAnsi" w:cs="Arial"/>
                <w:sz w:val="22"/>
                <w:szCs w:val="22"/>
              </w:rPr>
            </w:pPr>
            <w:r>
              <w:rPr>
                <w:rFonts w:asciiTheme="majorHAnsi" w:hAnsiTheme="majorHAnsi" w:cs="Arial"/>
                <w:sz w:val="22"/>
                <w:szCs w:val="22"/>
              </w:rPr>
              <w:t>118.10</w:t>
            </w:r>
          </w:p>
        </w:tc>
        <w:tc>
          <w:tcPr>
            <w:tcW w:w="1134" w:type="dxa"/>
            <w:noWrap/>
            <w:vAlign w:val="center"/>
          </w:tcPr>
          <w:p w14:paraId="022A1B1A" w14:textId="26D5851F" w:rsidR="007D1404" w:rsidRPr="00DB7066" w:rsidRDefault="00B92B32">
            <w:pPr>
              <w:jc w:val="right"/>
              <w:rPr>
                <w:rFonts w:asciiTheme="majorHAnsi" w:hAnsiTheme="majorHAnsi" w:cs="Arial"/>
                <w:sz w:val="22"/>
                <w:szCs w:val="22"/>
              </w:rPr>
            </w:pPr>
            <w:r>
              <w:rPr>
                <w:rFonts w:asciiTheme="majorHAnsi" w:hAnsiTheme="majorHAnsi" w:cs="Arial"/>
                <w:sz w:val="22"/>
                <w:szCs w:val="22"/>
              </w:rPr>
              <w:t>123.95</w:t>
            </w:r>
          </w:p>
        </w:tc>
        <w:tc>
          <w:tcPr>
            <w:tcW w:w="2552" w:type="dxa"/>
            <w:vMerge w:val="restart"/>
            <w:vAlign w:val="center"/>
          </w:tcPr>
          <w:p w14:paraId="61FA8CCC" w14:textId="572D7F85" w:rsidR="007D1404" w:rsidRPr="00DB7066" w:rsidRDefault="007D1404" w:rsidP="002563C9">
            <w:pPr>
              <w:rPr>
                <w:rFonts w:asciiTheme="majorHAnsi" w:hAnsiTheme="majorHAnsi" w:cs="Arial"/>
                <w:sz w:val="22"/>
                <w:szCs w:val="22"/>
              </w:rPr>
            </w:pPr>
            <w:r w:rsidRPr="00DB7066">
              <w:rPr>
                <w:rFonts w:asciiTheme="majorHAnsi" w:hAnsiTheme="majorHAnsi" w:cs="Arial"/>
                <w:sz w:val="22"/>
                <w:szCs w:val="22"/>
              </w:rPr>
              <w:t>Considered on Cash Outgo basis.</w:t>
            </w:r>
          </w:p>
        </w:tc>
      </w:tr>
      <w:tr w:rsidR="007D1404" w:rsidRPr="00D46BF5" w14:paraId="68290D60" w14:textId="09C71802" w:rsidTr="0027699D">
        <w:trPr>
          <w:trHeight w:val="760"/>
        </w:trPr>
        <w:tc>
          <w:tcPr>
            <w:tcW w:w="562" w:type="dxa"/>
            <w:vAlign w:val="center"/>
            <w:hideMark/>
          </w:tcPr>
          <w:p w14:paraId="1C988883" w14:textId="77777777" w:rsidR="007D1404" w:rsidRPr="00D46BF5" w:rsidRDefault="007D1404">
            <w:pPr>
              <w:jc w:val="center"/>
              <w:rPr>
                <w:rFonts w:asciiTheme="majorHAnsi" w:hAnsiTheme="majorHAnsi" w:cs="Arial"/>
                <w:sz w:val="22"/>
                <w:szCs w:val="22"/>
              </w:rPr>
            </w:pPr>
            <w:r w:rsidRPr="00D46BF5">
              <w:rPr>
                <w:rFonts w:asciiTheme="majorHAnsi" w:hAnsiTheme="majorHAnsi" w:cs="Arial"/>
                <w:sz w:val="22"/>
                <w:szCs w:val="22"/>
              </w:rPr>
              <w:t>23</w:t>
            </w:r>
          </w:p>
        </w:tc>
        <w:tc>
          <w:tcPr>
            <w:tcW w:w="4259" w:type="dxa"/>
            <w:vAlign w:val="center"/>
            <w:hideMark/>
          </w:tcPr>
          <w:p w14:paraId="22B9D5CB" w14:textId="10A3478A" w:rsidR="007D1404" w:rsidRPr="00D46BF5" w:rsidRDefault="007D1404" w:rsidP="00464027">
            <w:pPr>
              <w:rPr>
                <w:rFonts w:asciiTheme="majorHAnsi" w:hAnsiTheme="majorHAnsi" w:cs="Arial"/>
                <w:sz w:val="22"/>
                <w:szCs w:val="22"/>
              </w:rPr>
            </w:pPr>
            <w:r w:rsidRPr="00D46BF5">
              <w:rPr>
                <w:rFonts w:asciiTheme="majorHAnsi" w:hAnsiTheme="majorHAnsi" w:cs="Arial"/>
                <w:sz w:val="22"/>
                <w:szCs w:val="22"/>
              </w:rPr>
              <w:t>Terminal Benefits</w:t>
            </w:r>
            <w:r>
              <w:rPr>
                <w:rFonts w:asciiTheme="majorHAnsi" w:hAnsiTheme="majorHAnsi" w:cs="Arial"/>
                <w:sz w:val="22"/>
                <w:szCs w:val="22"/>
              </w:rPr>
              <w:t xml:space="preserve"> </w:t>
            </w:r>
            <w:r w:rsidRPr="00D46BF5">
              <w:rPr>
                <w:rFonts w:asciiTheme="majorHAnsi" w:hAnsiTheme="majorHAnsi" w:cs="Arial"/>
                <w:sz w:val="22"/>
                <w:szCs w:val="22"/>
              </w:rPr>
              <w:t>(GRATUITY,</w:t>
            </w:r>
            <w:r>
              <w:rPr>
                <w:rFonts w:asciiTheme="majorHAnsi" w:hAnsiTheme="majorHAnsi" w:cs="Arial"/>
                <w:sz w:val="22"/>
                <w:szCs w:val="22"/>
              </w:rPr>
              <w:t xml:space="preserve"> </w:t>
            </w:r>
            <w:r w:rsidRPr="00D46BF5">
              <w:rPr>
                <w:rFonts w:asciiTheme="majorHAnsi" w:hAnsiTheme="majorHAnsi" w:cs="Arial"/>
                <w:sz w:val="22"/>
                <w:szCs w:val="22"/>
              </w:rPr>
              <w:t>Rehabilitation and UNUTILISED LEAVE)</w:t>
            </w:r>
          </w:p>
        </w:tc>
        <w:tc>
          <w:tcPr>
            <w:tcW w:w="1134" w:type="dxa"/>
            <w:noWrap/>
            <w:vAlign w:val="center"/>
          </w:tcPr>
          <w:p w14:paraId="00E597D9" w14:textId="18F5261E" w:rsidR="007D1404" w:rsidRPr="00DB7066" w:rsidRDefault="001E3E92">
            <w:pPr>
              <w:jc w:val="right"/>
              <w:rPr>
                <w:rFonts w:asciiTheme="majorHAnsi" w:hAnsiTheme="majorHAnsi" w:cs="Arial"/>
                <w:sz w:val="22"/>
                <w:szCs w:val="22"/>
              </w:rPr>
            </w:pPr>
            <w:r>
              <w:rPr>
                <w:rFonts w:asciiTheme="majorHAnsi" w:hAnsiTheme="majorHAnsi" w:cs="Arial"/>
                <w:sz w:val="22"/>
                <w:szCs w:val="22"/>
              </w:rPr>
              <w:t>18.32</w:t>
            </w:r>
          </w:p>
        </w:tc>
        <w:tc>
          <w:tcPr>
            <w:tcW w:w="1134" w:type="dxa"/>
            <w:noWrap/>
            <w:vAlign w:val="center"/>
          </w:tcPr>
          <w:p w14:paraId="02FF2059" w14:textId="68D90061" w:rsidR="007D1404" w:rsidRPr="00DB7066" w:rsidRDefault="00B92B32">
            <w:pPr>
              <w:jc w:val="right"/>
              <w:rPr>
                <w:rFonts w:asciiTheme="majorHAnsi" w:hAnsiTheme="majorHAnsi" w:cs="Arial"/>
                <w:sz w:val="22"/>
                <w:szCs w:val="22"/>
              </w:rPr>
            </w:pPr>
            <w:r>
              <w:rPr>
                <w:rFonts w:asciiTheme="majorHAnsi" w:hAnsiTheme="majorHAnsi" w:cs="Arial"/>
                <w:sz w:val="22"/>
                <w:szCs w:val="22"/>
              </w:rPr>
              <w:t>14.75</w:t>
            </w:r>
          </w:p>
        </w:tc>
        <w:tc>
          <w:tcPr>
            <w:tcW w:w="2552" w:type="dxa"/>
            <w:vMerge/>
            <w:vAlign w:val="center"/>
          </w:tcPr>
          <w:p w14:paraId="35F0BEA6" w14:textId="77777777" w:rsidR="007D1404" w:rsidRPr="00DB7066" w:rsidRDefault="007D1404" w:rsidP="002563C9">
            <w:pPr>
              <w:rPr>
                <w:rFonts w:asciiTheme="majorHAnsi" w:hAnsiTheme="majorHAnsi" w:cs="Arial"/>
                <w:sz w:val="22"/>
                <w:szCs w:val="22"/>
              </w:rPr>
            </w:pPr>
          </w:p>
        </w:tc>
      </w:tr>
      <w:tr w:rsidR="002563C9" w:rsidRPr="00D46BF5" w14:paraId="20D67CF6" w14:textId="52486621" w:rsidTr="0027699D">
        <w:trPr>
          <w:trHeight w:val="260"/>
        </w:trPr>
        <w:tc>
          <w:tcPr>
            <w:tcW w:w="562" w:type="dxa"/>
            <w:vAlign w:val="center"/>
            <w:hideMark/>
          </w:tcPr>
          <w:p w14:paraId="09F2FC93"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24</w:t>
            </w:r>
          </w:p>
        </w:tc>
        <w:tc>
          <w:tcPr>
            <w:tcW w:w="4259" w:type="dxa"/>
            <w:vAlign w:val="bottom"/>
            <w:hideMark/>
          </w:tcPr>
          <w:p w14:paraId="49D0435B" w14:textId="77777777" w:rsidR="002563C9" w:rsidRPr="00D46BF5" w:rsidRDefault="002563C9">
            <w:pPr>
              <w:rPr>
                <w:rFonts w:asciiTheme="majorHAnsi" w:hAnsiTheme="majorHAnsi" w:cs="Arial"/>
                <w:b/>
                <w:bCs/>
                <w:sz w:val="22"/>
                <w:szCs w:val="22"/>
              </w:rPr>
            </w:pPr>
            <w:r w:rsidRPr="00D46BF5">
              <w:rPr>
                <w:rFonts w:asciiTheme="majorHAnsi" w:hAnsiTheme="majorHAnsi" w:cs="Arial"/>
                <w:b/>
                <w:bCs/>
                <w:sz w:val="22"/>
                <w:szCs w:val="22"/>
              </w:rPr>
              <w:t>Total (7+11+20+21+22+23)</w:t>
            </w:r>
          </w:p>
        </w:tc>
        <w:tc>
          <w:tcPr>
            <w:tcW w:w="1134" w:type="dxa"/>
            <w:noWrap/>
            <w:vAlign w:val="center"/>
          </w:tcPr>
          <w:p w14:paraId="5B0EAC77" w14:textId="6AA161FD" w:rsidR="002563C9" w:rsidRPr="00DB7066" w:rsidRDefault="0027699D">
            <w:pPr>
              <w:jc w:val="right"/>
              <w:rPr>
                <w:rFonts w:asciiTheme="majorHAnsi" w:hAnsiTheme="majorHAnsi" w:cs="Arial"/>
                <w:b/>
                <w:bCs/>
                <w:sz w:val="22"/>
                <w:szCs w:val="22"/>
              </w:rPr>
            </w:pPr>
            <w:r w:rsidRPr="00DB7066">
              <w:rPr>
                <w:rFonts w:asciiTheme="majorHAnsi" w:hAnsiTheme="majorHAnsi" w:cs="Arial"/>
                <w:b/>
                <w:bCs/>
                <w:sz w:val="22"/>
                <w:szCs w:val="22"/>
              </w:rPr>
              <w:t>579.1</w:t>
            </w:r>
            <w:r w:rsidR="001E3E92">
              <w:rPr>
                <w:rFonts w:asciiTheme="majorHAnsi" w:hAnsiTheme="majorHAnsi" w:cs="Arial"/>
                <w:b/>
                <w:bCs/>
                <w:sz w:val="22"/>
                <w:szCs w:val="22"/>
              </w:rPr>
              <w:t>9</w:t>
            </w:r>
          </w:p>
        </w:tc>
        <w:tc>
          <w:tcPr>
            <w:tcW w:w="1134" w:type="dxa"/>
            <w:noWrap/>
            <w:vAlign w:val="center"/>
          </w:tcPr>
          <w:p w14:paraId="5CFB290C" w14:textId="0F65C1CA" w:rsidR="002563C9" w:rsidRPr="00DB7066" w:rsidRDefault="005E48E7">
            <w:pPr>
              <w:jc w:val="right"/>
              <w:rPr>
                <w:rFonts w:asciiTheme="majorHAnsi" w:hAnsiTheme="majorHAnsi" w:cs="Arial"/>
                <w:b/>
                <w:bCs/>
                <w:sz w:val="22"/>
                <w:szCs w:val="22"/>
              </w:rPr>
            </w:pPr>
            <w:r w:rsidRPr="00DB7066">
              <w:rPr>
                <w:rFonts w:asciiTheme="majorHAnsi" w:hAnsiTheme="majorHAnsi" w:cs="Arial"/>
                <w:b/>
                <w:bCs/>
                <w:sz w:val="22"/>
                <w:szCs w:val="22"/>
              </w:rPr>
              <w:t>623.3</w:t>
            </w:r>
            <w:r w:rsidR="00B92B32">
              <w:rPr>
                <w:rFonts w:asciiTheme="majorHAnsi" w:hAnsiTheme="majorHAnsi" w:cs="Arial"/>
                <w:b/>
                <w:bCs/>
                <w:sz w:val="22"/>
                <w:szCs w:val="22"/>
              </w:rPr>
              <w:t>4</w:t>
            </w:r>
          </w:p>
        </w:tc>
        <w:tc>
          <w:tcPr>
            <w:tcW w:w="2552" w:type="dxa"/>
            <w:vAlign w:val="center"/>
          </w:tcPr>
          <w:p w14:paraId="3E82D6C1" w14:textId="77777777" w:rsidR="002563C9" w:rsidRPr="00DB7066" w:rsidRDefault="002563C9" w:rsidP="002563C9">
            <w:pPr>
              <w:rPr>
                <w:rFonts w:asciiTheme="majorHAnsi" w:hAnsiTheme="majorHAnsi" w:cs="Arial"/>
                <w:b/>
                <w:bCs/>
                <w:sz w:val="22"/>
                <w:szCs w:val="22"/>
              </w:rPr>
            </w:pPr>
          </w:p>
        </w:tc>
      </w:tr>
      <w:tr w:rsidR="002563C9" w:rsidRPr="00D46BF5" w14:paraId="3E735F4B" w14:textId="3B6C446E" w:rsidTr="0027699D">
        <w:trPr>
          <w:trHeight w:val="260"/>
        </w:trPr>
        <w:tc>
          <w:tcPr>
            <w:tcW w:w="562" w:type="dxa"/>
            <w:vAlign w:val="center"/>
            <w:hideMark/>
          </w:tcPr>
          <w:p w14:paraId="5F84AD7A"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25</w:t>
            </w:r>
          </w:p>
        </w:tc>
        <w:tc>
          <w:tcPr>
            <w:tcW w:w="4259" w:type="dxa"/>
            <w:vAlign w:val="bottom"/>
            <w:hideMark/>
          </w:tcPr>
          <w:p w14:paraId="7FFFFF6D" w14:textId="01227902" w:rsidR="002563C9" w:rsidRPr="00D46BF5" w:rsidRDefault="002563C9">
            <w:pPr>
              <w:rPr>
                <w:rFonts w:asciiTheme="majorHAnsi" w:hAnsiTheme="majorHAnsi" w:cs="Arial"/>
                <w:b/>
                <w:bCs/>
                <w:sz w:val="22"/>
                <w:szCs w:val="22"/>
              </w:rPr>
            </w:pPr>
            <w:r w:rsidRPr="00D46BF5">
              <w:rPr>
                <w:rFonts w:asciiTheme="majorHAnsi" w:hAnsiTheme="majorHAnsi" w:cs="Arial"/>
                <w:b/>
                <w:bCs/>
                <w:sz w:val="22"/>
                <w:szCs w:val="22"/>
              </w:rPr>
              <w:t>Less:</w:t>
            </w:r>
            <w:r>
              <w:rPr>
                <w:rFonts w:asciiTheme="majorHAnsi" w:hAnsiTheme="majorHAnsi" w:cs="Arial"/>
                <w:b/>
                <w:bCs/>
                <w:sz w:val="22"/>
                <w:szCs w:val="22"/>
              </w:rPr>
              <w:t xml:space="preserve"> </w:t>
            </w:r>
            <w:r w:rsidRPr="00D46BF5">
              <w:rPr>
                <w:rFonts w:asciiTheme="majorHAnsi" w:hAnsiTheme="majorHAnsi" w:cs="Arial"/>
                <w:b/>
                <w:bCs/>
                <w:sz w:val="22"/>
                <w:szCs w:val="22"/>
              </w:rPr>
              <w:t>Employee cost Capitalized</w:t>
            </w:r>
          </w:p>
        </w:tc>
        <w:tc>
          <w:tcPr>
            <w:tcW w:w="1134" w:type="dxa"/>
            <w:noWrap/>
            <w:vAlign w:val="center"/>
          </w:tcPr>
          <w:p w14:paraId="7D30E6D3" w14:textId="09BA0667" w:rsidR="002563C9" w:rsidRPr="00DB7066" w:rsidRDefault="0027699D">
            <w:pPr>
              <w:jc w:val="right"/>
              <w:rPr>
                <w:rFonts w:asciiTheme="majorHAnsi" w:hAnsiTheme="majorHAnsi" w:cs="Arial"/>
                <w:b/>
                <w:bCs/>
                <w:sz w:val="22"/>
                <w:szCs w:val="22"/>
              </w:rPr>
            </w:pPr>
            <w:r w:rsidRPr="00DB7066">
              <w:rPr>
                <w:rFonts w:asciiTheme="majorHAnsi" w:hAnsiTheme="majorHAnsi" w:cs="Arial"/>
                <w:b/>
                <w:bCs/>
                <w:sz w:val="22"/>
                <w:szCs w:val="22"/>
              </w:rPr>
              <w:t>2</w:t>
            </w:r>
            <w:r w:rsidR="001E3E92">
              <w:rPr>
                <w:rFonts w:asciiTheme="majorHAnsi" w:hAnsiTheme="majorHAnsi" w:cs="Arial"/>
                <w:b/>
                <w:bCs/>
                <w:sz w:val="22"/>
                <w:szCs w:val="22"/>
              </w:rPr>
              <w:t>5.66</w:t>
            </w:r>
          </w:p>
        </w:tc>
        <w:tc>
          <w:tcPr>
            <w:tcW w:w="1134" w:type="dxa"/>
            <w:noWrap/>
            <w:vAlign w:val="center"/>
          </w:tcPr>
          <w:p w14:paraId="58143818" w14:textId="007735B1" w:rsidR="002563C9" w:rsidRPr="00DB7066" w:rsidRDefault="005E48E7">
            <w:pPr>
              <w:jc w:val="right"/>
              <w:rPr>
                <w:rFonts w:asciiTheme="majorHAnsi" w:hAnsiTheme="majorHAnsi" w:cs="Arial"/>
                <w:b/>
                <w:bCs/>
                <w:sz w:val="22"/>
                <w:szCs w:val="22"/>
              </w:rPr>
            </w:pPr>
            <w:r w:rsidRPr="00DB7066">
              <w:rPr>
                <w:rFonts w:asciiTheme="majorHAnsi" w:hAnsiTheme="majorHAnsi" w:cs="Arial"/>
                <w:b/>
                <w:bCs/>
                <w:sz w:val="22"/>
                <w:szCs w:val="22"/>
              </w:rPr>
              <w:t>2</w:t>
            </w:r>
            <w:r w:rsidR="00B92B32">
              <w:rPr>
                <w:rFonts w:asciiTheme="majorHAnsi" w:hAnsiTheme="majorHAnsi" w:cs="Arial"/>
                <w:b/>
                <w:bCs/>
                <w:sz w:val="22"/>
                <w:szCs w:val="22"/>
              </w:rPr>
              <w:t>6.94</w:t>
            </w:r>
          </w:p>
        </w:tc>
        <w:tc>
          <w:tcPr>
            <w:tcW w:w="2552" w:type="dxa"/>
            <w:vAlign w:val="center"/>
          </w:tcPr>
          <w:p w14:paraId="4389F2A6" w14:textId="77777777" w:rsidR="002563C9" w:rsidRPr="00DB7066" w:rsidRDefault="002563C9" w:rsidP="002563C9">
            <w:pPr>
              <w:rPr>
                <w:rFonts w:asciiTheme="majorHAnsi" w:hAnsiTheme="majorHAnsi" w:cs="Arial"/>
                <w:b/>
                <w:bCs/>
                <w:sz w:val="22"/>
                <w:szCs w:val="22"/>
              </w:rPr>
            </w:pPr>
          </w:p>
        </w:tc>
      </w:tr>
      <w:tr w:rsidR="002563C9" w:rsidRPr="00D46BF5" w14:paraId="7F440ADE" w14:textId="3461C5F3" w:rsidTr="0027699D">
        <w:trPr>
          <w:trHeight w:val="270"/>
        </w:trPr>
        <w:tc>
          <w:tcPr>
            <w:tcW w:w="562" w:type="dxa"/>
            <w:vAlign w:val="center"/>
            <w:hideMark/>
          </w:tcPr>
          <w:p w14:paraId="6B1B9C2E" w14:textId="77777777" w:rsidR="002563C9" w:rsidRPr="00D46BF5" w:rsidRDefault="002563C9">
            <w:pPr>
              <w:jc w:val="center"/>
              <w:rPr>
                <w:rFonts w:asciiTheme="majorHAnsi" w:hAnsiTheme="majorHAnsi" w:cs="Arial"/>
                <w:sz w:val="22"/>
                <w:szCs w:val="22"/>
              </w:rPr>
            </w:pPr>
            <w:r w:rsidRPr="00D46BF5">
              <w:rPr>
                <w:rFonts w:asciiTheme="majorHAnsi" w:hAnsiTheme="majorHAnsi" w:cs="Arial"/>
                <w:sz w:val="22"/>
                <w:szCs w:val="22"/>
              </w:rPr>
              <w:t>26</w:t>
            </w:r>
          </w:p>
        </w:tc>
        <w:tc>
          <w:tcPr>
            <w:tcW w:w="4259" w:type="dxa"/>
            <w:vAlign w:val="bottom"/>
            <w:hideMark/>
          </w:tcPr>
          <w:p w14:paraId="1D438C0C" w14:textId="77777777" w:rsidR="002563C9" w:rsidRPr="00D46BF5" w:rsidRDefault="002563C9">
            <w:pPr>
              <w:rPr>
                <w:rFonts w:asciiTheme="majorHAnsi" w:hAnsiTheme="majorHAnsi" w:cs="Arial"/>
                <w:b/>
                <w:bCs/>
                <w:sz w:val="22"/>
                <w:szCs w:val="22"/>
              </w:rPr>
            </w:pPr>
            <w:r w:rsidRPr="00D46BF5">
              <w:rPr>
                <w:rFonts w:asciiTheme="majorHAnsi" w:hAnsiTheme="majorHAnsi" w:cs="Arial"/>
                <w:b/>
                <w:bCs/>
                <w:sz w:val="22"/>
                <w:szCs w:val="22"/>
              </w:rPr>
              <w:t>Net Employee Cost</w:t>
            </w:r>
          </w:p>
        </w:tc>
        <w:tc>
          <w:tcPr>
            <w:tcW w:w="1134" w:type="dxa"/>
            <w:noWrap/>
            <w:vAlign w:val="center"/>
          </w:tcPr>
          <w:p w14:paraId="20C056C6" w14:textId="3A190483" w:rsidR="002563C9" w:rsidRPr="00DB7066" w:rsidRDefault="0027699D">
            <w:pPr>
              <w:jc w:val="right"/>
              <w:rPr>
                <w:rFonts w:asciiTheme="majorHAnsi" w:hAnsiTheme="majorHAnsi" w:cs="Arial"/>
                <w:b/>
                <w:bCs/>
                <w:sz w:val="22"/>
                <w:szCs w:val="22"/>
              </w:rPr>
            </w:pPr>
            <w:r w:rsidRPr="00DB7066">
              <w:rPr>
                <w:rFonts w:asciiTheme="majorHAnsi" w:hAnsiTheme="majorHAnsi" w:cs="Arial"/>
                <w:b/>
                <w:bCs/>
                <w:sz w:val="22"/>
                <w:szCs w:val="22"/>
              </w:rPr>
              <w:t>55</w:t>
            </w:r>
            <w:r w:rsidR="001E3E92">
              <w:rPr>
                <w:rFonts w:asciiTheme="majorHAnsi" w:hAnsiTheme="majorHAnsi" w:cs="Arial"/>
                <w:b/>
                <w:bCs/>
                <w:sz w:val="22"/>
                <w:szCs w:val="22"/>
              </w:rPr>
              <w:t>3.53</w:t>
            </w:r>
          </w:p>
        </w:tc>
        <w:tc>
          <w:tcPr>
            <w:tcW w:w="1134" w:type="dxa"/>
            <w:noWrap/>
            <w:vAlign w:val="center"/>
          </w:tcPr>
          <w:p w14:paraId="0DCDB529" w14:textId="1463E625" w:rsidR="002563C9" w:rsidRPr="00DB7066" w:rsidRDefault="00B92B32">
            <w:pPr>
              <w:jc w:val="right"/>
              <w:rPr>
                <w:rFonts w:asciiTheme="majorHAnsi" w:hAnsiTheme="majorHAnsi" w:cs="Arial"/>
                <w:b/>
                <w:bCs/>
                <w:sz w:val="22"/>
                <w:szCs w:val="22"/>
              </w:rPr>
            </w:pPr>
            <w:r>
              <w:rPr>
                <w:rFonts w:asciiTheme="majorHAnsi" w:hAnsiTheme="majorHAnsi" w:cs="Arial"/>
                <w:b/>
                <w:bCs/>
                <w:sz w:val="22"/>
                <w:szCs w:val="22"/>
              </w:rPr>
              <w:t>596.40</w:t>
            </w:r>
          </w:p>
        </w:tc>
        <w:tc>
          <w:tcPr>
            <w:tcW w:w="2552" w:type="dxa"/>
            <w:vAlign w:val="center"/>
          </w:tcPr>
          <w:p w14:paraId="25F3D51E" w14:textId="77777777" w:rsidR="002563C9" w:rsidRPr="00DB7066" w:rsidRDefault="002563C9" w:rsidP="002563C9">
            <w:pPr>
              <w:rPr>
                <w:rFonts w:asciiTheme="majorHAnsi" w:hAnsiTheme="majorHAnsi" w:cs="Arial"/>
                <w:b/>
                <w:bCs/>
                <w:sz w:val="22"/>
                <w:szCs w:val="22"/>
              </w:rPr>
            </w:pPr>
          </w:p>
        </w:tc>
      </w:tr>
    </w:tbl>
    <w:p w14:paraId="4A1052CA" w14:textId="77777777" w:rsidR="00C55CD2" w:rsidRDefault="00C55CD2" w:rsidP="001022A0">
      <w:pPr>
        <w:spacing w:line="360" w:lineRule="auto"/>
        <w:jc w:val="both"/>
        <w:rPr>
          <w:rFonts w:asciiTheme="majorHAnsi" w:hAnsiTheme="majorHAnsi"/>
        </w:rPr>
      </w:pPr>
    </w:p>
    <w:p w14:paraId="5A636707" w14:textId="6CCEDD85" w:rsidR="00EC0818" w:rsidRDefault="00EC0818" w:rsidP="001022A0">
      <w:pPr>
        <w:pStyle w:val="BodyText2"/>
        <w:spacing w:after="160" w:line="360" w:lineRule="auto"/>
        <w:jc w:val="both"/>
        <w:rPr>
          <w:rFonts w:asciiTheme="majorHAnsi" w:hAnsiTheme="majorHAnsi" w:cstheme="minorHAnsi"/>
          <w:sz w:val="24"/>
          <w:szCs w:val="24"/>
          <w:lang w:val="en-GB"/>
        </w:rPr>
      </w:pPr>
    </w:p>
    <w:p w14:paraId="57151F8A" w14:textId="77777777" w:rsidR="001E3E92" w:rsidRDefault="001E3E92" w:rsidP="001022A0">
      <w:pPr>
        <w:pStyle w:val="BodyText2"/>
        <w:spacing w:after="160" w:line="360" w:lineRule="auto"/>
        <w:jc w:val="both"/>
        <w:rPr>
          <w:rFonts w:asciiTheme="majorHAnsi" w:hAnsiTheme="majorHAnsi" w:cstheme="minorHAnsi"/>
          <w:sz w:val="24"/>
          <w:szCs w:val="24"/>
          <w:lang w:val="en-GB"/>
        </w:rPr>
      </w:pPr>
    </w:p>
    <w:p w14:paraId="323C1923" w14:textId="77777777" w:rsidR="00465174" w:rsidRPr="001022A0" w:rsidRDefault="00465174" w:rsidP="001022A0">
      <w:pPr>
        <w:pStyle w:val="BodyText2"/>
        <w:spacing w:after="160" w:line="360" w:lineRule="auto"/>
        <w:jc w:val="both"/>
        <w:rPr>
          <w:rFonts w:asciiTheme="majorHAnsi" w:hAnsiTheme="majorHAnsi" w:cstheme="minorHAnsi"/>
          <w:sz w:val="24"/>
          <w:szCs w:val="24"/>
          <w:lang w:val="en-GB"/>
        </w:rPr>
      </w:pPr>
    </w:p>
    <w:p w14:paraId="225CC511" w14:textId="70B709C1" w:rsidR="00464027" w:rsidRPr="00464027" w:rsidRDefault="00464027" w:rsidP="001022A0">
      <w:pPr>
        <w:spacing w:line="360" w:lineRule="auto"/>
        <w:jc w:val="both"/>
        <w:rPr>
          <w:rFonts w:asciiTheme="majorHAnsi" w:hAnsiTheme="majorHAnsi"/>
          <w:b/>
          <w:u w:val="single"/>
        </w:rPr>
      </w:pPr>
      <w:r w:rsidRPr="00464027">
        <w:rPr>
          <w:rFonts w:asciiTheme="majorHAnsi" w:hAnsiTheme="majorHAnsi"/>
          <w:b/>
          <w:u w:val="single"/>
        </w:rPr>
        <w:t>Justification in support of Employee Cost Estimation/Projection:</w:t>
      </w:r>
    </w:p>
    <w:p w14:paraId="2EE6E8FC" w14:textId="0082E5B3" w:rsidR="005304A5" w:rsidRPr="001022A0" w:rsidRDefault="005304A5" w:rsidP="0097212A">
      <w:pPr>
        <w:spacing w:beforeLines="100" w:before="240" w:afterLines="100" w:after="240" w:line="360" w:lineRule="auto"/>
        <w:jc w:val="both"/>
        <w:rPr>
          <w:rFonts w:asciiTheme="majorHAnsi" w:hAnsiTheme="majorHAnsi"/>
        </w:rPr>
      </w:pPr>
      <w:r w:rsidRPr="001022A0">
        <w:rPr>
          <w:rFonts w:asciiTheme="majorHAnsi" w:hAnsiTheme="majorHAnsi"/>
        </w:rPr>
        <w:t>To keep the manpower cost optimized, TPWODL has been recruiting majorly trainees - Graduate Engineer Trainees, Diploma Engineer Trainees, Commercial Trainees</w:t>
      </w:r>
      <w:r w:rsidR="001437F3">
        <w:rPr>
          <w:rFonts w:asciiTheme="majorHAnsi" w:hAnsiTheme="majorHAnsi"/>
        </w:rPr>
        <w:t xml:space="preserve"> &amp; Management Trainees</w:t>
      </w:r>
      <w:r w:rsidRPr="001022A0">
        <w:rPr>
          <w:rFonts w:asciiTheme="majorHAnsi" w:hAnsiTheme="majorHAnsi"/>
        </w:rPr>
        <w:t>. Effective management of employee costs is crucial for the financial stability and long-term viability of any organization, including power DISCOMs.</w:t>
      </w:r>
    </w:p>
    <w:p w14:paraId="6B84C6BD" w14:textId="77777777" w:rsidR="005304A5" w:rsidRPr="001022A0" w:rsidRDefault="005304A5" w:rsidP="0097212A">
      <w:pPr>
        <w:spacing w:beforeLines="100" w:before="240" w:afterLines="100" w:after="240" w:line="360" w:lineRule="auto"/>
        <w:jc w:val="both"/>
        <w:rPr>
          <w:rFonts w:asciiTheme="majorHAnsi" w:hAnsiTheme="majorHAnsi"/>
        </w:rPr>
      </w:pPr>
      <w:r w:rsidRPr="001022A0">
        <w:rPr>
          <w:rFonts w:asciiTheme="majorHAnsi" w:hAnsiTheme="majorHAnsi"/>
        </w:rPr>
        <w:t>TPWODL has also been enhancing the capabilities of its employees by providing world class training and development, engaging employees and their families throughout the year through various programs, implementing digital platform for better employee experience, implementing good health &amp; wellness program and also performance-oriented work culture for better customer services. The Licensee has continuously been focusing, developing, reinforcing and improvising work environment of TPWODL to ensure employees are happy and sufficiently challenged in their respective roles within the team. Also, to provide service with excellence to esteem consumers, following new departments were created:</w:t>
      </w:r>
    </w:p>
    <w:p w14:paraId="5FC92D88" w14:textId="57C48C4D" w:rsidR="005304A5" w:rsidRPr="00D57861" w:rsidRDefault="005304A5" w:rsidP="00541858">
      <w:pPr>
        <w:pStyle w:val="ListParagraph"/>
        <w:numPr>
          <w:ilvl w:val="3"/>
          <w:numId w:val="4"/>
        </w:numPr>
        <w:ind w:left="709" w:hanging="567"/>
        <w:rPr>
          <w:rFonts w:asciiTheme="majorHAnsi" w:hAnsiTheme="majorHAnsi"/>
          <w:sz w:val="24"/>
        </w:rPr>
      </w:pPr>
      <w:r w:rsidRPr="00D57861">
        <w:rPr>
          <w:rFonts w:asciiTheme="majorHAnsi" w:hAnsiTheme="majorHAnsi"/>
          <w:sz w:val="24"/>
        </w:rPr>
        <w:t>Sub Transmission System – STS</w:t>
      </w:r>
    </w:p>
    <w:p w14:paraId="43E49166" w14:textId="084FF30A" w:rsidR="005304A5" w:rsidRPr="00D57861" w:rsidRDefault="005304A5" w:rsidP="00541858">
      <w:pPr>
        <w:pStyle w:val="ListParagraph"/>
        <w:numPr>
          <w:ilvl w:val="3"/>
          <w:numId w:val="4"/>
        </w:numPr>
        <w:ind w:left="709" w:hanging="567"/>
        <w:rPr>
          <w:rFonts w:asciiTheme="majorHAnsi" w:hAnsiTheme="majorHAnsi"/>
          <w:sz w:val="24"/>
        </w:rPr>
      </w:pPr>
      <w:r w:rsidRPr="00D57861">
        <w:rPr>
          <w:rFonts w:asciiTheme="majorHAnsi" w:hAnsiTheme="majorHAnsi"/>
          <w:sz w:val="24"/>
        </w:rPr>
        <w:t xml:space="preserve">Safety </w:t>
      </w:r>
    </w:p>
    <w:p w14:paraId="32AACB79" w14:textId="1C2041B0" w:rsidR="005304A5" w:rsidRPr="00D57861" w:rsidRDefault="005304A5" w:rsidP="00541858">
      <w:pPr>
        <w:pStyle w:val="ListParagraph"/>
        <w:numPr>
          <w:ilvl w:val="3"/>
          <w:numId w:val="4"/>
        </w:numPr>
        <w:ind w:left="709" w:hanging="567"/>
        <w:rPr>
          <w:rFonts w:asciiTheme="majorHAnsi" w:hAnsiTheme="majorHAnsi"/>
          <w:sz w:val="24"/>
        </w:rPr>
      </w:pPr>
      <w:r w:rsidRPr="00D57861">
        <w:rPr>
          <w:rFonts w:asciiTheme="majorHAnsi" w:hAnsiTheme="majorHAnsi"/>
          <w:sz w:val="24"/>
        </w:rPr>
        <w:t>Primary Substation modernization - PSS</w:t>
      </w:r>
    </w:p>
    <w:p w14:paraId="5D4CBD7E" w14:textId="20A1F691" w:rsidR="005304A5" w:rsidRPr="00D57861" w:rsidRDefault="005304A5" w:rsidP="00541858">
      <w:pPr>
        <w:pStyle w:val="ListParagraph"/>
        <w:numPr>
          <w:ilvl w:val="3"/>
          <w:numId w:val="4"/>
        </w:numPr>
        <w:ind w:left="709" w:hanging="567"/>
        <w:rPr>
          <w:rFonts w:asciiTheme="majorHAnsi" w:hAnsiTheme="majorHAnsi"/>
          <w:sz w:val="24"/>
        </w:rPr>
      </w:pPr>
      <w:r w:rsidRPr="00D57861">
        <w:rPr>
          <w:rFonts w:asciiTheme="majorHAnsi" w:hAnsiTheme="majorHAnsi"/>
          <w:sz w:val="24"/>
        </w:rPr>
        <w:t>Primary Substation Maintenance &amp; testing - PSS(M&amp;T)</w:t>
      </w:r>
    </w:p>
    <w:p w14:paraId="640E7120" w14:textId="73A42FC9" w:rsidR="005304A5" w:rsidRPr="00D57861" w:rsidRDefault="005304A5" w:rsidP="00541858">
      <w:pPr>
        <w:pStyle w:val="ListParagraph"/>
        <w:numPr>
          <w:ilvl w:val="3"/>
          <w:numId w:val="4"/>
        </w:numPr>
        <w:ind w:left="709" w:hanging="567"/>
        <w:rPr>
          <w:rFonts w:asciiTheme="majorHAnsi" w:hAnsiTheme="majorHAnsi"/>
          <w:sz w:val="24"/>
        </w:rPr>
      </w:pPr>
      <w:r w:rsidRPr="00D57861">
        <w:rPr>
          <w:rFonts w:asciiTheme="majorHAnsi" w:hAnsiTheme="majorHAnsi"/>
          <w:sz w:val="24"/>
        </w:rPr>
        <w:t>Power System Control</w:t>
      </w:r>
      <w:r w:rsidR="00464027" w:rsidRPr="00D57861">
        <w:rPr>
          <w:rFonts w:asciiTheme="majorHAnsi" w:hAnsiTheme="majorHAnsi"/>
          <w:sz w:val="24"/>
        </w:rPr>
        <w:t xml:space="preserve"> Centre</w:t>
      </w:r>
      <w:r w:rsidRPr="00D57861">
        <w:rPr>
          <w:rFonts w:asciiTheme="majorHAnsi" w:hAnsiTheme="majorHAnsi"/>
          <w:sz w:val="24"/>
        </w:rPr>
        <w:t xml:space="preserve"> - PSC</w:t>
      </w:r>
      <w:r w:rsidR="00464027" w:rsidRPr="00D57861">
        <w:rPr>
          <w:rFonts w:asciiTheme="majorHAnsi" w:hAnsiTheme="majorHAnsi"/>
          <w:sz w:val="24"/>
        </w:rPr>
        <w:t>C</w:t>
      </w:r>
    </w:p>
    <w:p w14:paraId="1916B71D" w14:textId="0E93A63E" w:rsidR="005304A5" w:rsidRPr="00D57861" w:rsidRDefault="005304A5" w:rsidP="00541858">
      <w:pPr>
        <w:pStyle w:val="ListParagraph"/>
        <w:numPr>
          <w:ilvl w:val="3"/>
          <w:numId w:val="4"/>
        </w:numPr>
        <w:ind w:left="709" w:hanging="567"/>
        <w:rPr>
          <w:rFonts w:asciiTheme="majorHAnsi" w:hAnsiTheme="majorHAnsi"/>
          <w:sz w:val="24"/>
        </w:rPr>
      </w:pPr>
      <w:r w:rsidRPr="00D57861">
        <w:rPr>
          <w:rFonts w:asciiTheme="majorHAnsi" w:hAnsiTheme="majorHAnsi"/>
          <w:sz w:val="24"/>
        </w:rPr>
        <w:t>Automation &amp; SCADA</w:t>
      </w:r>
    </w:p>
    <w:p w14:paraId="177B88E3" w14:textId="3EC3C4E7" w:rsidR="005304A5" w:rsidRPr="00D57861" w:rsidRDefault="005304A5" w:rsidP="00541858">
      <w:pPr>
        <w:pStyle w:val="ListParagraph"/>
        <w:numPr>
          <w:ilvl w:val="3"/>
          <w:numId w:val="4"/>
        </w:numPr>
        <w:ind w:left="709" w:hanging="567"/>
        <w:rPr>
          <w:rFonts w:asciiTheme="majorHAnsi" w:hAnsiTheme="majorHAnsi"/>
          <w:sz w:val="24"/>
        </w:rPr>
      </w:pPr>
      <w:r w:rsidRPr="00D57861">
        <w:rPr>
          <w:rFonts w:asciiTheme="majorHAnsi" w:hAnsiTheme="majorHAnsi"/>
          <w:sz w:val="24"/>
        </w:rPr>
        <w:t>Geographical Information System – GIS</w:t>
      </w:r>
    </w:p>
    <w:p w14:paraId="793F2C86" w14:textId="716DC79D" w:rsidR="005304A5" w:rsidRPr="00D57861" w:rsidRDefault="005304A5" w:rsidP="00541858">
      <w:pPr>
        <w:pStyle w:val="ListParagraph"/>
        <w:numPr>
          <w:ilvl w:val="3"/>
          <w:numId w:val="4"/>
        </w:numPr>
        <w:ind w:left="709" w:hanging="567"/>
        <w:rPr>
          <w:rFonts w:asciiTheme="majorHAnsi" w:hAnsiTheme="majorHAnsi"/>
          <w:sz w:val="24"/>
        </w:rPr>
      </w:pPr>
      <w:r w:rsidRPr="00D57861">
        <w:rPr>
          <w:rFonts w:asciiTheme="majorHAnsi" w:hAnsiTheme="majorHAnsi"/>
          <w:sz w:val="24"/>
        </w:rPr>
        <w:t>Communication</w:t>
      </w:r>
    </w:p>
    <w:p w14:paraId="079C1C80" w14:textId="35A5C957" w:rsidR="005304A5" w:rsidRPr="00D57861" w:rsidRDefault="005304A5" w:rsidP="00541858">
      <w:pPr>
        <w:pStyle w:val="ListParagraph"/>
        <w:numPr>
          <w:ilvl w:val="3"/>
          <w:numId w:val="4"/>
        </w:numPr>
        <w:ind w:left="709" w:hanging="567"/>
        <w:rPr>
          <w:rFonts w:asciiTheme="majorHAnsi" w:hAnsiTheme="majorHAnsi"/>
          <w:sz w:val="24"/>
        </w:rPr>
      </w:pPr>
      <w:r w:rsidRPr="00D57861">
        <w:rPr>
          <w:rFonts w:asciiTheme="majorHAnsi" w:hAnsiTheme="majorHAnsi"/>
          <w:sz w:val="24"/>
        </w:rPr>
        <w:t>Smart Metering</w:t>
      </w:r>
    </w:p>
    <w:p w14:paraId="0AFE0BE2" w14:textId="3A5ECD39" w:rsidR="005304A5" w:rsidRPr="00D57861" w:rsidRDefault="005304A5" w:rsidP="00541858">
      <w:pPr>
        <w:pStyle w:val="ListParagraph"/>
        <w:numPr>
          <w:ilvl w:val="3"/>
          <w:numId w:val="4"/>
        </w:numPr>
        <w:ind w:left="709" w:hanging="567"/>
        <w:rPr>
          <w:rFonts w:asciiTheme="majorHAnsi" w:hAnsiTheme="majorHAnsi"/>
          <w:sz w:val="24"/>
        </w:rPr>
      </w:pPr>
      <w:r w:rsidRPr="00D57861">
        <w:rPr>
          <w:rFonts w:asciiTheme="majorHAnsi" w:hAnsiTheme="majorHAnsi"/>
          <w:sz w:val="24"/>
        </w:rPr>
        <w:t>Revenue Collection &amp; Assurance</w:t>
      </w:r>
    </w:p>
    <w:p w14:paraId="4F1A851D" w14:textId="6F405FF6" w:rsidR="005304A5" w:rsidRPr="00D57861" w:rsidRDefault="005304A5" w:rsidP="00541858">
      <w:pPr>
        <w:pStyle w:val="ListParagraph"/>
        <w:numPr>
          <w:ilvl w:val="3"/>
          <w:numId w:val="4"/>
        </w:numPr>
        <w:ind w:left="709" w:hanging="567"/>
        <w:rPr>
          <w:rFonts w:asciiTheme="majorHAnsi" w:hAnsiTheme="majorHAnsi"/>
          <w:sz w:val="24"/>
        </w:rPr>
      </w:pPr>
      <w:r w:rsidRPr="00D57861">
        <w:rPr>
          <w:rFonts w:asciiTheme="majorHAnsi" w:hAnsiTheme="majorHAnsi"/>
          <w:sz w:val="24"/>
        </w:rPr>
        <w:t>Business Excellence</w:t>
      </w:r>
    </w:p>
    <w:p w14:paraId="47718339" w14:textId="00567F50" w:rsidR="005304A5" w:rsidRPr="00D57861" w:rsidRDefault="005304A5" w:rsidP="00541858">
      <w:pPr>
        <w:pStyle w:val="ListParagraph"/>
        <w:numPr>
          <w:ilvl w:val="3"/>
          <w:numId w:val="4"/>
        </w:numPr>
        <w:ind w:left="709" w:hanging="567"/>
        <w:rPr>
          <w:rFonts w:asciiTheme="majorHAnsi" w:hAnsiTheme="majorHAnsi"/>
          <w:sz w:val="24"/>
        </w:rPr>
      </w:pPr>
      <w:r w:rsidRPr="00D57861">
        <w:rPr>
          <w:rFonts w:asciiTheme="majorHAnsi" w:hAnsiTheme="majorHAnsi"/>
          <w:sz w:val="24"/>
        </w:rPr>
        <w:t>Information Technology</w:t>
      </w:r>
    </w:p>
    <w:p w14:paraId="115ECE85" w14:textId="09288E02" w:rsidR="00EF546A" w:rsidRPr="00D57861" w:rsidRDefault="00EF546A" w:rsidP="00541858">
      <w:pPr>
        <w:pStyle w:val="ListParagraph"/>
        <w:numPr>
          <w:ilvl w:val="3"/>
          <w:numId w:val="4"/>
        </w:numPr>
        <w:ind w:left="709" w:hanging="567"/>
        <w:rPr>
          <w:rFonts w:asciiTheme="majorHAnsi" w:hAnsiTheme="majorHAnsi"/>
          <w:sz w:val="24"/>
          <w:szCs w:val="24"/>
        </w:rPr>
      </w:pPr>
      <w:r w:rsidRPr="00D57861">
        <w:rPr>
          <w:rFonts w:asciiTheme="majorHAnsi" w:hAnsiTheme="majorHAnsi"/>
          <w:sz w:val="24"/>
        </w:rPr>
        <w:t xml:space="preserve">Contracts, procurement and </w:t>
      </w:r>
      <w:r w:rsidRPr="00D57861">
        <w:rPr>
          <w:rFonts w:asciiTheme="majorHAnsi" w:hAnsiTheme="majorHAnsi"/>
          <w:sz w:val="24"/>
          <w:szCs w:val="24"/>
        </w:rPr>
        <w:t>Stores</w:t>
      </w:r>
    </w:p>
    <w:p w14:paraId="73DCA26A" w14:textId="7A708530" w:rsidR="00EF546A" w:rsidRPr="00D57861" w:rsidRDefault="00EF546A" w:rsidP="00541858">
      <w:pPr>
        <w:pStyle w:val="ListParagraph"/>
        <w:numPr>
          <w:ilvl w:val="3"/>
          <w:numId w:val="4"/>
        </w:numPr>
        <w:ind w:left="709" w:hanging="567"/>
        <w:rPr>
          <w:rFonts w:asciiTheme="majorHAnsi" w:hAnsiTheme="majorHAnsi"/>
          <w:sz w:val="24"/>
          <w:szCs w:val="24"/>
        </w:rPr>
      </w:pPr>
      <w:r w:rsidRPr="00D57861">
        <w:rPr>
          <w:rFonts w:asciiTheme="majorHAnsi" w:hAnsiTheme="majorHAnsi"/>
          <w:sz w:val="24"/>
          <w:szCs w:val="24"/>
        </w:rPr>
        <w:t>Revenue Recovery</w:t>
      </w:r>
    </w:p>
    <w:p w14:paraId="49B26F02" w14:textId="21324BA2" w:rsidR="00EF546A" w:rsidRPr="00D57861" w:rsidRDefault="00EF546A" w:rsidP="00541858">
      <w:pPr>
        <w:pStyle w:val="ListParagraph"/>
        <w:numPr>
          <w:ilvl w:val="3"/>
          <w:numId w:val="4"/>
        </w:numPr>
        <w:ind w:left="709" w:hanging="567"/>
        <w:rPr>
          <w:rFonts w:asciiTheme="majorHAnsi" w:hAnsiTheme="majorHAnsi"/>
          <w:sz w:val="24"/>
          <w:szCs w:val="24"/>
        </w:rPr>
      </w:pPr>
      <w:r w:rsidRPr="00D57861">
        <w:rPr>
          <w:rFonts w:asciiTheme="majorHAnsi" w:hAnsiTheme="majorHAnsi"/>
          <w:sz w:val="24"/>
          <w:szCs w:val="24"/>
        </w:rPr>
        <w:t>Meter Management Group</w:t>
      </w:r>
    </w:p>
    <w:p w14:paraId="218C544E" w14:textId="1EF9A231" w:rsidR="00EF546A" w:rsidRPr="00D57861" w:rsidRDefault="00EF546A" w:rsidP="00541858">
      <w:pPr>
        <w:pStyle w:val="ListParagraph"/>
        <w:numPr>
          <w:ilvl w:val="3"/>
          <w:numId w:val="4"/>
        </w:numPr>
        <w:ind w:left="709" w:hanging="567"/>
        <w:rPr>
          <w:rFonts w:asciiTheme="majorHAnsi" w:hAnsiTheme="majorHAnsi"/>
          <w:sz w:val="24"/>
          <w:szCs w:val="24"/>
        </w:rPr>
      </w:pPr>
      <w:r w:rsidRPr="00D57861">
        <w:rPr>
          <w:rFonts w:asciiTheme="majorHAnsi" w:hAnsiTheme="majorHAnsi"/>
          <w:sz w:val="24"/>
          <w:szCs w:val="24"/>
        </w:rPr>
        <w:t>Connection Management Group</w:t>
      </w:r>
    </w:p>
    <w:p w14:paraId="68C40BCE" w14:textId="39877240" w:rsidR="005304A5" w:rsidRPr="00D57861" w:rsidRDefault="00EF546A" w:rsidP="00541858">
      <w:pPr>
        <w:pStyle w:val="ListParagraph"/>
        <w:numPr>
          <w:ilvl w:val="3"/>
          <w:numId w:val="4"/>
        </w:numPr>
        <w:ind w:left="709" w:hanging="567"/>
        <w:jc w:val="both"/>
        <w:rPr>
          <w:rFonts w:asciiTheme="majorHAnsi" w:hAnsiTheme="majorHAnsi"/>
          <w:color w:val="FF0000"/>
          <w:sz w:val="24"/>
          <w:szCs w:val="24"/>
        </w:rPr>
      </w:pPr>
      <w:r w:rsidRPr="00D57861">
        <w:rPr>
          <w:rFonts w:asciiTheme="majorHAnsi" w:hAnsiTheme="majorHAnsi"/>
          <w:sz w:val="24"/>
          <w:szCs w:val="24"/>
        </w:rPr>
        <w:t>Enforcement Assessment Group</w:t>
      </w:r>
    </w:p>
    <w:p w14:paraId="4405BF78" w14:textId="5E641ED2" w:rsidR="005304A5" w:rsidRPr="001022A0" w:rsidRDefault="005304A5" w:rsidP="001022A0">
      <w:pPr>
        <w:spacing w:line="360" w:lineRule="auto"/>
        <w:jc w:val="both"/>
        <w:rPr>
          <w:rFonts w:asciiTheme="majorHAnsi" w:hAnsiTheme="majorHAnsi"/>
        </w:rPr>
      </w:pPr>
      <w:r w:rsidRPr="001022A0">
        <w:rPr>
          <w:rFonts w:asciiTheme="majorHAnsi" w:hAnsiTheme="majorHAnsi"/>
        </w:rPr>
        <w:t xml:space="preserve">TPWODL has also recruited skilled manpower, mostly from State of Odisha, under various categories to strengthen the existing workforce. At present, TPWODL is recruiting </w:t>
      </w:r>
      <w:r w:rsidR="00A20854">
        <w:rPr>
          <w:rFonts w:asciiTheme="majorHAnsi" w:hAnsiTheme="majorHAnsi"/>
        </w:rPr>
        <w:t>keeping in mind, the</w:t>
      </w:r>
      <w:r w:rsidRPr="001022A0">
        <w:rPr>
          <w:rFonts w:asciiTheme="majorHAnsi" w:hAnsiTheme="majorHAnsi"/>
        </w:rPr>
        <w:t xml:space="preserve"> Hon’ble Commission</w:t>
      </w:r>
      <w:r w:rsidR="00DE77AC">
        <w:rPr>
          <w:rFonts w:asciiTheme="majorHAnsi" w:hAnsiTheme="majorHAnsi"/>
        </w:rPr>
        <w:t>’</w:t>
      </w:r>
      <w:r w:rsidRPr="001022A0">
        <w:rPr>
          <w:rFonts w:asciiTheme="majorHAnsi" w:hAnsiTheme="majorHAnsi"/>
        </w:rPr>
        <w:t>s approval i.e., 1.40 staff member per 1000 customer. However, this figure is below the permissible limit of recruitment (i.e</w:t>
      </w:r>
      <w:r w:rsidR="00344238">
        <w:rPr>
          <w:rFonts w:asciiTheme="majorHAnsi" w:hAnsiTheme="majorHAnsi"/>
        </w:rPr>
        <w:t>.</w:t>
      </w:r>
      <w:r w:rsidRPr="001022A0">
        <w:rPr>
          <w:rFonts w:asciiTheme="majorHAnsi" w:hAnsiTheme="majorHAnsi"/>
        </w:rPr>
        <w:t xml:space="preserve"> </w:t>
      </w:r>
      <w:r w:rsidRPr="001022A0">
        <w:rPr>
          <w:rFonts w:asciiTheme="majorHAnsi" w:hAnsiTheme="majorHAnsi"/>
          <w:b/>
          <w:bCs/>
        </w:rPr>
        <w:t>2.47 staff members per 1000 customers in India as per study report given by M/s Smart power India and Rockefeller Foundation in partnership with NITI Aayog in Oct-20</w:t>
      </w:r>
      <w:r w:rsidRPr="001022A0">
        <w:rPr>
          <w:rFonts w:asciiTheme="majorHAnsi" w:hAnsiTheme="majorHAnsi"/>
        </w:rPr>
        <w:t>) which is applicable for DISCOMs based in urban area. Further, the Hon’ble Commission at para 104 of RST Order dated 23.03.2023 has held as under:</w:t>
      </w:r>
    </w:p>
    <w:p w14:paraId="7F91123F" w14:textId="06F21B72" w:rsidR="00EF546A" w:rsidRPr="0097212A" w:rsidRDefault="005304A5" w:rsidP="00EF546A">
      <w:pPr>
        <w:ind w:left="720"/>
        <w:jc w:val="both"/>
        <w:rPr>
          <w:rFonts w:asciiTheme="majorHAnsi" w:hAnsiTheme="majorHAnsi"/>
          <w:i/>
          <w:iCs/>
          <w:sz w:val="22"/>
          <w:szCs w:val="22"/>
        </w:rPr>
      </w:pPr>
      <w:r w:rsidRPr="0097212A">
        <w:rPr>
          <w:rFonts w:asciiTheme="majorHAnsi" w:hAnsiTheme="majorHAnsi"/>
          <w:i/>
          <w:iCs/>
          <w:sz w:val="22"/>
          <w:szCs w:val="22"/>
        </w:rPr>
        <w:t>“104. The Commission had earlier analy</w:t>
      </w:r>
      <w:r w:rsidR="00EF546A" w:rsidRPr="0097212A">
        <w:rPr>
          <w:rFonts w:asciiTheme="majorHAnsi" w:hAnsiTheme="majorHAnsi"/>
          <w:i/>
          <w:iCs/>
          <w:sz w:val="22"/>
          <w:szCs w:val="22"/>
        </w:rPr>
        <w:t>z</w:t>
      </w:r>
      <w:r w:rsidRPr="0097212A">
        <w:rPr>
          <w:rFonts w:asciiTheme="majorHAnsi" w:hAnsiTheme="majorHAnsi"/>
          <w:i/>
          <w:iCs/>
          <w:sz w:val="22"/>
          <w:szCs w:val="22"/>
        </w:rPr>
        <w:t xml:space="preserve">ed the manpower position, retirements and number of consumers for each DISCOMs. A comparison was made regarding the manpower position vis-à-vis the consumers in each DISCOM in Odisha with that of the various DISCOMs in the country. It was found that in most of the DISCOMs of the country, the manpower position varies from </w:t>
      </w:r>
      <w:r w:rsidRPr="0097212A">
        <w:rPr>
          <w:rFonts w:asciiTheme="majorHAnsi" w:hAnsiTheme="majorHAnsi"/>
          <w:b/>
          <w:bCs/>
          <w:i/>
          <w:iCs/>
          <w:sz w:val="22"/>
          <w:szCs w:val="22"/>
        </w:rPr>
        <w:t>1.5 per 1000 consumers to 1.75</w:t>
      </w:r>
      <w:r w:rsidRPr="0097212A">
        <w:rPr>
          <w:rFonts w:asciiTheme="majorHAnsi" w:hAnsiTheme="majorHAnsi"/>
          <w:i/>
          <w:iCs/>
          <w:sz w:val="22"/>
          <w:szCs w:val="22"/>
        </w:rPr>
        <w:t>.”</w:t>
      </w:r>
    </w:p>
    <w:p w14:paraId="7A363874" w14:textId="77777777" w:rsidR="00EF546A" w:rsidRPr="00EF546A" w:rsidRDefault="00EF546A" w:rsidP="00EF546A">
      <w:pPr>
        <w:ind w:left="720"/>
        <w:jc w:val="both"/>
        <w:rPr>
          <w:rFonts w:asciiTheme="majorHAnsi" w:hAnsiTheme="majorHAnsi"/>
          <w:iCs/>
        </w:rPr>
      </w:pPr>
    </w:p>
    <w:p w14:paraId="2E9A8156" w14:textId="77777777" w:rsidR="005304A5" w:rsidRPr="001022A0" w:rsidRDefault="005304A5" w:rsidP="001022A0">
      <w:pPr>
        <w:spacing w:line="360" w:lineRule="auto"/>
        <w:jc w:val="both"/>
        <w:rPr>
          <w:rFonts w:asciiTheme="majorHAnsi" w:hAnsiTheme="majorHAnsi"/>
        </w:rPr>
      </w:pPr>
      <w:r w:rsidRPr="001022A0">
        <w:rPr>
          <w:rFonts w:asciiTheme="majorHAnsi" w:hAnsiTheme="majorHAnsi"/>
          <w:b/>
          <w:bCs/>
        </w:rPr>
        <w:t>Gender Ratio:</w:t>
      </w:r>
      <w:r w:rsidRPr="001022A0">
        <w:rPr>
          <w:rFonts w:asciiTheme="majorHAnsi" w:hAnsiTheme="majorHAnsi"/>
        </w:rPr>
        <w:t xml:space="preserve"> The licensee has also ensured female participation in overall manpower and today female gender ratio is of 8% against 5% earlier.</w:t>
      </w:r>
    </w:p>
    <w:p w14:paraId="78608F10" w14:textId="5BBFECB0" w:rsidR="005304A5" w:rsidRPr="001022A0" w:rsidRDefault="005304A5" w:rsidP="001022A0">
      <w:pPr>
        <w:spacing w:line="360" w:lineRule="auto"/>
        <w:jc w:val="both"/>
        <w:rPr>
          <w:rFonts w:asciiTheme="majorHAnsi" w:hAnsiTheme="majorHAnsi"/>
        </w:rPr>
      </w:pPr>
      <w:r w:rsidRPr="001022A0">
        <w:rPr>
          <w:rFonts w:asciiTheme="majorHAnsi" w:hAnsiTheme="majorHAnsi"/>
          <w:b/>
          <w:bCs/>
        </w:rPr>
        <w:t>State Domicile Ratio:</w:t>
      </w:r>
      <w:r w:rsidRPr="001022A0">
        <w:rPr>
          <w:rFonts w:asciiTheme="majorHAnsi" w:hAnsiTheme="majorHAnsi"/>
        </w:rPr>
        <w:t xml:space="preserve"> The Company has recruited most of the employees who are native of Odisha and as on date we are having 88% of employees who are from Odisha</w:t>
      </w:r>
      <w:r w:rsidR="00006789">
        <w:rPr>
          <w:rFonts w:asciiTheme="majorHAnsi" w:hAnsiTheme="majorHAnsi"/>
        </w:rPr>
        <w:t xml:space="preserve"> including 50% of employees from western Odisha</w:t>
      </w:r>
      <w:r w:rsidR="00336342">
        <w:rPr>
          <w:rFonts w:asciiTheme="majorHAnsi" w:hAnsiTheme="majorHAnsi"/>
        </w:rPr>
        <w:t xml:space="preserve"> &amp; 37% employees from rest of Odisha</w:t>
      </w:r>
      <w:r w:rsidRPr="001022A0">
        <w:rPr>
          <w:rFonts w:asciiTheme="majorHAnsi" w:hAnsiTheme="majorHAnsi"/>
        </w:rPr>
        <w:t>.</w:t>
      </w:r>
    </w:p>
    <w:p w14:paraId="2B5D5C50" w14:textId="77777777" w:rsidR="005304A5" w:rsidRPr="001022A0" w:rsidRDefault="005304A5" w:rsidP="001022A0">
      <w:pPr>
        <w:spacing w:line="360" w:lineRule="auto"/>
        <w:jc w:val="both"/>
        <w:rPr>
          <w:rFonts w:asciiTheme="majorHAnsi" w:hAnsiTheme="majorHAnsi"/>
        </w:rPr>
      </w:pPr>
      <w:r w:rsidRPr="001022A0">
        <w:rPr>
          <w:rFonts w:asciiTheme="majorHAnsi" w:hAnsiTheme="majorHAnsi"/>
        </w:rPr>
        <w:t>The Tariff Regulations, 2022 stipulates the following:</w:t>
      </w:r>
    </w:p>
    <w:p w14:paraId="37AB3A83" w14:textId="77777777" w:rsidR="005304A5" w:rsidRPr="0097212A" w:rsidRDefault="005304A5" w:rsidP="005304A5">
      <w:pPr>
        <w:ind w:left="720"/>
        <w:jc w:val="both"/>
        <w:rPr>
          <w:rFonts w:asciiTheme="majorHAnsi" w:hAnsiTheme="majorHAnsi"/>
          <w:i/>
          <w:iCs/>
          <w:sz w:val="22"/>
        </w:rPr>
      </w:pPr>
      <w:r w:rsidRPr="0097212A">
        <w:rPr>
          <w:rFonts w:asciiTheme="majorHAnsi" w:hAnsiTheme="majorHAnsi"/>
          <w:i/>
          <w:iCs/>
          <w:sz w:val="22"/>
        </w:rPr>
        <w:t>“Employees of erstwhile DISCOMs</w:t>
      </w:r>
    </w:p>
    <w:p w14:paraId="3EF07813" w14:textId="77777777" w:rsidR="005304A5" w:rsidRPr="0097212A" w:rsidRDefault="005304A5" w:rsidP="005304A5">
      <w:pPr>
        <w:ind w:left="720"/>
        <w:jc w:val="both"/>
        <w:rPr>
          <w:rFonts w:asciiTheme="majorHAnsi" w:hAnsiTheme="majorHAnsi"/>
          <w:i/>
          <w:iCs/>
          <w:sz w:val="22"/>
        </w:rPr>
      </w:pPr>
      <w:r w:rsidRPr="0097212A">
        <w:rPr>
          <w:rFonts w:asciiTheme="majorHAnsi" w:hAnsiTheme="majorHAnsi"/>
          <w:i/>
          <w:iCs/>
          <w:sz w:val="22"/>
        </w:rPr>
        <w:t>3.9.4. The Employee Expenses such as Salary, Terminal benefit and Liabilities of erstwhile DISCOMs, shall be serviced as per terms and conditions of the Vesting Orders.</w:t>
      </w:r>
    </w:p>
    <w:p w14:paraId="2A3B4B7E" w14:textId="77777777" w:rsidR="005304A5" w:rsidRPr="0097212A" w:rsidRDefault="005304A5" w:rsidP="005304A5">
      <w:pPr>
        <w:ind w:left="720"/>
        <w:jc w:val="both"/>
        <w:rPr>
          <w:rFonts w:asciiTheme="majorHAnsi" w:hAnsiTheme="majorHAnsi"/>
          <w:i/>
          <w:iCs/>
          <w:sz w:val="22"/>
        </w:rPr>
      </w:pPr>
      <w:r w:rsidRPr="0097212A">
        <w:rPr>
          <w:rFonts w:asciiTheme="majorHAnsi" w:hAnsiTheme="majorHAnsi"/>
          <w:i/>
          <w:iCs/>
          <w:sz w:val="22"/>
        </w:rPr>
        <w:t>3.9.5. As all the employees of erstwhile DISCOMs have been transferred to new Distribution Licensees from the effective date as per the Vesting Orders, the corresponding liabilities towards pension, gratuity, leave encashment and provident fund of such employees (the “Employees’ Liabilities”) have also been transferred to new Distribution Licensees.</w:t>
      </w:r>
    </w:p>
    <w:p w14:paraId="3FCBEB67" w14:textId="77777777" w:rsidR="005304A5" w:rsidRPr="0097212A" w:rsidRDefault="005304A5" w:rsidP="005304A5">
      <w:pPr>
        <w:ind w:left="720"/>
        <w:jc w:val="both"/>
        <w:rPr>
          <w:rFonts w:asciiTheme="majorHAnsi" w:hAnsiTheme="majorHAnsi"/>
          <w:i/>
          <w:iCs/>
          <w:sz w:val="22"/>
        </w:rPr>
      </w:pPr>
      <w:r w:rsidRPr="0097212A">
        <w:rPr>
          <w:rFonts w:asciiTheme="majorHAnsi" w:hAnsiTheme="majorHAnsi"/>
          <w:i/>
          <w:iCs/>
          <w:sz w:val="22"/>
        </w:rPr>
        <w:t>…..</w:t>
      </w:r>
    </w:p>
    <w:p w14:paraId="0D12A4F7" w14:textId="77777777" w:rsidR="005304A5" w:rsidRPr="0097212A" w:rsidRDefault="005304A5" w:rsidP="005304A5">
      <w:pPr>
        <w:ind w:left="720"/>
        <w:jc w:val="both"/>
        <w:rPr>
          <w:rFonts w:asciiTheme="majorHAnsi" w:hAnsiTheme="majorHAnsi"/>
          <w:i/>
          <w:iCs/>
          <w:sz w:val="22"/>
        </w:rPr>
      </w:pPr>
      <w:r w:rsidRPr="0097212A">
        <w:rPr>
          <w:rFonts w:asciiTheme="majorHAnsi" w:hAnsiTheme="majorHAnsi"/>
          <w:i/>
          <w:iCs/>
          <w:sz w:val="22"/>
        </w:rPr>
        <w:t>Employees recruited after Effective Date</w:t>
      </w:r>
    </w:p>
    <w:p w14:paraId="1F4F4357" w14:textId="77777777" w:rsidR="005304A5" w:rsidRPr="0097212A" w:rsidRDefault="005304A5" w:rsidP="005304A5">
      <w:pPr>
        <w:ind w:left="720"/>
        <w:jc w:val="both"/>
        <w:rPr>
          <w:rFonts w:asciiTheme="majorHAnsi" w:hAnsiTheme="majorHAnsi"/>
          <w:i/>
          <w:iCs/>
          <w:sz w:val="22"/>
        </w:rPr>
      </w:pPr>
      <w:r w:rsidRPr="0097212A">
        <w:rPr>
          <w:rFonts w:asciiTheme="majorHAnsi" w:hAnsiTheme="majorHAnsi"/>
          <w:i/>
          <w:iCs/>
          <w:sz w:val="22"/>
        </w:rPr>
        <w:t>…..</w:t>
      </w:r>
    </w:p>
    <w:p w14:paraId="3ED72F81" w14:textId="77777777" w:rsidR="005304A5" w:rsidRPr="0097212A" w:rsidRDefault="005304A5" w:rsidP="005304A5">
      <w:pPr>
        <w:ind w:left="720"/>
        <w:jc w:val="both"/>
        <w:rPr>
          <w:rFonts w:asciiTheme="majorHAnsi" w:hAnsiTheme="majorHAnsi"/>
          <w:i/>
          <w:iCs/>
          <w:sz w:val="22"/>
        </w:rPr>
      </w:pPr>
      <w:r w:rsidRPr="0097212A">
        <w:rPr>
          <w:rFonts w:asciiTheme="majorHAnsi" w:hAnsiTheme="majorHAnsi"/>
          <w:i/>
          <w:iCs/>
          <w:sz w:val="22"/>
        </w:rPr>
        <w:t>3.9.10. The expenses for the employees recruited after Effective Date shall be determined based on the formula shown below:</w:t>
      </w:r>
    </w:p>
    <w:p w14:paraId="60464BF7" w14:textId="77777777" w:rsidR="005304A5" w:rsidRPr="0097212A" w:rsidRDefault="005304A5" w:rsidP="005304A5">
      <w:pPr>
        <w:ind w:left="720"/>
        <w:jc w:val="both"/>
        <w:rPr>
          <w:rFonts w:asciiTheme="majorHAnsi" w:hAnsiTheme="majorHAnsi"/>
          <w:i/>
          <w:iCs/>
          <w:sz w:val="22"/>
        </w:rPr>
      </w:pPr>
      <w:proofErr w:type="spellStart"/>
      <w:r w:rsidRPr="0097212A">
        <w:rPr>
          <w:rFonts w:asciiTheme="majorHAnsi" w:hAnsiTheme="majorHAnsi"/>
          <w:i/>
          <w:iCs/>
          <w:sz w:val="22"/>
        </w:rPr>
        <w:t>EMP</w:t>
      </w:r>
      <w:r w:rsidRPr="0097212A">
        <w:rPr>
          <w:rFonts w:asciiTheme="majorHAnsi" w:hAnsiTheme="majorHAnsi"/>
          <w:i/>
          <w:iCs/>
          <w:sz w:val="22"/>
          <w:vertAlign w:val="subscript"/>
        </w:rPr>
        <w:t>n</w:t>
      </w:r>
      <w:proofErr w:type="spellEnd"/>
      <w:r w:rsidRPr="0097212A">
        <w:rPr>
          <w:rFonts w:asciiTheme="majorHAnsi" w:hAnsiTheme="majorHAnsi"/>
          <w:i/>
          <w:iCs/>
          <w:sz w:val="22"/>
        </w:rPr>
        <w:t xml:space="preserve"> = EMP</w:t>
      </w:r>
      <w:r w:rsidRPr="0097212A">
        <w:rPr>
          <w:rFonts w:asciiTheme="majorHAnsi" w:hAnsiTheme="majorHAnsi"/>
          <w:i/>
          <w:iCs/>
          <w:sz w:val="22"/>
          <w:vertAlign w:val="subscript"/>
        </w:rPr>
        <w:t>n-1</w:t>
      </w:r>
      <w:r w:rsidRPr="0097212A">
        <w:rPr>
          <w:rFonts w:asciiTheme="majorHAnsi" w:hAnsiTheme="majorHAnsi"/>
          <w:i/>
          <w:iCs/>
          <w:sz w:val="22"/>
        </w:rPr>
        <w:t>x (1+Index</w:t>
      </w:r>
      <w:r w:rsidRPr="0097212A">
        <w:rPr>
          <w:rFonts w:asciiTheme="majorHAnsi" w:hAnsiTheme="majorHAnsi"/>
          <w:i/>
          <w:iCs/>
          <w:sz w:val="22"/>
          <w:vertAlign w:val="subscript"/>
        </w:rPr>
        <w:t>Escn</w:t>
      </w:r>
      <w:r w:rsidRPr="0097212A">
        <w:rPr>
          <w:rFonts w:asciiTheme="majorHAnsi" w:hAnsiTheme="majorHAnsi"/>
          <w:i/>
          <w:iCs/>
          <w:sz w:val="22"/>
        </w:rPr>
        <w:t>)</w:t>
      </w:r>
    </w:p>
    <w:p w14:paraId="03DD3659" w14:textId="77777777" w:rsidR="005304A5" w:rsidRPr="0097212A" w:rsidRDefault="005304A5" w:rsidP="005304A5">
      <w:pPr>
        <w:ind w:left="720"/>
        <w:jc w:val="both"/>
        <w:rPr>
          <w:rFonts w:asciiTheme="majorHAnsi" w:hAnsiTheme="majorHAnsi"/>
          <w:i/>
          <w:iCs/>
          <w:sz w:val="22"/>
        </w:rPr>
      </w:pPr>
      <w:r w:rsidRPr="0097212A">
        <w:rPr>
          <w:rFonts w:asciiTheme="majorHAnsi" w:hAnsiTheme="majorHAnsi"/>
          <w:i/>
          <w:iCs/>
          <w:sz w:val="22"/>
        </w:rPr>
        <w:t>where,</w:t>
      </w:r>
    </w:p>
    <w:p w14:paraId="587AB239" w14:textId="77777777" w:rsidR="005304A5" w:rsidRPr="0097212A" w:rsidRDefault="005304A5" w:rsidP="005304A5">
      <w:pPr>
        <w:ind w:left="720"/>
        <w:jc w:val="both"/>
        <w:rPr>
          <w:rFonts w:asciiTheme="majorHAnsi" w:hAnsiTheme="majorHAnsi"/>
          <w:i/>
          <w:iCs/>
          <w:sz w:val="22"/>
        </w:rPr>
      </w:pPr>
      <w:proofErr w:type="spellStart"/>
      <w:r w:rsidRPr="0097212A">
        <w:rPr>
          <w:rFonts w:asciiTheme="majorHAnsi" w:hAnsiTheme="majorHAnsi"/>
          <w:i/>
          <w:iCs/>
          <w:sz w:val="22"/>
        </w:rPr>
        <w:t>EMP</w:t>
      </w:r>
      <w:r w:rsidRPr="0097212A">
        <w:rPr>
          <w:rFonts w:asciiTheme="majorHAnsi" w:hAnsiTheme="majorHAnsi"/>
          <w:i/>
          <w:iCs/>
          <w:sz w:val="22"/>
          <w:vertAlign w:val="subscript"/>
        </w:rPr>
        <w:t>n</w:t>
      </w:r>
      <w:proofErr w:type="spellEnd"/>
      <w:r w:rsidRPr="0097212A">
        <w:rPr>
          <w:rFonts w:asciiTheme="majorHAnsi" w:hAnsiTheme="majorHAnsi"/>
          <w:i/>
          <w:iCs/>
          <w:sz w:val="22"/>
        </w:rPr>
        <w:t>: Employee Cost of Distribution Licensee for the ensuing year;</w:t>
      </w:r>
    </w:p>
    <w:p w14:paraId="76140FE4" w14:textId="77777777" w:rsidR="005304A5" w:rsidRPr="0097212A" w:rsidRDefault="005304A5" w:rsidP="005304A5">
      <w:pPr>
        <w:ind w:left="720"/>
        <w:jc w:val="both"/>
        <w:rPr>
          <w:rFonts w:asciiTheme="majorHAnsi" w:hAnsiTheme="majorHAnsi"/>
          <w:i/>
          <w:iCs/>
          <w:sz w:val="22"/>
        </w:rPr>
      </w:pPr>
      <w:r w:rsidRPr="0097212A">
        <w:rPr>
          <w:rFonts w:asciiTheme="majorHAnsi" w:hAnsiTheme="majorHAnsi"/>
          <w:i/>
          <w:iCs/>
          <w:sz w:val="22"/>
        </w:rPr>
        <w:t>EMP</w:t>
      </w:r>
      <w:r w:rsidRPr="0097212A">
        <w:rPr>
          <w:rFonts w:asciiTheme="majorHAnsi" w:hAnsiTheme="majorHAnsi"/>
          <w:i/>
          <w:iCs/>
          <w:sz w:val="22"/>
          <w:vertAlign w:val="subscript"/>
        </w:rPr>
        <w:t>n-1</w:t>
      </w:r>
      <w:r w:rsidRPr="0097212A">
        <w:rPr>
          <w:rFonts w:asciiTheme="majorHAnsi" w:hAnsiTheme="majorHAnsi"/>
          <w:i/>
          <w:iCs/>
          <w:sz w:val="22"/>
        </w:rPr>
        <w:t>: Approved Employee Cost of Distribution Licensee for the year preceding ensuing year;</w:t>
      </w:r>
    </w:p>
    <w:p w14:paraId="7AB2A033" w14:textId="77777777" w:rsidR="005304A5" w:rsidRPr="0097212A" w:rsidRDefault="005304A5" w:rsidP="005304A5">
      <w:pPr>
        <w:ind w:left="720"/>
        <w:jc w:val="both"/>
        <w:rPr>
          <w:rFonts w:asciiTheme="majorHAnsi" w:hAnsiTheme="majorHAnsi"/>
          <w:i/>
          <w:iCs/>
          <w:sz w:val="22"/>
        </w:rPr>
      </w:pPr>
      <w:r w:rsidRPr="0097212A">
        <w:rPr>
          <w:rFonts w:asciiTheme="majorHAnsi" w:hAnsiTheme="majorHAnsi"/>
          <w:i/>
          <w:iCs/>
          <w:sz w:val="22"/>
        </w:rPr>
        <w:t xml:space="preserve">Provided that for first year of the control period </w:t>
      </w:r>
      <w:proofErr w:type="spellStart"/>
      <w:r w:rsidRPr="0097212A">
        <w:rPr>
          <w:rFonts w:asciiTheme="majorHAnsi" w:hAnsiTheme="majorHAnsi"/>
          <w:i/>
          <w:iCs/>
          <w:sz w:val="22"/>
        </w:rPr>
        <w:t>EMP</w:t>
      </w:r>
      <w:r w:rsidRPr="0097212A">
        <w:rPr>
          <w:rFonts w:asciiTheme="majorHAnsi" w:hAnsiTheme="majorHAnsi"/>
          <w:i/>
          <w:iCs/>
          <w:sz w:val="22"/>
          <w:vertAlign w:val="subscript"/>
        </w:rPr>
        <w:t>n</w:t>
      </w:r>
      <w:proofErr w:type="spellEnd"/>
      <w:r w:rsidRPr="0097212A">
        <w:rPr>
          <w:rFonts w:asciiTheme="majorHAnsi" w:hAnsiTheme="majorHAnsi"/>
          <w:i/>
          <w:iCs/>
          <w:sz w:val="22"/>
        </w:rPr>
        <w:t xml:space="preserve"> shall mean employee expenses as approved by the Commission for the first year of the Control Period in the Business Plan;</w:t>
      </w:r>
    </w:p>
    <w:p w14:paraId="31B8C6D4" w14:textId="77777777" w:rsidR="005304A5" w:rsidRPr="0097212A" w:rsidRDefault="005304A5" w:rsidP="005304A5">
      <w:pPr>
        <w:ind w:left="720"/>
        <w:jc w:val="both"/>
        <w:rPr>
          <w:rFonts w:asciiTheme="majorHAnsi" w:hAnsiTheme="majorHAnsi"/>
          <w:i/>
          <w:iCs/>
          <w:sz w:val="22"/>
        </w:rPr>
      </w:pPr>
      <w:proofErr w:type="spellStart"/>
      <w:r w:rsidRPr="0097212A">
        <w:rPr>
          <w:rFonts w:asciiTheme="majorHAnsi" w:hAnsiTheme="majorHAnsi"/>
          <w:i/>
          <w:iCs/>
          <w:sz w:val="22"/>
        </w:rPr>
        <w:t>Index</w:t>
      </w:r>
      <w:r w:rsidRPr="0097212A">
        <w:rPr>
          <w:rFonts w:asciiTheme="majorHAnsi" w:hAnsiTheme="majorHAnsi"/>
          <w:i/>
          <w:iCs/>
          <w:sz w:val="22"/>
          <w:vertAlign w:val="subscript"/>
        </w:rPr>
        <w:t>Escn</w:t>
      </w:r>
      <w:proofErr w:type="spellEnd"/>
      <w:r w:rsidRPr="0097212A">
        <w:rPr>
          <w:rFonts w:asciiTheme="majorHAnsi" w:hAnsiTheme="majorHAnsi"/>
          <w:i/>
          <w:iCs/>
          <w:sz w:val="22"/>
        </w:rPr>
        <w:t xml:space="preserve"> = </w:t>
      </w:r>
      <w:proofErr w:type="spellStart"/>
      <w:r w:rsidRPr="0097212A">
        <w:rPr>
          <w:rFonts w:asciiTheme="majorHAnsi" w:hAnsiTheme="majorHAnsi"/>
          <w:i/>
          <w:iCs/>
          <w:sz w:val="22"/>
        </w:rPr>
        <w:t>CPI</w:t>
      </w:r>
      <w:r w:rsidRPr="0097212A">
        <w:rPr>
          <w:rFonts w:asciiTheme="majorHAnsi" w:hAnsiTheme="majorHAnsi"/>
          <w:i/>
          <w:iCs/>
          <w:sz w:val="22"/>
          <w:vertAlign w:val="subscript"/>
        </w:rPr>
        <w:t>n</w:t>
      </w:r>
      <w:proofErr w:type="spellEnd"/>
    </w:p>
    <w:p w14:paraId="18B08810" w14:textId="77777777" w:rsidR="005304A5" w:rsidRPr="0097212A" w:rsidRDefault="005304A5" w:rsidP="005304A5">
      <w:pPr>
        <w:ind w:left="720"/>
        <w:jc w:val="both"/>
        <w:rPr>
          <w:rFonts w:asciiTheme="majorHAnsi" w:hAnsiTheme="majorHAnsi"/>
          <w:i/>
          <w:iCs/>
          <w:sz w:val="22"/>
        </w:rPr>
      </w:pPr>
      <w:r w:rsidRPr="0097212A">
        <w:rPr>
          <w:rFonts w:asciiTheme="majorHAnsi" w:hAnsiTheme="majorHAnsi"/>
          <w:i/>
          <w:iCs/>
          <w:sz w:val="22"/>
        </w:rPr>
        <w:t>where,</w:t>
      </w:r>
    </w:p>
    <w:p w14:paraId="47608782" w14:textId="77777777" w:rsidR="005304A5" w:rsidRPr="0097212A" w:rsidRDefault="005304A5" w:rsidP="005304A5">
      <w:pPr>
        <w:ind w:left="720"/>
        <w:jc w:val="both"/>
        <w:rPr>
          <w:rFonts w:asciiTheme="majorHAnsi" w:hAnsiTheme="majorHAnsi"/>
          <w:i/>
          <w:iCs/>
          <w:sz w:val="22"/>
        </w:rPr>
      </w:pPr>
      <w:r w:rsidRPr="0097212A">
        <w:rPr>
          <w:rFonts w:asciiTheme="majorHAnsi" w:hAnsiTheme="majorHAnsi"/>
          <w:i/>
          <w:iCs/>
          <w:sz w:val="22"/>
        </w:rPr>
        <w:t>‘</w:t>
      </w:r>
      <w:proofErr w:type="spellStart"/>
      <w:r w:rsidRPr="0097212A">
        <w:rPr>
          <w:rFonts w:asciiTheme="majorHAnsi" w:hAnsiTheme="majorHAnsi"/>
          <w:i/>
          <w:iCs/>
          <w:sz w:val="22"/>
        </w:rPr>
        <w:t>CPI</w:t>
      </w:r>
      <w:r w:rsidRPr="0097212A">
        <w:rPr>
          <w:rFonts w:asciiTheme="majorHAnsi" w:hAnsiTheme="majorHAnsi"/>
          <w:i/>
          <w:iCs/>
          <w:sz w:val="22"/>
          <w:vertAlign w:val="subscript"/>
        </w:rPr>
        <w:t>n</w:t>
      </w:r>
      <w:proofErr w:type="spellEnd"/>
      <w:r w:rsidRPr="0097212A">
        <w:rPr>
          <w:rFonts w:asciiTheme="majorHAnsi" w:hAnsiTheme="majorHAnsi"/>
          <w:i/>
          <w:iCs/>
          <w:sz w:val="22"/>
        </w:rPr>
        <w:t>’ (expressed in %) means the average yearly inflation of Consumer Price Index (Industrial workers) over the years for the nth year.</w:t>
      </w:r>
    </w:p>
    <w:p w14:paraId="5D3B5AD2" w14:textId="77777777" w:rsidR="005304A5" w:rsidRPr="0097212A" w:rsidRDefault="005304A5" w:rsidP="005304A5">
      <w:pPr>
        <w:ind w:left="720"/>
        <w:jc w:val="both"/>
        <w:rPr>
          <w:rFonts w:asciiTheme="majorHAnsi" w:hAnsiTheme="majorHAnsi"/>
          <w:i/>
          <w:iCs/>
          <w:sz w:val="22"/>
        </w:rPr>
      </w:pPr>
      <w:r w:rsidRPr="0097212A">
        <w:rPr>
          <w:rFonts w:asciiTheme="majorHAnsi" w:hAnsiTheme="majorHAnsi"/>
          <w:i/>
          <w:iCs/>
          <w:sz w:val="22"/>
        </w:rPr>
        <w:t xml:space="preserve">[Source for CPI calculation: Consumer Price Index for Industrial Workers (all India) as per </w:t>
      </w:r>
      <w:proofErr w:type="spellStart"/>
      <w:r w:rsidRPr="0097212A">
        <w:rPr>
          <w:rFonts w:asciiTheme="majorHAnsi" w:hAnsiTheme="majorHAnsi"/>
          <w:i/>
          <w:iCs/>
          <w:sz w:val="22"/>
        </w:rPr>
        <w:t>Labour</w:t>
      </w:r>
      <w:proofErr w:type="spellEnd"/>
      <w:r w:rsidRPr="0097212A">
        <w:rPr>
          <w:rFonts w:asciiTheme="majorHAnsi" w:hAnsiTheme="majorHAnsi"/>
          <w:i/>
          <w:iCs/>
          <w:sz w:val="22"/>
        </w:rPr>
        <w:t xml:space="preserve"> Bureau, Government of India {Base Year: 2001=100}]</w:t>
      </w:r>
    </w:p>
    <w:p w14:paraId="491806E6" w14:textId="77777777" w:rsidR="005304A5" w:rsidRPr="0097212A" w:rsidRDefault="005304A5" w:rsidP="005304A5">
      <w:pPr>
        <w:ind w:left="720"/>
        <w:jc w:val="both"/>
        <w:rPr>
          <w:rFonts w:asciiTheme="majorHAnsi" w:hAnsiTheme="majorHAnsi"/>
          <w:i/>
          <w:iCs/>
          <w:sz w:val="22"/>
        </w:rPr>
      </w:pPr>
      <w:r w:rsidRPr="0097212A">
        <w:rPr>
          <w:rFonts w:asciiTheme="majorHAnsi" w:hAnsiTheme="majorHAnsi"/>
          <w:i/>
          <w:iCs/>
          <w:sz w:val="22"/>
        </w:rPr>
        <w:t xml:space="preserve">Provided that </w:t>
      </w:r>
      <w:proofErr w:type="spellStart"/>
      <w:r w:rsidRPr="0097212A">
        <w:rPr>
          <w:rFonts w:asciiTheme="majorHAnsi" w:hAnsiTheme="majorHAnsi"/>
          <w:i/>
          <w:iCs/>
          <w:sz w:val="22"/>
        </w:rPr>
        <w:t>CPI</w:t>
      </w:r>
      <w:r w:rsidRPr="0097212A">
        <w:rPr>
          <w:rFonts w:asciiTheme="majorHAnsi" w:hAnsiTheme="majorHAnsi"/>
          <w:i/>
          <w:iCs/>
          <w:sz w:val="22"/>
          <w:vertAlign w:val="subscript"/>
        </w:rPr>
        <w:t>n</w:t>
      </w:r>
      <w:proofErr w:type="spellEnd"/>
      <w:r w:rsidRPr="0097212A">
        <w:rPr>
          <w:rFonts w:asciiTheme="majorHAnsi" w:hAnsiTheme="majorHAnsi"/>
          <w:i/>
          <w:iCs/>
          <w:sz w:val="22"/>
        </w:rPr>
        <w:t xml:space="preserve"> is to be computed based on the average yearly inflation derived based on the monthly Consumer Price Index for Industrial Workers (all-India) of the past three Financial Years, at the time of filing of Petition, as per the </w:t>
      </w:r>
      <w:proofErr w:type="spellStart"/>
      <w:r w:rsidRPr="0097212A">
        <w:rPr>
          <w:rFonts w:asciiTheme="majorHAnsi" w:hAnsiTheme="majorHAnsi"/>
          <w:i/>
          <w:iCs/>
          <w:sz w:val="22"/>
        </w:rPr>
        <w:t>Labour</w:t>
      </w:r>
      <w:proofErr w:type="spellEnd"/>
      <w:r w:rsidRPr="0097212A">
        <w:rPr>
          <w:rFonts w:asciiTheme="majorHAnsi" w:hAnsiTheme="majorHAnsi"/>
          <w:i/>
          <w:iCs/>
          <w:sz w:val="22"/>
        </w:rPr>
        <w:t xml:space="preserve"> Bureau, Government of India and such escalation factor so derived to be applied to Operation and Maintenance expenses of each preceding year.”</w:t>
      </w:r>
    </w:p>
    <w:p w14:paraId="39CD92E0" w14:textId="77777777" w:rsidR="005304A5" w:rsidRPr="001022A0" w:rsidRDefault="005304A5" w:rsidP="005304A5">
      <w:pPr>
        <w:jc w:val="both"/>
        <w:rPr>
          <w:rFonts w:asciiTheme="majorHAnsi" w:hAnsiTheme="majorHAnsi"/>
          <w:color w:val="FF0000"/>
        </w:rPr>
      </w:pPr>
    </w:p>
    <w:p w14:paraId="1E8875BE" w14:textId="77777777" w:rsidR="005304A5" w:rsidRPr="001022A0" w:rsidRDefault="005304A5" w:rsidP="001022A0">
      <w:pPr>
        <w:spacing w:line="360" w:lineRule="auto"/>
        <w:jc w:val="both"/>
        <w:rPr>
          <w:rFonts w:asciiTheme="majorHAnsi" w:hAnsiTheme="majorHAnsi"/>
        </w:rPr>
      </w:pPr>
      <w:r w:rsidRPr="001022A0">
        <w:rPr>
          <w:rFonts w:asciiTheme="majorHAnsi" w:hAnsiTheme="majorHAnsi"/>
        </w:rPr>
        <w:t>The major heads of employee expenses include salaries and wages, leave travel allowance, earned leave encashment, dearness allowance, other allowances/ bonus/ benefits and terminal benefits. Salary also includes contractual obligations towards agencies providing manpower for various services like grid maintenance, billing &amp; meter reading, vigilance activities along with outsource obligation.</w:t>
      </w:r>
    </w:p>
    <w:p w14:paraId="3F92E95E" w14:textId="77777777" w:rsidR="005304A5" w:rsidRPr="001022A0" w:rsidRDefault="005304A5" w:rsidP="0097212A">
      <w:pPr>
        <w:spacing w:beforeLines="100" w:before="240" w:afterLines="100" w:after="240" w:line="360" w:lineRule="auto"/>
        <w:rPr>
          <w:rFonts w:asciiTheme="majorHAnsi" w:hAnsiTheme="majorHAnsi" w:cstheme="minorHAnsi"/>
          <w:b/>
          <w:bCs/>
          <w:color w:val="244061" w:themeColor="accent1" w:themeShade="80"/>
          <w:u w:val="single"/>
        </w:rPr>
      </w:pPr>
      <w:r w:rsidRPr="001022A0">
        <w:rPr>
          <w:rFonts w:asciiTheme="majorHAnsi" w:hAnsiTheme="majorHAnsi" w:cstheme="minorHAnsi"/>
          <w:b/>
          <w:bCs/>
          <w:color w:val="244061" w:themeColor="accent1" w:themeShade="80"/>
          <w:u w:val="single"/>
        </w:rPr>
        <w:t>CAMPUS RECRUITMENT:</w:t>
      </w:r>
    </w:p>
    <w:p w14:paraId="64A1C96B" w14:textId="62E83CC3" w:rsidR="00780853" w:rsidRDefault="005304A5" w:rsidP="0097212A">
      <w:pPr>
        <w:spacing w:beforeLines="100" w:before="240" w:afterLines="100" w:after="240" w:line="360" w:lineRule="auto"/>
        <w:jc w:val="both"/>
        <w:rPr>
          <w:rFonts w:asciiTheme="majorHAnsi" w:hAnsiTheme="majorHAnsi"/>
        </w:rPr>
      </w:pPr>
      <w:r w:rsidRPr="001022A0">
        <w:rPr>
          <w:rFonts w:asciiTheme="majorHAnsi" w:hAnsiTheme="majorHAnsi"/>
        </w:rPr>
        <w:t>TPWODL</w:t>
      </w:r>
      <w:r w:rsidR="00DE77AC">
        <w:rPr>
          <w:rFonts w:asciiTheme="majorHAnsi" w:hAnsiTheme="majorHAnsi"/>
        </w:rPr>
        <w:t xml:space="preserve"> </w:t>
      </w:r>
      <w:proofErr w:type="gramStart"/>
      <w:r w:rsidR="00DE77AC">
        <w:rPr>
          <w:rFonts w:asciiTheme="majorHAnsi" w:hAnsiTheme="majorHAnsi"/>
        </w:rPr>
        <w:t xml:space="preserve">is </w:t>
      </w:r>
      <w:r w:rsidRPr="001022A0">
        <w:rPr>
          <w:rFonts w:asciiTheme="majorHAnsi" w:hAnsiTheme="majorHAnsi"/>
        </w:rPr>
        <w:t xml:space="preserve"> </w:t>
      </w:r>
      <w:r w:rsidR="00464027">
        <w:rPr>
          <w:rFonts w:asciiTheme="majorHAnsi" w:hAnsiTheme="majorHAnsi"/>
        </w:rPr>
        <w:t>also</w:t>
      </w:r>
      <w:proofErr w:type="gramEnd"/>
      <w:r w:rsidR="00464027">
        <w:rPr>
          <w:rFonts w:asciiTheme="majorHAnsi" w:hAnsiTheme="majorHAnsi"/>
        </w:rPr>
        <w:t xml:space="preserve"> emphasizing recruitment </w:t>
      </w:r>
      <w:r w:rsidR="00780853">
        <w:rPr>
          <w:rFonts w:asciiTheme="majorHAnsi" w:hAnsiTheme="majorHAnsi"/>
        </w:rPr>
        <w:t xml:space="preserve">of trainees in different cadre and stream </w:t>
      </w:r>
      <w:r w:rsidR="00464027">
        <w:rPr>
          <w:rFonts w:asciiTheme="majorHAnsi" w:hAnsiTheme="majorHAnsi"/>
        </w:rPr>
        <w:t>through Campus from various Engineering, Polytechnic, Law and B-school colleges and</w:t>
      </w:r>
      <w:r w:rsidRPr="001022A0">
        <w:rPr>
          <w:rFonts w:asciiTheme="majorHAnsi" w:hAnsiTheme="majorHAnsi"/>
        </w:rPr>
        <w:t xml:space="preserve"> promoting </w:t>
      </w:r>
      <w:r w:rsidR="00464027">
        <w:rPr>
          <w:rFonts w:asciiTheme="majorHAnsi" w:hAnsiTheme="majorHAnsi"/>
        </w:rPr>
        <w:t xml:space="preserve">recruitment of </w:t>
      </w:r>
      <w:r w:rsidRPr="001022A0">
        <w:rPr>
          <w:rFonts w:asciiTheme="majorHAnsi" w:hAnsiTheme="majorHAnsi"/>
        </w:rPr>
        <w:t>fresh</w:t>
      </w:r>
      <w:r w:rsidR="00464027">
        <w:rPr>
          <w:rFonts w:asciiTheme="majorHAnsi" w:hAnsiTheme="majorHAnsi"/>
        </w:rPr>
        <w:t xml:space="preserve"> candidates</w:t>
      </w:r>
      <w:r w:rsidR="00780853">
        <w:rPr>
          <w:rFonts w:asciiTheme="majorHAnsi" w:hAnsiTheme="majorHAnsi"/>
        </w:rPr>
        <w:t xml:space="preserve"> giving emphasis within State Domicile as well as maximum preference from Western Odisha.</w:t>
      </w:r>
    </w:p>
    <w:p w14:paraId="2AD65F74" w14:textId="42E8E065" w:rsidR="005304A5" w:rsidRPr="001022A0" w:rsidRDefault="00780853" w:rsidP="0097212A">
      <w:pPr>
        <w:spacing w:beforeLines="100" w:before="240" w:afterLines="100" w:after="240" w:line="360" w:lineRule="auto"/>
        <w:jc w:val="both"/>
        <w:rPr>
          <w:rFonts w:asciiTheme="majorHAnsi" w:hAnsiTheme="majorHAnsi" w:cstheme="minorHAnsi"/>
          <w:b/>
          <w:bCs/>
          <w:color w:val="244061" w:themeColor="accent1" w:themeShade="80"/>
          <w:u w:val="single"/>
        </w:rPr>
      </w:pPr>
      <w:r>
        <w:rPr>
          <w:rFonts w:asciiTheme="majorHAnsi" w:hAnsiTheme="majorHAnsi"/>
        </w:rPr>
        <w:t xml:space="preserve"> </w:t>
      </w:r>
      <w:r w:rsidR="005304A5" w:rsidRPr="001022A0">
        <w:rPr>
          <w:rFonts w:asciiTheme="majorHAnsi" w:hAnsiTheme="majorHAnsi" w:cstheme="minorHAnsi"/>
          <w:b/>
          <w:bCs/>
          <w:color w:val="244061" w:themeColor="accent1" w:themeShade="80"/>
          <w:u w:val="single"/>
        </w:rPr>
        <w:t>LEARNING &amp; DEVELOPMENT</w:t>
      </w:r>
    </w:p>
    <w:p w14:paraId="0F359863" w14:textId="77777777" w:rsidR="00DD185D" w:rsidRPr="002629D2" w:rsidRDefault="002670E1" w:rsidP="00DD185D">
      <w:pPr>
        <w:spacing w:beforeLines="100" w:before="240" w:afterLines="100" w:after="240" w:line="360" w:lineRule="auto"/>
        <w:jc w:val="both"/>
        <w:rPr>
          <w:rFonts w:asciiTheme="majorHAnsi" w:hAnsiTheme="majorHAnsi"/>
          <w:color w:val="000000" w:themeColor="text1"/>
        </w:rPr>
      </w:pPr>
      <w:r w:rsidRPr="002629D2">
        <w:rPr>
          <w:rFonts w:asciiTheme="majorHAnsi" w:hAnsiTheme="majorHAnsi"/>
          <w:color w:val="000000" w:themeColor="text1"/>
        </w:rPr>
        <w:t>At TPWODL, Learning &amp; Development continues to be the driving force behind operational excellence, safety ownership, and leadership readiness. The first half of FY2026 (April–September 2025) reflected a powerful blend of strategic leadership programs, safety transformation, technical capability building, and competency-based learning. From the boardroom to the field, TPWODL continued to strengthen its workforce to meet the evolving challenges of the power distribution sector.</w:t>
      </w:r>
    </w:p>
    <w:p w14:paraId="0BA16603" w14:textId="4F4A4409" w:rsidR="00DD185D" w:rsidRPr="002629D2" w:rsidRDefault="00DD185D" w:rsidP="00DD185D">
      <w:pPr>
        <w:spacing w:beforeLines="100" w:before="240" w:afterLines="100" w:after="240" w:line="360" w:lineRule="auto"/>
        <w:jc w:val="both"/>
        <w:rPr>
          <w:rFonts w:asciiTheme="majorHAnsi" w:hAnsiTheme="majorHAnsi"/>
          <w:b/>
          <w:bCs/>
          <w:color w:val="000000" w:themeColor="text1"/>
          <w:u w:val="single"/>
        </w:rPr>
      </w:pPr>
      <w:r w:rsidRPr="002629D2">
        <w:rPr>
          <w:rFonts w:asciiTheme="majorHAnsi" w:hAnsiTheme="majorHAnsi"/>
          <w:b/>
          <w:bCs/>
          <w:color w:val="000000" w:themeColor="text1"/>
          <w:u w:val="single"/>
        </w:rPr>
        <w:t xml:space="preserve">1. Building Leaders </w:t>
      </w:r>
      <w:r w:rsidR="00DE77AC">
        <w:rPr>
          <w:rFonts w:asciiTheme="majorHAnsi" w:hAnsiTheme="majorHAnsi"/>
          <w:b/>
          <w:bCs/>
          <w:color w:val="000000" w:themeColor="text1"/>
          <w:u w:val="single"/>
        </w:rPr>
        <w:t>for</w:t>
      </w:r>
      <w:r w:rsidRPr="002629D2">
        <w:rPr>
          <w:rFonts w:asciiTheme="majorHAnsi" w:hAnsiTheme="majorHAnsi"/>
          <w:b/>
          <w:bCs/>
          <w:color w:val="000000" w:themeColor="text1"/>
          <w:u w:val="single"/>
        </w:rPr>
        <w:t xml:space="preserve"> Tomorrow: Management &amp; Leadership Development</w:t>
      </w:r>
    </w:p>
    <w:p w14:paraId="5862C595" w14:textId="77777777" w:rsidR="00DD185D" w:rsidRDefault="00DD185D" w:rsidP="00DD185D">
      <w:pPr>
        <w:spacing w:line="360" w:lineRule="auto"/>
        <w:jc w:val="both"/>
        <w:rPr>
          <w:rFonts w:asciiTheme="majorHAnsi" w:hAnsiTheme="majorHAnsi"/>
          <w:color w:val="000000" w:themeColor="text1"/>
        </w:rPr>
      </w:pPr>
      <w:r w:rsidRPr="002629D2">
        <w:rPr>
          <w:rFonts w:asciiTheme="majorHAnsi" w:hAnsiTheme="majorHAnsi"/>
          <w:color w:val="000000" w:themeColor="text1"/>
        </w:rPr>
        <w:t>Leadership excellence remained a cornerstone of TPWODL’s growth journey. Through the prestigious ‘Utkarsh – Post Graduate Certificate in Management’ program in collaboration with XLRI Jamshedpur, senior leaders deepened their strategic and decision-making capabilities across multiple immersive visits between April and August 2025. Complementing this, four senior leaders also attended the Project and Infrastructure Management Program at NICMAR, focusing on risk management, infrastructure execution, and global construction standards. Together, these initiatives continue to build agile, visionary leaders ready to navigate future challenges.</w:t>
      </w:r>
    </w:p>
    <w:p w14:paraId="286450E0" w14:textId="77777777" w:rsidR="00F02007" w:rsidRDefault="00F02007" w:rsidP="00DD185D">
      <w:pPr>
        <w:spacing w:line="360" w:lineRule="auto"/>
        <w:jc w:val="both"/>
        <w:rPr>
          <w:rFonts w:asciiTheme="majorHAnsi" w:hAnsiTheme="majorHAnsi"/>
          <w:color w:val="000000" w:themeColor="text1"/>
        </w:rPr>
      </w:pPr>
    </w:p>
    <w:p w14:paraId="511A6785" w14:textId="77777777" w:rsidR="00F02007" w:rsidRPr="002629D2" w:rsidRDefault="00F02007" w:rsidP="00DD185D">
      <w:pPr>
        <w:spacing w:line="360" w:lineRule="auto"/>
        <w:jc w:val="both"/>
        <w:rPr>
          <w:rFonts w:asciiTheme="majorHAnsi" w:hAnsiTheme="majorHAnsi"/>
          <w:color w:val="000000" w:themeColor="text1"/>
        </w:rPr>
      </w:pPr>
    </w:p>
    <w:p w14:paraId="7E17A592" w14:textId="77777777" w:rsidR="00DD185D" w:rsidRPr="002629D2" w:rsidRDefault="00DD185D" w:rsidP="00DD185D">
      <w:pPr>
        <w:spacing w:line="360" w:lineRule="auto"/>
        <w:jc w:val="both"/>
        <w:rPr>
          <w:rFonts w:asciiTheme="majorHAnsi" w:hAnsiTheme="majorHAnsi"/>
          <w:color w:val="000000" w:themeColor="text1"/>
        </w:rPr>
      </w:pPr>
    </w:p>
    <w:p w14:paraId="462FD4E0" w14:textId="6042CF4D" w:rsidR="00DD185D" w:rsidRPr="002629D2" w:rsidRDefault="00DD185D" w:rsidP="00DD185D">
      <w:pPr>
        <w:spacing w:line="360" w:lineRule="auto"/>
        <w:jc w:val="both"/>
        <w:rPr>
          <w:rFonts w:asciiTheme="majorHAnsi" w:hAnsiTheme="majorHAnsi"/>
          <w:b/>
          <w:bCs/>
          <w:color w:val="000000" w:themeColor="text1"/>
          <w:u w:val="single"/>
        </w:rPr>
      </w:pPr>
      <w:r w:rsidRPr="002629D2">
        <w:rPr>
          <w:rFonts w:asciiTheme="majorHAnsi" w:hAnsiTheme="majorHAnsi"/>
          <w:b/>
          <w:bCs/>
          <w:color w:val="000000" w:themeColor="text1"/>
          <w:u w:val="single"/>
        </w:rPr>
        <w:t>2. Safety First: Embedding Safety as a Daily Mindset</w:t>
      </w:r>
    </w:p>
    <w:p w14:paraId="15F4E165" w14:textId="77777777" w:rsidR="00DD185D" w:rsidRPr="002629D2" w:rsidRDefault="00DD185D" w:rsidP="00DD185D">
      <w:pPr>
        <w:spacing w:line="360" w:lineRule="auto"/>
        <w:jc w:val="both"/>
        <w:rPr>
          <w:rFonts w:asciiTheme="majorHAnsi" w:hAnsiTheme="majorHAnsi"/>
          <w:color w:val="000000" w:themeColor="text1"/>
        </w:rPr>
      </w:pPr>
      <w:r w:rsidRPr="002629D2">
        <w:rPr>
          <w:rFonts w:asciiTheme="majorHAnsi" w:hAnsiTheme="majorHAnsi"/>
          <w:color w:val="000000" w:themeColor="text1"/>
        </w:rPr>
        <w:t>Safety continued to define TPWODL’s cultural DNA. Across all six months, safety trainings reached a record number of employees—from executives to field staff—covering L0 to L3 safety levels. Key focus areas included Permit-to-Work (PTW), Felt Safety Leadership, Incident Investigation, and HIRA &amp; JSA awareness. More than 2,000 participants collectively strengthened their understanding of proactive risk mitigation and visible safety ownership. Specialized multi-DISCOM programs on ‘Electrical Safety &amp; Disaster Management’ further reinforced safety collaboration across Tata Power utilities.</w:t>
      </w:r>
    </w:p>
    <w:p w14:paraId="7B55D5CD" w14:textId="77777777" w:rsidR="00DD185D" w:rsidRPr="002629D2" w:rsidRDefault="00DD185D" w:rsidP="00DD185D">
      <w:pPr>
        <w:spacing w:line="360" w:lineRule="auto"/>
        <w:jc w:val="both"/>
        <w:rPr>
          <w:rFonts w:asciiTheme="majorHAnsi" w:hAnsiTheme="majorHAnsi"/>
          <w:color w:val="000000" w:themeColor="text1"/>
        </w:rPr>
      </w:pPr>
    </w:p>
    <w:p w14:paraId="74729355" w14:textId="6E778C7F" w:rsidR="00DD185D" w:rsidRPr="002629D2" w:rsidRDefault="00DD185D" w:rsidP="00DD185D">
      <w:pPr>
        <w:spacing w:line="360" w:lineRule="auto"/>
        <w:jc w:val="both"/>
        <w:rPr>
          <w:rFonts w:asciiTheme="majorHAnsi" w:hAnsiTheme="majorHAnsi"/>
          <w:b/>
          <w:bCs/>
          <w:color w:val="000000" w:themeColor="text1"/>
          <w:u w:val="single"/>
        </w:rPr>
      </w:pPr>
      <w:r w:rsidRPr="002629D2">
        <w:rPr>
          <w:rFonts w:asciiTheme="majorHAnsi" w:hAnsiTheme="majorHAnsi"/>
          <w:b/>
          <w:bCs/>
          <w:color w:val="000000" w:themeColor="text1"/>
          <w:u w:val="single"/>
        </w:rPr>
        <w:t>3. Technical &amp; Functional Excellence: Building a Future-Ready Workforce</w:t>
      </w:r>
    </w:p>
    <w:p w14:paraId="2EBCD688" w14:textId="77777777" w:rsidR="00DD185D" w:rsidRPr="002629D2" w:rsidRDefault="00DD185D" w:rsidP="00DD185D">
      <w:pPr>
        <w:spacing w:line="360" w:lineRule="auto"/>
        <w:jc w:val="both"/>
        <w:rPr>
          <w:rFonts w:asciiTheme="majorHAnsi" w:hAnsiTheme="majorHAnsi"/>
          <w:color w:val="000000" w:themeColor="text1"/>
        </w:rPr>
      </w:pPr>
      <w:r w:rsidRPr="002629D2">
        <w:rPr>
          <w:rFonts w:asciiTheme="majorHAnsi" w:hAnsiTheme="majorHAnsi"/>
          <w:color w:val="000000" w:themeColor="text1"/>
        </w:rPr>
        <w:t xml:space="preserve">TPWODL invested heavily in upgrading the technical proficiency of its teams, ensuring readiness for the grid of the future. A two-day ‘Grid Connected Rooftop Solar System’ training conducted across circles supported the Government’s PM-Surya </w:t>
      </w:r>
      <w:proofErr w:type="spellStart"/>
      <w:r w:rsidRPr="002629D2">
        <w:rPr>
          <w:rFonts w:asciiTheme="majorHAnsi" w:hAnsiTheme="majorHAnsi"/>
          <w:color w:val="000000" w:themeColor="text1"/>
        </w:rPr>
        <w:t>Ghar</w:t>
      </w:r>
      <w:proofErr w:type="spellEnd"/>
      <w:r w:rsidRPr="002629D2">
        <w:rPr>
          <w:rFonts w:asciiTheme="majorHAnsi" w:hAnsiTheme="majorHAnsi"/>
          <w:color w:val="000000" w:themeColor="text1"/>
        </w:rPr>
        <w:t xml:space="preserve"> initiative, while specialized sessions on the Impact of Bulk Supply Plan (BSP) and Retail Supply Tariff (RST) built financial acumen. Additionally, professionals across DSS, Finance, and Operations departments participated in targeted trainings on Material Management, CAPEX Analysis, and Smart Grid Operations. These interventions contributed more than 9,000 man-days of learning and established a strong foundation for data-driven decision-making and energy efficiency.</w:t>
      </w:r>
    </w:p>
    <w:p w14:paraId="2A6C203A" w14:textId="77777777" w:rsidR="00DD185D" w:rsidRPr="002629D2" w:rsidRDefault="00DD185D" w:rsidP="00DD185D">
      <w:pPr>
        <w:spacing w:line="360" w:lineRule="auto"/>
        <w:jc w:val="both"/>
        <w:rPr>
          <w:rFonts w:asciiTheme="majorHAnsi" w:hAnsiTheme="majorHAnsi"/>
          <w:color w:val="000000" w:themeColor="text1"/>
        </w:rPr>
      </w:pPr>
    </w:p>
    <w:p w14:paraId="7610F584" w14:textId="1D7EF43A" w:rsidR="00DD185D" w:rsidRPr="002629D2" w:rsidRDefault="00DD185D" w:rsidP="00DD185D">
      <w:pPr>
        <w:spacing w:line="360" w:lineRule="auto"/>
        <w:jc w:val="both"/>
        <w:rPr>
          <w:rFonts w:asciiTheme="majorHAnsi" w:hAnsiTheme="majorHAnsi"/>
          <w:b/>
          <w:bCs/>
          <w:color w:val="000000" w:themeColor="text1"/>
          <w:u w:val="single"/>
        </w:rPr>
      </w:pPr>
      <w:r w:rsidRPr="002629D2">
        <w:rPr>
          <w:rFonts w:asciiTheme="majorHAnsi" w:hAnsiTheme="majorHAnsi"/>
          <w:b/>
          <w:bCs/>
          <w:color w:val="000000" w:themeColor="text1"/>
          <w:u w:val="single"/>
        </w:rPr>
        <w:t>4. Competency-Based Learning: ESO Role-Aligned Development</w:t>
      </w:r>
    </w:p>
    <w:p w14:paraId="72D2D261" w14:textId="1E7C47A3" w:rsidR="00DD185D" w:rsidRDefault="00DD185D" w:rsidP="00DD185D">
      <w:pPr>
        <w:spacing w:line="360" w:lineRule="auto"/>
        <w:jc w:val="both"/>
        <w:rPr>
          <w:rFonts w:asciiTheme="majorHAnsi" w:hAnsiTheme="majorHAnsi"/>
          <w:color w:val="000000" w:themeColor="text1"/>
        </w:rPr>
      </w:pPr>
      <w:r w:rsidRPr="002629D2">
        <w:rPr>
          <w:rFonts w:asciiTheme="majorHAnsi" w:hAnsiTheme="majorHAnsi"/>
          <w:color w:val="000000" w:themeColor="text1"/>
        </w:rPr>
        <w:t>TPWODL’s competency-based training initiative, UDAYA, emerged as a game-changer in skill alignment. Through tailored sessions for Electrical Section Officers (ESOs) conducted at Sambalpur and across other circles, officers received function-specific learning on technical operations, safety, and customer engagement. Each program concluded with an interactive Kahoot! quiz, adding a gamified dimension to assessment and engagement. This initiative reinforced precision learning—ensuring every ESO is equipped with the right skillset for on-ground excellence.</w:t>
      </w:r>
    </w:p>
    <w:p w14:paraId="20D509E4" w14:textId="77777777" w:rsidR="00231FB8" w:rsidRPr="002629D2" w:rsidRDefault="00231FB8" w:rsidP="00DD185D">
      <w:pPr>
        <w:spacing w:line="360" w:lineRule="auto"/>
        <w:jc w:val="both"/>
        <w:rPr>
          <w:rFonts w:asciiTheme="majorHAnsi" w:hAnsiTheme="majorHAnsi"/>
          <w:color w:val="000000" w:themeColor="text1"/>
        </w:rPr>
      </w:pPr>
    </w:p>
    <w:p w14:paraId="53D79824" w14:textId="34992951" w:rsidR="00DD185D" w:rsidRPr="002629D2" w:rsidRDefault="00DD185D" w:rsidP="00DD185D">
      <w:pPr>
        <w:spacing w:line="360" w:lineRule="auto"/>
        <w:jc w:val="both"/>
        <w:rPr>
          <w:rFonts w:asciiTheme="majorHAnsi" w:hAnsiTheme="majorHAnsi"/>
          <w:b/>
          <w:bCs/>
          <w:color w:val="000000" w:themeColor="text1"/>
          <w:u w:val="single"/>
        </w:rPr>
      </w:pPr>
      <w:r w:rsidRPr="002629D2">
        <w:rPr>
          <w:rFonts w:asciiTheme="majorHAnsi" w:hAnsiTheme="majorHAnsi"/>
          <w:b/>
          <w:bCs/>
          <w:color w:val="000000" w:themeColor="text1"/>
          <w:u w:val="single"/>
        </w:rPr>
        <w:t>5. Knowledge Anytime: SEEKH Webinar Series</w:t>
      </w:r>
    </w:p>
    <w:p w14:paraId="709F2197" w14:textId="77777777" w:rsidR="00DD185D" w:rsidRPr="002629D2" w:rsidRDefault="00DD185D" w:rsidP="00DD185D">
      <w:pPr>
        <w:spacing w:line="360" w:lineRule="auto"/>
        <w:jc w:val="both"/>
        <w:rPr>
          <w:rFonts w:asciiTheme="majorHAnsi" w:hAnsiTheme="majorHAnsi"/>
          <w:color w:val="000000" w:themeColor="text1"/>
        </w:rPr>
      </w:pPr>
      <w:r w:rsidRPr="002629D2">
        <w:rPr>
          <w:rFonts w:asciiTheme="majorHAnsi" w:hAnsiTheme="majorHAnsi"/>
          <w:color w:val="000000" w:themeColor="text1"/>
        </w:rPr>
        <w:t>The SEEKH webinar series continued to democratize learning across locations and levels. Key sessions included topics such as Risk Management for RMU Users, Industrial Batteries &amp; Chargers, Advanced Conditional Monitoring of Power Transformers, and TAAP &amp; CSR Integration. These digital sessions ensured that knowledge remained accessible, timely, and impactful—bridging the gap between functional expertise and real-world application.</w:t>
      </w:r>
    </w:p>
    <w:p w14:paraId="448E414D" w14:textId="77777777" w:rsidR="00DD185D" w:rsidRPr="002629D2" w:rsidRDefault="00DD185D" w:rsidP="00DD185D">
      <w:pPr>
        <w:spacing w:line="360" w:lineRule="auto"/>
        <w:jc w:val="both"/>
        <w:rPr>
          <w:rFonts w:asciiTheme="majorHAnsi" w:hAnsiTheme="majorHAnsi"/>
          <w:color w:val="000000" w:themeColor="text1"/>
        </w:rPr>
      </w:pPr>
    </w:p>
    <w:p w14:paraId="0EEFF69F" w14:textId="23D885B5" w:rsidR="00DD185D" w:rsidRPr="002629D2" w:rsidRDefault="00DD185D" w:rsidP="00DD185D">
      <w:pPr>
        <w:spacing w:line="360" w:lineRule="auto"/>
        <w:jc w:val="both"/>
        <w:rPr>
          <w:rFonts w:asciiTheme="majorHAnsi" w:hAnsiTheme="majorHAnsi"/>
          <w:b/>
          <w:bCs/>
          <w:color w:val="000000" w:themeColor="text1"/>
          <w:u w:val="single"/>
        </w:rPr>
      </w:pPr>
      <w:r w:rsidRPr="002629D2">
        <w:rPr>
          <w:rFonts w:asciiTheme="majorHAnsi" w:hAnsiTheme="majorHAnsi"/>
          <w:b/>
          <w:bCs/>
          <w:color w:val="000000" w:themeColor="text1"/>
          <w:u w:val="single"/>
        </w:rPr>
        <w:t>6. Learning by the Numbers (April–September 2025)</w:t>
      </w:r>
    </w:p>
    <w:p w14:paraId="1E992D17" w14:textId="2ABFBE0E" w:rsidR="002629D2" w:rsidRPr="002629D2" w:rsidRDefault="00DD185D" w:rsidP="00DD185D">
      <w:pPr>
        <w:spacing w:line="360" w:lineRule="auto"/>
        <w:rPr>
          <w:rFonts w:asciiTheme="majorHAnsi" w:hAnsiTheme="majorHAnsi"/>
          <w:color w:val="000000" w:themeColor="text1"/>
        </w:rPr>
      </w:pPr>
      <w:r w:rsidRPr="002629D2">
        <w:rPr>
          <w:rFonts w:asciiTheme="majorHAnsi" w:hAnsiTheme="majorHAnsi"/>
          <w:color w:val="000000" w:themeColor="text1"/>
        </w:rPr>
        <w:t>Across the first half of FY2026, TPWODL delivered an impressive learning footprint:</w:t>
      </w:r>
      <w:r w:rsidRPr="002629D2">
        <w:rPr>
          <w:rFonts w:asciiTheme="majorHAnsi" w:hAnsiTheme="majorHAnsi"/>
          <w:color w:val="000000" w:themeColor="text1"/>
        </w:rPr>
        <w:br/>
      </w:r>
      <w:r w:rsidRPr="002629D2">
        <w:rPr>
          <w:rFonts w:asciiTheme="majorHAnsi" w:hAnsiTheme="majorHAnsi"/>
          <w:b/>
          <w:bCs/>
          <w:color w:val="000000" w:themeColor="text1"/>
        </w:rPr>
        <w:t xml:space="preserve">• Executive Training: 4,562.5 man-days </w:t>
      </w:r>
      <w:r w:rsidRPr="002629D2">
        <w:rPr>
          <w:rFonts w:asciiTheme="majorHAnsi" w:hAnsiTheme="majorHAnsi"/>
          <w:b/>
          <w:bCs/>
          <w:color w:val="000000" w:themeColor="text1"/>
        </w:rPr>
        <w:br/>
        <w:t>• Non-Executive Training: 850 man-days</w:t>
      </w:r>
      <w:r w:rsidRPr="002629D2">
        <w:rPr>
          <w:rFonts w:asciiTheme="majorHAnsi" w:hAnsiTheme="majorHAnsi"/>
          <w:b/>
          <w:bCs/>
          <w:color w:val="000000" w:themeColor="text1"/>
        </w:rPr>
        <w:br/>
        <w:t>• Business Associate (BA) Training: 7,473 man-days</w:t>
      </w:r>
      <w:r w:rsidRPr="002629D2">
        <w:rPr>
          <w:rFonts w:asciiTheme="majorHAnsi" w:hAnsiTheme="majorHAnsi"/>
          <w:b/>
          <w:bCs/>
          <w:color w:val="000000" w:themeColor="text1"/>
        </w:rPr>
        <w:br/>
        <w:t>• Total Learning Man-days: 12885.5</w:t>
      </w:r>
      <w:r w:rsidRPr="002629D2">
        <w:rPr>
          <w:rFonts w:asciiTheme="majorHAnsi" w:hAnsiTheme="majorHAnsi"/>
          <w:color w:val="000000" w:themeColor="text1"/>
        </w:rPr>
        <w:br/>
      </w:r>
    </w:p>
    <w:p w14:paraId="6136DF3F" w14:textId="77777777" w:rsidR="002629D2" w:rsidRDefault="00DD185D" w:rsidP="00C80730">
      <w:pPr>
        <w:spacing w:line="360" w:lineRule="auto"/>
        <w:jc w:val="both"/>
        <w:rPr>
          <w:rFonts w:asciiTheme="majorHAnsi" w:hAnsiTheme="majorHAnsi"/>
          <w:color w:val="000000" w:themeColor="text1"/>
        </w:rPr>
      </w:pPr>
      <w:r w:rsidRPr="002629D2">
        <w:rPr>
          <w:rFonts w:asciiTheme="majorHAnsi" w:hAnsiTheme="majorHAnsi"/>
          <w:color w:val="000000" w:themeColor="text1"/>
        </w:rPr>
        <w:t>The numbers reflect not just participation but commitment—each learning hour translating into higher safety, performance, and innovation.</w:t>
      </w:r>
    </w:p>
    <w:p w14:paraId="1D78132A" w14:textId="77777777" w:rsidR="002629D2" w:rsidRDefault="002629D2" w:rsidP="002629D2">
      <w:pPr>
        <w:spacing w:line="360" w:lineRule="auto"/>
        <w:rPr>
          <w:rFonts w:asciiTheme="majorHAnsi" w:hAnsiTheme="majorHAnsi"/>
          <w:color w:val="000000" w:themeColor="text1"/>
        </w:rPr>
      </w:pPr>
    </w:p>
    <w:p w14:paraId="5267EFF1" w14:textId="648D580F" w:rsidR="00DD185D" w:rsidRPr="002629D2" w:rsidRDefault="00DD185D" w:rsidP="002629D2">
      <w:pPr>
        <w:spacing w:line="360" w:lineRule="auto"/>
        <w:rPr>
          <w:rFonts w:asciiTheme="majorHAnsi" w:hAnsiTheme="majorHAnsi"/>
          <w:b/>
          <w:bCs/>
          <w:color w:val="000000" w:themeColor="text1"/>
          <w:u w:val="single"/>
        </w:rPr>
      </w:pPr>
      <w:r w:rsidRPr="002629D2">
        <w:rPr>
          <w:b/>
          <w:bCs/>
          <w:color w:val="000000" w:themeColor="text1"/>
          <w:u w:val="single"/>
        </w:rPr>
        <w:t>7. From Capability to Sustainability: The Road Ahead</w:t>
      </w:r>
    </w:p>
    <w:p w14:paraId="390D79BF" w14:textId="6A83EBD2" w:rsidR="00A75D2C" w:rsidRDefault="00DD185D" w:rsidP="002629D2">
      <w:pPr>
        <w:spacing w:before="100" w:beforeAutospacing="1" w:after="100" w:afterAutospacing="1" w:line="360" w:lineRule="auto"/>
        <w:jc w:val="both"/>
        <w:rPr>
          <w:color w:val="000000" w:themeColor="text1"/>
        </w:rPr>
      </w:pPr>
      <w:r w:rsidRPr="00AF7BF8">
        <w:rPr>
          <w:color w:val="000000" w:themeColor="text1"/>
        </w:rPr>
        <w:t>As TPWODL progresses into the next half of FY2026, the focus remains on deepening technical excellence, enhancing leadership pipelines, and strengthening the culture of safety and learning. Each initiative during April–September 2025 brought the organization closer to its vision of building an empowered, future-ready workforce capable of powering progress for Odisha and beyond.</w:t>
      </w:r>
    </w:p>
    <w:p w14:paraId="53BB7B5A" w14:textId="2122DEF6" w:rsidR="005304A5" w:rsidRPr="001022A0" w:rsidRDefault="005304A5" w:rsidP="00C94D4B">
      <w:pPr>
        <w:spacing w:line="360" w:lineRule="auto"/>
        <w:jc w:val="both"/>
        <w:rPr>
          <w:rFonts w:asciiTheme="majorHAnsi" w:hAnsiTheme="majorHAnsi" w:cstheme="minorHAnsi"/>
          <w:b/>
          <w:bCs/>
          <w:color w:val="244061" w:themeColor="accent1" w:themeShade="80"/>
          <w:u w:val="single"/>
        </w:rPr>
      </w:pPr>
      <w:r w:rsidRPr="001022A0">
        <w:rPr>
          <w:rFonts w:asciiTheme="majorHAnsi" w:hAnsiTheme="majorHAnsi" w:cstheme="minorHAnsi"/>
          <w:b/>
          <w:bCs/>
          <w:color w:val="244061" w:themeColor="accent1" w:themeShade="80"/>
          <w:u w:val="single"/>
        </w:rPr>
        <w:t>EMPLOYEE ENGAGEMENT:</w:t>
      </w:r>
    </w:p>
    <w:p w14:paraId="66B1409E" w14:textId="418AB034" w:rsidR="00FB0385" w:rsidRPr="00FB0385" w:rsidRDefault="00FB0385" w:rsidP="00FB0385">
      <w:pPr>
        <w:spacing w:line="360" w:lineRule="auto"/>
        <w:jc w:val="both"/>
        <w:rPr>
          <w:rFonts w:asciiTheme="majorHAnsi" w:hAnsiTheme="majorHAnsi" w:cstheme="minorHAnsi"/>
        </w:rPr>
      </w:pPr>
      <w:r w:rsidRPr="00FB0385">
        <w:rPr>
          <w:rFonts w:asciiTheme="majorHAnsi" w:hAnsiTheme="majorHAnsi" w:cstheme="minorHAnsi"/>
        </w:rPr>
        <w:t>Employee engagement is the foundation of a successful workplace, driving innovation, productivity, and satisfaction. At TPWODL, our engagement programs focus on four key pillars: Celebration, Care, Connect, and Coaching &amp; Mentoring, with a central emphasis on Sustainability and Health &amp; Wellness for FY25.</w:t>
      </w:r>
    </w:p>
    <w:p w14:paraId="235873B5" w14:textId="1AFD4B66" w:rsidR="00FB0385" w:rsidRPr="00FB0385" w:rsidRDefault="00FB0385" w:rsidP="00FB0385">
      <w:pPr>
        <w:spacing w:line="360" w:lineRule="auto"/>
        <w:jc w:val="both"/>
        <w:rPr>
          <w:rFonts w:asciiTheme="majorHAnsi" w:hAnsiTheme="majorHAnsi" w:cstheme="minorHAnsi"/>
        </w:rPr>
      </w:pPr>
      <w:r w:rsidRPr="00FB0385">
        <w:rPr>
          <w:rFonts w:asciiTheme="majorHAnsi" w:hAnsiTheme="majorHAnsi" w:cstheme="minorHAnsi"/>
        </w:rPr>
        <w:t>Key activities conducted in H1 FY2</w:t>
      </w:r>
      <w:r w:rsidR="007E71AF">
        <w:rPr>
          <w:rFonts w:asciiTheme="majorHAnsi" w:hAnsiTheme="majorHAnsi" w:cstheme="minorHAnsi"/>
        </w:rPr>
        <w:t>6</w:t>
      </w:r>
      <w:r w:rsidRPr="00FB0385">
        <w:rPr>
          <w:rFonts w:asciiTheme="majorHAnsi" w:hAnsiTheme="majorHAnsi" w:cstheme="minorHAnsi"/>
        </w:rPr>
        <w:t xml:space="preserve"> include:</w:t>
      </w:r>
    </w:p>
    <w:p w14:paraId="6A697A2C" w14:textId="38BD5CC4" w:rsidR="007D275D" w:rsidRPr="00EA7409" w:rsidRDefault="00D63175" w:rsidP="00056389">
      <w:pPr>
        <w:pStyle w:val="ListParagraph"/>
        <w:numPr>
          <w:ilvl w:val="0"/>
          <w:numId w:val="70"/>
        </w:numPr>
        <w:spacing w:line="360" w:lineRule="auto"/>
        <w:jc w:val="both"/>
        <w:rPr>
          <w:rFonts w:asciiTheme="majorHAnsi" w:hAnsiTheme="majorHAnsi"/>
          <w:lang w:eastAsia="en-IN"/>
        </w:rPr>
      </w:pPr>
      <w:r w:rsidRPr="00EA7409">
        <w:rPr>
          <w:rFonts w:asciiTheme="majorHAnsi" w:hAnsiTheme="majorHAnsi"/>
          <w:lang w:eastAsia="en-IN"/>
        </w:rPr>
        <w:t>Mother’s Day &amp; World Environment Day Celebration</w:t>
      </w:r>
    </w:p>
    <w:p w14:paraId="4914E71E" w14:textId="32A0FA89" w:rsidR="00D63175" w:rsidRPr="00EA7409" w:rsidRDefault="00EC184B" w:rsidP="00056389">
      <w:pPr>
        <w:pStyle w:val="ListParagraph"/>
        <w:numPr>
          <w:ilvl w:val="0"/>
          <w:numId w:val="70"/>
        </w:numPr>
        <w:spacing w:line="360" w:lineRule="auto"/>
        <w:jc w:val="both"/>
        <w:rPr>
          <w:rStyle w:val="Strong"/>
          <w:rFonts w:asciiTheme="majorHAnsi" w:hAnsiTheme="majorHAnsi"/>
          <w:b w:val="0"/>
          <w:bCs w:val="0"/>
        </w:rPr>
      </w:pPr>
      <w:r w:rsidRPr="00EA7409">
        <w:rPr>
          <w:rStyle w:val="Strong"/>
          <w:rFonts w:asciiTheme="majorHAnsi" w:hAnsiTheme="majorHAnsi"/>
          <w:b w:val="0"/>
          <w:bCs w:val="0"/>
          <w:sz w:val="24"/>
          <w:szCs w:val="24"/>
        </w:rPr>
        <w:t xml:space="preserve">Independence Day Celebration </w:t>
      </w:r>
    </w:p>
    <w:p w14:paraId="16151DDE" w14:textId="3CF6AAF8" w:rsidR="00874664" w:rsidRPr="00EA7409" w:rsidRDefault="00874664" w:rsidP="00056389">
      <w:pPr>
        <w:pStyle w:val="ListParagraph"/>
        <w:numPr>
          <w:ilvl w:val="0"/>
          <w:numId w:val="70"/>
        </w:numPr>
        <w:spacing w:line="360" w:lineRule="auto"/>
        <w:jc w:val="both"/>
        <w:rPr>
          <w:rStyle w:val="Strong"/>
          <w:rFonts w:asciiTheme="majorHAnsi" w:hAnsiTheme="majorHAnsi"/>
          <w:b w:val="0"/>
          <w:bCs w:val="0"/>
        </w:rPr>
      </w:pPr>
      <w:r w:rsidRPr="00EA7409">
        <w:rPr>
          <w:rStyle w:val="Strong"/>
          <w:rFonts w:asciiTheme="majorHAnsi" w:hAnsiTheme="majorHAnsi"/>
          <w:b w:val="0"/>
          <w:bCs w:val="0"/>
          <w:sz w:val="24"/>
          <w:szCs w:val="24"/>
        </w:rPr>
        <w:t>Employee Engagement Action Planning Workshop</w:t>
      </w:r>
    </w:p>
    <w:p w14:paraId="4F056BE4" w14:textId="5D6BB154" w:rsidR="001E1AC2" w:rsidRPr="00EA7409" w:rsidRDefault="001E1AC2" w:rsidP="00056389">
      <w:pPr>
        <w:pStyle w:val="ListParagraph"/>
        <w:numPr>
          <w:ilvl w:val="0"/>
          <w:numId w:val="70"/>
        </w:numPr>
        <w:spacing w:line="360" w:lineRule="auto"/>
        <w:jc w:val="both"/>
        <w:rPr>
          <w:rFonts w:asciiTheme="majorHAnsi" w:hAnsiTheme="majorHAnsi"/>
        </w:rPr>
      </w:pPr>
      <w:r w:rsidRPr="00EA7409">
        <w:rPr>
          <w:rFonts w:asciiTheme="majorHAnsi" w:hAnsiTheme="majorHAnsi"/>
        </w:rPr>
        <w:t>Vishwakarma Puja Celebration</w:t>
      </w:r>
    </w:p>
    <w:p w14:paraId="49C181FD" w14:textId="4193A3E0" w:rsidR="000F0436" w:rsidRPr="00EA7409" w:rsidRDefault="000F0436" w:rsidP="00056389">
      <w:pPr>
        <w:pStyle w:val="ListParagraph"/>
        <w:numPr>
          <w:ilvl w:val="0"/>
          <w:numId w:val="70"/>
        </w:numPr>
        <w:spacing w:line="360" w:lineRule="auto"/>
        <w:jc w:val="both"/>
        <w:rPr>
          <w:rStyle w:val="Strong"/>
          <w:rFonts w:asciiTheme="majorHAnsi" w:hAnsiTheme="majorHAnsi"/>
          <w:b w:val="0"/>
          <w:bCs w:val="0"/>
        </w:rPr>
      </w:pPr>
      <w:r w:rsidRPr="00EA7409">
        <w:rPr>
          <w:rStyle w:val="Strong"/>
          <w:rFonts w:asciiTheme="majorHAnsi" w:hAnsiTheme="majorHAnsi"/>
          <w:b w:val="0"/>
          <w:bCs w:val="0"/>
          <w:sz w:val="24"/>
          <w:szCs w:val="24"/>
        </w:rPr>
        <w:t>TPWODL Badminton Tournament</w:t>
      </w:r>
    </w:p>
    <w:p w14:paraId="7B82DEE6" w14:textId="0C668004" w:rsidR="00313283" w:rsidRPr="00EA7409" w:rsidRDefault="00313283" w:rsidP="00056389">
      <w:pPr>
        <w:pStyle w:val="ListParagraph"/>
        <w:numPr>
          <w:ilvl w:val="0"/>
          <w:numId w:val="70"/>
        </w:numPr>
        <w:spacing w:line="360" w:lineRule="auto"/>
        <w:jc w:val="both"/>
        <w:rPr>
          <w:rFonts w:asciiTheme="majorHAnsi" w:hAnsiTheme="majorHAnsi"/>
          <w:lang w:eastAsia="en-IN"/>
        </w:rPr>
      </w:pPr>
      <w:r w:rsidRPr="00EA7409">
        <w:rPr>
          <w:rFonts w:asciiTheme="majorHAnsi" w:hAnsiTheme="majorHAnsi"/>
          <w:lang w:eastAsia="en-IN"/>
        </w:rPr>
        <w:t>Navratri Celebrations</w:t>
      </w:r>
    </w:p>
    <w:p w14:paraId="0A1B5A37" w14:textId="3A71F4E8" w:rsidR="00BF601A" w:rsidRDefault="00BF601A" w:rsidP="00056389">
      <w:pPr>
        <w:pStyle w:val="ListParagraph"/>
        <w:numPr>
          <w:ilvl w:val="0"/>
          <w:numId w:val="70"/>
        </w:numPr>
        <w:spacing w:line="360" w:lineRule="auto"/>
        <w:jc w:val="both"/>
        <w:rPr>
          <w:rFonts w:asciiTheme="majorHAnsi" w:hAnsiTheme="majorHAnsi"/>
        </w:rPr>
      </w:pPr>
      <w:r w:rsidRPr="00EA7409">
        <w:rPr>
          <w:rFonts w:asciiTheme="majorHAnsi" w:hAnsiTheme="majorHAnsi"/>
          <w:lang w:eastAsia="en-IN"/>
        </w:rPr>
        <w:t>POSH Awareness Sessions</w:t>
      </w:r>
    </w:p>
    <w:p w14:paraId="16C90E42" w14:textId="3903A195" w:rsidR="00774135" w:rsidRDefault="00976C98" w:rsidP="00C94D4B">
      <w:pPr>
        <w:pStyle w:val="BodyText2"/>
        <w:spacing w:line="360" w:lineRule="auto"/>
        <w:jc w:val="both"/>
        <w:rPr>
          <w:rFonts w:asciiTheme="majorHAnsi" w:hAnsiTheme="majorHAnsi" w:cstheme="minorHAnsi"/>
          <w:b/>
          <w:bCs/>
          <w:color w:val="0F243E" w:themeColor="text2" w:themeShade="80"/>
          <w:sz w:val="24"/>
          <w:szCs w:val="24"/>
          <w:u w:val="single"/>
          <w:lang w:val="en-GB"/>
        </w:rPr>
      </w:pPr>
      <w:r w:rsidRPr="00976C98">
        <w:rPr>
          <w:rFonts w:asciiTheme="majorHAnsi" w:hAnsiTheme="majorHAnsi" w:cstheme="minorHAnsi"/>
          <w:b/>
          <w:bCs/>
          <w:color w:val="0F243E" w:themeColor="text2" w:themeShade="80"/>
          <w:sz w:val="24"/>
          <w:szCs w:val="24"/>
          <w:u w:val="single"/>
          <w:lang w:val="en-GB"/>
        </w:rPr>
        <w:t>Engagement of Outsource Employees:</w:t>
      </w:r>
    </w:p>
    <w:tbl>
      <w:tblPr>
        <w:tblW w:w="5000" w:type="pct"/>
        <w:tblLook w:val="04A0" w:firstRow="1" w:lastRow="0" w:firstColumn="1" w:lastColumn="0" w:noHBand="0" w:noVBand="1"/>
      </w:tblPr>
      <w:tblGrid>
        <w:gridCol w:w="2062"/>
        <w:gridCol w:w="756"/>
        <w:gridCol w:w="1529"/>
        <w:gridCol w:w="4853"/>
      </w:tblGrid>
      <w:tr w:rsidR="00E8511B" w:rsidRPr="009729CF" w14:paraId="23D27C09" w14:textId="77777777" w:rsidTr="009729CF">
        <w:trPr>
          <w:trHeight w:val="510"/>
        </w:trPr>
        <w:tc>
          <w:tcPr>
            <w:tcW w:w="1076"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77B0B77F" w14:textId="77777777" w:rsidR="00E8511B" w:rsidRPr="009729CF" w:rsidRDefault="00E8511B">
            <w:pPr>
              <w:rPr>
                <w:rFonts w:asciiTheme="majorHAnsi" w:hAnsiTheme="majorHAnsi" w:cs="Arial"/>
                <w:b/>
                <w:bCs/>
                <w:color w:val="000000"/>
                <w:sz w:val="22"/>
                <w:szCs w:val="22"/>
                <w:lang w:val="en-IN" w:eastAsia="en-IN"/>
              </w:rPr>
            </w:pPr>
            <w:r w:rsidRPr="009729CF">
              <w:rPr>
                <w:rFonts w:asciiTheme="majorHAnsi" w:hAnsiTheme="majorHAnsi" w:cs="Arial"/>
                <w:b/>
                <w:bCs/>
                <w:color w:val="000000"/>
                <w:sz w:val="22"/>
                <w:szCs w:val="22"/>
              </w:rPr>
              <w:t>Services Description</w:t>
            </w:r>
          </w:p>
        </w:tc>
        <w:tc>
          <w:tcPr>
            <w:tcW w:w="455" w:type="pct"/>
            <w:tcBorders>
              <w:top w:val="single" w:sz="4" w:space="0" w:color="auto"/>
              <w:left w:val="nil"/>
              <w:bottom w:val="single" w:sz="4" w:space="0" w:color="auto"/>
              <w:right w:val="single" w:sz="4" w:space="0" w:color="auto"/>
            </w:tcBorders>
            <w:shd w:val="clear" w:color="000000" w:fill="D9D9D9"/>
            <w:noWrap/>
            <w:vAlign w:val="center"/>
            <w:hideMark/>
          </w:tcPr>
          <w:p w14:paraId="517C7999" w14:textId="77777777" w:rsidR="00E8511B" w:rsidRPr="009729CF" w:rsidRDefault="00E8511B" w:rsidP="00E8511B">
            <w:pPr>
              <w:jc w:val="center"/>
              <w:rPr>
                <w:rFonts w:asciiTheme="majorHAnsi" w:hAnsiTheme="majorHAnsi" w:cs="Arial"/>
                <w:b/>
                <w:bCs/>
                <w:color w:val="000000"/>
                <w:sz w:val="22"/>
                <w:szCs w:val="22"/>
              </w:rPr>
            </w:pPr>
            <w:r w:rsidRPr="009729CF">
              <w:rPr>
                <w:rFonts w:asciiTheme="majorHAnsi" w:hAnsiTheme="majorHAnsi" w:cs="Arial"/>
                <w:b/>
                <w:bCs/>
                <w:color w:val="000000"/>
                <w:sz w:val="22"/>
                <w:szCs w:val="22"/>
              </w:rPr>
              <w:t>No. of Manpower</w:t>
            </w:r>
          </w:p>
        </w:tc>
        <w:tc>
          <w:tcPr>
            <w:tcW w:w="831" w:type="pct"/>
            <w:tcBorders>
              <w:top w:val="single" w:sz="4" w:space="0" w:color="auto"/>
              <w:left w:val="nil"/>
              <w:bottom w:val="single" w:sz="4" w:space="0" w:color="auto"/>
              <w:right w:val="single" w:sz="4" w:space="0" w:color="auto"/>
            </w:tcBorders>
            <w:shd w:val="clear" w:color="000000" w:fill="D9D9D9"/>
            <w:noWrap/>
            <w:vAlign w:val="center"/>
            <w:hideMark/>
          </w:tcPr>
          <w:p w14:paraId="6EB90144" w14:textId="77777777" w:rsidR="00E8511B" w:rsidRPr="009729CF" w:rsidRDefault="00E8511B">
            <w:pPr>
              <w:jc w:val="center"/>
              <w:rPr>
                <w:rFonts w:asciiTheme="majorHAnsi" w:hAnsiTheme="majorHAnsi" w:cs="Arial"/>
                <w:b/>
                <w:bCs/>
                <w:color w:val="000000"/>
                <w:sz w:val="22"/>
                <w:szCs w:val="22"/>
              </w:rPr>
            </w:pPr>
            <w:r w:rsidRPr="009729CF">
              <w:rPr>
                <w:rFonts w:asciiTheme="majorHAnsi" w:hAnsiTheme="majorHAnsi" w:cs="Arial"/>
                <w:b/>
                <w:bCs/>
                <w:color w:val="000000"/>
                <w:sz w:val="22"/>
                <w:szCs w:val="22"/>
              </w:rPr>
              <w:t>Engaged with (Dept.)</w:t>
            </w:r>
          </w:p>
        </w:tc>
        <w:tc>
          <w:tcPr>
            <w:tcW w:w="2638" w:type="pct"/>
            <w:tcBorders>
              <w:top w:val="single" w:sz="4" w:space="0" w:color="auto"/>
              <w:left w:val="nil"/>
              <w:bottom w:val="single" w:sz="4" w:space="0" w:color="auto"/>
              <w:right w:val="single" w:sz="4" w:space="0" w:color="auto"/>
            </w:tcBorders>
            <w:shd w:val="clear" w:color="000000" w:fill="D9D9D9"/>
            <w:noWrap/>
            <w:vAlign w:val="center"/>
            <w:hideMark/>
          </w:tcPr>
          <w:p w14:paraId="4A7273D5" w14:textId="77777777" w:rsidR="00E8511B" w:rsidRPr="009729CF" w:rsidRDefault="00E8511B">
            <w:pPr>
              <w:rPr>
                <w:rFonts w:asciiTheme="majorHAnsi" w:hAnsiTheme="majorHAnsi" w:cs="Arial"/>
                <w:b/>
                <w:bCs/>
                <w:color w:val="000000"/>
                <w:sz w:val="22"/>
                <w:szCs w:val="22"/>
              </w:rPr>
            </w:pPr>
            <w:r w:rsidRPr="009729CF">
              <w:rPr>
                <w:rFonts w:asciiTheme="majorHAnsi" w:hAnsiTheme="majorHAnsi" w:cs="Arial"/>
                <w:b/>
                <w:bCs/>
                <w:color w:val="000000"/>
                <w:sz w:val="22"/>
                <w:szCs w:val="22"/>
              </w:rPr>
              <w:t>Nature of work</w:t>
            </w:r>
          </w:p>
        </w:tc>
      </w:tr>
      <w:tr w:rsidR="00E8511B" w:rsidRPr="009729CF" w14:paraId="5CE8F839" w14:textId="77777777" w:rsidTr="009729CF">
        <w:trPr>
          <w:trHeight w:val="285"/>
        </w:trPr>
        <w:tc>
          <w:tcPr>
            <w:tcW w:w="1076" w:type="pct"/>
            <w:tcBorders>
              <w:top w:val="nil"/>
              <w:left w:val="single" w:sz="4" w:space="0" w:color="auto"/>
              <w:bottom w:val="single" w:sz="4" w:space="0" w:color="auto"/>
              <w:right w:val="single" w:sz="4" w:space="0" w:color="auto"/>
            </w:tcBorders>
            <w:vAlign w:val="center"/>
            <w:hideMark/>
          </w:tcPr>
          <w:p w14:paraId="5CED2DF3" w14:textId="77777777" w:rsidR="00E8511B" w:rsidRPr="009729CF" w:rsidRDefault="00E8511B">
            <w:pPr>
              <w:rPr>
                <w:rFonts w:asciiTheme="majorHAnsi" w:hAnsiTheme="majorHAnsi" w:cs="Arial"/>
                <w:color w:val="000000"/>
                <w:sz w:val="22"/>
                <w:szCs w:val="22"/>
              </w:rPr>
            </w:pPr>
            <w:r w:rsidRPr="009729CF">
              <w:rPr>
                <w:rFonts w:asciiTheme="majorHAnsi" w:hAnsiTheme="majorHAnsi" w:cs="Arial"/>
                <w:color w:val="000000"/>
                <w:sz w:val="22"/>
                <w:szCs w:val="22"/>
              </w:rPr>
              <w:t>33kV Line</w:t>
            </w:r>
          </w:p>
        </w:tc>
        <w:tc>
          <w:tcPr>
            <w:tcW w:w="455" w:type="pct"/>
            <w:tcBorders>
              <w:top w:val="nil"/>
              <w:left w:val="nil"/>
              <w:bottom w:val="single" w:sz="4" w:space="0" w:color="auto"/>
              <w:right w:val="single" w:sz="4" w:space="0" w:color="auto"/>
            </w:tcBorders>
            <w:noWrap/>
            <w:vAlign w:val="center"/>
            <w:hideMark/>
          </w:tcPr>
          <w:p w14:paraId="1208A476" w14:textId="77777777" w:rsidR="00E8511B" w:rsidRPr="009729CF" w:rsidRDefault="00E8511B" w:rsidP="00E8511B">
            <w:pPr>
              <w:jc w:val="center"/>
              <w:rPr>
                <w:rFonts w:asciiTheme="majorHAnsi" w:hAnsiTheme="majorHAnsi" w:cs="Arial"/>
                <w:color w:val="000000"/>
                <w:sz w:val="22"/>
                <w:szCs w:val="22"/>
              </w:rPr>
            </w:pPr>
            <w:r w:rsidRPr="009729CF">
              <w:rPr>
                <w:rFonts w:asciiTheme="majorHAnsi" w:hAnsiTheme="majorHAnsi" w:cs="Arial"/>
                <w:color w:val="000000"/>
                <w:sz w:val="22"/>
                <w:szCs w:val="22"/>
              </w:rPr>
              <w:t>2653</w:t>
            </w:r>
          </w:p>
        </w:tc>
        <w:tc>
          <w:tcPr>
            <w:tcW w:w="831" w:type="pct"/>
            <w:tcBorders>
              <w:top w:val="nil"/>
              <w:left w:val="nil"/>
              <w:bottom w:val="single" w:sz="4" w:space="0" w:color="auto"/>
              <w:right w:val="single" w:sz="4" w:space="0" w:color="auto"/>
            </w:tcBorders>
            <w:noWrap/>
            <w:vAlign w:val="center"/>
            <w:hideMark/>
          </w:tcPr>
          <w:p w14:paraId="60ED98B6" w14:textId="77777777" w:rsidR="00E8511B" w:rsidRPr="009729CF" w:rsidRDefault="00E8511B">
            <w:pPr>
              <w:jc w:val="center"/>
              <w:rPr>
                <w:rFonts w:asciiTheme="majorHAnsi" w:hAnsiTheme="majorHAnsi" w:cs="Arial"/>
                <w:sz w:val="22"/>
                <w:szCs w:val="22"/>
              </w:rPr>
            </w:pPr>
            <w:r w:rsidRPr="009729CF">
              <w:rPr>
                <w:rFonts w:asciiTheme="majorHAnsi" w:hAnsiTheme="majorHAnsi" w:cs="Arial"/>
                <w:sz w:val="22"/>
                <w:szCs w:val="22"/>
              </w:rPr>
              <w:t>O&amp;M</w:t>
            </w:r>
          </w:p>
        </w:tc>
        <w:tc>
          <w:tcPr>
            <w:tcW w:w="2638" w:type="pct"/>
            <w:tcBorders>
              <w:top w:val="nil"/>
              <w:left w:val="nil"/>
              <w:bottom w:val="single" w:sz="4" w:space="0" w:color="auto"/>
              <w:right w:val="single" w:sz="4" w:space="0" w:color="auto"/>
            </w:tcBorders>
            <w:noWrap/>
            <w:vAlign w:val="center"/>
            <w:hideMark/>
          </w:tcPr>
          <w:p w14:paraId="16087123" w14:textId="77777777" w:rsidR="00E8511B" w:rsidRPr="009729CF" w:rsidRDefault="00E8511B">
            <w:pPr>
              <w:rPr>
                <w:rFonts w:asciiTheme="majorHAnsi" w:hAnsiTheme="majorHAnsi" w:cs="Arial"/>
                <w:color w:val="000000"/>
                <w:sz w:val="22"/>
                <w:szCs w:val="22"/>
              </w:rPr>
            </w:pPr>
            <w:r w:rsidRPr="009729CF">
              <w:rPr>
                <w:rFonts w:asciiTheme="majorHAnsi" w:hAnsiTheme="majorHAnsi" w:cs="Arial"/>
                <w:color w:val="000000"/>
                <w:sz w:val="22"/>
                <w:szCs w:val="22"/>
              </w:rPr>
              <w:t>11 KV AMC</w:t>
            </w:r>
          </w:p>
        </w:tc>
      </w:tr>
      <w:tr w:rsidR="00E8511B" w:rsidRPr="009729CF" w14:paraId="77D6F5AA" w14:textId="77777777" w:rsidTr="009729CF">
        <w:trPr>
          <w:trHeight w:val="285"/>
        </w:trPr>
        <w:tc>
          <w:tcPr>
            <w:tcW w:w="1076" w:type="pct"/>
            <w:tcBorders>
              <w:top w:val="nil"/>
              <w:left w:val="single" w:sz="4" w:space="0" w:color="auto"/>
              <w:bottom w:val="single" w:sz="4" w:space="0" w:color="auto"/>
              <w:right w:val="single" w:sz="4" w:space="0" w:color="auto"/>
            </w:tcBorders>
            <w:vAlign w:val="center"/>
            <w:hideMark/>
          </w:tcPr>
          <w:p w14:paraId="7087787F" w14:textId="77777777" w:rsidR="00E8511B" w:rsidRPr="009729CF" w:rsidRDefault="00E8511B">
            <w:pPr>
              <w:rPr>
                <w:rFonts w:asciiTheme="majorHAnsi" w:hAnsiTheme="majorHAnsi" w:cs="Arial"/>
                <w:color w:val="000000"/>
                <w:sz w:val="22"/>
                <w:szCs w:val="22"/>
              </w:rPr>
            </w:pPr>
            <w:r w:rsidRPr="009729CF">
              <w:rPr>
                <w:rFonts w:asciiTheme="majorHAnsi" w:hAnsiTheme="majorHAnsi" w:cs="Arial"/>
                <w:color w:val="000000"/>
                <w:sz w:val="22"/>
                <w:szCs w:val="22"/>
              </w:rPr>
              <w:t>11kV &amp; LT</w:t>
            </w:r>
          </w:p>
        </w:tc>
        <w:tc>
          <w:tcPr>
            <w:tcW w:w="455" w:type="pct"/>
            <w:tcBorders>
              <w:top w:val="nil"/>
              <w:left w:val="nil"/>
              <w:bottom w:val="single" w:sz="4" w:space="0" w:color="auto"/>
              <w:right w:val="single" w:sz="4" w:space="0" w:color="auto"/>
            </w:tcBorders>
            <w:noWrap/>
            <w:vAlign w:val="center"/>
            <w:hideMark/>
          </w:tcPr>
          <w:p w14:paraId="18269F84" w14:textId="77777777" w:rsidR="00E8511B" w:rsidRPr="009729CF" w:rsidRDefault="00E8511B" w:rsidP="00E8511B">
            <w:pPr>
              <w:jc w:val="center"/>
              <w:rPr>
                <w:rFonts w:asciiTheme="majorHAnsi" w:hAnsiTheme="majorHAnsi" w:cs="Arial"/>
                <w:color w:val="000000"/>
                <w:sz w:val="22"/>
                <w:szCs w:val="22"/>
              </w:rPr>
            </w:pPr>
            <w:r w:rsidRPr="009729CF">
              <w:rPr>
                <w:rFonts w:asciiTheme="majorHAnsi" w:hAnsiTheme="majorHAnsi" w:cs="Arial"/>
                <w:color w:val="000000"/>
                <w:sz w:val="22"/>
                <w:szCs w:val="22"/>
              </w:rPr>
              <w:t>5205</w:t>
            </w:r>
          </w:p>
        </w:tc>
        <w:tc>
          <w:tcPr>
            <w:tcW w:w="831" w:type="pct"/>
            <w:tcBorders>
              <w:top w:val="nil"/>
              <w:left w:val="nil"/>
              <w:bottom w:val="single" w:sz="4" w:space="0" w:color="auto"/>
              <w:right w:val="single" w:sz="4" w:space="0" w:color="auto"/>
            </w:tcBorders>
            <w:noWrap/>
            <w:vAlign w:val="center"/>
            <w:hideMark/>
          </w:tcPr>
          <w:p w14:paraId="676B1F62" w14:textId="77777777" w:rsidR="00E8511B" w:rsidRPr="009729CF" w:rsidRDefault="00E8511B">
            <w:pPr>
              <w:jc w:val="center"/>
              <w:rPr>
                <w:rFonts w:asciiTheme="majorHAnsi" w:hAnsiTheme="majorHAnsi" w:cs="Arial"/>
                <w:sz w:val="22"/>
                <w:szCs w:val="22"/>
              </w:rPr>
            </w:pPr>
            <w:r w:rsidRPr="009729CF">
              <w:rPr>
                <w:rFonts w:asciiTheme="majorHAnsi" w:hAnsiTheme="majorHAnsi" w:cs="Arial"/>
                <w:sz w:val="22"/>
                <w:szCs w:val="22"/>
              </w:rPr>
              <w:t>O&amp;M</w:t>
            </w:r>
          </w:p>
        </w:tc>
        <w:tc>
          <w:tcPr>
            <w:tcW w:w="2638" w:type="pct"/>
            <w:tcBorders>
              <w:top w:val="nil"/>
              <w:left w:val="nil"/>
              <w:bottom w:val="single" w:sz="4" w:space="0" w:color="auto"/>
              <w:right w:val="single" w:sz="4" w:space="0" w:color="auto"/>
            </w:tcBorders>
            <w:noWrap/>
            <w:vAlign w:val="center"/>
            <w:hideMark/>
          </w:tcPr>
          <w:p w14:paraId="139FE312" w14:textId="77777777" w:rsidR="00E8511B" w:rsidRPr="009729CF" w:rsidRDefault="00E8511B">
            <w:pPr>
              <w:rPr>
                <w:rFonts w:asciiTheme="majorHAnsi" w:hAnsiTheme="majorHAnsi" w:cs="Arial"/>
                <w:color w:val="000000"/>
                <w:sz w:val="22"/>
                <w:szCs w:val="22"/>
              </w:rPr>
            </w:pPr>
            <w:r w:rsidRPr="009729CF">
              <w:rPr>
                <w:rFonts w:asciiTheme="majorHAnsi" w:hAnsiTheme="majorHAnsi" w:cs="Arial"/>
                <w:color w:val="000000"/>
                <w:sz w:val="22"/>
                <w:szCs w:val="22"/>
              </w:rPr>
              <w:t>33 KV AMC</w:t>
            </w:r>
          </w:p>
        </w:tc>
      </w:tr>
      <w:tr w:rsidR="00E8511B" w:rsidRPr="009729CF" w14:paraId="2AC1A7D3" w14:textId="77777777" w:rsidTr="009729CF">
        <w:trPr>
          <w:trHeight w:val="285"/>
        </w:trPr>
        <w:tc>
          <w:tcPr>
            <w:tcW w:w="1076" w:type="pct"/>
            <w:tcBorders>
              <w:top w:val="nil"/>
              <w:left w:val="single" w:sz="4" w:space="0" w:color="auto"/>
              <w:bottom w:val="single" w:sz="4" w:space="0" w:color="auto"/>
              <w:right w:val="single" w:sz="4" w:space="0" w:color="auto"/>
            </w:tcBorders>
            <w:noWrap/>
            <w:vAlign w:val="center"/>
            <w:hideMark/>
          </w:tcPr>
          <w:p w14:paraId="0C9B6995" w14:textId="78A4DDE8" w:rsidR="00E8511B" w:rsidRPr="009729CF" w:rsidRDefault="00E8511B">
            <w:pPr>
              <w:rPr>
                <w:rFonts w:asciiTheme="majorHAnsi" w:hAnsiTheme="majorHAnsi" w:cs="Arial"/>
                <w:sz w:val="22"/>
                <w:szCs w:val="22"/>
              </w:rPr>
            </w:pPr>
            <w:r w:rsidRPr="009729CF">
              <w:rPr>
                <w:rFonts w:asciiTheme="majorHAnsi" w:hAnsiTheme="majorHAnsi" w:cs="Arial"/>
                <w:sz w:val="22"/>
                <w:szCs w:val="22"/>
              </w:rPr>
              <w:t>O&amp;M</w:t>
            </w:r>
            <w:r w:rsidR="009729CF">
              <w:rPr>
                <w:rFonts w:asciiTheme="majorHAnsi" w:hAnsiTheme="majorHAnsi" w:cs="Arial"/>
                <w:sz w:val="22"/>
                <w:szCs w:val="22"/>
              </w:rPr>
              <w:t xml:space="preserve"> </w:t>
            </w:r>
            <w:r w:rsidRPr="009729CF">
              <w:rPr>
                <w:rFonts w:asciiTheme="majorHAnsi" w:hAnsiTheme="majorHAnsi" w:cs="Arial"/>
                <w:sz w:val="22"/>
                <w:szCs w:val="22"/>
              </w:rPr>
              <w:t>-</w:t>
            </w:r>
            <w:r w:rsidR="009729CF">
              <w:rPr>
                <w:rFonts w:asciiTheme="majorHAnsi" w:hAnsiTheme="majorHAnsi" w:cs="Arial"/>
                <w:sz w:val="22"/>
                <w:szCs w:val="22"/>
              </w:rPr>
              <w:t xml:space="preserve"> </w:t>
            </w:r>
            <w:r w:rsidRPr="009729CF">
              <w:rPr>
                <w:rFonts w:asciiTheme="majorHAnsi" w:hAnsiTheme="majorHAnsi" w:cs="Arial"/>
                <w:sz w:val="22"/>
                <w:szCs w:val="22"/>
              </w:rPr>
              <w:t xml:space="preserve">Other </w:t>
            </w:r>
            <w:r w:rsidR="0085482A" w:rsidRPr="009729CF">
              <w:rPr>
                <w:rFonts w:asciiTheme="majorHAnsi" w:hAnsiTheme="majorHAnsi" w:cs="Arial"/>
                <w:sz w:val="22"/>
                <w:szCs w:val="22"/>
              </w:rPr>
              <w:t>m</w:t>
            </w:r>
            <w:r w:rsidRPr="009729CF">
              <w:rPr>
                <w:rFonts w:asciiTheme="majorHAnsi" w:hAnsiTheme="majorHAnsi" w:cs="Arial"/>
                <w:sz w:val="22"/>
                <w:szCs w:val="22"/>
              </w:rPr>
              <w:t>anpower-</w:t>
            </w:r>
            <w:r w:rsidR="0085482A" w:rsidRPr="009729CF">
              <w:rPr>
                <w:rFonts w:asciiTheme="majorHAnsi" w:hAnsiTheme="majorHAnsi" w:cs="Arial"/>
                <w:sz w:val="22"/>
                <w:szCs w:val="22"/>
              </w:rPr>
              <w:t>h</w:t>
            </w:r>
            <w:r w:rsidRPr="009729CF">
              <w:rPr>
                <w:rFonts w:asciiTheme="majorHAnsi" w:hAnsiTheme="majorHAnsi" w:cs="Arial"/>
                <w:sz w:val="22"/>
                <w:szCs w:val="22"/>
              </w:rPr>
              <w:t>elper (Outsourced)</w:t>
            </w:r>
          </w:p>
        </w:tc>
        <w:tc>
          <w:tcPr>
            <w:tcW w:w="455" w:type="pct"/>
            <w:tcBorders>
              <w:top w:val="nil"/>
              <w:left w:val="nil"/>
              <w:bottom w:val="single" w:sz="4" w:space="0" w:color="auto"/>
              <w:right w:val="single" w:sz="4" w:space="0" w:color="auto"/>
            </w:tcBorders>
            <w:vAlign w:val="center"/>
            <w:hideMark/>
          </w:tcPr>
          <w:p w14:paraId="412E1F1E" w14:textId="489BA395" w:rsidR="00E8511B" w:rsidRPr="009729CF" w:rsidRDefault="00E8511B" w:rsidP="00E8511B">
            <w:pPr>
              <w:jc w:val="center"/>
              <w:rPr>
                <w:rFonts w:asciiTheme="majorHAnsi" w:hAnsiTheme="majorHAnsi" w:cs="Arial"/>
                <w:color w:val="000000"/>
                <w:sz w:val="22"/>
                <w:szCs w:val="22"/>
              </w:rPr>
            </w:pPr>
            <w:r w:rsidRPr="009729CF">
              <w:rPr>
                <w:rFonts w:asciiTheme="majorHAnsi" w:hAnsiTheme="majorHAnsi" w:cs="Arial"/>
                <w:color w:val="000000"/>
                <w:sz w:val="22"/>
                <w:szCs w:val="22"/>
              </w:rPr>
              <w:t>547</w:t>
            </w:r>
          </w:p>
        </w:tc>
        <w:tc>
          <w:tcPr>
            <w:tcW w:w="831" w:type="pct"/>
            <w:tcBorders>
              <w:top w:val="nil"/>
              <w:left w:val="nil"/>
              <w:bottom w:val="single" w:sz="4" w:space="0" w:color="auto"/>
              <w:right w:val="single" w:sz="4" w:space="0" w:color="auto"/>
            </w:tcBorders>
            <w:noWrap/>
            <w:vAlign w:val="center"/>
            <w:hideMark/>
          </w:tcPr>
          <w:p w14:paraId="5F268D41" w14:textId="77777777" w:rsidR="00E8511B" w:rsidRPr="009729CF" w:rsidRDefault="00E8511B">
            <w:pPr>
              <w:jc w:val="center"/>
              <w:rPr>
                <w:rFonts w:asciiTheme="majorHAnsi" w:hAnsiTheme="majorHAnsi" w:cs="Arial"/>
                <w:sz w:val="22"/>
                <w:szCs w:val="22"/>
              </w:rPr>
            </w:pPr>
            <w:r w:rsidRPr="009729CF">
              <w:rPr>
                <w:rFonts w:asciiTheme="majorHAnsi" w:hAnsiTheme="majorHAnsi" w:cs="Arial"/>
                <w:sz w:val="22"/>
                <w:szCs w:val="22"/>
              </w:rPr>
              <w:t>O&amp;M</w:t>
            </w:r>
          </w:p>
        </w:tc>
        <w:tc>
          <w:tcPr>
            <w:tcW w:w="2638" w:type="pct"/>
            <w:tcBorders>
              <w:top w:val="nil"/>
              <w:left w:val="nil"/>
              <w:bottom w:val="single" w:sz="4" w:space="0" w:color="auto"/>
              <w:right w:val="single" w:sz="4" w:space="0" w:color="auto"/>
            </w:tcBorders>
            <w:noWrap/>
            <w:vAlign w:val="center"/>
            <w:hideMark/>
          </w:tcPr>
          <w:p w14:paraId="6505CE21" w14:textId="77777777" w:rsidR="00E8511B" w:rsidRPr="009729CF" w:rsidRDefault="00E8511B">
            <w:pPr>
              <w:rPr>
                <w:rFonts w:asciiTheme="majorHAnsi" w:hAnsiTheme="majorHAnsi" w:cs="Arial"/>
                <w:sz w:val="22"/>
                <w:szCs w:val="22"/>
              </w:rPr>
            </w:pPr>
            <w:r w:rsidRPr="009729CF">
              <w:rPr>
                <w:rFonts w:asciiTheme="majorHAnsi" w:hAnsiTheme="majorHAnsi" w:cs="Arial"/>
                <w:sz w:val="22"/>
                <w:szCs w:val="22"/>
              </w:rPr>
              <w:t>Operation and Maintenance job, collection activities, consumer collection, etc. connected with different SDOs, Sections, Division and other offices of TPWODL</w:t>
            </w:r>
          </w:p>
        </w:tc>
      </w:tr>
      <w:tr w:rsidR="00E8511B" w:rsidRPr="009729CF" w14:paraId="25D8224F" w14:textId="77777777" w:rsidTr="009729CF">
        <w:trPr>
          <w:trHeight w:val="285"/>
        </w:trPr>
        <w:tc>
          <w:tcPr>
            <w:tcW w:w="1076" w:type="pct"/>
            <w:tcBorders>
              <w:top w:val="nil"/>
              <w:left w:val="single" w:sz="4" w:space="0" w:color="auto"/>
              <w:bottom w:val="single" w:sz="4" w:space="0" w:color="auto"/>
              <w:right w:val="single" w:sz="4" w:space="0" w:color="auto"/>
            </w:tcBorders>
            <w:noWrap/>
            <w:vAlign w:val="center"/>
            <w:hideMark/>
          </w:tcPr>
          <w:p w14:paraId="62500957" w14:textId="5733F706" w:rsidR="00E8511B" w:rsidRPr="009729CF" w:rsidRDefault="00E8511B">
            <w:pPr>
              <w:rPr>
                <w:rFonts w:asciiTheme="majorHAnsi" w:hAnsiTheme="majorHAnsi" w:cs="Arial"/>
                <w:sz w:val="22"/>
                <w:szCs w:val="22"/>
              </w:rPr>
            </w:pPr>
            <w:r w:rsidRPr="009729CF">
              <w:rPr>
                <w:rFonts w:asciiTheme="majorHAnsi" w:hAnsiTheme="majorHAnsi" w:cs="Arial"/>
                <w:sz w:val="22"/>
                <w:szCs w:val="22"/>
              </w:rPr>
              <w:t>O&amp;M- (Back-office services-Computer Operator)</w:t>
            </w:r>
            <w:r w:rsidR="0085482A" w:rsidRPr="009729CF">
              <w:rPr>
                <w:rFonts w:asciiTheme="majorHAnsi" w:hAnsiTheme="majorHAnsi" w:cs="Arial"/>
                <w:sz w:val="22"/>
                <w:szCs w:val="22"/>
              </w:rPr>
              <w:t xml:space="preserve"> </w:t>
            </w:r>
            <w:r w:rsidRPr="009729CF">
              <w:rPr>
                <w:rFonts w:asciiTheme="majorHAnsi" w:hAnsiTheme="majorHAnsi" w:cs="Arial"/>
                <w:sz w:val="22"/>
                <w:szCs w:val="22"/>
              </w:rPr>
              <w:t>(Outsourced)</w:t>
            </w:r>
          </w:p>
        </w:tc>
        <w:tc>
          <w:tcPr>
            <w:tcW w:w="455" w:type="pct"/>
            <w:tcBorders>
              <w:top w:val="nil"/>
              <w:left w:val="nil"/>
              <w:bottom w:val="single" w:sz="4" w:space="0" w:color="auto"/>
              <w:right w:val="single" w:sz="4" w:space="0" w:color="auto"/>
            </w:tcBorders>
            <w:vAlign w:val="center"/>
            <w:hideMark/>
          </w:tcPr>
          <w:p w14:paraId="33833795" w14:textId="35D27409" w:rsidR="00E8511B" w:rsidRPr="009729CF" w:rsidRDefault="00E8511B" w:rsidP="00E8511B">
            <w:pPr>
              <w:jc w:val="center"/>
              <w:rPr>
                <w:rFonts w:asciiTheme="majorHAnsi" w:hAnsiTheme="majorHAnsi" w:cs="Arial"/>
                <w:color w:val="000000"/>
                <w:sz w:val="22"/>
                <w:szCs w:val="22"/>
              </w:rPr>
            </w:pPr>
            <w:r w:rsidRPr="009729CF">
              <w:rPr>
                <w:rFonts w:asciiTheme="majorHAnsi" w:hAnsiTheme="majorHAnsi" w:cs="Arial"/>
                <w:color w:val="000000"/>
                <w:sz w:val="22"/>
                <w:szCs w:val="22"/>
              </w:rPr>
              <w:t>34</w:t>
            </w:r>
          </w:p>
        </w:tc>
        <w:tc>
          <w:tcPr>
            <w:tcW w:w="831" w:type="pct"/>
            <w:tcBorders>
              <w:top w:val="nil"/>
              <w:left w:val="nil"/>
              <w:bottom w:val="single" w:sz="4" w:space="0" w:color="auto"/>
              <w:right w:val="single" w:sz="4" w:space="0" w:color="auto"/>
            </w:tcBorders>
            <w:noWrap/>
            <w:vAlign w:val="center"/>
            <w:hideMark/>
          </w:tcPr>
          <w:p w14:paraId="0749064D" w14:textId="77777777" w:rsidR="00E8511B" w:rsidRPr="009729CF" w:rsidRDefault="00E8511B">
            <w:pPr>
              <w:jc w:val="center"/>
              <w:rPr>
                <w:rFonts w:asciiTheme="majorHAnsi" w:hAnsiTheme="majorHAnsi" w:cs="Arial"/>
                <w:sz w:val="22"/>
                <w:szCs w:val="22"/>
              </w:rPr>
            </w:pPr>
            <w:r w:rsidRPr="009729CF">
              <w:rPr>
                <w:rFonts w:asciiTheme="majorHAnsi" w:hAnsiTheme="majorHAnsi" w:cs="Arial"/>
                <w:sz w:val="22"/>
                <w:szCs w:val="22"/>
              </w:rPr>
              <w:t>O&amp;M</w:t>
            </w:r>
          </w:p>
        </w:tc>
        <w:tc>
          <w:tcPr>
            <w:tcW w:w="2638" w:type="pct"/>
            <w:tcBorders>
              <w:top w:val="nil"/>
              <w:left w:val="nil"/>
              <w:bottom w:val="single" w:sz="4" w:space="0" w:color="auto"/>
              <w:right w:val="single" w:sz="4" w:space="0" w:color="auto"/>
            </w:tcBorders>
            <w:noWrap/>
            <w:vAlign w:val="center"/>
            <w:hideMark/>
          </w:tcPr>
          <w:p w14:paraId="17835ECA" w14:textId="6E6CD605" w:rsidR="00E8511B" w:rsidRPr="009729CF" w:rsidRDefault="00E8511B">
            <w:pPr>
              <w:rPr>
                <w:rFonts w:asciiTheme="majorHAnsi" w:hAnsiTheme="majorHAnsi" w:cs="Arial"/>
                <w:sz w:val="22"/>
                <w:szCs w:val="22"/>
              </w:rPr>
            </w:pPr>
            <w:r w:rsidRPr="009729CF">
              <w:rPr>
                <w:rFonts w:asciiTheme="majorHAnsi" w:hAnsiTheme="majorHAnsi" w:cs="Arial"/>
                <w:sz w:val="22"/>
                <w:szCs w:val="22"/>
              </w:rPr>
              <w:t>Office boy, pantry boy and Postal rel</w:t>
            </w:r>
            <w:r w:rsidR="00DE77AC">
              <w:rPr>
                <w:rFonts w:asciiTheme="majorHAnsi" w:hAnsiTheme="majorHAnsi" w:cs="Arial"/>
                <w:sz w:val="22"/>
                <w:szCs w:val="22"/>
              </w:rPr>
              <w:t xml:space="preserve">ated </w:t>
            </w:r>
            <w:r w:rsidRPr="009729CF">
              <w:rPr>
                <w:rFonts w:asciiTheme="majorHAnsi" w:hAnsiTheme="majorHAnsi" w:cs="Arial"/>
                <w:sz w:val="22"/>
                <w:szCs w:val="22"/>
              </w:rPr>
              <w:t>services</w:t>
            </w:r>
          </w:p>
        </w:tc>
      </w:tr>
      <w:tr w:rsidR="00E8511B" w:rsidRPr="009729CF" w14:paraId="7053A309" w14:textId="77777777" w:rsidTr="009729CF">
        <w:trPr>
          <w:trHeight w:val="285"/>
        </w:trPr>
        <w:tc>
          <w:tcPr>
            <w:tcW w:w="1076" w:type="pct"/>
            <w:tcBorders>
              <w:top w:val="nil"/>
              <w:left w:val="single" w:sz="4" w:space="0" w:color="auto"/>
              <w:bottom w:val="single" w:sz="4" w:space="0" w:color="auto"/>
              <w:right w:val="single" w:sz="4" w:space="0" w:color="auto"/>
            </w:tcBorders>
            <w:vAlign w:val="center"/>
            <w:hideMark/>
          </w:tcPr>
          <w:p w14:paraId="6FA8E9A4" w14:textId="77777777" w:rsidR="00E8511B" w:rsidRPr="009729CF" w:rsidRDefault="00E8511B">
            <w:pPr>
              <w:rPr>
                <w:rFonts w:asciiTheme="majorHAnsi" w:hAnsiTheme="majorHAnsi" w:cs="Arial"/>
                <w:color w:val="000000"/>
                <w:sz w:val="22"/>
                <w:szCs w:val="22"/>
              </w:rPr>
            </w:pPr>
            <w:r w:rsidRPr="009729CF">
              <w:rPr>
                <w:rFonts w:asciiTheme="majorHAnsi" w:hAnsiTheme="majorHAnsi" w:cs="Arial"/>
                <w:color w:val="000000"/>
                <w:sz w:val="22"/>
                <w:szCs w:val="22"/>
              </w:rPr>
              <w:t xml:space="preserve">Office Boy/Driver-BA </w:t>
            </w:r>
            <w:r w:rsidRPr="009729CF">
              <w:rPr>
                <w:rFonts w:asciiTheme="majorHAnsi" w:hAnsiTheme="majorHAnsi" w:cs="Arial"/>
                <w:sz w:val="22"/>
                <w:szCs w:val="22"/>
              </w:rPr>
              <w:t>(Outsourced</w:t>
            </w:r>
            <w:r w:rsidRPr="009729CF">
              <w:rPr>
                <w:rFonts w:asciiTheme="majorHAnsi" w:hAnsiTheme="majorHAnsi" w:cs="Arial"/>
                <w:color w:val="000000"/>
                <w:sz w:val="22"/>
                <w:szCs w:val="22"/>
              </w:rPr>
              <w:t>)</w:t>
            </w:r>
          </w:p>
        </w:tc>
        <w:tc>
          <w:tcPr>
            <w:tcW w:w="455" w:type="pct"/>
            <w:tcBorders>
              <w:top w:val="nil"/>
              <w:left w:val="nil"/>
              <w:bottom w:val="single" w:sz="4" w:space="0" w:color="auto"/>
              <w:right w:val="single" w:sz="4" w:space="0" w:color="auto"/>
            </w:tcBorders>
            <w:vAlign w:val="center"/>
            <w:hideMark/>
          </w:tcPr>
          <w:p w14:paraId="3E183A94" w14:textId="35FD9DC1" w:rsidR="00E8511B" w:rsidRPr="009729CF" w:rsidRDefault="00E8511B" w:rsidP="00E8511B">
            <w:pPr>
              <w:jc w:val="center"/>
              <w:rPr>
                <w:rFonts w:asciiTheme="majorHAnsi" w:hAnsiTheme="majorHAnsi" w:cs="Arial"/>
                <w:color w:val="000000"/>
                <w:sz w:val="22"/>
                <w:szCs w:val="22"/>
              </w:rPr>
            </w:pPr>
            <w:r w:rsidRPr="009729CF">
              <w:rPr>
                <w:rFonts w:asciiTheme="majorHAnsi" w:hAnsiTheme="majorHAnsi" w:cs="Arial"/>
                <w:color w:val="000000"/>
                <w:sz w:val="22"/>
                <w:szCs w:val="22"/>
              </w:rPr>
              <w:t>112</w:t>
            </w:r>
          </w:p>
        </w:tc>
        <w:tc>
          <w:tcPr>
            <w:tcW w:w="831" w:type="pct"/>
            <w:tcBorders>
              <w:top w:val="nil"/>
              <w:left w:val="nil"/>
              <w:bottom w:val="single" w:sz="4" w:space="0" w:color="auto"/>
              <w:right w:val="single" w:sz="4" w:space="0" w:color="auto"/>
            </w:tcBorders>
            <w:noWrap/>
            <w:vAlign w:val="center"/>
            <w:hideMark/>
          </w:tcPr>
          <w:p w14:paraId="14999728" w14:textId="77777777" w:rsidR="00E8511B" w:rsidRPr="009729CF" w:rsidRDefault="00E8511B">
            <w:pPr>
              <w:jc w:val="center"/>
              <w:rPr>
                <w:rFonts w:asciiTheme="majorHAnsi" w:hAnsiTheme="majorHAnsi" w:cs="Arial"/>
                <w:sz w:val="22"/>
                <w:szCs w:val="22"/>
              </w:rPr>
            </w:pPr>
            <w:r w:rsidRPr="009729CF">
              <w:rPr>
                <w:rFonts w:asciiTheme="majorHAnsi" w:hAnsiTheme="majorHAnsi" w:cs="Arial"/>
                <w:sz w:val="22"/>
                <w:szCs w:val="22"/>
              </w:rPr>
              <w:t>O&amp;M</w:t>
            </w:r>
          </w:p>
        </w:tc>
        <w:tc>
          <w:tcPr>
            <w:tcW w:w="2638" w:type="pct"/>
            <w:tcBorders>
              <w:top w:val="nil"/>
              <w:left w:val="nil"/>
              <w:bottom w:val="single" w:sz="4" w:space="0" w:color="auto"/>
              <w:right w:val="single" w:sz="4" w:space="0" w:color="auto"/>
            </w:tcBorders>
            <w:noWrap/>
            <w:vAlign w:val="center"/>
            <w:hideMark/>
          </w:tcPr>
          <w:p w14:paraId="63488643" w14:textId="77777777" w:rsidR="00E8511B" w:rsidRPr="009729CF" w:rsidRDefault="00E8511B">
            <w:pPr>
              <w:rPr>
                <w:rFonts w:asciiTheme="majorHAnsi" w:hAnsiTheme="majorHAnsi" w:cs="Arial"/>
                <w:sz w:val="22"/>
                <w:szCs w:val="22"/>
              </w:rPr>
            </w:pPr>
            <w:r w:rsidRPr="009729CF">
              <w:rPr>
                <w:rFonts w:asciiTheme="majorHAnsi" w:hAnsiTheme="majorHAnsi" w:cs="Arial"/>
                <w:sz w:val="22"/>
                <w:szCs w:val="22"/>
              </w:rPr>
              <w:t>Office services at Divisions and other field offices</w:t>
            </w:r>
          </w:p>
        </w:tc>
      </w:tr>
      <w:tr w:rsidR="00E8511B" w:rsidRPr="009729CF" w14:paraId="588568DC" w14:textId="77777777" w:rsidTr="009729CF">
        <w:trPr>
          <w:trHeight w:val="285"/>
        </w:trPr>
        <w:tc>
          <w:tcPr>
            <w:tcW w:w="1076" w:type="pct"/>
            <w:tcBorders>
              <w:top w:val="nil"/>
              <w:left w:val="single" w:sz="4" w:space="0" w:color="auto"/>
              <w:bottom w:val="single" w:sz="4" w:space="0" w:color="auto"/>
              <w:right w:val="single" w:sz="4" w:space="0" w:color="auto"/>
            </w:tcBorders>
            <w:noWrap/>
            <w:vAlign w:val="center"/>
            <w:hideMark/>
          </w:tcPr>
          <w:p w14:paraId="53A28349" w14:textId="77777777" w:rsidR="00E8511B" w:rsidRPr="009729CF" w:rsidRDefault="00E8511B">
            <w:pPr>
              <w:rPr>
                <w:rFonts w:asciiTheme="majorHAnsi" w:hAnsiTheme="majorHAnsi" w:cs="Arial"/>
                <w:color w:val="000000"/>
                <w:sz w:val="22"/>
                <w:szCs w:val="22"/>
              </w:rPr>
            </w:pPr>
            <w:r w:rsidRPr="009729CF">
              <w:rPr>
                <w:rFonts w:asciiTheme="majorHAnsi" w:hAnsiTheme="majorHAnsi" w:cs="Arial"/>
                <w:color w:val="000000"/>
                <w:sz w:val="22"/>
                <w:szCs w:val="22"/>
              </w:rPr>
              <w:t>PSCC Support services</w:t>
            </w:r>
          </w:p>
        </w:tc>
        <w:tc>
          <w:tcPr>
            <w:tcW w:w="455" w:type="pct"/>
            <w:tcBorders>
              <w:top w:val="nil"/>
              <w:left w:val="nil"/>
              <w:bottom w:val="single" w:sz="4" w:space="0" w:color="auto"/>
              <w:right w:val="single" w:sz="4" w:space="0" w:color="auto"/>
            </w:tcBorders>
            <w:noWrap/>
            <w:vAlign w:val="center"/>
            <w:hideMark/>
          </w:tcPr>
          <w:p w14:paraId="1C935A78" w14:textId="77777777" w:rsidR="00E8511B" w:rsidRPr="009729CF" w:rsidRDefault="00E8511B" w:rsidP="00E8511B">
            <w:pPr>
              <w:jc w:val="center"/>
              <w:rPr>
                <w:rFonts w:asciiTheme="majorHAnsi" w:hAnsiTheme="majorHAnsi" w:cs="Arial"/>
                <w:sz w:val="22"/>
                <w:szCs w:val="22"/>
              </w:rPr>
            </w:pPr>
            <w:r w:rsidRPr="009729CF">
              <w:rPr>
                <w:rFonts w:asciiTheme="majorHAnsi" w:hAnsiTheme="majorHAnsi" w:cs="Arial"/>
                <w:sz w:val="22"/>
                <w:szCs w:val="22"/>
              </w:rPr>
              <w:t>20</w:t>
            </w:r>
          </w:p>
        </w:tc>
        <w:tc>
          <w:tcPr>
            <w:tcW w:w="831" w:type="pct"/>
            <w:tcBorders>
              <w:top w:val="nil"/>
              <w:left w:val="nil"/>
              <w:bottom w:val="single" w:sz="4" w:space="0" w:color="auto"/>
              <w:right w:val="single" w:sz="4" w:space="0" w:color="auto"/>
            </w:tcBorders>
            <w:noWrap/>
            <w:vAlign w:val="center"/>
            <w:hideMark/>
          </w:tcPr>
          <w:p w14:paraId="62C2DC2A" w14:textId="77777777" w:rsidR="00E8511B" w:rsidRPr="009729CF" w:rsidRDefault="00E8511B" w:rsidP="00F02007">
            <w:pPr>
              <w:jc w:val="center"/>
              <w:rPr>
                <w:rFonts w:asciiTheme="majorHAnsi" w:hAnsiTheme="majorHAnsi" w:cs="Arial"/>
                <w:sz w:val="22"/>
                <w:szCs w:val="22"/>
              </w:rPr>
            </w:pPr>
            <w:r w:rsidRPr="009729CF">
              <w:rPr>
                <w:rFonts w:asciiTheme="majorHAnsi" w:hAnsiTheme="majorHAnsi" w:cs="Arial"/>
                <w:sz w:val="22"/>
                <w:szCs w:val="22"/>
              </w:rPr>
              <w:t>PSCC</w:t>
            </w:r>
          </w:p>
        </w:tc>
        <w:tc>
          <w:tcPr>
            <w:tcW w:w="2638" w:type="pct"/>
            <w:tcBorders>
              <w:top w:val="nil"/>
              <w:left w:val="nil"/>
              <w:bottom w:val="single" w:sz="4" w:space="0" w:color="auto"/>
              <w:right w:val="single" w:sz="4" w:space="0" w:color="auto"/>
            </w:tcBorders>
            <w:noWrap/>
            <w:vAlign w:val="center"/>
            <w:hideMark/>
          </w:tcPr>
          <w:p w14:paraId="68852FBE" w14:textId="77777777" w:rsidR="00E8511B" w:rsidRPr="009729CF" w:rsidRDefault="00E8511B">
            <w:pPr>
              <w:rPr>
                <w:rFonts w:asciiTheme="majorHAnsi" w:hAnsiTheme="majorHAnsi" w:cs="Arial"/>
                <w:sz w:val="22"/>
                <w:szCs w:val="22"/>
              </w:rPr>
            </w:pPr>
            <w:r w:rsidRPr="009729CF">
              <w:rPr>
                <w:rFonts w:asciiTheme="majorHAnsi" w:hAnsiTheme="majorHAnsi" w:cs="Arial"/>
                <w:sz w:val="22"/>
                <w:szCs w:val="22"/>
              </w:rPr>
              <w:t>GIS related services</w:t>
            </w:r>
          </w:p>
        </w:tc>
      </w:tr>
      <w:tr w:rsidR="00E8511B" w:rsidRPr="009729CF" w14:paraId="76AC9127" w14:textId="77777777" w:rsidTr="009729CF">
        <w:trPr>
          <w:trHeight w:val="255"/>
        </w:trPr>
        <w:tc>
          <w:tcPr>
            <w:tcW w:w="1076" w:type="pct"/>
            <w:vMerge w:val="restart"/>
            <w:tcBorders>
              <w:top w:val="nil"/>
              <w:left w:val="single" w:sz="4" w:space="0" w:color="auto"/>
              <w:bottom w:val="single" w:sz="4" w:space="0" w:color="auto"/>
              <w:right w:val="single" w:sz="4" w:space="0" w:color="auto"/>
            </w:tcBorders>
            <w:noWrap/>
            <w:vAlign w:val="center"/>
            <w:hideMark/>
          </w:tcPr>
          <w:p w14:paraId="11149BCA" w14:textId="77777777" w:rsidR="00E8511B" w:rsidRPr="009729CF" w:rsidRDefault="00E8511B">
            <w:pPr>
              <w:rPr>
                <w:rFonts w:asciiTheme="majorHAnsi" w:hAnsiTheme="majorHAnsi" w:cs="Arial"/>
                <w:sz w:val="22"/>
                <w:szCs w:val="22"/>
              </w:rPr>
            </w:pPr>
            <w:r w:rsidRPr="009729CF">
              <w:rPr>
                <w:rFonts w:asciiTheme="majorHAnsi" w:hAnsiTheme="majorHAnsi" w:cs="Arial"/>
                <w:sz w:val="22"/>
                <w:szCs w:val="22"/>
              </w:rPr>
              <w:t>Back-office services (RCM/ CMG/ Finance/ Legal/ HR etc.)</w:t>
            </w:r>
          </w:p>
        </w:tc>
        <w:tc>
          <w:tcPr>
            <w:tcW w:w="455" w:type="pct"/>
            <w:vMerge w:val="restart"/>
            <w:tcBorders>
              <w:top w:val="nil"/>
              <w:left w:val="single" w:sz="4" w:space="0" w:color="auto"/>
              <w:bottom w:val="single" w:sz="4" w:space="0" w:color="auto"/>
              <w:right w:val="single" w:sz="4" w:space="0" w:color="auto"/>
            </w:tcBorders>
            <w:noWrap/>
            <w:vAlign w:val="center"/>
            <w:hideMark/>
          </w:tcPr>
          <w:p w14:paraId="5EA93C05" w14:textId="77777777" w:rsidR="00E8511B" w:rsidRPr="009729CF" w:rsidRDefault="00E8511B" w:rsidP="00E8511B">
            <w:pPr>
              <w:jc w:val="center"/>
              <w:rPr>
                <w:rFonts w:asciiTheme="majorHAnsi" w:hAnsiTheme="majorHAnsi" w:cs="Arial"/>
                <w:sz w:val="22"/>
                <w:szCs w:val="22"/>
              </w:rPr>
            </w:pPr>
            <w:r w:rsidRPr="009729CF">
              <w:rPr>
                <w:rFonts w:asciiTheme="majorHAnsi" w:hAnsiTheme="majorHAnsi" w:cs="Arial"/>
                <w:sz w:val="22"/>
                <w:szCs w:val="22"/>
              </w:rPr>
              <w:t>330</w:t>
            </w:r>
          </w:p>
        </w:tc>
        <w:tc>
          <w:tcPr>
            <w:tcW w:w="831" w:type="pct"/>
            <w:vMerge w:val="restart"/>
            <w:tcBorders>
              <w:top w:val="nil"/>
              <w:left w:val="single" w:sz="4" w:space="0" w:color="auto"/>
              <w:bottom w:val="single" w:sz="4" w:space="0" w:color="auto"/>
              <w:right w:val="single" w:sz="4" w:space="0" w:color="auto"/>
            </w:tcBorders>
            <w:noWrap/>
            <w:vAlign w:val="center"/>
            <w:hideMark/>
          </w:tcPr>
          <w:p w14:paraId="7C7A09E1" w14:textId="77777777" w:rsidR="00E8511B" w:rsidRPr="009729CF" w:rsidRDefault="00E8511B">
            <w:pPr>
              <w:jc w:val="center"/>
              <w:rPr>
                <w:rFonts w:asciiTheme="majorHAnsi" w:hAnsiTheme="majorHAnsi" w:cs="Arial"/>
                <w:sz w:val="22"/>
                <w:szCs w:val="22"/>
              </w:rPr>
            </w:pPr>
            <w:r w:rsidRPr="009729CF">
              <w:rPr>
                <w:rFonts w:asciiTheme="majorHAnsi" w:hAnsiTheme="majorHAnsi" w:cs="Arial"/>
                <w:sz w:val="22"/>
                <w:szCs w:val="22"/>
              </w:rPr>
              <w:t>Services for RCM, Finance, Legal, Admin, etc.</w:t>
            </w:r>
          </w:p>
        </w:tc>
        <w:tc>
          <w:tcPr>
            <w:tcW w:w="2638" w:type="pct"/>
            <w:tcBorders>
              <w:top w:val="nil"/>
              <w:left w:val="nil"/>
              <w:bottom w:val="single" w:sz="4" w:space="0" w:color="auto"/>
              <w:right w:val="single" w:sz="4" w:space="0" w:color="auto"/>
            </w:tcBorders>
            <w:noWrap/>
            <w:vAlign w:val="center"/>
            <w:hideMark/>
          </w:tcPr>
          <w:p w14:paraId="70DA02DB" w14:textId="77777777" w:rsidR="00E8511B" w:rsidRPr="009729CF" w:rsidRDefault="00E8511B">
            <w:pPr>
              <w:rPr>
                <w:rFonts w:asciiTheme="majorHAnsi" w:hAnsiTheme="majorHAnsi" w:cs="Arial"/>
                <w:sz w:val="22"/>
                <w:szCs w:val="22"/>
              </w:rPr>
            </w:pPr>
            <w:r w:rsidRPr="009729CF">
              <w:rPr>
                <w:rFonts w:asciiTheme="majorHAnsi" w:hAnsiTheme="majorHAnsi" w:cs="Arial"/>
                <w:sz w:val="22"/>
                <w:szCs w:val="22"/>
              </w:rPr>
              <w:t xml:space="preserve">RCM services – Consumer services, bill revision activities, etc. </w:t>
            </w:r>
          </w:p>
        </w:tc>
      </w:tr>
      <w:tr w:rsidR="00E8511B" w:rsidRPr="009729CF" w14:paraId="3DF41777" w14:textId="77777777" w:rsidTr="009729CF">
        <w:trPr>
          <w:trHeight w:val="255"/>
        </w:trPr>
        <w:tc>
          <w:tcPr>
            <w:tcW w:w="1076" w:type="pct"/>
            <w:vMerge/>
            <w:tcBorders>
              <w:top w:val="nil"/>
              <w:left w:val="single" w:sz="4" w:space="0" w:color="auto"/>
              <w:bottom w:val="single" w:sz="4" w:space="0" w:color="auto"/>
              <w:right w:val="single" w:sz="4" w:space="0" w:color="auto"/>
            </w:tcBorders>
            <w:vAlign w:val="center"/>
            <w:hideMark/>
          </w:tcPr>
          <w:p w14:paraId="55498046" w14:textId="77777777" w:rsidR="00E8511B" w:rsidRPr="009729CF" w:rsidRDefault="00E8511B">
            <w:pPr>
              <w:rPr>
                <w:rFonts w:asciiTheme="majorHAnsi" w:hAnsiTheme="majorHAnsi" w:cs="Arial"/>
                <w:sz w:val="22"/>
                <w:szCs w:val="22"/>
              </w:rPr>
            </w:pPr>
          </w:p>
        </w:tc>
        <w:tc>
          <w:tcPr>
            <w:tcW w:w="455" w:type="pct"/>
            <w:vMerge/>
            <w:tcBorders>
              <w:top w:val="nil"/>
              <w:left w:val="single" w:sz="4" w:space="0" w:color="auto"/>
              <w:bottom w:val="single" w:sz="4" w:space="0" w:color="auto"/>
              <w:right w:val="single" w:sz="4" w:space="0" w:color="auto"/>
            </w:tcBorders>
            <w:vAlign w:val="center"/>
            <w:hideMark/>
          </w:tcPr>
          <w:p w14:paraId="7FCAE80D" w14:textId="77777777" w:rsidR="00E8511B" w:rsidRPr="009729CF" w:rsidRDefault="00E8511B" w:rsidP="00E8511B">
            <w:pPr>
              <w:jc w:val="center"/>
              <w:rPr>
                <w:rFonts w:asciiTheme="majorHAnsi" w:hAnsiTheme="majorHAnsi" w:cs="Arial"/>
                <w:sz w:val="22"/>
                <w:szCs w:val="22"/>
              </w:rPr>
            </w:pPr>
          </w:p>
        </w:tc>
        <w:tc>
          <w:tcPr>
            <w:tcW w:w="831" w:type="pct"/>
            <w:vMerge/>
            <w:tcBorders>
              <w:top w:val="nil"/>
              <w:left w:val="single" w:sz="4" w:space="0" w:color="auto"/>
              <w:bottom w:val="single" w:sz="4" w:space="0" w:color="auto"/>
              <w:right w:val="single" w:sz="4" w:space="0" w:color="auto"/>
            </w:tcBorders>
            <w:vAlign w:val="center"/>
            <w:hideMark/>
          </w:tcPr>
          <w:p w14:paraId="601D2AB5" w14:textId="77777777" w:rsidR="00E8511B" w:rsidRPr="009729CF" w:rsidRDefault="00E8511B">
            <w:pPr>
              <w:rPr>
                <w:rFonts w:asciiTheme="majorHAnsi" w:hAnsiTheme="majorHAnsi" w:cs="Arial"/>
                <w:sz w:val="22"/>
                <w:szCs w:val="22"/>
              </w:rPr>
            </w:pPr>
          </w:p>
        </w:tc>
        <w:tc>
          <w:tcPr>
            <w:tcW w:w="2638" w:type="pct"/>
            <w:tcBorders>
              <w:top w:val="nil"/>
              <w:left w:val="nil"/>
              <w:bottom w:val="single" w:sz="4" w:space="0" w:color="auto"/>
              <w:right w:val="single" w:sz="4" w:space="0" w:color="auto"/>
            </w:tcBorders>
            <w:noWrap/>
            <w:vAlign w:val="center"/>
            <w:hideMark/>
          </w:tcPr>
          <w:p w14:paraId="59FC451C" w14:textId="77777777" w:rsidR="00E8511B" w:rsidRPr="009729CF" w:rsidRDefault="00E8511B">
            <w:pPr>
              <w:rPr>
                <w:rFonts w:asciiTheme="majorHAnsi" w:hAnsiTheme="majorHAnsi" w:cs="Arial"/>
                <w:sz w:val="22"/>
                <w:szCs w:val="22"/>
              </w:rPr>
            </w:pPr>
            <w:r w:rsidRPr="009729CF">
              <w:rPr>
                <w:rFonts w:asciiTheme="majorHAnsi" w:hAnsiTheme="majorHAnsi" w:cs="Arial"/>
                <w:sz w:val="22"/>
                <w:szCs w:val="22"/>
              </w:rPr>
              <w:t>Finance – Verification and Processing of invoices</w:t>
            </w:r>
          </w:p>
        </w:tc>
      </w:tr>
      <w:tr w:rsidR="00E8511B" w:rsidRPr="009729CF" w14:paraId="72CBC21B" w14:textId="77777777" w:rsidTr="009729CF">
        <w:trPr>
          <w:trHeight w:val="255"/>
        </w:trPr>
        <w:tc>
          <w:tcPr>
            <w:tcW w:w="1076" w:type="pct"/>
            <w:vMerge/>
            <w:tcBorders>
              <w:top w:val="nil"/>
              <w:left w:val="single" w:sz="4" w:space="0" w:color="auto"/>
              <w:bottom w:val="single" w:sz="4" w:space="0" w:color="auto"/>
              <w:right w:val="single" w:sz="4" w:space="0" w:color="auto"/>
            </w:tcBorders>
            <w:vAlign w:val="center"/>
            <w:hideMark/>
          </w:tcPr>
          <w:p w14:paraId="58351755" w14:textId="77777777" w:rsidR="00E8511B" w:rsidRPr="009729CF" w:rsidRDefault="00E8511B">
            <w:pPr>
              <w:rPr>
                <w:rFonts w:asciiTheme="majorHAnsi" w:hAnsiTheme="majorHAnsi" w:cs="Arial"/>
                <w:sz w:val="22"/>
                <w:szCs w:val="22"/>
              </w:rPr>
            </w:pPr>
          </w:p>
        </w:tc>
        <w:tc>
          <w:tcPr>
            <w:tcW w:w="455" w:type="pct"/>
            <w:vMerge/>
            <w:tcBorders>
              <w:top w:val="nil"/>
              <w:left w:val="single" w:sz="4" w:space="0" w:color="auto"/>
              <w:bottom w:val="single" w:sz="4" w:space="0" w:color="auto"/>
              <w:right w:val="single" w:sz="4" w:space="0" w:color="auto"/>
            </w:tcBorders>
            <w:vAlign w:val="center"/>
            <w:hideMark/>
          </w:tcPr>
          <w:p w14:paraId="07CCEF53" w14:textId="77777777" w:rsidR="00E8511B" w:rsidRPr="009729CF" w:rsidRDefault="00E8511B" w:rsidP="00E8511B">
            <w:pPr>
              <w:jc w:val="center"/>
              <w:rPr>
                <w:rFonts w:asciiTheme="majorHAnsi" w:hAnsiTheme="majorHAnsi" w:cs="Arial"/>
                <w:sz w:val="22"/>
                <w:szCs w:val="22"/>
              </w:rPr>
            </w:pPr>
          </w:p>
        </w:tc>
        <w:tc>
          <w:tcPr>
            <w:tcW w:w="831" w:type="pct"/>
            <w:vMerge/>
            <w:tcBorders>
              <w:top w:val="nil"/>
              <w:left w:val="single" w:sz="4" w:space="0" w:color="auto"/>
              <w:bottom w:val="single" w:sz="4" w:space="0" w:color="auto"/>
              <w:right w:val="single" w:sz="4" w:space="0" w:color="auto"/>
            </w:tcBorders>
            <w:vAlign w:val="center"/>
            <w:hideMark/>
          </w:tcPr>
          <w:p w14:paraId="6BADF1D7" w14:textId="77777777" w:rsidR="00E8511B" w:rsidRPr="009729CF" w:rsidRDefault="00E8511B">
            <w:pPr>
              <w:rPr>
                <w:rFonts w:asciiTheme="majorHAnsi" w:hAnsiTheme="majorHAnsi" w:cs="Arial"/>
                <w:sz w:val="22"/>
                <w:szCs w:val="22"/>
              </w:rPr>
            </w:pPr>
          </w:p>
        </w:tc>
        <w:tc>
          <w:tcPr>
            <w:tcW w:w="2638" w:type="pct"/>
            <w:tcBorders>
              <w:top w:val="nil"/>
              <w:left w:val="nil"/>
              <w:bottom w:val="single" w:sz="4" w:space="0" w:color="auto"/>
              <w:right w:val="single" w:sz="4" w:space="0" w:color="auto"/>
            </w:tcBorders>
            <w:noWrap/>
            <w:vAlign w:val="center"/>
            <w:hideMark/>
          </w:tcPr>
          <w:p w14:paraId="0B23ADB5" w14:textId="77777777" w:rsidR="00E8511B" w:rsidRPr="009729CF" w:rsidRDefault="00E8511B">
            <w:pPr>
              <w:rPr>
                <w:rFonts w:asciiTheme="majorHAnsi" w:hAnsiTheme="majorHAnsi" w:cs="Arial"/>
                <w:sz w:val="22"/>
                <w:szCs w:val="22"/>
              </w:rPr>
            </w:pPr>
            <w:r w:rsidRPr="009729CF">
              <w:rPr>
                <w:rFonts w:asciiTheme="majorHAnsi" w:hAnsiTheme="majorHAnsi" w:cs="Arial"/>
                <w:sz w:val="22"/>
                <w:szCs w:val="22"/>
              </w:rPr>
              <w:t>Legal – Court released services</w:t>
            </w:r>
          </w:p>
        </w:tc>
      </w:tr>
      <w:tr w:rsidR="00E8511B" w:rsidRPr="009729CF" w14:paraId="4D3AA5D9" w14:textId="77777777" w:rsidTr="009729CF">
        <w:trPr>
          <w:trHeight w:val="255"/>
        </w:trPr>
        <w:tc>
          <w:tcPr>
            <w:tcW w:w="1076" w:type="pct"/>
            <w:vMerge/>
            <w:tcBorders>
              <w:top w:val="nil"/>
              <w:left w:val="single" w:sz="4" w:space="0" w:color="auto"/>
              <w:bottom w:val="single" w:sz="4" w:space="0" w:color="auto"/>
              <w:right w:val="single" w:sz="4" w:space="0" w:color="auto"/>
            </w:tcBorders>
            <w:vAlign w:val="center"/>
            <w:hideMark/>
          </w:tcPr>
          <w:p w14:paraId="0DE27F58" w14:textId="77777777" w:rsidR="00E8511B" w:rsidRPr="009729CF" w:rsidRDefault="00E8511B">
            <w:pPr>
              <w:rPr>
                <w:rFonts w:asciiTheme="majorHAnsi" w:hAnsiTheme="majorHAnsi" w:cs="Arial"/>
                <w:sz w:val="22"/>
                <w:szCs w:val="22"/>
              </w:rPr>
            </w:pPr>
          </w:p>
        </w:tc>
        <w:tc>
          <w:tcPr>
            <w:tcW w:w="455" w:type="pct"/>
            <w:vMerge/>
            <w:tcBorders>
              <w:top w:val="nil"/>
              <w:left w:val="single" w:sz="4" w:space="0" w:color="auto"/>
              <w:bottom w:val="single" w:sz="4" w:space="0" w:color="auto"/>
              <w:right w:val="single" w:sz="4" w:space="0" w:color="auto"/>
            </w:tcBorders>
            <w:vAlign w:val="center"/>
            <w:hideMark/>
          </w:tcPr>
          <w:p w14:paraId="453C1E6C" w14:textId="77777777" w:rsidR="00E8511B" w:rsidRPr="009729CF" w:rsidRDefault="00E8511B" w:rsidP="00E8511B">
            <w:pPr>
              <w:jc w:val="center"/>
              <w:rPr>
                <w:rFonts w:asciiTheme="majorHAnsi" w:hAnsiTheme="majorHAnsi" w:cs="Arial"/>
                <w:sz w:val="22"/>
                <w:szCs w:val="22"/>
              </w:rPr>
            </w:pPr>
          </w:p>
        </w:tc>
        <w:tc>
          <w:tcPr>
            <w:tcW w:w="831" w:type="pct"/>
            <w:vMerge/>
            <w:tcBorders>
              <w:top w:val="nil"/>
              <w:left w:val="single" w:sz="4" w:space="0" w:color="auto"/>
              <w:bottom w:val="single" w:sz="4" w:space="0" w:color="auto"/>
              <w:right w:val="single" w:sz="4" w:space="0" w:color="auto"/>
            </w:tcBorders>
            <w:vAlign w:val="center"/>
            <w:hideMark/>
          </w:tcPr>
          <w:p w14:paraId="63CA2364" w14:textId="77777777" w:rsidR="00E8511B" w:rsidRPr="009729CF" w:rsidRDefault="00E8511B">
            <w:pPr>
              <w:rPr>
                <w:rFonts w:asciiTheme="majorHAnsi" w:hAnsiTheme="majorHAnsi" w:cs="Arial"/>
                <w:sz w:val="22"/>
                <w:szCs w:val="22"/>
              </w:rPr>
            </w:pPr>
          </w:p>
        </w:tc>
        <w:tc>
          <w:tcPr>
            <w:tcW w:w="2638" w:type="pct"/>
            <w:tcBorders>
              <w:top w:val="nil"/>
              <w:left w:val="nil"/>
              <w:bottom w:val="single" w:sz="4" w:space="0" w:color="auto"/>
              <w:right w:val="single" w:sz="4" w:space="0" w:color="auto"/>
            </w:tcBorders>
            <w:noWrap/>
            <w:vAlign w:val="center"/>
            <w:hideMark/>
          </w:tcPr>
          <w:p w14:paraId="5CBCACB6" w14:textId="77777777" w:rsidR="00E8511B" w:rsidRPr="009729CF" w:rsidRDefault="00E8511B">
            <w:pPr>
              <w:rPr>
                <w:rFonts w:asciiTheme="majorHAnsi" w:hAnsiTheme="majorHAnsi" w:cs="Arial"/>
                <w:sz w:val="22"/>
                <w:szCs w:val="22"/>
              </w:rPr>
            </w:pPr>
            <w:r w:rsidRPr="009729CF">
              <w:rPr>
                <w:rFonts w:asciiTheme="majorHAnsi" w:hAnsiTheme="majorHAnsi" w:cs="Arial"/>
                <w:sz w:val="22"/>
                <w:szCs w:val="22"/>
              </w:rPr>
              <w:t>Admin – CLA and time management</w:t>
            </w:r>
          </w:p>
        </w:tc>
      </w:tr>
      <w:tr w:rsidR="00E8511B" w:rsidRPr="009729CF" w14:paraId="0E3F6790" w14:textId="77777777" w:rsidTr="009729CF">
        <w:trPr>
          <w:trHeight w:val="285"/>
        </w:trPr>
        <w:tc>
          <w:tcPr>
            <w:tcW w:w="1076" w:type="pct"/>
            <w:tcBorders>
              <w:top w:val="nil"/>
              <w:left w:val="single" w:sz="4" w:space="0" w:color="auto"/>
              <w:bottom w:val="single" w:sz="4" w:space="0" w:color="auto"/>
              <w:right w:val="single" w:sz="4" w:space="0" w:color="auto"/>
            </w:tcBorders>
            <w:noWrap/>
            <w:vAlign w:val="center"/>
            <w:hideMark/>
          </w:tcPr>
          <w:p w14:paraId="5DF9469A" w14:textId="77777777" w:rsidR="00E8511B" w:rsidRPr="009729CF" w:rsidRDefault="00E8511B">
            <w:pPr>
              <w:rPr>
                <w:rFonts w:asciiTheme="majorHAnsi" w:hAnsiTheme="majorHAnsi" w:cs="Arial"/>
                <w:sz w:val="22"/>
                <w:szCs w:val="22"/>
              </w:rPr>
            </w:pPr>
            <w:r w:rsidRPr="009729CF">
              <w:rPr>
                <w:rFonts w:asciiTheme="majorHAnsi" w:hAnsiTheme="majorHAnsi" w:cs="Arial"/>
                <w:sz w:val="22"/>
                <w:szCs w:val="22"/>
              </w:rPr>
              <w:t>Call Centre Services</w:t>
            </w:r>
          </w:p>
        </w:tc>
        <w:tc>
          <w:tcPr>
            <w:tcW w:w="455" w:type="pct"/>
            <w:tcBorders>
              <w:top w:val="nil"/>
              <w:left w:val="nil"/>
              <w:bottom w:val="single" w:sz="4" w:space="0" w:color="auto"/>
              <w:right w:val="single" w:sz="4" w:space="0" w:color="auto"/>
            </w:tcBorders>
            <w:vAlign w:val="center"/>
            <w:hideMark/>
          </w:tcPr>
          <w:p w14:paraId="3F167ACE" w14:textId="6EB3EEAF" w:rsidR="00E8511B" w:rsidRPr="009729CF" w:rsidRDefault="00E8511B" w:rsidP="00E8511B">
            <w:pPr>
              <w:jc w:val="center"/>
              <w:rPr>
                <w:rFonts w:asciiTheme="majorHAnsi" w:hAnsiTheme="majorHAnsi" w:cs="Arial"/>
                <w:color w:val="000000"/>
                <w:sz w:val="22"/>
                <w:szCs w:val="22"/>
              </w:rPr>
            </w:pPr>
            <w:r w:rsidRPr="009729CF">
              <w:rPr>
                <w:rFonts w:asciiTheme="majorHAnsi" w:hAnsiTheme="majorHAnsi" w:cs="Arial"/>
                <w:color w:val="000000"/>
                <w:sz w:val="22"/>
                <w:szCs w:val="22"/>
              </w:rPr>
              <w:t>97</w:t>
            </w:r>
          </w:p>
        </w:tc>
        <w:tc>
          <w:tcPr>
            <w:tcW w:w="831" w:type="pct"/>
            <w:tcBorders>
              <w:top w:val="nil"/>
              <w:left w:val="nil"/>
              <w:bottom w:val="single" w:sz="4" w:space="0" w:color="auto"/>
              <w:right w:val="single" w:sz="4" w:space="0" w:color="auto"/>
            </w:tcBorders>
            <w:noWrap/>
            <w:vAlign w:val="center"/>
            <w:hideMark/>
          </w:tcPr>
          <w:p w14:paraId="1DFC416D" w14:textId="77777777" w:rsidR="00E8511B" w:rsidRPr="009729CF" w:rsidRDefault="00E8511B">
            <w:pPr>
              <w:jc w:val="center"/>
              <w:rPr>
                <w:rFonts w:asciiTheme="majorHAnsi" w:hAnsiTheme="majorHAnsi" w:cs="Arial"/>
                <w:sz w:val="22"/>
                <w:szCs w:val="22"/>
              </w:rPr>
            </w:pPr>
            <w:r w:rsidRPr="009729CF">
              <w:rPr>
                <w:rFonts w:asciiTheme="majorHAnsi" w:hAnsiTheme="majorHAnsi" w:cs="Arial"/>
                <w:sz w:val="22"/>
                <w:szCs w:val="22"/>
              </w:rPr>
              <w:t>Commercial</w:t>
            </w:r>
          </w:p>
        </w:tc>
        <w:tc>
          <w:tcPr>
            <w:tcW w:w="2638" w:type="pct"/>
            <w:tcBorders>
              <w:top w:val="nil"/>
              <w:left w:val="nil"/>
              <w:bottom w:val="single" w:sz="4" w:space="0" w:color="auto"/>
              <w:right w:val="single" w:sz="4" w:space="0" w:color="auto"/>
            </w:tcBorders>
            <w:noWrap/>
            <w:vAlign w:val="center"/>
            <w:hideMark/>
          </w:tcPr>
          <w:p w14:paraId="7166C278" w14:textId="77777777" w:rsidR="00E8511B" w:rsidRPr="009729CF" w:rsidRDefault="00E8511B">
            <w:pPr>
              <w:rPr>
                <w:rFonts w:asciiTheme="majorHAnsi" w:hAnsiTheme="majorHAnsi" w:cs="Arial"/>
                <w:sz w:val="22"/>
                <w:szCs w:val="22"/>
              </w:rPr>
            </w:pPr>
            <w:r w:rsidRPr="009729CF">
              <w:rPr>
                <w:rFonts w:asciiTheme="majorHAnsi" w:hAnsiTheme="majorHAnsi" w:cs="Arial"/>
                <w:sz w:val="22"/>
                <w:szCs w:val="22"/>
              </w:rPr>
              <w:t>Capturing of consumer complaints, evaluating problems, providing solutions, and forwarding issues to concerned departments for solutions</w:t>
            </w:r>
          </w:p>
        </w:tc>
      </w:tr>
      <w:tr w:rsidR="00E8511B" w:rsidRPr="009729CF" w14:paraId="51B6EEBA" w14:textId="77777777" w:rsidTr="009729CF">
        <w:trPr>
          <w:trHeight w:val="285"/>
        </w:trPr>
        <w:tc>
          <w:tcPr>
            <w:tcW w:w="1076" w:type="pct"/>
            <w:tcBorders>
              <w:top w:val="nil"/>
              <w:left w:val="single" w:sz="4" w:space="0" w:color="auto"/>
              <w:bottom w:val="single" w:sz="4" w:space="0" w:color="auto"/>
              <w:right w:val="single" w:sz="4" w:space="0" w:color="auto"/>
            </w:tcBorders>
            <w:noWrap/>
            <w:vAlign w:val="center"/>
            <w:hideMark/>
          </w:tcPr>
          <w:p w14:paraId="3174BD6E" w14:textId="15F3DC80" w:rsidR="00E8511B" w:rsidRPr="009729CF" w:rsidRDefault="00DE77AC">
            <w:pPr>
              <w:rPr>
                <w:rFonts w:asciiTheme="majorHAnsi" w:hAnsiTheme="majorHAnsi" w:cs="Arial"/>
                <w:sz w:val="22"/>
                <w:szCs w:val="22"/>
              </w:rPr>
            </w:pPr>
            <w:r>
              <w:rPr>
                <w:rFonts w:asciiTheme="majorHAnsi" w:hAnsiTheme="majorHAnsi" w:cs="Arial"/>
                <w:sz w:val="22"/>
                <w:szCs w:val="22"/>
              </w:rPr>
              <w:t xml:space="preserve">Customer Service </w:t>
            </w:r>
            <w:proofErr w:type="spellStart"/>
            <w:r>
              <w:rPr>
                <w:rFonts w:asciiTheme="majorHAnsi" w:hAnsiTheme="majorHAnsi" w:cs="Arial"/>
                <w:sz w:val="22"/>
                <w:szCs w:val="22"/>
              </w:rPr>
              <w:t>Centres</w:t>
            </w:r>
            <w:proofErr w:type="spellEnd"/>
          </w:p>
        </w:tc>
        <w:tc>
          <w:tcPr>
            <w:tcW w:w="455" w:type="pct"/>
            <w:tcBorders>
              <w:top w:val="nil"/>
              <w:left w:val="nil"/>
              <w:bottom w:val="single" w:sz="4" w:space="0" w:color="auto"/>
              <w:right w:val="single" w:sz="4" w:space="0" w:color="auto"/>
            </w:tcBorders>
            <w:vAlign w:val="center"/>
            <w:hideMark/>
          </w:tcPr>
          <w:p w14:paraId="6693EEB0" w14:textId="1C66B34A" w:rsidR="00E8511B" w:rsidRPr="009729CF" w:rsidRDefault="00E8511B" w:rsidP="00E8511B">
            <w:pPr>
              <w:jc w:val="center"/>
              <w:rPr>
                <w:rFonts w:asciiTheme="majorHAnsi" w:hAnsiTheme="majorHAnsi" w:cs="Arial"/>
                <w:color w:val="000000"/>
                <w:sz w:val="22"/>
                <w:szCs w:val="22"/>
              </w:rPr>
            </w:pPr>
            <w:r w:rsidRPr="009729CF">
              <w:rPr>
                <w:rFonts w:asciiTheme="majorHAnsi" w:hAnsiTheme="majorHAnsi" w:cs="Arial"/>
                <w:color w:val="000000"/>
                <w:sz w:val="22"/>
                <w:szCs w:val="22"/>
              </w:rPr>
              <w:t>89</w:t>
            </w:r>
          </w:p>
        </w:tc>
        <w:tc>
          <w:tcPr>
            <w:tcW w:w="831" w:type="pct"/>
            <w:tcBorders>
              <w:top w:val="nil"/>
              <w:left w:val="nil"/>
              <w:bottom w:val="single" w:sz="4" w:space="0" w:color="auto"/>
              <w:right w:val="single" w:sz="4" w:space="0" w:color="auto"/>
            </w:tcBorders>
            <w:noWrap/>
            <w:vAlign w:val="center"/>
            <w:hideMark/>
          </w:tcPr>
          <w:p w14:paraId="21F50657" w14:textId="77777777" w:rsidR="00E8511B" w:rsidRPr="009729CF" w:rsidRDefault="00E8511B">
            <w:pPr>
              <w:jc w:val="center"/>
              <w:rPr>
                <w:rFonts w:asciiTheme="majorHAnsi" w:hAnsiTheme="majorHAnsi" w:cs="Arial"/>
                <w:sz w:val="22"/>
                <w:szCs w:val="22"/>
              </w:rPr>
            </w:pPr>
            <w:r w:rsidRPr="009729CF">
              <w:rPr>
                <w:rFonts w:asciiTheme="majorHAnsi" w:hAnsiTheme="majorHAnsi" w:cs="Arial"/>
                <w:sz w:val="22"/>
                <w:szCs w:val="22"/>
              </w:rPr>
              <w:t>Commercial</w:t>
            </w:r>
          </w:p>
        </w:tc>
        <w:tc>
          <w:tcPr>
            <w:tcW w:w="2638" w:type="pct"/>
            <w:tcBorders>
              <w:top w:val="nil"/>
              <w:left w:val="nil"/>
              <w:bottom w:val="single" w:sz="4" w:space="0" w:color="auto"/>
              <w:right w:val="single" w:sz="4" w:space="0" w:color="auto"/>
            </w:tcBorders>
            <w:noWrap/>
            <w:vAlign w:val="center"/>
            <w:hideMark/>
          </w:tcPr>
          <w:p w14:paraId="50010202" w14:textId="77777777" w:rsidR="00E8511B" w:rsidRPr="009729CF" w:rsidRDefault="00E8511B">
            <w:pPr>
              <w:rPr>
                <w:rFonts w:asciiTheme="majorHAnsi" w:hAnsiTheme="majorHAnsi" w:cs="Arial"/>
                <w:sz w:val="22"/>
                <w:szCs w:val="22"/>
              </w:rPr>
            </w:pPr>
            <w:r w:rsidRPr="009729CF">
              <w:rPr>
                <w:rFonts w:asciiTheme="majorHAnsi" w:hAnsiTheme="majorHAnsi" w:cs="Arial"/>
                <w:sz w:val="22"/>
                <w:szCs w:val="22"/>
              </w:rPr>
              <w:t>Capturing of consumer complaints, evaluating problems, providing solutions, and forwarding issues to concerned departments for solutions</w:t>
            </w:r>
          </w:p>
        </w:tc>
      </w:tr>
      <w:tr w:rsidR="00E8511B" w:rsidRPr="009729CF" w14:paraId="59644401" w14:textId="77777777" w:rsidTr="009729CF">
        <w:trPr>
          <w:trHeight w:val="285"/>
        </w:trPr>
        <w:tc>
          <w:tcPr>
            <w:tcW w:w="1076" w:type="pct"/>
            <w:tcBorders>
              <w:top w:val="nil"/>
              <w:left w:val="single" w:sz="4" w:space="0" w:color="auto"/>
              <w:bottom w:val="single" w:sz="4" w:space="0" w:color="auto"/>
              <w:right w:val="single" w:sz="4" w:space="0" w:color="auto"/>
            </w:tcBorders>
            <w:noWrap/>
            <w:vAlign w:val="center"/>
            <w:hideMark/>
          </w:tcPr>
          <w:p w14:paraId="71F133E7" w14:textId="77777777" w:rsidR="00E8511B" w:rsidRPr="009729CF" w:rsidRDefault="00E8511B">
            <w:pPr>
              <w:rPr>
                <w:rFonts w:asciiTheme="majorHAnsi" w:hAnsiTheme="majorHAnsi" w:cs="Arial"/>
                <w:sz w:val="22"/>
                <w:szCs w:val="22"/>
              </w:rPr>
            </w:pPr>
            <w:r w:rsidRPr="009729CF">
              <w:rPr>
                <w:rFonts w:asciiTheme="majorHAnsi" w:hAnsiTheme="majorHAnsi" w:cs="Arial"/>
                <w:sz w:val="22"/>
                <w:szCs w:val="22"/>
              </w:rPr>
              <w:t>Enforcement activities</w:t>
            </w:r>
          </w:p>
        </w:tc>
        <w:tc>
          <w:tcPr>
            <w:tcW w:w="455" w:type="pct"/>
            <w:tcBorders>
              <w:top w:val="nil"/>
              <w:left w:val="nil"/>
              <w:bottom w:val="single" w:sz="4" w:space="0" w:color="auto"/>
              <w:right w:val="single" w:sz="4" w:space="0" w:color="auto"/>
            </w:tcBorders>
            <w:noWrap/>
            <w:vAlign w:val="center"/>
            <w:hideMark/>
          </w:tcPr>
          <w:p w14:paraId="4D61190E" w14:textId="77777777" w:rsidR="00E8511B" w:rsidRPr="009729CF" w:rsidRDefault="00E8511B" w:rsidP="00E8511B">
            <w:pPr>
              <w:jc w:val="center"/>
              <w:rPr>
                <w:rFonts w:asciiTheme="majorHAnsi" w:hAnsiTheme="majorHAnsi" w:cs="Arial"/>
                <w:sz w:val="22"/>
                <w:szCs w:val="22"/>
              </w:rPr>
            </w:pPr>
            <w:r w:rsidRPr="009729CF">
              <w:rPr>
                <w:rFonts w:asciiTheme="majorHAnsi" w:hAnsiTheme="majorHAnsi" w:cs="Arial"/>
                <w:sz w:val="22"/>
                <w:szCs w:val="22"/>
              </w:rPr>
              <w:t>304</w:t>
            </w:r>
          </w:p>
        </w:tc>
        <w:tc>
          <w:tcPr>
            <w:tcW w:w="831" w:type="pct"/>
            <w:tcBorders>
              <w:top w:val="nil"/>
              <w:left w:val="nil"/>
              <w:bottom w:val="single" w:sz="4" w:space="0" w:color="auto"/>
              <w:right w:val="single" w:sz="4" w:space="0" w:color="auto"/>
            </w:tcBorders>
            <w:noWrap/>
            <w:vAlign w:val="center"/>
            <w:hideMark/>
          </w:tcPr>
          <w:p w14:paraId="4260BC8F" w14:textId="77777777" w:rsidR="00E8511B" w:rsidRPr="009729CF" w:rsidRDefault="00E8511B">
            <w:pPr>
              <w:jc w:val="center"/>
              <w:rPr>
                <w:rFonts w:asciiTheme="majorHAnsi" w:hAnsiTheme="majorHAnsi" w:cs="Arial"/>
                <w:sz w:val="22"/>
                <w:szCs w:val="22"/>
              </w:rPr>
            </w:pPr>
            <w:r w:rsidRPr="009729CF">
              <w:rPr>
                <w:rFonts w:asciiTheme="majorHAnsi" w:hAnsiTheme="majorHAnsi" w:cs="Arial"/>
                <w:sz w:val="22"/>
                <w:szCs w:val="22"/>
              </w:rPr>
              <w:t>Commercial</w:t>
            </w:r>
          </w:p>
        </w:tc>
        <w:tc>
          <w:tcPr>
            <w:tcW w:w="2638" w:type="pct"/>
            <w:tcBorders>
              <w:top w:val="nil"/>
              <w:left w:val="nil"/>
              <w:bottom w:val="single" w:sz="4" w:space="0" w:color="auto"/>
              <w:right w:val="single" w:sz="4" w:space="0" w:color="auto"/>
            </w:tcBorders>
            <w:noWrap/>
            <w:vAlign w:val="center"/>
            <w:hideMark/>
          </w:tcPr>
          <w:p w14:paraId="142E9058" w14:textId="77777777" w:rsidR="00E8511B" w:rsidRPr="009729CF" w:rsidRDefault="00E8511B">
            <w:pPr>
              <w:rPr>
                <w:rFonts w:asciiTheme="majorHAnsi" w:hAnsiTheme="majorHAnsi" w:cs="Arial"/>
                <w:sz w:val="22"/>
                <w:szCs w:val="22"/>
              </w:rPr>
            </w:pPr>
            <w:r w:rsidRPr="009729CF">
              <w:rPr>
                <w:rFonts w:asciiTheme="majorHAnsi" w:hAnsiTheme="majorHAnsi" w:cs="Arial"/>
                <w:sz w:val="22"/>
                <w:szCs w:val="22"/>
              </w:rPr>
              <w:t>Enforcement and disconnection activities</w:t>
            </w:r>
          </w:p>
        </w:tc>
      </w:tr>
      <w:tr w:rsidR="00E8511B" w:rsidRPr="009729CF" w14:paraId="2A2AF0BD" w14:textId="77777777" w:rsidTr="009729CF">
        <w:trPr>
          <w:trHeight w:val="285"/>
        </w:trPr>
        <w:tc>
          <w:tcPr>
            <w:tcW w:w="1076" w:type="pct"/>
            <w:tcBorders>
              <w:top w:val="nil"/>
              <w:left w:val="single" w:sz="4" w:space="0" w:color="auto"/>
              <w:bottom w:val="single" w:sz="4" w:space="0" w:color="auto"/>
              <w:right w:val="single" w:sz="4" w:space="0" w:color="auto"/>
            </w:tcBorders>
            <w:noWrap/>
            <w:vAlign w:val="center"/>
            <w:hideMark/>
          </w:tcPr>
          <w:p w14:paraId="7691B180" w14:textId="77777777" w:rsidR="00E8511B" w:rsidRPr="009729CF" w:rsidRDefault="00E8511B">
            <w:pPr>
              <w:rPr>
                <w:rFonts w:asciiTheme="majorHAnsi" w:hAnsiTheme="majorHAnsi" w:cs="Arial"/>
                <w:sz w:val="22"/>
                <w:szCs w:val="22"/>
              </w:rPr>
            </w:pPr>
            <w:r w:rsidRPr="009729CF">
              <w:rPr>
                <w:rFonts w:asciiTheme="majorHAnsi" w:hAnsiTheme="majorHAnsi" w:cs="Arial"/>
                <w:sz w:val="22"/>
                <w:szCs w:val="22"/>
              </w:rPr>
              <w:t>Security Services</w:t>
            </w:r>
          </w:p>
        </w:tc>
        <w:tc>
          <w:tcPr>
            <w:tcW w:w="455" w:type="pct"/>
            <w:tcBorders>
              <w:top w:val="nil"/>
              <w:left w:val="nil"/>
              <w:bottom w:val="single" w:sz="4" w:space="0" w:color="auto"/>
              <w:right w:val="single" w:sz="4" w:space="0" w:color="auto"/>
            </w:tcBorders>
            <w:vAlign w:val="center"/>
            <w:hideMark/>
          </w:tcPr>
          <w:p w14:paraId="4E538538" w14:textId="29788615" w:rsidR="00E8511B" w:rsidRPr="009729CF" w:rsidRDefault="00E8511B" w:rsidP="00E8511B">
            <w:pPr>
              <w:jc w:val="center"/>
              <w:rPr>
                <w:rFonts w:asciiTheme="majorHAnsi" w:hAnsiTheme="majorHAnsi" w:cs="Arial"/>
                <w:color w:val="000000"/>
                <w:sz w:val="22"/>
                <w:szCs w:val="22"/>
              </w:rPr>
            </w:pPr>
            <w:r w:rsidRPr="009729CF">
              <w:rPr>
                <w:rFonts w:asciiTheme="majorHAnsi" w:hAnsiTheme="majorHAnsi" w:cs="Arial"/>
                <w:color w:val="000000"/>
                <w:sz w:val="22"/>
                <w:szCs w:val="22"/>
              </w:rPr>
              <w:t>242</w:t>
            </w:r>
          </w:p>
        </w:tc>
        <w:tc>
          <w:tcPr>
            <w:tcW w:w="831" w:type="pct"/>
            <w:tcBorders>
              <w:top w:val="nil"/>
              <w:left w:val="nil"/>
              <w:bottom w:val="single" w:sz="4" w:space="0" w:color="auto"/>
              <w:right w:val="single" w:sz="4" w:space="0" w:color="auto"/>
            </w:tcBorders>
            <w:noWrap/>
            <w:vAlign w:val="center"/>
            <w:hideMark/>
          </w:tcPr>
          <w:p w14:paraId="7BF4D90E" w14:textId="77777777" w:rsidR="00E8511B" w:rsidRPr="009729CF" w:rsidRDefault="00E8511B">
            <w:pPr>
              <w:jc w:val="center"/>
              <w:rPr>
                <w:rFonts w:asciiTheme="majorHAnsi" w:hAnsiTheme="majorHAnsi" w:cs="Arial"/>
                <w:sz w:val="22"/>
                <w:szCs w:val="22"/>
              </w:rPr>
            </w:pPr>
            <w:r w:rsidRPr="009729CF">
              <w:rPr>
                <w:rFonts w:asciiTheme="majorHAnsi" w:hAnsiTheme="majorHAnsi" w:cs="Arial"/>
                <w:sz w:val="22"/>
                <w:szCs w:val="22"/>
              </w:rPr>
              <w:t>Security</w:t>
            </w:r>
          </w:p>
        </w:tc>
        <w:tc>
          <w:tcPr>
            <w:tcW w:w="2638" w:type="pct"/>
            <w:tcBorders>
              <w:top w:val="nil"/>
              <w:left w:val="nil"/>
              <w:bottom w:val="single" w:sz="4" w:space="0" w:color="auto"/>
              <w:right w:val="single" w:sz="4" w:space="0" w:color="auto"/>
            </w:tcBorders>
            <w:noWrap/>
            <w:vAlign w:val="center"/>
            <w:hideMark/>
          </w:tcPr>
          <w:p w14:paraId="7B37E3CC" w14:textId="77777777" w:rsidR="00E8511B" w:rsidRPr="009729CF" w:rsidRDefault="00E8511B">
            <w:pPr>
              <w:rPr>
                <w:rFonts w:asciiTheme="majorHAnsi" w:hAnsiTheme="majorHAnsi" w:cs="Arial"/>
                <w:sz w:val="22"/>
                <w:szCs w:val="22"/>
              </w:rPr>
            </w:pPr>
            <w:r w:rsidRPr="009729CF">
              <w:rPr>
                <w:rFonts w:asciiTheme="majorHAnsi" w:hAnsiTheme="majorHAnsi" w:cs="Arial"/>
                <w:sz w:val="22"/>
                <w:szCs w:val="22"/>
              </w:rPr>
              <w:t>Provide security services at different offices of TPWODL</w:t>
            </w:r>
          </w:p>
        </w:tc>
      </w:tr>
      <w:tr w:rsidR="00E8511B" w:rsidRPr="009729CF" w14:paraId="5C3E6B31" w14:textId="77777777" w:rsidTr="009729CF">
        <w:trPr>
          <w:trHeight w:val="255"/>
        </w:trPr>
        <w:tc>
          <w:tcPr>
            <w:tcW w:w="1076" w:type="pct"/>
            <w:tcBorders>
              <w:top w:val="nil"/>
              <w:left w:val="single" w:sz="4" w:space="0" w:color="auto"/>
              <w:bottom w:val="single" w:sz="4" w:space="0" w:color="auto"/>
              <w:right w:val="single" w:sz="4" w:space="0" w:color="auto"/>
            </w:tcBorders>
            <w:noWrap/>
            <w:vAlign w:val="center"/>
            <w:hideMark/>
          </w:tcPr>
          <w:p w14:paraId="4C623E3A" w14:textId="77777777" w:rsidR="00E8511B" w:rsidRPr="009729CF" w:rsidRDefault="00E8511B">
            <w:pPr>
              <w:rPr>
                <w:rFonts w:asciiTheme="majorHAnsi" w:hAnsiTheme="majorHAnsi" w:cs="Arial"/>
                <w:sz w:val="22"/>
                <w:szCs w:val="22"/>
              </w:rPr>
            </w:pPr>
            <w:r w:rsidRPr="009729CF">
              <w:rPr>
                <w:rFonts w:asciiTheme="majorHAnsi" w:hAnsiTheme="majorHAnsi" w:cs="Arial"/>
                <w:sz w:val="22"/>
                <w:szCs w:val="22"/>
              </w:rPr>
              <w:t>IT Manpower Services</w:t>
            </w:r>
          </w:p>
        </w:tc>
        <w:tc>
          <w:tcPr>
            <w:tcW w:w="455" w:type="pct"/>
            <w:tcBorders>
              <w:top w:val="nil"/>
              <w:left w:val="nil"/>
              <w:bottom w:val="single" w:sz="4" w:space="0" w:color="auto"/>
              <w:right w:val="single" w:sz="4" w:space="0" w:color="auto"/>
            </w:tcBorders>
            <w:noWrap/>
            <w:vAlign w:val="center"/>
            <w:hideMark/>
          </w:tcPr>
          <w:p w14:paraId="6FFA206B" w14:textId="77777777" w:rsidR="00E8511B" w:rsidRPr="009729CF" w:rsidRDefault="00E8511B" w:rsidP="00E8511B">
            <w:pPr>
              <w:jc w:val="center"/>
              <w:rPr>
                <w:rFonts w:asciiTheme="majorHAnsi" w:hAnsiTheme="majorHAnsi" w:cs="Arial"/>
                <w:sz w:val="22"/>
                <w:szCs w:val="22"/>
              </w:rPr>
            </w:pPr>
            <w:r w:rsidRPr="009729CF">
              <w:rPr>
                <w:rFonts w:asciiTheme="majorHAnsi" w:hAnsiTheme="majorHAnsi" w:cs="Arial"/>
                <w:sz w:val="22"/>
                <w:szCs w:val="22"/>
              </w:rPr>
              <w:t>63</w:t>
            </w:r>
          </w:p>
        </w:tc>
        <w:tc>
          <w:tcPr>
            <w:tcW w:w="831" w:type="pct"/>
            <w:tcBorders>
              <w:top w:val="nil"/>
              <w:left w:val="nil"/>
              <w:bottom w:val="single" w:sz="4" w:space="0" w:color="auto"/>
              <w:right w:val="single" w:sz="4" w:space="0" w:color="auto"/>
            </w:tcBorders>
            <w:noWrap/>
            <w:vAlign w:val="center"/>
            <w:hideMark/>
          </w:tcPr>
          <w:p w14:paraId="356E7842" w14:textId="77777777" w:rsidR="00E8511B" w:rsidRPr="009729CF" w:rsidRDefault="00E8511B">
            <w:pPr>
              <w:jc w:val="center"/>
              <w:rPr>
                <w:rFonts w:asciiTheme="majorHAnsi" w:hAnsiTheme="majorHAnsi" w:cs="Arial"/>
                <w:sz w:val="22"/>
                <w:szCs w:val="22"/>
              </w:rPr>
            </w:pPr>
            <w:r w:rsidRPr="009729CF">
              <w:rPr>
                <w:rFonts w:asciiTheme="majorHAnsi" w:hAnsiTheme="majorHAnsi" w:cs="Arial"/>
                <w:sz w:val="22"/>
                <w:szCs w:val="22"/>
              </w:rPr>
              <w:t>IT</w:t>
            </w:r>
          </w:p>
        </w:tc>
        <w:tc>
          <w:tcPr>
            <w:tcW w:w="2638" w:type="pct"/>
            <w:tcBorders>
              <w:top w:val="nil"/>
              <w:left w:val="nil"/>
              <w:bottom w:val="single" w:sz="4" w:space="0" w:color="auto"/>
              <w:right w:val="single" w:sz="4" w:space="0" w:color="auto"/>
            </w:tcBorders>
            <w:noWrap/>
            <w:vAlign w:val="center"/>
            <w:hideMark/>
          </w:tcPr>
          <w:p w14:paraId="6A0851FE" w14:textId="77777777" w:rsidR="00E8511B" w:rsidRPr="009729CF" w:rsidRDefault="00E8511B">
            <w:pPr>
              <w:rPr>
                <w:rFonts w:asciiTheme="majorHAnsi" w:hAnsiTheme="majorHAnsi" w:cs="Arial"/>
                <w:sz w:val="22"/>
                <w:szCs w:val="22"/>
              </w:rPr>
            </w:pPr>
            <w:r w:rsidRPr="009729CF">
              <w:rPr>
                <w:rFonts w:asciiTheme="majorHAnsi" w:hAnsiTheme="majorHAnsi" w:cs="Arial"/>
                <w:sz w:val="22"/>
                <w:szCs w:val="22"/>
              </w:rPr>
              <w:t>Providing IT support services</w:t>
            </w:r>
          </w:p>
        </w:tc>
      </w:tr>
      <w:tr w:rsidR="00E8511B" w:rsidRPr="009729CF" w14:paraId="0C7E2359" w14:textId="77777777" w:rsidTr="009729CF">
        <w:trPr>
          <w:trHeight w:val="255"/>
        </w:trPr>
        <w:tc>
          <w:tcPr>
            <w:tcW w:w="1076" w:type="pct"/>
            <w:tcBorders>
              <w:top w:val="nil"/>
              <w:left w:val="single" w:sz="4" w:space="0" w:color="auto"/>
              <w:bottom w:val="single" w:sz="4" w:space="0" w:color="auto"/>
              <w:right w:val="single" w:sz="4" w:space="0" w:color="auto"/>
            </w:tcBorders>
            <w:noWrap/>
            <w:vAlign w:val="center"/>
            <w:hideMark/>
          </w:tcPr>
          <w:p w14:paraId="61A3228C" w14:textId="77777777" w:rsidR="00E8511B" w:rsidRPr="009729CF" w:rsidRDefault="00E8511B">
            <w:pPr>
              <w:rPr>
                <w:rFonts w:asciiTheme="majorHAnsi" w:hAnsiTheme="majorHAnsi" w:cs="Arial"/>
                <w:sz w:val="22"/>
                <w:szCs w:val="22"/>
              </w:rPr>
            </w:pPr>
            <w:r w:rsidRPr="009729CF">
              <w:rPr>
                <w:rFonts w:asciiTheme="majorHAnsi" w:hAnsiTheme="majorHAnsi" w:cs="Arial"/>
                <w:sz w:val="22"/>
                <w:szCs w:val="22"/>
              </w:rPr>
              <w:t>Store Services</w:t>
            </w:r>
          </w:p>
        </w:tc>
        <w:tc>
          <w:tcPr>
            <w:tcW w:w="455" w:type="pct"/>
            <w:tcBorders>
              <w:top w:val="nil"/>
              <w:left w:val="nil"/>
              <w:bottom w:val="single" w:sz="4" w:space="0" w:color="auto"/>
              <w:right w:val="single" w:sz="4" w:space="0" w:color="auto"/>
            </w:tcBorders>
            <w:noWrap/>
            <w:vAlign w:val="center"/>
            <w:hideMark/>
          </w:tcPr>
          <w:p w14:paraId="4A713657" w14:textId="77777777" w:rsidR="00E8511B" w:rsidRPr="009729CF" w:rsidRDefault="00E8511B" w:rsidP="00E8511B">
            <w:pPr>
              <w:jc w:val="center"/>
              <w:rPr>
                <w:rFonts w:asciiTheme="majorHAnsi" w:hAnsiTheme="majorHAnsi" w:cs="Arial"/>
                <w:sz w:val="22"/>
                <w:szCs w:val="22"/>
              </w:rPr>
            </w:pPr>
            <w:r w:rsidRPr="009729CF">
              <w:rPr>
                <w:rFonts w:asciiTheme="majorHAnsi" w:hAnsiTheme="majorHAnsi" w:cs="Arial"/>
                <w:sz w:val="22"/>
                <w:szCs w:val="22"/>
              </w:rPr>
              <w:t>129</w:t>
            </w:r>
          </w:p>
        </w:tc>
        <w:tc>
          <w:tcPr>
            <w:tcW w:w="831" w:type="pct"/>
            <w:tcBorders>
              <w:top w:val="nil"/>
              <w:left w:val="nil"/>
              <w:bottom w:val="single" w:sz="4" w:space="0" w:color="auto"/>
              <w:right w:val="single" w:sz="4" w:space="0" w:color="auto"/>
            </w:tcBorders>
            <w:noWrap/>
            <w:vAlign w:val="center"/>
            <w:hideMark/>
          </w:tcPr>
          <w:p w14:paraId="1EC78F44" w14:textId="77777777" w:rsidR="00E8511B" w:rsidRPr="009729CF" w:rsidRDefault="00E8511B">
            <w:pPr>
              <w:jc w:val="center"/>
              <w:rPr>
                <w:rFonts w:asciiTheme="majorHAnsi" w:hAnsiTheme="majorHAnsi" w:cs="Arial"/>
                <w:sz w:val="22"/>
                <w:szCs w:val="22"/>
              </w:rPr>
            </w:pPr>
            <w:r w:rsidRPr="009729CF">
              <w:rPr>
                <w:rFonts w:asciiTheme="majorHAnsi" w:hAnsiTheme="majorHAnsi" w:cs="Arial"/>
                <w:sz w:val="22"/>
                <w:szCs w:val="22"/>
              </w:rPr>
              <w:t>Stores</w:t>
            </w:r>
          </w:p>
        </w:tc>
        <w:tc>
          <w:tcPr>
            <w:tcW w:w="2638" w:type="pct"/>
            <w:tcBorders>
              <w:top w:val="nil"/>
              <w:left w:val="nil"/>
              <w:bottom w:val="single" w:sz="4" w:space="0" w:color="auto"/>
              <w:right w:val="single" w:sz="4" w:space="0" w:color="auto"/>
            </w:tcBorders>
            <w:noWrap/>
            <w:vAlign w:val="center"/>
            <w:hideMark/>
          </w:tcPr>
          <w:p w14:paraId="68CFF1DA" w14:textId="77777777" w:rsidR="00E8511B" w:rsidRPr="009729CF" w:rsidRDefault="00E8511B">
            <w:pPr>
              <w:rPr>
                <w:rFonts w:asciiTheme="majorHAnsi" w:hAnsiTheme="majorHAnsi" w:cs="Arial"/>
                <w:sz w:val="22"/>
                <w:szCs w:val="22"/>
              </w:rPr>
            </w:pPr>
            <w:r w:rsidRPr="009729CF">
              <w:rPr>
                <w:rFonts w:asciiTheme="majorHAnsi" w:hAnsiTheme="majorHAnsi" w:cs="Arial"/>
                <w:sz w:val="22"/>
                <w:szCs w:val="22"/>
              </w:rPr>
              <w:t>Logistic services in stores</w:t>
            </w:r>
          </w:p>
        </w:tc>
      </w:tr>
      <w:tr w:rsidR="00E8511B" w:rsidRPr="009729CF" w14:paraId="6D307ECD" w14:textId="77777777" w:rsidTr="009729CF">
        <w:trPr>
          <w:trHeight w:val="255"/>
        </w:trPr>
        <w:tc>
          <w:tcPr>
            <w:tcW w:w="1076" w:type="pct"/>
            <w:tcBorders>
              <w:top w:val="nil"/>
              <w:left w:val="single" w:sz="4" w:space="0" w:color="auto"/>
              <w:bottom w:val="single" w:sz="4" w:space="0" w:color="auto"/>
              <w:right w:val="single" w:sz="4" w:space="0" w:color="auto"/>
            </w:tcBorders>
            <w:noWrap/>
            <w:vAlign w:val="center"/>
            <w:hideMark/>
          </w:tcPr>
          <w:p w14:paraId="5E1EB711" w14:textId="77777777" w:rsidR="00E8511B" w:rsidRPr="009729CF" w:rsidRDefault="00E8511B">
            <w:pPr>
              <w:rPr>
                <w:rFonts w:asciiTheme="majorHAnsi" w:hAnsiTheme="majorHAnsi" w:cs="Arial"/>
                <w:sz w:val="22"/>
                <w:szCs w:val="22"/>
              </w:rPr>
            </w:pPr>
            <w:r w:rsidRPr="009729CF">
              <w:rPr>
                <w:rFonts w:asciiTheme="majorHAnsi" w:hAnsiTheme="majorHAnsi" w:cs="Arial"/>
                <w:sz w:val="22"/>
                <w:szCs w:val="22"/>
              </w:rPr>
              <w:t>Safety</w:t>
            </w:r>
          </w:p>
        </w:tc>
        <w:tc>
          <w:tcPr>
            <w:tcW w:w="455" w:type="pct"/>
            <w:tcBorders>
              <w:top w:val="nil"/>
              <w:left w:val="nil"/>
              <w:bottom w:val="single" w:sz="4" w:space="0" w:color="auto"/>
              <w:right w:val="single" w:sz="4" w:space="0" w:color="auto"/>
            </w:tcBorders>
            <w:noWrap/>
            <w:vAlign w:val="center"/>
            <w:hideMark/>
          </w:tcPr>
          <w:p w14:paraId="5B61E7AF" w14:textId="77777777" w:rsidR="00E8511B" w:rsidRPr="009729CF" w:rsidRDefault="00E8511B" w:rsidP="00E8511B">
            <w:pPr>
              <w:jc w:val="center"/>
              <w:rPr>
                <w:rFonts w:asciiTheme="majorHAnsi" w:hAnsiTheme="majorHAnsi" w:cs="Arial"/>
                <w:sz w:val="22"/>
                <w:szCs w:val="22"/>
              </w:rPr>
            </w:pPr>
            <w:r w:rsidRPr="009729CF">
              <w:rPr>
                <w:rFonts w:asciiTheme="majorHAnsi" w:hAnsiTheme="majorHAnsi" w:cs="Arial"/>
                <w:sz w:val="22"/>
                <w:szCs w:val="22"/>
              </w:rPr>
              <w:t>14</w:t>
            </w:r>
          </w:p>
        </w:tc>
        <w:tc>
          <w:tcPr>
            <w:tcW w:w="831" w:type="pct"/>
            <w:tcBorders>
              <w:top w:val="nil"/>
              <w:left w:val="nil"/>
              <w:bottom w:val="single" w:sz="4" w:space="0" w:color="auto"/>
              <w:right w:val="single" w:sz="4" w:space="0" w:color="auto"/>
            </w:tcBorders>
            <w:noWrap/>
            <w:vAlign w:val="center"/>
            <w:hideMark/>
          </w:tcPr>
          <w:p w14:paraId="2544FD49" w14:textId="77777777" w:rsidR="00E8511B" w:rsidRPr="009729CF" w:rsidRDefault="00E8511B">
            <w:pPr>
              <w:jc w:val="center"/>
              <w:rPr>
                <w:rFonts w:asciiTheme="majorHAnsi" w:hAnsiTheme="majorHAnsi" w:cs="Arial"/>
                <w:sz w:val="22"/>
                <w:szCs w:val="22"/>
              </w:rPr>
            </w:pPr>
            <w:r w:rsidRPr="009729CF">
              <w:rPr>
                <w:rFonts w:asciiTheme="majorHAnsi" w:hAnsiTheme="majorHAnsi" w:cs="Arial"/>
                <w:sz w:val="22"/>
                <w:szCs w:val="22"/>
              </w:rPr>
              <w:t>Safety</w:t>
            </w:r>
          </w:p>
        </w:tc>
        <w:tc>
          <w:tcPr>
            <w:tcW w:w="2638" w:type="pct"/>
            <w:tcBorders>
              <w:top w:val="nil"/>
              <w:left w:val="nil"/>
              <w:bottom w:val="single" w:sz="4" w:space="0" w:color="auto"/>
              <w:right w:val="single" w:sz="4" w:space="0" w:color="auto"/>
            </w:tcBorders>
            <w:noWrap/>
            <w:vAlign w:val="center"/>
            <w:hideMark/>
          </w:tcPr>
          <w:p w14:paraId="62B5A2B9" w14:textId="77777777" w:rsidR="00E8511B" w:rsidRPr="009729CF" w:rsidRDefault="00E8511B">
            <w:pPr>
              <w:rPr>
                <w:rFonts w:asciiTheme="majorHAnsi" w:hAnsiTheme="majorHAnsi" w:cs="Arial"/>
                <w:sz w:val="22"/>
                <w:szCs w:val="22"/>
              </w:rPr>
            </w:pPr>
            <w:r w:rsidRPr="009729CF">
              <w:rPr>
                <w:rFonts w:asciiTheme="majorHAnsi" w:hAnsiTheme="majorHAnsi" w:cs="Arial"/>
                <w:sz w:val="22"/>
                <w:szCs w:val="22"/>
              </w:rPr>
              <w:t xml:space="preserve">Safety Officers at the Division levels to ensure safety practices at TPWODL </w:t>
            </w:r>
          </w:p>
        </w:tc>
      </w:tr>
      <w:tr w:rsidR="00E8511B" w:rsidRPr="009729CF" w14:paraId="633E46CF" w14:textId="77777777" w:rsidTr="009729CF">
        <w:trPr>
          <w:trHeight w:val="285"/>
        </w:trPr>
        <w:tc>
          <w:tcPr>
            <w:tcW w:w="1076" w:type="pct"/>
            <w:tcBorders>
              <w:top w:val="nil"/>
              <w:left w:val="single" w:sz="4" w:space="0" w:color="auto"/>
              <w:bottom w:val="single" w:sz="4" w:space="0" w:color="auto"/>
              <w:right w:val="single" w:sz="4" w:space="0" w:color="auto"/>
            </w:tcBorders>
            <w:noWrap/>
            <w:vAlign w:val="center"/>
            <w:hideMark/>
          </w:tcPr>
          <w:p w14:paraId="787D7861" w14:textId="77777777" w:rsidR="00E8511B" w:rsidRPr="009729CF" w:rsidRDefault="00E8511B">
            <w:pPr>
              <w:rPr>
                <w:rFonts w:asciiTheme="majorHAnsi" w:hAnsiTheme="majorHAnsi" w:cs="Arial"/>
                <w:sz w:val="22"/>
                <w:szCs w:val="22"/>
              </w:rPr>
            </w:pPr>
            <w:r w:rsidRPr="009729CF">
              <w:rPr>
                <w:rFonts w:asciiTheme="majorHAnsi" w:hAnsiTheme="majorHAnsi" w:cs="Arial"/>
                <w:sz w:val="22"/>
                <w:szCs w:val="22"/>
              </w:rPr>
              <w:t>Housekeeping</w:t>
            </w:r>
          </w:p>
        </w:tc>
        <w:tc>
          <w:tcPr>
            <w:tcW w:w="455" w:type="pct"/>
            <w:tcBorders>
              <w:top w:val="nil"/>
              <w:left w:val="nil"/>
              <w:bottom w:val="single" w:sz="4" w:space="0" w:color="auto"/>
              <w:right w:val="single" w:sz="4" w:space="0" w:color="auto"/>
            </w:tcBorders>
            <w:vAlign w:val="center"/>
            <w:hideMark/>
          </w:tcPr>
          <w:p w14:paraId="00800F76" w14:textId="52D397B9" w:rsidR="00E8511B" w:rsidRPr="009729CF" w:rsidRDefault="00E8511B" w:rsidP="00E8511B">
            <w:pPr>
              <w:jc w:val="center"/>
              <w:rPr>
                <w:rFonts w:asciiTheme="majorHAnsi" w:hAnsiTheme="majorHAnsi" w:cs="Arial"/>
                <w:color w:val="000000"/>
                <w:sz w:val="22"/>
                <w:szCs w:val="22"/>
              </w:rPr>
            </w:pPr>
            <w:r w:rsidRPr="009729CF">
              <w:rPr>
                <w:rFonts w:asciiTheme="majorHAnsi" w:hAnsiTheme="majorHAnsi" w:cs="Arial"/>
                <w:color w:val="000000"/>
                <w:sz w:val="22"/>
                <w:szCs w:val="22"/>
              </w:rPr>
              <w:t>161</w:t>
            </w:r>
          </w:p>
        </w:tc>
        <w:tc>
          <w:tcPr>
            <w:tcW w:w="831" w:type="pct"/>
            <w:tcBorders>
              <w:top w:val="nil"/>
              <w:left w:val="nil"/>
              <w:bottom w:val="single" w:sz="4" w:space="0" w:color="auto"/>
              <w:right w:val="single" w:sz="4" w:space="0" w:color="auto"/>
            </w:tcBorders>
            <w:noWrap/>
            <w:vAlign w:val="center"/>
            <w:hideMark/>
          </w:tcPr>
          <w:p w14:paraId="196DD5B6" w14:textId="77777777" w:rsidR="00E8511B" w:rsidRPr="009729CF" w:rsidRDefault="00E8511B">
            <w:pPr>
              <w:jc w:val="center"/>
              <w:rPr>
                <w:rFonts w:asciiTheme="majorHAnsi" w:hAnsiTheme="majorHAnsi" w:cs="Arial"/>
                <w:sz w:val="22"/>
                <w:szCs w:val="22"/>
              </w:rPr>
            </w:pPr>
            <w:r w:rsidRPr="009729CF">
              <w:rPr>
                <w:rFonts w:asciiTheme="majorHAnsi" w:hAnsiTheme="majorHAnsi" w:cs="Arial"/>
                <w:sz w:val="22"/>
                <w:szCs w:val="22"/>
              </w:rPr>
              <w:t>Admin</w:t>
            </w:r>
          </w:p>
        </w:tc>
        <w:tc>
          <w:tcPr>
            <w:tcW w:w="2638" w:type="pct"/>
            <w:tcBorders>
              <w:top w:val="nil"/>
              <w:left w:val="nil"/>
              <w:bottom w:val="single" w:sz="4" w:space="0" w:color="auto"/>
              <w:right w:val="single" w:sz="4" w:space="0" w:color="auto"/>
            </w:tcBorders>
            <w:noWrap/>
            <w:vAlign w:val="center"/>
            <w:hideMark/>
          </w:tcPr>
          <w:p w14:paraId="25AC6F80" w14:textId="4A367C88" w:rsidR="00E8511B" w:rsidRPr="009729CF" w:rsidRDefault="00E8511B">
            <w:pPr>
              <w:rPr>
                <w:rFonts w:asciiTheme="majorHAnsi" w:hAnsiTheme="majorHAnsi" w:cs="Arial"/>
                <w:sz w:val="22"/>
                <w:szCs w:val="22"/>
              </w:rPr>
            </w:pPr>
            <w:r w:rsidRPr="009729CF">
              <w:rPr>
                <w:rFonts w:asciiTheme="majorHAnsi" w:hAnsiTheme="majorHAnsi" w:cs="Arial"/>
                <w:sz w:val="22"/>
                <w:szCs w:val="22"/>
              </w:rPr>
              <w:t>Housekeeping, GH, office boy, and p</w:t>
            </w:r>
            <w:r w:rsidR="00DE77AC">
              <w:rPr>
                <w:rFonts w:asciiTheme="majorHAnsi" w:hAnsiTheme="majorHAnsi" w:cs="Arial"/>
                <w:sz w:val="22"/>
                <w:szCs w:val="22"/>
              </w:rPr>
              <w:t xml:space="preserve">lantation </w:t>
            </w:r>
            <w:r w:rsidRPr="009729CF">
              <w:rPr>
                <w:rFonts w:asciiTheme="majorHAnsi" w:hAnsiTheme="majorHAnsi" w:cs="Arial"/>
                <w:sz w:val="22"/>
                <w:szCs w:val="22"/>
              </w:rPr>
              <w:t>services</w:t>
            </w:r>
          </w:p>
        </w:tc>
      </w:tr>
      <w:tr w:rsidR="00E8511B" w:rsidRPr="009729CF" w14:paraId="131DF96C" w14:textId="77777777" w:rsidTr="009729CF">
        <w:trPr>
          <w:trHeight w:val="285"/>
        </w:trPr>
        <w:tc>
          <w:tcPr>
            <w:tcW w:w="1076" w:type="pct"/>
            <w:tcBorders>
              <w:top w:val="nil"/>
              <w:left w:val="single" w:sz="4" w:space="0" w:color="auto"/>
              <w:bottom w:val="single" w:sz="4" w:space="0" w:color="auto"/>
              <w:right w:val="single" w:sz="4" w:space="0" w:color="auto"/>
            </w:tcBorders>
            <w:vAlign w:val="center"/>
            <w:hideMark/>
          </w:tcPr>
          <w:p w14:paraId="672F4DB6" w14:textId="77777777" w:rsidR="00E8511B" w:rsidRPr="009729CF" w:rsidRDefault="00E8511B">
            <w:pPr>
              <w:rPr>
                <w:rFonts w:asciiTheme="majorHAnsi" w:hAnsiTheme="majorHAnsi" w:cs="Arial"/>
                <w:color w:val="000000"/>
                <w:sz w:val="22"/>
                <w:szCs w:val="22"/>
              </w:rPr>
            </w:pPr>
            <w:r w:rsidRPr="009729CF">
              <w:rPr>
                <w:rFonts w:asciiTheme="majorHAnsi" w:hAnsiTheme="majorHAnsi" w:cs="Arial"/>
                <w:color w:val="000000"/>
                <w:sz w:val="22"/>
                <w:szCs w:val="22"/>
              </w:rPr>
              <w:t>MRBD including SHG</w:t>
            </w:r>
          </w:p>
        </w:tc>
        <w:tc>
          <w:tcPr>
            <w:tcW w:w="455" w:type="pct"/>
            <w:tcBorders>
              <w:top w:val="nil"/>
              <w:left w:val="nil"/>
              <w:bottom w:val="single" w:sz="4" w:space="0" w:color="auto"/>
              <w:right w:val="single" w:sz="4" w:space="0" w:color="auto"/>
            </w:tcBorders>
            <w:noWrap/>
            <w:vAlign w:val="center"/>
            <w:hideMark/>
          </w:tcPr>
          <w:p w14:paraId="1CC52925" w14:textId="77777777" w:rsidR="00E8511B" w:rsidRPr="009729CF" w:rsidRDefault="00E8511B" w:rsidP="00E8511B">
            <w:pPr>
              <w:jc w:val="center"/>
              <w:rPr>
                <w:rFonts w:asciiTheme="majorHAnsi" w:hAnsiTheme="majorHAnsi" w:cs="Arial"/>
                <w:sz w:val="22"/>
                <w:szCs w:val="22"/>
              </w:rPr>
            </w:pPr>
            <w:r w:rsidRPr="009729CF">
              <w:rPr>
                <w:rFonts w:asciiTheme="majorHAnsi" w:hAnsiTheme="majorHAnsi" w:cs="Arial"/>
                <w:sz w:val="22"/>
                <w:szCs w:val="22"/>
              </w:rPr>
              <w:t>1727</w:t>
            </w:r>
          </w:p>
        </w:tc>
        <w:tc>
          <w:tcPr>
            <w:tcW w:w="831" w:type="pct"/>
            <w:tcBorders>
              <w:top w:val="nil"/>
              <w:left w:val="nil"/>
              <w:bottom w:val="single" w:sz="4" w:space="0" w:color="auto"/>
              <w:right w:val="single" w:sz="4" w:space="0" w:color="auto"/>
            </w:tcBorders>
            <w:noWrap/>
            <w:vAlign w:val="center"/>
            <w:hideMark/>
          </w:tcPr>
          <w:p w14:paraId="63365E9E" w14:textId="77777777" w:rsidR="00E8511B" w:rsidRPr="009729CF" w:rsidRDefault="00E8511B">
            <w:pPr>
              <w:jc w:val="center"/>
              <w:rPr>
                <w:rFonts w:asciiTheme="majorHAnsi" w:hAnsiTheme="majorHAnsi" w:cs="Arial"/>
                <w:sz w:val="22"/>
                <w:szCs w:val="22"/>
              </w:rPr>
            </w:pPr>
            <w:r w:rsidRPr="009729CF">
              <w:rPr>
                <w:rFonts w:asciiTheme="majorHAnsi" w:hAnsiTheme="majorHAnsi" w:cs="Arial"/>
                <w:sz w:val="22"/>
                <w:szCs w:val="22"/>
              </w:rPr>
              <w:t>Commercial</w:t>
            </w:r>
          </w:p>
        </w:tc>
        <w:tc>
          <w:tcPr>
            <w:tcW w:w="2638" w:type="pct"/>
            <w:tcBorders>
              <w:top w:val="nil"/>
              <w:left w:val="nil"/>
              <w:bottom w:val="single" w:sz="4" w:space="0" w:color="auto"/>
              <w:right w:val="single" w:sz="4" w:space="0" w:color="auto"/>
            </w:tcBorders>
            <w:noWrap/>
            <w:vAlign w:val="bottom"/>
            <w:hideMark/>
          </w:tcPr>
          <w:p w14:paraId="37D8CC2F" w14:textId="77777777" w:rsidR="00E8511B" w:rsidRPr="009729CF" w:rsidRDefault="00E8511B">
            <w:pPr>
              <w:rPr>
                <w:rFonts w:asciiTheme="majorHAnsi" w:hAnsiTheme="majorHAnsi" w:cs="Arial"/>
                <w:sz w:val="22"/>
                <w:szCs w:val="22"/>
              </w:rPr>
            </w:pPr>
            <w:r w:rsidRPr="009729CF">
              <w:rPr>
                <w:rFonts w:asciiTheme="majorHAnsi" w:hAnsiTheme="majorHAnsi" w:cs="Arial"/>
                <w:sz w:val="22"/>
                <w:szCs w:val="22"/>
              </w:rPr>
              <w:t>Meter Reading and Bill distribution for SBM and Non-SBM connections</w:t>
            </w:r>
          </w:p>
        </w:tc>
      </w:tr>
      <w:tr w:rsidR="00E8511B" w:rsidRPr="009729CF" w14:paraId="4B427FDB" w14:textId="77777777" w:rsidTr="009729CF">
        <w:trPr>
          <w:trHeight w:val="285"/>
        </w:trPr>
        <w:tc>
          <w:tcPr>
            <w:tcW w:w="1076" w:type="pct"/>
            <w:tcBorders>
              <w:top w:val="nil"/>
              <w:left w:val="single" w:sz="4" w:space="0" w:color="auto"/>
              <w:bottom w:val="single" w:sz="4" w:space="0" w:color="auto"/>
              <w:right w:val="single" w:sz="4" w:space="0" w:color="auto"/>
            </w:tcBorders>
            <w:vAlign w:val="center"/>
            <w:hideMark/>
          </w:tcPr>
          <w:p w14:paraId="7FF66F9C" w14:textId="77777777" w:rsidR="00E8511B" w:rsidRPr="009729CF" w:rsidRDefault="00E8511B">
            <w:pPr>
              <w:rPr>
                <w:rFonts w:asciiTheme="majorHAnsi" w:hAnsiTheme="majorHAnsi" w:cs="Arial"/>
                <w:color w:val="000000"/>
                <w:sz w:val="22"/>
                <w:szCs w:val="22"/>
              </w:rPr>
            </w:pPr>
            <w:r w:rsidRPr="009729CF">
              <w:rPr>
                <w:rFonts w:asciiTheme="majorHAnsi" w:hAnsiTheme="majorHAnsi" w:cs="Arial"/>
                <w:color w:val="000000"/>
                <w:sz w:val="22"/>
                <w:szCs w:val="22"/>
              </w:rPr>
              <w:t>Collection</w:t>
            </w:r>
          </w:p>
        </w:tc>
        <w:tc>
          <w:tcPr>
            <w:tcW w:w="455" w:type="pct"/>
            <w:tcBorders>
              <w:top w:val="nil"/>
              <w:left w:val="nil"/>
              <w:bottom w:val="single" w:sz="4" w:space="0" w:color="auto"/>
              <w:right w:val="single" w:sz="4" w:space="0" w:color="auto"/>
            </w:tcBorders>
            <w:noWrap/>
            <w:vAlign w:val="center"/>
            <w:hideMark/>
          </w:tcPr>
          <w:p w14:paraId="2C24A989" w14:textId="77777777" w:rsidR="00E8511B" w:rsidRPr="009729CF" w:rsidRDefault="00E8511B" w:rsidP="00E8511B">
            <w:pPr>
              <w:jc w:val="center"/>
              <w:rPr>
                <w:rFonts w:asciiTheme="majorHAnsi" w:hAnsiTheme="majorHAnsi" w:cs="Arial"/>
                <w:sz w:val="22"/>
                <w:szCs w:val="22"/>
              </w:rPr>
            </w:pPr>
            <w:r w:rsidRPr="009729CF">
              <w:rPr>
                <w:rFonts w:asciiTheme="majorHAnsi" w:hAnsiTheme="majorHAnsi" w:cs="Arial"/>
                <w:sz w:val="22"/>
                <w:szCs w:val="22"/>
              </w:rPr>
              <w:t>2432</w:t>
            </w:r>
          </w:p>
        </w:tc>
        <w:tc>
          <w:tcPr>
            <w:tcW w:w="831" w:type="pct"/>
            <w:tcBorders>
              <w:top w:val="nil"/>
              <w:left w:val="nil"/>
              <w:bottom w:val="single" w:sz="4" w:space="0" w:color="auto"/>
              <w:right w:val="single" w:sz="4" w:space="0" w:color="auto"/>
            </w:tcBorders>
            <w:noWrap/>
            <w:vAlign w:val="center"/>
            <w:hideMark/>
          </w:tcPr>
          <w:p w14:paraId="399FF2B5" w14:textId="77777777" w:rsidR="00E8511B" w:rsidRPr="009729CF" w:rsidRDefault="00E8511B">
            <w:pPr>
              <w:jc w:val="center"/>
              <w:rPr>
                <w:rFonts w:asciiTheme="majorHAnsi" w:hAnsiTheme="majorHAnsi" w:cs="Arial"/>
                <w:sz w:val="22"/>
                <w:szCs w:val="22"/>
              </w:rPr>
            </w:pPr>
            <w:r w:rsidRPr="009729CF">
              <w:rPr>
                <w:rFonts w:asciiTheme="majorHAnsi" w:hAnsiTheme="majorHAnsi" w:cs="Arial"/>
                <w:sz w:val="22"/>
                <w:szCs w:val="22"/>
              </w:rPr>
              <w:t>Commercial</w:t>
            </w:r>
          </w:p>
        </w:tc>
        <w:tc>
          <w:tcPr>
            <w:tcW w:w="2638" w:type="pct"/>
            <w:tcBorders>
              <w:top w:val="nil"/>
              <w:left w:val="nil"/>
              <w:bottom w:val="single" w:sz="4" w:space="0" w:color="auto"/>
              <w:right w:val="single" w:sz="4" w:space="0" w:color="auto"/>
            </w:tcBorders>
            <w:noWrap/>
            <w:vAlign w:val="bottom"/>
            <w:hideMark/>
          </w:tcPr>
          <w:p w14:paraId="482EECE2" w14:textId="77777777" w:rsidR="00E8511B" w:rsidRPr="009729CF" w:rsidRDefault="00E8511B">
            <w:pPr>
              <w:rPr>
                <w:rFonts w:asciiTheme="majorHAnsi" w:hAnsiTheme="majorHAnsi" w:cs="Arial"/>
                <w:sz w:val="22"/>
                <w:szCs w:val="22"/>
              </w:rPr>
            </w:pPr>
            <w:r w:rsidRPr="009729CF">
              <w:rPr>
                <w:rFonts w:asciiTheme="majorHAnsi" w:hAnsiTheme="majorHAnsi" w:cs="Arial"/>
                <w:sz w:val="22"/>
                <w:szCs w:val="22"/>
              </w:rPr>
              <w:t xml:space="preserve">Revenue Collection activity </w:t>
            </w:r>
          </w:p>
        </w:tc>
      </w:tr>
    </w:tbl>
    <w:p w14:paraId="5B5AB010" w14:textId="33239ADC" w:rsidR="009F5471" w:rsidRDefault="009F5471" w:rsidP="00C94D4B">
      <w:pPr>
        <w:pStyle w:val="BodyText2"/>
        <w:spacing w:line="360" w:lineRule="auto"/>
        <w:jc w:val="both"/>
        <w:rPr>
          <w:rFonts w:asciiTheme="majorHAnsi" w:hAnsiTheme="majorHAnsi" w:cstheme="minorHAnsi"/>
          <w:b/>
          <w:bCs/>
          <w:color w:val="0F243E" w:themeColor="text2" w:themeShade="80"/>
          <w:sz w:val="24"/>
          <w:szCs w:val="24"/>
          <w:u w:val="single"/>
          <w:lang w:val="en-GB"/>
        </w:rPr>
      </w:pPr>
    </w:p>
    <w:p w14:paraId="66379F46" w14:textId="77777777" w:rsidR="009729CF" w:rsidRDefault="009729CF" w:rsidP="00C94D4B">
      <w:pPr>
        <w:pStyle w:val="BodyText2"/>
        <w:spacing w:line="360" w:lineRule="auto"/>
        <w:jc w:val="both"/>
        <w:rPr>
          <w:rFonts w:asciiTheme="majorHAnsi" w:hAnsiTheme="majorHAnsi" w:cstheme="minorHAnsi"/>
          <w:b/>
          <w:bCs/>
          <w:sz w:val="24"/>
          <w:szCs w:val="24"/>
          <w:u w:val="single"/>
          <w:lang w:val="en-GB"/>
        </w:rPr>
      </w:pPr>
    </w:p>
    <w:p w14:paraId="60CC09B9" w14:textId="77777777" w:rsidR="009729CF" w:rsidRDefault="009729CF" w:rsidP="00C94D4B">
      <w:pPr>
        <w:pStyle w:val="BodyText2"/>
        <w:spacing w:line="360" w:lineRule="auto"/>
        <w:jc w:val="both"/>
        <w:rPr>
          <w:rFonts w:asciiTheme="majorHAnsi" w:hAnsiTheme="majorHAnsi" w:cstheme="minorHAnsi"/>
          <w:b/>
          <w:bCs/>
          <w:sz w:val="24"/>
          <w:szCs w:val="24"/>
          <w:u w:val="single"/>
          <w:lang w:val="en-GB"/>
        </w:rPr>
      </w:pPr>
    </w:p>
    <w:p w14:paraId="00E14D8D" w14:textId="7EE636AA" w:rsidR="005304A5" w:rsidRPr="000609AA" w:rsidRDefault="005304A5" w:rsidP="00C94D4B">
      <w:pPr>
        <w:pStyle w:val="BodyText2"/>
        <w:spacing w:line="360" w:lineRule="auto"/>
        <w:jc w:val="both"/>
        <w:rPr>
          <w:rFonts w:asciiTheme="majorHAnsi" w:hAnsiTheme="majorHAnsi" w:cstheme="minorHAnsi"/>
          <w:b/>
          <w:bCs/>
          <w:sz w:val="24"/>
          <w:szCs w:val="24"/>
          <w:u w:val="single"/>
          <w:lang w:val="en-GB"/>
        </w:rPr>
      </w:pPr>
      <w:r w:rsidRPr="000609AA">
        <w:rPr>
          <w:rFonts w:asciiTheme="majorHAnsi" w:hAnsiTheme="majorHAnsi" w:cstheme="minorHAnsi"/>
          <w:b/>
          <w:bCs/>
          <w:sz w:val="24"/>
          <w:szCs w:val="24"/>
          <w:u w:val="single"/>
          <w:lang w:val="en-GB"/>
        </w:rPr>
        <w:t xml:space="preserve">Expenses towards Terminal Benefit </w:t>
      </w:r>
    </w:p>
    <w:p w14:paraId="5E68D052" w14:textId="77777777" w:rsidR="005304A5" w:rsidRPr="000609AA" w:rsidRDefault="005304A5" w:rsidP="0097212A">
      <w:pPr>
        <w:spacing w:beforeLines="100" w:before="240" w:afterLines="100" w:after="240" w:line="360" w:lineRule="auto"/>
        <w:jc w:val="both"/>
        <w:rPr>
          <w:rFonts w:asciiTheme="majorHAnsi" w:hAnsiTheme="majorHAnsi" w:cstheme="minorHAnsi"/>
          <w:lang w:eastAsia="en-IN"/>
        </w:rPr>
      </w:pPr>
      <w:r w:rsidRPr="000609AA">
        <w:rPr>
          <w:rFonts w:asciiTheme="majorHAnsi" w:hAnsiTheme="majorHAnsi" w:cstheme="minorHAnsi"/>
          <w:lang w:eastAsia="en-IN"/>
        </w:rPr>
        <w:t>As per terms of vesting order dated December 28, 2020, issued by the Odisha Electricity Regulatory Commission (OERC), all existing employees of Wesco Utility (WESCO) have been transferred to the Licensee. Payment of terminal benefits including pension, gratuity and leave encashment to the past and existing employees will be made by the respective Trusts (WESCO Employees’ Pension Fund Trust, WESCO Employees Gratuity Fund Trust and WESCO Employees Rehabilitation Fund Trust) over the eligibility period.</w:t>
      </w:r>
    </w:p>
    <w:p w14:paraId="760CB92C" w14:textId="77777777" w:rsidR="005304A5" w:rsidRPr="000609AA" w:rsidRDefault="005304A5" w:rsidP="0097212A">
      <w:pPr>
        <w:spacing w:beforeLines="100" w:before="240" w:afterLines="100" w:after="240" w:line="360" w:lineRule="auto"/>
        <w:jc w:val="both"/>
        <w:rPr>
          <w:rFonts w:asciiTheme="majorHAnsi" w:hAnsiTheme="majorHAnsi" w:cstheme="minorHAnsi"/>
          <w:lang w:eastAsia="en-IN"/>
        </w:rPr>
      </w:pPr>
      <w:r w:rsidRPr="000609AA">
        <w:rPr>
          <w:rFonts w:asciiTheme="majorHAnsi" w:hAnsiTheme="majorHAnsi" w:cstheme="minorHAnsi"/>
          <w:lang w:eastAsia="en-IN"/>
        </w:rPr>
        <w:t>Considering specific clarification in TPCODL’s Carve Out Order and management expectations, the Licensee has revised the accounting treatment of terminal employee liabilities to align it with TPCODL and therefore the Actuarial provisions on account of terminal dues of the erstwhile employees.</w:t>
      </w:r>
    </w:p>
    <w:p w14:paraId="6128BB0D" w14:textId="7F81A061" w:rsidR="005304A5" w:rsidRPr="000609AA" w:rsidRDefault="005304A5" w:rsidP="0097212A">
      <w:pPr>
        <w:pStyle w:val="BodyText2"/>
        <w:spacing w:beforeLines="100" w:before="240" w:afterLines="100" w:after="240" w:line="360" w:lineRule="auto"/>
        <w:jc w:val="both"/>
        <w:rPr>
          <w:rFonts w:asciiTheme="majorHAnsi" w:hAnsiTheme="majorHAnsi" w:cstheme="minorHAnsi"/>
          <w:sz w:val="24"/>
          <w:szCs w:val="24"/>
          <w:lang w:val="en-GB"/>
        </w:rPr>
      </w:pPr>
      <w:r w:rsidRPr="000609AA">
        <w:rPr>
          <w:rFonts w:asciiTheme="majorHAnsi" w:hAnsiTheme="majorHAnsi" w:cstheme="minorHAnsi"/>
          <w:sz w:val="24"/>
          <w:szCs w:val="24"/>
          <w:lang w:val="en-GB"/>
        </w:rPr>
        <w:t xml:space="preserve"> Therefore, in line with </w:t>
      </w:r>
      <w:r w:rsidR="00DE2EC2">
        <w:rPr>
          <w:rFonts w:asciiTheme="majorHAnsi" w:hAnsiTheme="majorHAnsi" w:cstheme="minorHAnsi"/>
          <w:sz w:val="24"/>
          <w:szCs w:val="24"/>
          <w:lang w:val="en-GB"/>
        </w:rPr>
        <w:t xml:space="preserve">the </w:t>
      </w:r>
      <w:r w:rsidRPr="000609AA">
        <w:rPr>
          <w:rFonts w:asciiTheme="majorHAnsi" w:hAnsiTheme="majorHAnsi" w:cstheme="minorHAnsi"/>
          <w:sz w:val="24"/>
          <w:szCs w:val="24"/>
          <w:lang w:val="en-GB"/>
        </w:rPr>
        <w:t xml:space="preserve">Hon’ble </w:t>
      </w:r>
      <w:r w:rsidRPr="005453A4">
        <w:rPr>
          <w:rFonts w:asciiTheme="majorHAnsi" w:hAnsiTheme="majorHAnsi" w:cstheme="minorHAnsi"/>
          <w:sz w:val="24"/>
          <w:szCs w:val="24"/>
          <w:lang w:val="en-GB"/>
        </w:rPr>
        <w:t>Commission</w:t>
      </w:r>
      <w:r w:rsidR="00DE2EC2" w:rsidRPr="005453A4">
        <w:rPr>
          <w:rFonts w:asciiTheme="majorHAnsi" w:hAnsiTheme="majorHAnsi" w:cstheme="minorHAnsi"/>
          <w:sz w:val="24"/>
          <w:szCs w:val="24"/>
          <w:lang w:val="en-GB"/>
        </w:rPr>
        <w:t>’</w:t>
      </w:r>
      <w:r w:rsidRPr="005453A4">
        <w:rPr>
          <w:rFonts w:asciiTheme="majorHAnsi" w:hAnsiTheme="majorHAnsi" w:cstheme="minorHAnsi"/>
          <w:sz w:val="24"/>
          <w:szCs w:val="24"/>
          <w:lang w:val="en-GB"/>
        </w:rPr>
        <w:t>s order &amp; direction in the vesting order TPWODL has projected the terminal liabilities towards pension, gratuity, leave encashment etc on the basis of actual cash outgo and the projections provided for FY 2</w:t>
      </w:r>
      <w:r w:rsidR="00DE2EC2" w:rsidRPr="005453A4">
        <w:rPr>
          <w:rFonts w:asciiTheme="majorHAnsi" w:hAnsiTheme="majorHAnsi" w:cstheme="minorHAnsi"/>
          <w:sz w:val="24"/>
          <w:szCs w:val="24"/>
          <w:lang w:val="en-GB"/>
        </w:rPr>
        <w:t>5</w:t>
      </w:r>
      <w:r w:rsidRPr="005453A4">
        <w:rPr>
          <w:rFonts w:asciiTheme="majorHAnsi" w:hAnsiTheme="majorHAnsi" w:cstheme="minorHAnsi"/>
          <w:sz w:val="24"/>
          <w:szCs w:val="24"/>
          <w:lang w:val="en-GB"/>
        </w:rPr>
        <w:t>-2</w:t>
      </w:r>
      <w:r w:rsidR="00DE2EC2" w:rsidRPr="005453A4">
        <w:rPr>
          <w:rFonts w:asciiTheme="majorHAnsi" w:hAnsiTheme="majorHAnsi" w:cstheme="minorHAnsi"/>
          <w:sz w:val="24"/>
          <w:szCs w:val="24"/>
          <w:lang w:val="en-GB"/>
        </w:rPr>
        <w:t>6</w:t>
      </w:r>
      <w:r w:rsidRPr="005453A4">
        <w:rPr>
          <w:rFonts w:asciiTheme="majorHAnsi" w:hAnsiTheme="majorHAnsi" w:cstheme="minorHAnsi"/>
          <w:sz w:val="24"/>
          <w:szCs w:val="24"/>
          <w:lang w:val="en-GB"/>
        </w:rPr>
        <w:t xml:space="preserve"> and FY </w:t>
      </w:r>
      <w:r w:rsidR="007507C7" w:rsidRPr="005453A4">
        <w:rPr>
          <w:rFonts w:asciiTheme="majorHAnsi" w:hAnsiTheme="majorHAnsi" w:cstheme="minorHAnsi"/>
          <w:sz w:val="24"/>
          <w:szCs w:val="24"/>
          <w:lang w:val="en-GB"/>
        </w:rPr>
        <w:t>26-27</w:t>
      </w:r>
      <w:r w:rsidRPr="005453A4">
        <w:rPr>
          <w:rFonts w:asciiTheme="majorHAnsi" w:hAnsiTheme="majorHAnsi" w:cstheme="minorHAnsi"/>
          <w:sz w:val="24"/>
          <w:szCs w:val="24"/>
          <w:lang w:val="en-GB"/>
        </w:rPr>
        <w:t>. The details are given in OERC Form: F-12. Therefore, the employee Terminal Benefit outgo requirement for the year FY 2</w:t>
      </w:r>
      <w:r w:rsidR="00DE2EC2" w:rsidRPr="005453A4">
        <w:rPr>
          <w:rFonts w:asciiTheme="majorHAnsi" w:hAnsiTheme="majorHAnsi" w:cstheme="minorHAnsi"/>
          <w:sz w:val="24"/>
          <w:szCs w:val="24"/>
          <w:lang w:val="en-GB"/>
        </w:rPr>
        <w:t>5</w:t>
      </w:r>
      <w:r w:rsidRPr="005453A4">
        <w:rPr>
          <w:rFonts w:asciiTheme="majorHAnsi" w:hAnsiTheme="majorHAnsi" w:cstheme="minorHAnsi"/>
          <w:sz w:val="24"/>
          <w:szCs w:val="24"/>
          <w:lang w:val="en-GB"/>
        </w:rPr>
        <w:t>-2</w:t>
      </w:r>
      <w:r w:rsidR="00DE2EC2" w:rsidRPr="005453A4">
        <w:rPr>
          <w:rFonts w:asciiTheme="majorHAnsi" w:hAnsiTheme="majorHAnsi" w:cstheme="minorHAnsi"/>
          <w:sz w:val="24"/>
          <w:szCs w:val="24"/>
          <w:lang w:val="en-GB"/>
        </w:rPr>
        <w:t>6</w:t>
      </w:r>
      <w:r w:rsidRPr="005453A4">
        <w:rPr>
          <w:rFonts w:asciiTheme="majorHAnsi" w:hAnsiTheme="majorHAnsi" w:cstheme="minorHAnsi"/>
          <w:sz w:val="24"/>
          <w:szCs w:val="24"/>
          <w:lang w:val="en-GB"/>
        </w:rPr>
        <w:t xml:space="preserve"> and FY </w:t>
      </w:r>
      <w:r w:rsidR="007507C7" w:rsidRPr="005453A4">
        <w:rPr>
          <w:rFonts w:asciiTheme="majorHAnsi" w:hAnsiTheme="majorHAnsi" w:cstheme="minorHAnsi"/>
          <w:sz w:val="24"/>
          <w:szCs w:val="24"/>
          <w:lang w:val="en-GB"/>
        </w:rPr>
        <w:t>26-27</w:t>
      </w:r>
      <w:r w:rsidRPr="005453A4">
        <w:rPr>
          <w:rFonts w:asciiTheme="majorHAnsi" w:hAnsiTheme="majorHAnsi" w:cstheme="minorHAnsi"/>
          <w:sz w:val="24"/>
          <w:szCs w:val="24"/>
          <w:lang w:val="en-GB"/>
        </w:rPr>
        <w:t xml:space="preserve"> amounting to Rs. </w:t>
      </w:r>
      <w:r w:rsidR="00B92B32">
        <w:rPr>
          <w:rFonts w:asciiTheme="majorHAnsi" w:hAnsiTheme="majorHAnsi" w:cstheme="minorHAnsi"/>
          <w:sz w:val="24"/>
          <w:szCs w:val="24"/>
          <w:lang w:val="en-GB"/>
        </w:rPr>
        <w:t>136.42</w:t>
      </w:r>
      <w:r w:rsidRPr="005453A4">
        <w:rPr>
          <w:rFonts w:asciiTheme="majorHAnsi" w:hAnsiTheme="majorHAnsi" w:cstheme="minorHAnsi"/>
          <w:sz w:val="24"/>
          <w:szCs w:val="24"/>
          <w:lang w:val="en-GB"/>
        </w:rPr>
        <w:t xml:space="preserve"> Cr. and Rs.</w:t>
      </w:r>
      <w:r w:rsidR="00DA5DC0" w:rsidRPr="005453A4">
        <w:rPr>
          <w:rFonts w:asciiTheme="majorHAnsi" w:hAnsiTheme="majorHAnsi" w:cstheme="minorHAnsi"/>
          <w:sz w:val="24"/>
          <w:szCs w:val="24"/>
          <w:lang w:val="en-GB"/>
        </w:rPr>
        <w:t>1</w:t>
      </w:r>
      <w:r w:rsidR="00B92B32">
        <w:rPr>
          <w:rFonts w:asciiTheme="majorHAnsi" w:hAnsiTheme="majorHAnsi" w:cstheme="minorHAnsi"/>
          <w:sz w:val="24"/>
          <w:szCs w:val="24"/>
          <w:lang w:val="en-GB"/>
        </w:rPr>
        <w:t>38.70</w:t>
      </w:r>
      <w:r w:rsidR="002E4B8E" w:rsidRPr="005453A4">
        <w:rPr>
          <w:rFonts w:asciiTheme="majorHAnsi" w:hAnsiTheme="majorHAnsi" w:cstheme="minorHAnsi"/>
          <w:sz w:val="24"/>
          <w:szCs w:val="24"/>
          <w:lang w:val="en-GB"/>
        </w:rPr>
        <w:t xml:space="preserve"> </w:t>
      </w:r>
      <w:r w:rsidRPr="005453A4">
        <w:rPr>
          <w:rFonts w:asciiTheme="majorHAnsi" w:hAnsiTheme="majorHAnsi" w:cstheme="minorHAnsi"/>
          <w:sz w:val="24"/>
          <w:szCs w:val="24"/>
          <w:lang w:val="en-GB"/>
        </w:rPr>
        <w:t>Cr. respectively may kindly be approved.</w:t>
      </w:r>
      <w:r w:rsidRPr="000609AA">
        <w:rPr>
          <w:rFonts w:asciiTheme="majorHAnsi" w:hAnsiTheme="majorHAnsi" w:cstheme="minorHAnsi"/>
          <w:sz w:val="24"/>
          <w:szCs w:val="24"/>
          <w:lang w:val="en-GB"/>
        </w:rPr>
        <w:t xml:space="preserve"> </w:t>
      </w:r>
    </w:p>
    <w:p w14:paraId="729CDB7A" w14:textId="3AB5A68B" w:rsidR="005304A5" w:rsidRPr="00B1554C" w:rsidRDefault="005304A5" w:rsidP="0097212A">
      <w:pPr>
        <w:spacing w:beforeLines="100" w:before="240" w:afterLines="100" w:after="240" w:line="360" w:lineRule="auto"/>
        <w:jc w:val="both"/>
        <w:rPr>
          <w:rFonts w:asciiTheme="majorHAnsi" w:hAnsiTheme="majorHAnsi" w:cstheme="minorHAnsi"/>
          <w:highlight w:val="yellow"/>
        </w:rPr>
      </w:pPr>
      <w:r w:rsidRPr="000609AA">
        <w:rPr>
          <w:rFonts w:asciiTheme="majorHAnsi" w:hAnsiTheme="majorHAnsi" w:cstheme="minorHAnsi"/>
        </w:rPr>
        <w:t xml:space="preserve">Further, as per normal practice &amp; approval of the Hon’ble Commission, the contractual obligation of an </w:t>
      </w:r>
      <w:r w:rsidRPr="002E4B8E">
        <w:rPr>
          <w:rFonts w:asciiTheme="majorHAnsi" w:hAnsiTheme="majorHAnsi" w:cstheme="minorHAnsi"/>
        </w:rPr>
        <w:t xml:space="preserve">amount of Rs. </w:t>
      </w:r>
      <w:r w:rsidR="002E1F0A">
        <w:rPr>
          <w:rFonts w:asciiTheme="majorHAnsi" w:hAnsiTheme="majorHAnsi" w:cstheme="minorHAnsi"/>
        </w:rPr>
        <w:t>64</w:t>
      </w:r>
      <w:r w:rsidR="00B92B32">
        <w:rPr>
          <w:rFonts w:asciiTheme="majorHAnsi" w:hAnsiTheme="majorHAnsi" w:cstheme="minorHAnsi"/>
        </w:rPr>
        <w:t>.45</w:t>
      </w:r>
      <w:r w:rsidRPr="002E4B8E">
        <w:rPr>
          <w:rFonts w:asciiTheme="majorHAnsi" w:hAnsiTheme="majorHAnsi" w:cstheme="minorHAnsi"/>
        </w:rPr>
        <w:t xml:space="preserve"> Cr. has been </w:t>
      </w:r>
      <w:r w:rsidR="002E4B8E" w:rsidRPr="002E4B8E">
        <w:rPr>
          <w:rFonts w:asciiTheme="majorHAnsi" w:hAnsiTheme="majorHAnsi" w:cstheme="minorHAnsi"/>
        </w:rPr>
        <w:t>proposed</w:t>
      </w:r>
      <w:r w:rsidRPr="002E4B8E">
        <w:rPr>
          <w:rFonts w:asciiTheme="majorHAnsi" w:hAnsiTheme="majorHAnsi" w:cstheme="minorHAnsi"/>
        </w:rPr>
        <w:t xml:space="preserve"> for the ensuing year which may kindly be </w:t>
      </w:r>
      <w:r w:rsidRPr="002E1F0A">
        <w:rPr>
          <w:rFonts w:asciiTheme="majorHAnsi" w:hAnsiTheme="majorHAnsi" w:cstheme="minorHAnsi"/>
        </w:rPr>
        <w:t xml:space="preserve">approved, as like of approval made </w:t>
      </w:r>
      <w:r w:rsidR="00DE77AC">
        <w:rPr>
          <w:rFonts w:asciiTheme="majorHAnsi" w:hAnsiTheme="majorHAnsi" w:cstheme="minorHAnsi"/>
        </w:rPr>
        <w:t>during</w:t>
      </w:r>
      <w:r w:rsidRPr="002E1F0A">
        <w:rPr>
          <w:rFonts w:asciiTheme="majorHAnsi" w:hAnsiTheme="majorHAnsi" w:cstheme="minorHAnsi"/>
        </w:rPr>
        <w:t xml:space="preserve"> </w:t>
      </w:r>
      <w:r w:rsidR="002E1F0A" w:rsidRPr="002E1F0A">
        <w:rPr>
          <w:rFonts w:asciiTheme="majorHAnsi" w:hAnsiTheme="majorHAnsi" w:cstheme="minorHAnsi"/>
        </w:rPr>
        <w:t>earlier years</w:t>
      </w:r>
      <w:r w:rsidRPr="002E1F0A">
        <w:rPr>
          <w:rFonts w:asciiTheme="majorHAnsi" w:hAnsiTheme="majorHAnsi" w:cstheme="minorHAnsi"/>
        </w:rPr>
        <w:t xml:space="preserve">. </w:t>
      </w:r>
    </w:p>
    <w:p w14:paraId="0F4DE68A" w14:textId="6F962673" w:rsidR="00115909" w:rsidRPr="00466412" w:rsidRDefault="00187B87" w:rsidP="0006753B">
      <w:pPr>
        <w:spacing w:beforeLines="100" w:before="240" w:afterLines="100" w:after="240" w:line="360" w:lineRule="auto"/>
        <w:jc w:val="both"/>
        <w:rPr>
          <w:rFonts w:asciiTheme="majorHAnsi" w:hAnsiTheme="majorHAnsi" w:cstheme="minorHAnsi"/>
          <w:bCs/>
        </w:rPr>
      </w:pPr>
      <w:r w:rsidRPr="00466412">
        <w:rPr>
          <w:rFonts w:asciiTheme="majorHAnsi" w:hAnsiTheme="majorHAnsi" w:cstheme="minorHAnsi"/>
          <w:bCs/>
        </w:rPr>
        <w:t xml:space="preserve">Further, </w:t>
      </w:r>
      <w:r w:rsidR="0006753B" w:rsidRPr="00466412">
        <w:rPr>
          <w:rFonts w:asciiTheme="majorHAnsi" w:hAnsiTheme="majorHAnsi" w:cstheme="minorHAnsi"/>
          <w:bCs/>
        </w:rPr>
        <w:t xml:space="preserve">The Government of India has announced the implementation of the four </w:t>
      </w:r>
      <w:proofErr w:type="spellStart"/>
      <w:r w:rsidR="0006753B" w:rsidRPr="00466412">
        <w:rPr>
          <w:rFonts w:asciiTheme="majorHAnsi" w:hAnsiTheme="majorHAnsi" w:cstheme="minorHAnsi"/>
          <w:bCs/>
        </w:rPr>
        <w:t>Labour</w:t>
      </w:r>
      <w:proofErr w:type="spellEnd"/>
      <w:r w:rsidR="0006753B" w:rsidRPr="00466412">
        <w:rPr>
          <w:rFonts w:asciiTheme="majorHAnsi" w:hAnsiTheme="majorHAnsi" w:cstheme="minorHAnsi"/>
          <w:bCs/>
        </w:rPr>
        <w:t xml:space="preserve"> Codes- the Code on Wages, 2019, the Industrial Relations Code, 2020, the Code on Social Security, 2020 and the Occupational Safety, Health and Working Conditions Code, 2020 with effect from 21st November 2025, </w:t>
      </w:r>
      <w:r w:rsidRPr="00466412">
        <w:rPr>
          <w:rFonts w:asciiTheme="majorHAnsi" w:hAnsiTheme="majorHAnsi" w:cstheme="minorHAnsi"/>
          <w:bCs/>
        </w:rPr>
        <w:t>rationalizing</w:t>
      </w:r>
      <w:r w:rsidR="0006753B" w:rsidRPr="00466412">
        <w:rPr>
          <w:rFonts w:asciiTheme="majorHAnsi" w:hAnsiTheme="majorHAnsi" w:cstheme="minorHAnsi"/>
          <w:bCs/>
        </w:rPr>
        <w:t xml:space="preserve"> 29 existing </w:t>
      </w:r>
      <w:proofErr w:type="spellStart"/>
      <w:r w:rsidR="0006753B" w:rsidRPr="00466412">
        <w:rPr>
          <w:rFonts w:asciiTheme="majorHAnsi" w:hAnsiTheme="majorHAnsi" w:cstheme="minorHAnsi"/>
          <w:bCs/>
        </w:rPr>
        <w:t>labour</w:t>
      </w:r>
      <w:proofErr w:type="spellEnd"/>
      <w:r w:rsidR="0006753B" w:rsidRPr="00466412">
        <w:rPr>
          <w:rFonts w:asciiTheme="majorHAnsi" w:hAnsiTheme="majorHAnsi" w:cstheme="minorHAnsi"/>
          <w:bCs/>
        </w:rPr>
        <w:t xml:space="preserve"> laws. In our estimate proposed in this instant petition, </w:t>
      </w:r>
      <w:r w:rsidRPr="00466412">
        <w:rPr>
          <w:rFonts w:asciiTheme="majorHAnsi" w:hAnsiTheme="majorHAnsi" w:cstheme="minorHAnsi"/>
          <w:bCs/>
        </w:rPr>
        <w:t>the Licensee has</w:t>
      </w:r>
      <w:r w:rsidR="0006753B" w:rsidRPr="00466412">
        <w:rPr>
          <w:rFonts w:asciiTheme="majorHAnsi" w:hAnsiTheme="majorHAnsi" w:cstheme="minorHAnsi"/>
          <w:bCs/>
        </w:rPr>
        <w:t xml:space="preserve"> not taken its impact. The Hon’ble Commission may kindly allow the impact on account of this uncontrollable factor (change in law) by way of additional allowance (beyond normative allowance) at time of truing up</w:t>
      </w:r>
      <w:r w:rsidRPr="00466412">
        <w:rPr>
          <w:rFonts w:asciiTheme="majorHAnsi" w:hAnsiTheme="majorHAnsi" w:cstheme="minorHAnsi"/>
          <w:bCs/>
        </w:rPr>
        <w:t xml:space="preserve"> and as well as </w:t>
      </w:r>
      <w:r w:rsidR="00466412" w:rsidRPr="00466412">
        <w:rPr>
          <w:rFonts w:asciiTheme="majorHAnsi" w:hAnsiTheme="majorHAnsi" w:cstheme="minorHAnsi"/>
          <w:bCs/>
        </w:rPr>
        <w:t>allowing Employee Expenses for FY 26-27</w:t>
      </w:r>
      <w:r w:rsidR="0006753B" w:rsidRPr="00466412">
        <w:rPr>
          <w:rFonts w:asciiTheme="majorHAnsi" w:hAnsiTheme="majorHAnsi" w:cstheme="minorHAnsi"/>
          <w:bCs/>
        </w:rPr>
        <w:t>.</w:t>
      </w:r>
    </w:p>
    <w:p w14:paraId="069CDDE5" w14:textId="78699573" w:rsidR="005304A5" w:rsidRPr="002E1F0A" w:rsidRDefault="005304A5" w:rsidP="0097212A">
      <w:pPr>
        <w:spacing w:beforeLines="100" w:before="240" w:afterLines="100" w:after="240" w:line="360" w:lineRule="auto"/>
        <w:jc w:val="both"/>
        <w:rPr>
          <w:rFonts w:asciiTheme="majorHAnsi" w:hAnsiTheme="majorHAnsi" w:cstheme="minorHAnsi"/>
          <w:b/>
        </w:rPr>
      </w:pPr>
      <w:r w:rsidRPr="002E1F0A">
        <w:rPr>
          <w:rFonts w:asciiTheme="majorHAnsi" w:hAnsiTheme="majorHAnsi" w:cstheme="minorHAnsi"/>
          <w:b/>
        </w:rPr>
        <w:t>The licensee propose</w:t>
      </w:r>
      <w:r w:rsidR="002E1F0A" w:rsidRPr="002E1F0A">
        <w:rPr>
          <w:rFonts w:asciiTheme="majorHAnsi" w:hAnsiTheme="majorHAnsi" w:cstheme="minorHAnsi"/>
          <w:b/>
        </w:rPr>
        <w:t>s</w:t>
      </w:r>
      <w:r w:rsidRPr="002E1F0A">
        <w:rPr>
          <w:rFonts w:asciiTheme="majorHAnsi" w:hAnsiTheme="majorHAnsi" w:cstheme="minorHAnsi"/>
          <w:b/>
        </w:rPr>
        <w:t xml:space="preserve"> the Employee cost aggregating to Rs. </w:t>
      </w:r>
      <w:r w:rsidR="00B92B32">
        <w:rPr>
          <w:rFonts w:asciiTheme="majorHAnsi" w:hAnsiTheme="majorHAnsi" w:cstheme="minorHAnsi"/>
          <w:b/>
        </w:rPr>
        <w:t>596.40</w:t>
      </w:r>
      <w:r w:rsidRPr="002E1F0A">
        <w:rPr>
          <w:rFonts w:asciiTheme="majorHAnsi" w:hAnsiTheme="majorHAnsi" w:cstheme="minorHAnsi"/>
          <w:b/>
        </w:rPr>
        <w:t xml:space="preserve"> Cr. net of capitalization for FY </w:t>
      </w:r>
      <w:r w:rsidR="007507C7" w:rsidRPr="002E1F0A">
        <w:rPr>
          <w:rFonts w:asciiTheme="majorHAnsi" w:hAnsiTheme="majorHAnsi" w:cstheme="minorHAnsi"/>
          <w:b/>
        </w:rPr>
        <w:t>26-27</w:t>
      </w:r>
      <w:r w:rsidRPr="002E1F0A">
        <w:rPr>
          <w:rFonts w:asciiTheme="majorHAnsi" w:hAnsiTheme="majorHAnsi" w:cstheme="minorHAnsi"/>
          <w:b/>
        </w:rPr>
        <w:t xml:space="preserve">. </w:t>
      </w:r>
    </w:p>
    <w:p w14:paraId="0B230AA8" w14:textId="52AFBE79" w:rsidR="00D5243D" w:rsidRDefault="005304A5" w:rsidP="00466412">
      <w:pPr>
        <w:spacing w:beforeLines="100" w:before="240" w:afterLines="100" w:after="240" w:line="360" w:lineRule="auto"/>
        <w:jc w:val="both"/>
        <w:rPr>
          <w:rFonts w:asciiTheme="majorHAnsi" w:hAnsiTheme="majorHAnsi" w:cstheme="minorHAnsi"/>
          <w:color w:val="0D0D0D" w:themeColor="text1" w:themeTint="F2"/>
        </w:rPr>
      </w:pPr>
      <w:r w:rsidRPr="00F03976">
        <w:rPr>
          <w:rFonts w:asciiTheme="majorHAnsi" w:hAnsiTheme="majorHAnsi" w:cstheme="minorHAnsi"/>
        </w:rPr>
        <w:t xml:space="preserve">In view of the above it is humbly submitted before Hon’ble Commission to approve the proposed employee cost of </w:t>
      </w:r>
      <w:r w:rsidRPr="00F03976">
        <w:rPr>
          <w:rFonts w:asciiTheme="majorHAnsi" w:hAnsiTheme="majorHAnsi" w:cstheme="minorHAnsi"/>
          <w:b/>
        </w:rPr>
        <w:t xml:space="preserve">Rs. </w:t>
      </w:r>
      <w:r w:rsidR="00B92B32">
        <w:rPr>
          <w:rFonts w:asciiTheme="majorHAnsi" w:hAnsiTheme="majorHAnsi" w:cstheme="minorHAnsi"/>
          <w:b/>
        </w:rPr>
        <w:t>596.40</w:t>
      </w:r>
      <w:r w:rsidR="004E0A4C" w:rsidRPr="00F03976">
        <w:rPr>
          <w:rFonts w:asciiTheme="majorHAnsi" w:hAnsiTheme="majorHAnsi" w:cstheme="minorHAnsi"/>
          <w:b/>
        </w:rPr>
        <w:t xml:space="preserve"> </w:t>
      </w:r>
      <w:r w:rsidRPr="00F03976">
        <w:rPr>
          <w:rFonts w:asciiTheme="majorHAnsi" w:hAnsiTheme="majorHAnsi" w:cstheme="minorHAnsi"/>
          <w:b/>
        </w:rPr>
        <w:t>Cr.</w:t>
      </w:r>
      <w:r w:rsidRPr="00F03976">
        <w:rPr>
          <w:rFonts w:asciiTheme="majorHAnsi" w:hAnsiTheme="majorHAnsi" w:cstheme="minorHAnsi"/>
        </w:rPr>
        <w:t xml:space="preserve"> net of capitalization for the ensuing year</w:t>
      </w:r>
      <w:r w:rsidR="002E4B8E" w:rsidRPr="00F03976">
        <w:rPr>
          <w:rFonts w:asciiTheme="majorHAnsi" w:hAnsiTheme="majorHAnsi" w:cstheme="minorHAnsi"/>
          <w:color w:val="0D0D0D" w:themeColor="text1" w:themeTint="F2"/>
        </w:rPr>
        <w:t>.</w:t>
      </w:r>
    </w:p>
    <w:p w14:paraId="0AB2473C" w14:textId="449FF7A9" w:rsidR="004276A0" w:rsidRPr="00FD5195" w:rsidRDefault="004276A0" w:rsidP="00FD5195">
      <w:pPr>
        <w:pStyle w:val="Heading2"/>
        <w:numPr>
          <w:ilvl w:val="1"/>
          <w:numId w:val="1"/>
        </w:numPr>
        <w:shd w:val="clear" w:color="auto" w:fill="002060"/>
        <w:tabs>
          <w:tab w:val="clear" w:pos="432"/>
          <w:tab w:val="num" w:pos="426"/>
        </w:tabs>
        <w:ind w:hanging="574"/>
        <w:rPr>
          <w:rFonts w:asciiTheme="majorHAnsi" w:hAnsiTheme="majorHAnsi"/>
          <w:i w:val="0"/>
          <w:iCs w:val="0"/>
        </w:rPr>
      </w:pPr>
      <w:bookmarkStart w:id="21" w:name="_Toc152180074"/>
      <w:bookmarkStart w:id="22" w:name="_Toc183204686"/>
      <w:bookmarkStart w:id="23" w:name="_Toc215250610"/>
      <w:r w:rsidRPr="00FD5195">
        <w:rPr>
          <w:rFonts w:asciiTheme="majorHAnsi" w:hAnsiTheme="majorHAnsi"/>
          <w:i w:val="0"/>
          <w:iCs w:val="0"/>
        </w:rPr>
        <w:t>Administrative and General Expenses</w:t>
      </w:r>
      <w:bookmarkEnd w:id="21"/>
      <w:bookmarkEnd w:id="22"/>
      <w:bookmarkEnd w:id="23"/>
    </w:p>
    <w:p w14:paraId="75FEA35B" w14:textId="0131CCF2" w:rsidR="00F63862" w:rsidRDefault="00686C64" w:rsidP="0097212A">
      <w:pPr>
        <w:pStyle w:val="BodyText2"/>
        <w:spacing w:beforeLines="100" w:before="240" w:afterLines="100" w:after="240" w:line="360" w:lineRule="auto"/>
        <w:jc w:val="both"/>
        <w:rPr>
          <w:rFonts w:ascii="Cambria" w:hAnsi="Cambria" w:cs="Arial"/>
          <w:sz w:val="24"/>
          <w:szCs w:val="24"/>
          <w:lang w:val="en-GB"/>
        </w:rPr>
      </w:pPr>
      <w:r>
        <w:rPr>
          <w:rFonts w:ascii="Cambria" w:hAnsi="Cambria" w:cs="Arial"/>
          <w:sz w:val="24"/>
          <w:szCs w:val="24"/>
          <w:lang w:val="en-GB"/>
        </w:rPr>
        <w:t xml:space="preserve">The A&amp;G cost of the </w:t>
      </w:r>
      <w:r w:rsidR="00697281">
        <w:rPr>
          <w:rFonts w:ascii="Cambria" w:hAnsi="Cambria" w:cs="Arial"/>
          <w:sz w:val="24"/>
          <w:szCs w:val="24"/>
          <w:lang w:val="en-GB"/>
        </w:rPr>
        <w:t>L</w:t>
      </w:r>
      <w:r>
        <w:rPr>
          <w:rFonts w:ascii="Cambria" w:hAnsi="Cambria" w:cs="Arial"/>
          <w:sz w:val="24"/>
          <w:szCs w:val="24"/>
          <w:lang w:val="en-GB"/>
        </w:rPr>
        <w:t xml:space="preserve">icensee is towards license fees, rent, rates &amp; taxes, insurance, vehicle hire charges, consultancy charges, electricity charges, travelling &amp; conveyance, </w:t>
      </w:r>
      <w:r w:rsidRPr="007A10EF">
        <w:rPr>
          <w:rFonts w:ascii="Cambria" w:hAnsi="Cambria" w:cs="Arial"/>
          <w:color w:val="000000" w:themeColor="text1"/>
          <w:sz w:val="24"/>
          <w:szCs w:val="24"/>
          <w:lang w:val="en-GB"/>
        </w:rPr>
        <w:t>advertisement,</w:t>
      </w:r>
      <w:r>
        <w:rPr>
          <w:rFonts w:ascii="Cambria" w:hAnsi="Cambria" w:cs="Arial"/>
          <w:sz w:val="24"/>
          <w:szCs w:val="24"/>
          <w:lang w:val="en-GB"/>
        </w:rPr>
        <w:t xml:space="preserve"> Meter reading billing and collection (MBC), collection cost for current including arrear, enforcement &amp; vigilance, watch &amp; ward, IT automation, energy audit, shifting of meters from inside to outside premises, safety and statutory requirement, audit fees and expenses, legal expenses, GIS, SCADA &amp; data communication &amp;maintenance cost</w:t>
      </w:r>
      <w:r w:rsidR="00F63862">
        <w:rPr>
          <w:rFonts w:ascii="Cambria" w:hAnsi="Cambria" w:cs="Arial"/>
          <w:sz w:val="24"/>
          <w:szCs w:val="24"/>
          <w:lang w:val="en-GB"/>
        </w:rPr>
        <w:t xml:space="preserve"> etc. </w:t>
      </w:r>
    </w:p>
    <w:p w14:paraId="746383B0" w14:textId="1108D40D" w:rsidR="004276A0" w:rsidRDefault="002C1F8A" w:rsidP="0097212A">
      <w:pPr>
        <w:pStyle w:val="BodyText2"/>
        <w:spacing w:beforeLines="100" w:before="240" w:afterLines="100" w:after="240" w:line="360" w:lineRule="auto"/>
        <w:jc w:val="both"/>
        <w:rPr>
          <w:rFonts w:ascii="Cambria" w:hAnsi="Cambria" w:cs="Arial"/>
          <w:sz w:val="24"/>
          <w:szCs w:val="24"/>
          <w:lang w:val="en-GB"/>
        </w:rPr>
      </w:pPr>
      <w:r w:rsidRPr="002C1F8A">
        <w:rPr>
          <w:rFonts w:ascii="Cambria" w:hAnsi="Cambria" w:cs="Arial"/>
          <w:sz w:val="24"/>
          <w:szCs w:val="24"/>
          <w:lang w:val="en-GB"/>
        </w:rPr>
        <w:t xml:space="preserve">After assuming business operations, TPWODL has engaged agencies on a circle-wise basis through a transparent bidding process to handle meter reading, billing, and collection activities, which constitute a significant portion of the A&amp;G expenses. Additionally, revenue enhancement initiatives, such as engaging arrear collection agents and their associated commissions, as well as costs related to customer care, vigilance/enforcement activities, have been included under the A&amp;G </w:t>
      </w:r>
      <w:r w:rsidRPr="00C952D9">
        <w:rPr>
          <w:rFonts w:ascii="Cambria" w:hAnsi="Cambria" w:cs="Arial"/>
          <w:color w:val="000000" w:themeColor="text1"/>
          <w:sz w:val="24"/>
          <w:szCs w:val="24"/>
          <w:lang w:val="en-GB"/>
        </w:rPr>
        <w:t>expenses. Furthermore, O&amp;M expenditures aimed at improving reliability, adopting advanced operational technologies like SCADA, GIS, IT automation, and ensuring safety measures are also accounted for under the A&amp;G head.</w:t>
      </w:r>
      <w:r w:rsidR="00C56EB7" w:rsidRPr="00C952D9">
        <w:rPr>
          <w:rFonts w:ascii="Cambria" w:hAnsi="Cambria" w:cs="Arial"/>
          <w:color w:val="000000" w:themeColor="text1"/>
          <w:sz w:val="24"/>
          <w:szCs w:val="24"/>
          <w:lang w:val="en-GB"/>
        </w:rPr>
        <w:t xml:space="preserve"> </w:t>
      </w:r>
    </w:p>
    <w:p w14:paraId="1289E2AA" w14:textId="465A35F6" w:rsidR="00163EE4" w:rsidRPr="00163EE4" w:rsidRDefault="00163EE4" w:rsidP="0097212A">
      <w:pPr>
        <w:pStyle w:val="BodyText2"/>
        <w:spacing w:beforeLines="100" w:before="240" w:afterLines="100" w:after="240" w:line="360" w:lineRule="auto"/>
        <w:jc w:val="both"/>
        <w:rPr>
          <w:rFonts w:ascii="Cambria" w:hAnsi="Cambria" w:cs="Arial"/>
          <w:sz w:val="24"/>
          <w:szCs w:val="24"/>
          <w:lang w:val="en-GB"/>
        </w:rPr>
      </w:pPr>
      <w:r w:rsidRPr="00163EE4">
        <w:rPr>
          <w:rFonts w:ascii="Cambria" w:hAnsi="Cambria" w:cs="Arial"/>
          <w:sz w:val="24"/>
          <w:szCs w:val="24"/>
          <w:lang w:val="en-GB"/>
        </w:rPr>
        <w:t xml:space="preserve">As per the terms of </w:t>
      </w:r>
      <w:r w:rsidR="005D049E">
        <w:rPr>
          <w:rFonts w:ascii="Cambria" w:hAnsi="Cambria" w:cs="Arial"/>
          <w:sz w:val="24"/>
          <w:szCs w:val="24"/>
          <w:lang w:val="en-GB"/>
        </w:rPr>
        <w:t xml:space="preserve">Tariff </w:t>
      </w:r>
      <w:r w:rsidRPr="00163EE4">
        <w:rPr>
          <w:rFonts w:ascii="Cambria" w:hAnsi="Cambria" w:cs="Arial"/>
          <w:sz w:val="24"/>
          <w:szCs w:val="24"/>
          <w:lang w:val="en-GB"/>
        </w:rPr>
        <w:t xml:space="preserve">Regulation, 2022 Hon’ble Commission </w:t>
      </w:r>
      <w:r>
        <w:rPr>
          <w:rFonts w:ascii="Cambria" w:hAnsi="Cambria" w:cs="Arial"/>
          <w:sz w:val="24"/>
          <w:szCs w:val="24"/>
          <w:lang w:val="en-GB"/>
        </w:rPr>
        <w:t>approves the A&amp;G expenditure of the Licensee wherein the provision of escalation of 7% hike over previous year approval along with additional expenses (subject to prudence check) towards improvement in performance for special measures to be undertaken are permitted. The relevant regulation is extracted below.</w:t>
      </w:r>
    </w:p>
    <w:p w14:paraId="42395C05" w14:textId="1B284966" w:rsidR="000B30C6" w:rsidRDefault="000B30C6" w:rsidP="0097212A">
      <w:pPr>
        <w:pStyle w:val="BodyText2"/>
        <w:spacing w:beforeLines="100" w:before="240" w:afterLines="100" w:after="240" w:line="360" w:lineRule="auto"/>
        <w:jc w:val="both"/>
        <w:rPr>
          <w:rFonts w:ascii="Cambria" w:hAnsi="Cambria" w:cs="Arial"/>
          <w:sz w:val="24"/>
          <w:szCs w:val="24"/>
          <w:lang w:val="en-GB"/>
        </w:rPr>
      </w:pPr>
      <w:r>
        <w:rPr>
          <w:rFonts w:ascii="Cambria" w:hAnsi="Cambria" w:cs="Arial"/>
          <w:sz w:val="24"/>
          <w:szCs w:val="24"/>
          <w:lang w:val="en-GB"/>
        </w:rPr>
        <w:t>Regulations 3.9.16 &amp; 3.9.17 of the OERC (</w:t>
      </w:r>
      <w:r w:rsidRPr="000B30C6">
        <w:rPr>
          <w:rFonts w:ascii="Cambria" w:hAnsi="Cambria" w:cs="Arial"/>
          <w:sz w:val="24"/>
          <w:szCs w:val="24"/>
          <w:lang w:val="en-GB"/>
        </w:rPr>
        <w:t xml:space="preserve">Terms and Conditions for Determination of Wheeling Tariff and Retail Supply </w:t>
      </w:r>
      <w:r>
        <w:rPr>
          <w:rFonts w:ascii="Cambria" w:hAnsi="Cambria" w:cs="Arial"/>
          <w:sz w:val="24"/>
          <w:szCs w:val="24"/>
          <w:lang w:val="en-GB"/>
        </w:rPr>
        <w:t>Tariff</w:t>
      </w:r>
      <w:r w:rsidRPr="000B30C6">
        <w:rPr>
          <w:rFonts w:ascii="Cambria" w:hAnsi="Cambria" w:cs="Arial"/>
          <w:sz w:val="24"/>
          <w:szCs w:val="24"/>
          <w:lang w:val="en-GB"/>
        </w:rPr>
        <w:t>) Regulations, 2022</w:t>
      </w:r>
      <w:r>
        <w:rPr>
          <w:rFonts w:ascii="Cambria" w:hAnsi="Cambria" w:cs="Arial"/>
          <w:sz w:val="24"/>
          <w:szCs w:val="24"/>
          <w:lang w:val="en-GB"/>
        </w:rPr>
        <w:t xml:space="preserve"> provides as under:</w:t>
      </w:r>
    </w:p>
    <w:p w14:paraId="56A9F5D5" w14:textId="0C90B260" w:rsidR="000B30C6" w:rsidRPr="005D5678" w:rsidRDefault="000B30C6" w:rsidP="006169CF">
      <w:pPr>
        <w:pStyle w:val="BodyText2"/>
        <w:ind w:left="720"/>
        <w:jc w:val="both"/>
        <w:rPr>
          <w:rFonts w:ascii="Cambria" w:hAnsi="Cambria" w:cs="Arial"/>
          <w:i/>
          <w:iCs/>
          <w:sz w:val="22"/>
          <w:szCs w:val="22"/>
          <w:lang w:val="en-GB"/>
        </w:rPr>
      </w:pPr>
      <w:r w:rsidRPr="005D5678">
        <w:rPr>
          <w:rFonts w:ascii="Cambria" w:hAnsi="Cambria" w:cs="Arial"/>
          <w:i/>
          <w:iCs/>
          <w:sz w:val="22"/>
          <w:szCs w:val="22"/>
          <w:lang w:val="en-GB"/>
        </w:rPr>
        <w:t xml:space="preserve">“3.9.16. The normal A&amp;G Expenses for each subsequent year will be determined by escalating the approved A&amp;G Expenses (excluding additional or special A&amp;G expense) for the previous year, at the escalation factor of 7 % to arrive at permissible A&amp;G expenses for each year of the Control Period. </w:t>
      </w:r>
    </w:p>
    <w:p w14:paraId="6ABB36A5" w14:textId="77777777" w:rsidR="000B30C6" w:rsidRPr="005D5678" w:rsidRDefault="000B30C6" w:rsidP="006169CF">
      <w:pPr>
        <w:pStyle w:val="BodyText2"/>
        <w:ind w:left="720"/>
        <w:jc w:val="both"/>
        <w:rPr>
          <w:rFonts w:ascii="Cambria" w:hAnsi="Cambria" w:cs="Arial"/>
          <w:i/>
          <w:iCs/>
          <w:sz w:val="22"/>
          <w:szCs w:val="22"/>
          <w:lang w:val="en-GB"/>
        </w:rPr>
      </w:pPr>
      <w:r w:rsidRPr="005D5678">
        <w:rPr>
          <w:rFonts w:ascii="Cambria" w:hAnsi="Cambria" w:cs="Arial"/>
          <w:i/>
          <w:iCs/>
          <w:sz w:val="22"/>
          <w:szCs w:val="22"/>
          <w:lang w:val="en-GB"/>
        </w:rPr>
        <w:t xml:space="preserve">3.9.17. The Commission, in addition to the normal A&amp;G expenses may allow additional expenses, under this head for special measures to be undertaken by the distribution licensees which are not covered under Capital Investment plan approved by the Commission. </w:t>
      </w:r>
    </w:p>
    <w:p w14:paraId="569FA023" w14:textId="7E20F972" w:rsidR="000B30C6" w:rsidRPr="005D5678" w:rsidRDefault="000B30C6" w:rsidP="006169CF">
      <w:pPr>
        <w:pStyle w:val="BodyText2"/>
        <w:ind w:left="720"/>
        <w:jc w:val="both"/>
        <w:rPr>
          <w:rFonts w:ascii="Cambria" w:hAnsi="Cambria" w:cs="Arial"/>
          <w:i/>
          <w:iCs/>
          <w:sz w:val="22"/>
          <w:szCs w:val="22"/>
          <w:lang w:val="en-GB"/>
        </w:rPr>
      </w:pPr>
      <w:r w:rsidRPr="005D5678">
        <w:rPr>
          <w:rFonts w:ascii="Cambria" w:hAnsi="Cambria" w:cs="Arial"/>
          <w:i/>
          <w:iCs/>
          <w:sz w:val="22"/>
          <w:szCs w:val="22"/>
          <w:lang w:val="en-GB"/>
        </w:rPr>
        <w:t>Provided the Commission will undertake a prudence check before allowing such expenditure.”</w:t>
      </w:r>
    </w:p>
    <w:p w14:paraId="377032A7" w14:textId="5DD925E0" w:rsidR="002639BA" w:rsidRDefault="002639BA" w:rsidP="0097212A">
      <w:pPr>
        <w:pStyle w:val="BodyText2"/>
        <w:spacing w:beforeLines="100" w:before="240" w:afterLines="100" w:after="240" w:line="360" w:lineRule="auto"/>
        <w:jc w:val="both"/>
        <w:rPr>
          <w:rFonts w:ascii="Cambria" w:hAnsi="Cambria" w:cs="Arial"/>
          <w:sz w:val="24"/>
          <w:szCs w:val="24"/>
          <w:lang w:val="en-GB"/>
        </w:rPr>
      </w:pPr>
      <w:r w:rsidRPr="002639BA">
        <w:rPr>
          <w:rFonts w:ascii="Cambria" w:hAnsi="Cambria" w:cs="Arial"/>
          <w:sz w:val="24"/>
          <w:szCs w:val="24"/>
          <w:lang w:val="en-GB"/>
        </w:rPr>
        <w:t xml:space="preserve">In its previous orders, the Hon’ble Commission has consistently considered a 7% increase over the allowable A&amp;G expenses of the preceding year, accounting for inflation on </w:t>
      </w:r>
      <w:r>
        <w:rPr>
          <w:rFonts w:ascii="Cambria" w:hAnsi="Cambria" w:cs="Arial"/>
          <w:sz w:val="24"/>
          <w:szCs w:val="24"/>
          <w:lang w:val="en-GB"/>
        </w:rPr>
        <w:t>normal</w:t>
      </w:r>
      <w:r w:rsidRPr="002639BA">
        <w:rPr>
          <w:rFonts w:ascii="Cambria" w:hAnsi="Cambria" w:cs="Arial"/>
          <w:sz w:val="24"/>
          <w:szCs w:val="24"/>
          <w:lang w:val="en-GB"/>
        </w:rPr>
        <w:t xml:space="preserve"> A&amp;G expenses. It is therefore respectfully requested that the Hon’ble Commission approve the A&amp;G expenses for FY </w:t>
      </w:r>
      <w:r w:rsidR="009A0E63">
        <w:rPr>
          <w:rFonts w:ascii="Cambria" w:hAnsi="Cambria" w:cs="Arial"/>
          <w:sz w:val="24"/>
          <w:szCs w:val="24"/>
          <w:lang w:val="en-GB"/>
        </w:rPr>
        <w:t>2026-27</w:t>
      </w:r>
      <w:r w:rsidRPr="002639BA">
        <w:rPr>
          <w:rFonts w:ascii="Cambria" w:hAnsi="Cambria" w:cs="Arial"/>
          <w:sz w:val="24"/>
          <w:szCs w:val="24"/>
          <w:lang w:val="en-GB"/>
        </w:rPr>
        <w:t xml:space="preserve">, </w:t>
      </w:r>
      <w:r w:rsidR="009729CF" w:rsidRPr="002639BA">
        <w:rPr>
          <w:rFonts w:ascii="Cambria" w:hAnsi="Cambria" w:cs="Arial"/>
          <w:sz w:val="24"/>
          <w:szCs w:val="24"/>
          <w:lang w:val="en-GB"/>
        </w:rPr>
        <w:t>considering</w:t>
      </w:r>
      <w:r w:rsidRPr="002639BA">
        <w:rPr>
          <w:rFonts w:ascii="Cambria" w:hAnsi="Cambria" w:cs="Arial"/>
          <w:sz w:val="24"/>
          <w:szCs w:val="24"/>
          <w:lang w:val="en-GB"/>
        </w:rPr>
        <w:t xml:space="preserve"> historical trends, the prevailing inflation scenario, and the Licensee’s additional requirements in a prudent manner.</w:t>
      </w:r>
    </w:p>
    <w:p w14:paraId="4DCF7EF0" w14:textId="1A6FB28B" w:rsidR="00163EE4" w:rsidRDefault="00163EE4" w:rsidP="0097212A">
      <w:pPr>
        <w:pStyle w:val="BodyText2"/>
        <w:spacing w:beforeLines="100" w:before="240" w:afterLines="100" w:after="240" w:line="360" w:lineRule="auto"/>
        <w:jc w:val="both"/>
        <w:rPr>
          <w:rFonts w:ascii="Cambria" w:hAnsi="Cambria" w:cs="Arial"/>
          <w:sz w:val="24"/>
          <w:szCs w:val="24"/>
          <w:lang w:val="en-GB"/>
        </w:rPr>
      </w:pPr>
      <w:r>
        <w:rPr>
          <w:rFonts w:ascii="Cambria" w:hAnsi="Cambria" w:cs="Arial"/>
          <w:sz w:val="24"/>
          <w:szCs w:val="24"/>
          <w:lang w:val="en-GB"/>
        </w:rPr>
        <w:t xml:space="preserve">It is worth to mention here that, the minimum wages of </w:t>
      </w:r>
      <w:r w:rsidRPr="00D43FC4">
        <w:rPr>
          <w:rFonts w:ascii="Cambria" w:hAnsi="Cambria" w:cs="Arial"/>
          <w:sz w:val="24"/>
          <w:szCs w:val="24"/>
          <w:lang w:val="en-GB"/>
        </w:rPr>
        <w:t>Unskilled, Semiskilled, Skilled</w:t>
      </w:r>
      <w:r>
        <w:rPr>
          <w:rFonts w:ascii="Cambria" w:hAnsi="Cambria" w:cs="Arial"/>
          <w:sz w:val="24"/>
          <w:szCs w:val="24"/>
          <w:lang w:val="en-GB"/>
        </w:rPr>
        <w:t xml:space="preserve"> and </w:t>
      </w:r>
      <w:r w:rsidRPr="00D43FC4">
        <w:rPr>
          <w:rFonts w:ascii="Cambria" w:hAnsi="Cambria" w:cs="Arial"/>
          <w:sz w:val="24"/>
          <w:szCs w:val="24"/>
          <w:lang w:val="en-GB"/>
        </w:rPr>
        <w:t>Highly Skilled categories of employees</w:t>
      </w:r>
      <w:r>
        <w:rPr>
          <w:rFonts w:ascii="Cambria" w:hAnsi="Cambria" w:cs="Arial"/>
          <w:sz w:val="24"/>
          <w:szCs w:val="24"/>
          <w:lang w:val="en-GB"/>
        </w:rPr>
        <w:t xml:space="preserve"> has increased vide Notifications No. 5308 dated 18.07.2024 and 6432 dated 30.09.2024 by</w:t>
      </w:r>
      <w:r w:rsidR="00B91D5A">
        <w:rPr>
          <w:rFonts w:ascii="Cambria" w:hAnsi="Cambria" w:cs="Arial"/>
          <w:sz w:val="24"/>
          <w:szCs w:val="24"/>
          <w:lang w:val="en-GB"/>
        </w:rPr>
        <w:t xml:space="preserve"> Office of the Labour Commissioner</w:t>
      </w:r>
      <w:r w:rsidR="00727EAA">
        <w:rPr>
          <w:rFonts w:ascii="Cambria" w:hAnsi="Cambria" w:cs="Arial"/>
          <w:sz w:val="24"/>
          <w:szCs w:val="24"/>
          <w:lang w:val="en-GB"/>
        </w:rPr>
        <w:t>, Govt. of Odisha</w:t>
      </w:r>
      <w:r>
        <w:rPr>
          <w:rFonts w:ascii="Cambria" w:hAnsi="Cambria" w:cs="Arial"/>
          <w:sz w:val="24"/>
          <w:szCs w:val="24"/>
          <w:lang w:val="en-GB"/>
        </w:rPr>
        <w:t xml:space="preserve">. The impact on account of such wage hike has also been estimated in the current year and projection has also been made accordingly. The following table indicates the increment </w:t>
      </w:r>
      <w:r w:rsidR="00A01571">
        <w:rPr>
          <w:rFonts w:ascii="Cambria" w:hAnsi="Cambria" w:cs="Arial"/>
          <w:sz w:val="24"/>
          <w:szCs w:val="24"/>
          <w:lang w:val="en-GB"/>
        </w:rPr>
        <w:t>of Minimum wages and VDA.</w:t>
      </w:r>
    </w:p>
    <w:tbl>
      <w:tblPr>
        <w:tblStyle w:val="TableGrid"/>
        <w:tblW w:w="0" w:type="auto"/>
        <w:jc w:val="center"/>
        <w:tblLook w:val="04A0" w:firstRow="1" w:lastRow="0" w:firstColumn="1" w:lastColumn="0" w:noHBand="0" w:noVBand="1"/>
      </w:tblPr>
      <w:tblGrid>
        <w:gridCol w:w="2300"/>
        <w:gridCol w:w="2300"/>
        <w:gridCol w:w="2300"/>
        <w:gridCol w:w="2300"/>
      </w:tblGrid>
      <w:tr w:rsidR="00163EE4" w:rsidRPr="00D24DA6" w14:paraId="00DC8FBE" w14:textId="77777777" w:rsidTr="009729CF">
        <w:trPr>
          <w:jc w:val="center"/>
        </w:trPr>
        <w:tc>
          <w:tcPr>
            <w:tcW w:w="2300" w:type="dxa"/>
            <w:shd w:val="clear" w:color="auto" w:fill="C6D9F1" w:themeFill="text2" w:themeFillTint="33"/>
            <w:vAlign w:val="center"/>
          </w:tcPr>
          <w:p w14:paraId="15F1BF8E" w14:textId="77777777" w:rsidR="00163EE4" w:rsidRPr="00D24DA6" w:rsidRDefault="00163EE4" w:rsidP="009729CF">
            <w:pPr>
              <w:pStyle w:val="BodyText2"/>
              <w:contextualSpacing/>
              <w:jc w:val="center"/>
              <w:rPr>
                <w:rFonts w:ascii="Cambria" w:hAnsi="Cambria" w:cs="Arial"/>
                <w:b/>
                <w:bCs/>
                <w:sz w:val="22"/>
                <w:szCs w:val="22"/>
                <w:lang w:val="en-GB"/>
              </w:rPr>
            </w:pPr>
            <w:r w:rsidRPr="00D24DA6">
              <w:rPr>
                <w:rFonts w:ascii="Cambria" w:hAnsi="Cambria" w:cs="Arial"/>
                <w:b/>
                <w:bCs/>
                <w:sz w:val="22"/>
                <w:szCs w:val="22"/>
                <w:lang w:val="en-GB"/>
              </w:rPr>
              <w:t>Category of Employee</w:t>
            </w:r>
          </w:p>
        </w:tc>
        <w:tc>
          <w:tcPr>
            <w:tcW w:w="2300" w:type="dxa"/>
            <w:shd w:val="clear" w:color="auto" w:fill="C6D9F1" w:themeFill="text2" w:themeFillTint="33"/>
            <w:vAlign w:val="center"/>
          </w:tcPr>
          <w:p w14:paraId="764E5764" w14:textId="77777777" w:rsidR="00163EE4" w:rsidRPr="00D24DA6" w:rsidRDefault="00163EE4" w:rsidP="009729CF">
            <w:pPr>
              <w:pStyle w:val="BodyText2"/>
              <w:contextualSpacing/>
              <w:jc w:val="center"/>
              <w:rPr>
                <w:rFonts w:ascii="Cambria" w:hAnsi="Cambria" w:cs="Arial"/>
                <w:b/>
                <w:bCs/>
                <w:sz w:val="22"/>
                <w:szCs w:val="22"/>
                <w:lang w:val="en-GB"/>
              </w:rPr>
            </w:pPr>
            <w:r w:rsidRPr="00D24DA6">
              <w:rPr>
                <w:rFonts w:ascii="Cambria" w:hAnsi="Cambria" w:cs="Arial"/>
                <w:b/>
                <w:bCs/>
                <w:sz w:val="22"/>
                <w:szCs w:val="22"/>
                <w:lang w:val="en-GB"/>
              </w:rPr>
              <w:t xml:space="preserve">Minimum Wage per day </w:t>
            </w:r>
            <w:proofErr w:type="spellStart"/>
            <w:r w:rsidRPr="00D24DA6">
              <w:rPr>
                <w:rFonts w:ascii="Cambria" w:hAnsi="Cambria" w:cs="Arial"/>
                <w:b/>
                <w:bCs/>
                <w:sz w:val="22"/>
                <w:szCs w:val="22"/>
                <w:lang w:val="en-GB"/>
              </w:rPr>
              <w:t>w.e.f</w:t>
            </w:r>
            <w:proofErr w:type="spellEnd"/>
            <w:r w:rsidRPr="00D24DA6">
              <w:rPr>
                <w:rFonts w:ascii="Cambria" w:hAnsi="Cambria" w:cs="Arial"/>
                <w:b/>
                <w:bCs/>
                <w:sz w:val="22"/>
                <w:szCs w:val="22"/>
                <w:lang w:val="en-GB"/>
              </w:rPr>
              <w:t xml:space="preserve"> 18.07.2024</w:t>
            </w:r>
          </w:p>
        </w:tc>
        <w:tc>
          <w:tcPr>
            <w:tcW w:w="2300" w:type="dxa"/>
            <w:shd w:val="clear" w:color="auto" w:fill="C6D9F1" w:themeFill="text2" w:themeFillTint="33"/>
            <w:vAlign w:val="center"/>
          </w:tcPr>
          <w:p w14:paraId="367B88FF" w14:textId="77777777" w:rsidR="00163EE4" w:rsidRPr="00D24DA6" w:rsidRDefault="00163EE4" w:rsidP="009729CF">
            <w:pPr>
              <w:pStyle w:val="BodyText2"/>
              <w:contextualSpacing/>
              <w:jc w:val="center"/>
              <w:rPr>
                <w:rFonts w:ascii="Cambria" w:hAnsi="Cambria" w:cs="Arial"/>
                <w:b/>
                <w:bCs/>
                <w:sz w:val="22"/>
                <w:szCs w:val="22"/>
                <w:lang w:val="en-GB"/>
              </w:rPr>
            </w:pPr>
            <w:r w:rsidRPr="00D24DA6">
              <w:rPr>
                <w:rFonts w:ascii="Cambria" w:hAnsi="Cambria" w:cs="Arial"/>
                <w:b/>
                <w:bCs/>
                <w:sz w:val="22"/>
                <w:szCs w:val="22"/>
                <w:lang w:val="en-GB"/>
              </w:rPr>
              <w:t xml:space="preserve">V.D.A per day </w:t>
            </w:r>
            <w:proofErr w:type="spellStart"/>
            <w:r w:rsidRPr="00D24DA6">
              <w:rPr>
                <w:rFonts w:ascii="Cambria" w:hAnsi="Cambria" w:cs="Arial"/>
                <w:b/>
                <w:bCs/>
                <w:sz w:val="22"/>
                <w:szCs w:val="22"/>
                <w:lang w:val="en-GB"/>
              </w:rPr>
              <w:t>w.e.f</w:t>
            </w:r>
            <w:proofErr w:type="spellEnd"/>
            <w:r w:rsidRPr="00D24DA6">
              <w:rPr>
                <w:rFonts w:ascii="Cambria" w:hAnsi="Cambria" w:cs="Arial"/>
                <w:b/>
                <w:bCs/>
                <w:sz w:val="22"/>
                <w:szCs w:val="22"/>
                <w:lang w:val="en-GB"/>
              </w:rPr>
              <w:t xml:space="preserve"> 01.10.2024</w:t>
            </w:r>
          </w:p>
        </w:tc>
        <w:tc>
          <w:tcPr>
            <w:tcW w:w="2300" w:type="dxa"/>
            <w:shd w:val="clear" w:color="auto" w:fill="C6D9F1" w:themeFill="text2" w:themeFillTint="33"/>
            <w:vAlign w:val="center"/>
          </w:tcPr>
          <w:p w14:paraId="3C43673E" w14:textId="77777777" w:rsidR="00163EE4" w:rsidRPr="00D24DA6" w:rsidRDefault="00163EE4" w:rsidP="009729CF">
            <w:pPr>
              <w:pStyle w:val="BodyText2"/>
              <w:contextualSpacing/>
              <w:jc w:val="center"/>
              <w:rPr>
                <w:rFonts w:ascii="Cambria" w:hAnsi="Cambria" w:cs="Arial"/>
                <w:b/>
                <w:bCs/>
                <w:sz w:val="22"/>
                <w:szCs w:val="22"/>
                <w:lang w:val="en-GB"/>
              </w:rPr>
            </w:pPr>
            <w:r w:rsidRPr="00D24DA6">
              <w:rPr>
                <w:rFonts w:ascii="Cambria" w:hAnsi="Cambria" w:cs="Arial"/>
                <w:b/>
                <w:bCs/>
                <w:sz w:val="22"/>
                <w:szCs w:val="22"/>
                <w:lang w:val="en-GB"/>
              </w:rPr>
              <w:t xml:space="preserve">Minimum Wage with VDA per day </w:t>
            </w:r>
            <w:proofErr w:type="spellStart"/>
            <w:r w:rsidRPr="00D24DA6">
              <w:rPr>
                <w:rFonts w:ascii="Cambria" w:hAnsi="Cambria" w:cs="Arial"/>
                <w:b/>
                <w:bCs/>
                <w:sz w:val="22"/>
                <w:szCs w:val="22"/>
                <w:lang w:val="en-GB"/>
              </w:rPr>
              <w:t>w.e.f</w:t>
            </w:r>
            <w:proofErr w:type="spellEnd"/>
            <w:r w:rsidRPr="00D24DA6">
              <w:rPr>
                <w:rFonts w:ascii="Cambria" w:hAnsi="Cambria" w:cs="Arial"/>
                <w:b/>
                <w:bCs/>
                <w:sz w:val="22"/>
                <w:szCs w:val="22"/>
                <w:lang w:val="en-GB"/>
              </w:rPr>
              <w:t xml:space="preserve"> 01.10.2024</w:t>
            </w:r>
          </w:p>
        </w:tc>
      </w:tr>
      <w:tr w:rsidR="00163EE4" w:rsidRPr="00D24DA6" w14:paraId="3A4436CA" w14:textId="77777777" w:rsidTr="00573952">
        <w:trPr>
          <w:jc w:val="center"/>
        </w:trPr>
        <w:tc>
          <w:tcPr>
            <w:tcW w:w="2300" w:type="dxa"/>
            <w:vAlign w:val="center"/>
          </w:tcPr>
          <w:p w14:paraId="288313D0" w14:textId="77777777" w:rsidR="00163EE4" w:rsidRPr="00D24DA6" w:rsidRDefault="00163EE4" w:rsidP="00573952">
            <w:pPr>
              <w:pStyle w:val="BodyText2"/>
              <w:contextualSpacing/>
              <w:jc w:val="center"/>
              <w:rPr>
                <w:rFonts w:ascii="Cambria" w:hAnsi="Cambria" w:cs="Arial"/>
                <w:sz w:val="22"/>
                <w:szCs w:val="22"/>
                <w:lang w:val="en-GB"/>
              </w:rPr>
            </w:pPr>
            <w:r w:rsidRPr="00D24DA6">
              <w:rPr>
                <w:rFonts w:ascii="Cambria" w:hAnsi="Cambria" w:cs="Arial"/>
                <w:sz w:val="22"/>
                <w:szCs w:val="22"/>
                <w:lang w:val="en-GB"/>
              </w:rPr>
              <w:t>Unskilled</w:t>
            </w:r>
          </w:p>
        </w:tc>
        <w:tc>
          <w:tcPr>
            <w:tcW w:w="2300" w:type="dxa"/>
            <w:vAlign w:val="center"/>
          </w:tcPr>
          <w:p w14:paraId="479BD759" w14:textId="77777777" w:rsidR="00163EE4" w:rsidRPr="00D24DA6" w:rsidRDefault="00163EE4" w:rsidP="00573952">
            <w:pPr>
              <w:pStyle w:val="BodyText2"/>
              <w:contextualSpacing/>
              <w:jc w:val="center"/>
              <w:rPr>
                <w:rFonts w:ascii="Cambria" w:hAnsi="Cambria" w:cs="Arial"/>
                <w:sz w:val="22"/>
                <w:szCs w:val="22"/>
                <w:lang w:val="en-GB"/>
              </w:rPr>
            </w:pPr>
            <w:r w:rsidRPr="00D24DA6">
              <w:rPr>
                <w:rFonts w:ascii="Cambria" w:hAnsi="Cambria" w:cs="Arial"/>
                <w:sz w:val="22"/>
                <w:szCs w:val="22"/>
                <w:lang w:val="en-GB"/>
              </w:rPr>
              <w:t>Rs. 450/-</w:t>
            </w:r>
          </w:p>
        </w:tc>
        <w:tc>
          <w:tcPr>
            <w:tcW w:w="2300" w:type="dxa"/>
            <w:vAlign w:val="center"/>
          </w:tcPr>
          <w:p w14:paraId="40A14CEF" w14:textId="77777777" w:rsidR="00163EE4" w:rsidRPr="00D24DA6" w:rsidRDefault="00163EE4" w:rsidP="00573952">
            <w:pPr>
              <w:pStyle w:val="BodyText2"/>
              <w:contextualSpacing/>
              <w:jc w:val="center"/>
              <w:rPr>
                <w:rFonts w:ascii="Cambria" w:hAnsi="Cambria" w:cs="Arial"/>
                <w:sz w:val="22"/>
                <w:szCs w:val="22"/>
                <w:lang w:val="en-GB"/>
              </w:rPr>
            </w:pPr>
            <w:r w:rsidRPr="00D24DA6">
              <w:rPr>
                <w:rFonts w:ascii="Cambria" w:hAnsi="Cambria" w:cs="Arial"/>
                <w:sz w:val="22"/>
                <w:szCs w:val="22"/>
                <w:lang w:val="en-GB"/>
              </w:rPr>
              <w:t>Rs. 2/-</w:t>
            </w:r>
          </w:p>
        </w:tc>
        <w:tc>
          <w:tcPr>
            <w:tcW w:w="2300" w:type="dxa"/>
            <w:vAlign w:val="center"/>
          </w:tcPr>
          <w:p w14:paraId="071135A9" w14:textId="77777777" w:rsidR="00163EE4" w:rsidRPr="00D24DA6" w:rsidRDefault="00163EE4" w:rsidP="00573952">
            <w:pPr>
              <w:pStyle w:val="BodyText2"/>
              <w:contextualSpacing/>
              <w:jc w:val="center"/>
              <w:rPr>
                <w:rFonts w:ascii="Cambria" w:hAnsi="Cambria" w:cs="Arial"/>
                <w:sz w:val="22"/>
                <w:szCs w:val="22"/>
                <w:lang w:val="en-GB"/>
              </w:rPr>
            </w:pPr>
            <w:r w:rsidRPr="00D24DA6">
              <w:rPr>
                <w:rFonts w:ascii="Cambria" w:hAnsi="Cambria" w:cs="Arial"/>
                <w:sz w:val="22"/>
                <w:szCs w:val="22"/>
                <w:lang w:val="en-GB"/>
              </w:rPr>
              <w:t>Rs. 452/-</w:t>
            </w:r>
          </w:p>
        </w:tc>
      </w:tr>
      <w:tr w:rsidR="00163EE4" w:rsidRPr="00D24DA6" w14:paraId="70D8ABC8" w14:textId="77777777" w:rsidTr="00573952">
        <w:trPr>
          <w:jc w:val="center"/>
        </w:trPr>
        <w:tc>
          <w:tcPr>
            <w:tcW w:w="2300" w:type="dxa"/>
            <w:vAlign w:val="center"/>
          </w:tcPr>
          <w:p w14:paraId="65F6A52B" w14:textId="77777777" w:rsidR="00163EE4" w:rsidRPr="00D24DA6" w:rsidRDefault="00163EE4" w:rsidP="00573952">
            <w:pPr>
              <w:pStyle w:val="BodyText2"/>
              <w:contextualSpacing/>
              <w:jc w:val="center"/>
              <w:rPr>
                <w:rFonts w:ascii="Cambria" w:hAnsi="Cambria" w:cs="Arial"/>
                <w:sz w:val="22"/>
                <w:szCs w:val="22"/>
                <w:lang w:val="en-GB"/>
              </w:rPr>
            </w:pPr>
            <w:r w:rsidRPr="00D24DA6">
              <w:rPr>
                <w:rFonts w:ascii="Cambria" w:hAnsi="Cambria" w:cs="Arial"/>
                <w:sz w:val="22"/>
                <w:szCs w:val="22"/>
                <w:lang w:val="en-GB"/>
              </w:rPr>
              <w:t>Semi-skilled</w:t>
            </w:r>
          </w:p>
        </w:tc>
        <w:tc>
          <w:tcPr>
            <w:tcW w:w="2300" w:type="dxa"/>
            <w:vAlign w:val="center"/>
          </w:tcPr>
          <w:p w14:paraId="422B4EE5" w14:textId="77777777" w:rsidR="00163EE4" w:rsidRPr="00D24DA6" w:rsidRDefault="00163EE4" w:rsidP="00573952">
            <w:pPr>
              <w:pStyle w:val="BodyText2"/>
              <w:contextualSpacing/>
              <w:jc w:val="center"/>
              <w:rPr>
                <w:rFonts w:ascii="Cambria" w:hAnsi="Cambria" w:cs="Arial"/>
                <w:sz w:val="22"/>
                <w:szCs w:val="22"/>
                <w:lang w:val="en-GB"/>
              </w:rPr>
            </w:pPr>
            <w:r w:rsidRPr="00D24DA6">
              <w:rPr>
                <w:rFonts w:ascii="Cambria" w:hAnsi="Cambria" w:cs="Arial"/>
                <w:sz w:val="22"/>
                <w:szCs w:val="22"/>
                <w:lang w:val="en-GB"/>
              </w:rPr>
              <w:t>Rs. 500/-</w:t>
            </w:r>
          </w:p>
        </w:tc>
        <w:tc>
          <w:tcPr>
            <w:tcW w:w="2300" w:type="dxa"/>
            <w:vAlign w:val="center"/>
          </w:tcPr>
          <w:p w14:paraId="127E6CBA" w14:textId="77777777" w:rsidR="00163EE4" w:rsidRPr="00D24DA6" w:rsidRDefault="00163EE4" w:rsidP="00573952">
            <w:pPr>
              <w:pStyle w:val="BodyText2"/>
              <w:contextualSpacing/>
              <w:jc w:val="center"/>
              <w:rPr>
                <w:rFonts w:ascii="Cambria" w:hAnsi="Cambria" w:cs="Arial"/>
                <w:sz w:val="22"/>
                <w:szCs w:val="22"/>
                <w:lang w:val="en-GB"/>
              </w:rPr>
            </w:pPr>
            <w:r w:rsidRPr="00D24DA6">
              <w:rPr>
                <w:rFonts w:ascii="Cambria" w:hAnsi="Cambria" w:cs="Arial"/>
                <w:sz w:val="22"/>
                <w:szCs w:val="22"/>
                <w:lang w:val="en-GB"/>
              </w:rPr>
              <w:t>Rs. 2/-</w:t>
            </w:r>
          </w:p>
        </w:tc>
        <w:tc>
          <w:tcPr>
            <w:tcW w:w="2300" w:type="dxa"/>
            <w:vAlign w:val="center"/>
          </w:tcPr>
          <w:p w14:paraId="171DE4A1" w14:textId="77777777" w:rsidR="00163EE4" w:rsidRPr="00D24DA6" w:rsidRDefault="00163EE4" w:rsidP="00573952">
            <w:pPr>
              <w:pStyle w:val="BodyText2"/>
              <w:contextualSpacing/>
              <w:jc w:val="center"/>
              <w:rPr>
                <w:rFonts w:ascii="Cambria" w:hAnsi="Cambria" w:cs="Arial"/>
                <w:sz w:val="22"/>
                <w:szCs w:val="22"/>
                <w:lang w:val="en-GB"/>
              </w:rPr>
            </w:pPr>
            <w:r w:rsidRPr="00D24DA6">
              <w:rPr>
                <w:rFonts w:ascii="Cambria" w:hAnsi="Cambria" w:cs="Arial"/>
                <w:sz w:val="22"/>
                <w:szCs w:val="22"/>
                <w:lang w:val="en-GB"/>
              </w:rPr>
              <w:t>Rs. 502/-</w:t>
            </w:r>
          </w:p>
        </w:tc>
      </w:tr>
      <w:tr w:rsidR="00163EE4" w:rsidRPr="00D24DA6" w14:paraId="41D68B91" w14:textId="77777777" w:rsidTr="00573952">
        <w:trPr>
          <w:jc w:val="center"/>
        </w:trPr>
        <w:tc>
          <w:tcPr>
            <w:tcW w:w="2300" w:type="dxa"/>
            <w:vAlign w:val="center"/>
          </w:tcPr>
          <w:p w14:paraId="434319CF" w14:textId="77777777" w:rsidR="00163EE4" w:rsidRPr="00D24DA6" w:rsidRDefault="00163EE4" w:rsidP="00573952">
            <w:pPr>
              <w:pStyle w:val="BodyText2"/>
              <w:contextualSpacing/>
              <w:jc w:val="center"/>
              <w:rPr>
                <w:rFonts w:ascii="Cambria" w:hAnsi="Cambria" w:cs="Arial"/>
                <w:sz w:val="22"/>
                <w:szCs w:val="22"/>
                <w:lang w:val="en-GB"/>
              </w:rPr>
            </w:pPr>
            <w:r w:rsidRPr="00D24DA6">
              <w:rPr>
                <w:rFonts w:ascii="Cambria" w:hAnsi="Cambria" w:cs="Arial"/>
                <w:sz w:val="22"/>
                <w:szCs w:val="22"/>
                <w:lang w:val="en-GB"/>
              </w:rPr>
              <w:t>Skilled</w:t>
            </w:r>
          </w:p>
        </w:tc>
        <w:tc>
          <w:tcPr>
            <w:tcW w:w="2300" w:type="dxa"/>
            <w:vAlign w:val="center"/>
          </w:tcPr>
          <w:p w14:paraId="0041E14F" w14:textId="77777777" w:rsidR="00163EE4" w:rsidRPr="00D24DA6" w:rsidRDefault="00163EE4" w:rsidP="00573952">
            <w:pPr>
              <w:pStyle w:val="BodyText2"/>
              <w:contextualSpacing/>
              <w:jc w:val="center"/>
              <w:rPr>
                <w:rFonts w:ascii="Cambria" w:hAnsi="Cambria" w:cs="Arial"/>
                <w:sz w:val="22"/>
                <w:szCs w:val="22"/>
                <w:lang w:val="en-GB"/>
              </w:rPr>
            </w:pPr>
            <w:r w:rsidRPr="00D24DA6">
              <w:rPr>
                <w:rFonts w:ascii="Cambria" w:hAnsi="Cambria" w:cs="Arial"/>
                <w:sz w:val="22"/>
                <w:szCs w:val="22"/>
                <w:lang w:val="en-GB"/>
              </w:rPr>
              <w:t>Rs. 550/-</w:t>
            </w:r>
          </w:p>
        </w:tc>
        <w:tc>
          <w:tcPr>
            <w:tcW w:w="2300" w:type="dxa"/>
            <w:vAlign w:val="center"/>
          </w:tcPr>
          <w:p w14:paraId="7A6D55A2" w14:textId="77777777" w:rsidR="00163EE4" w:rsidRPr="00D24DA6" w:rsidRDefault="00163EE4" w:rsidP="00573952">
            <w:pPr>
              <w:pStyle w:val="BodyText2"/>
              <w:contextualSpacing/>
              <w:jc w:val="center"/>
              <w:rPr>
                <w:rFonts w:ascii="Cambria" w:hAnsi="Cambria" w:cs="Arial"/>
                <w:sz w:val="22"/>
                <w:szCs w:val="22"/>
                <w:lang w:val="en-GB"/>
              </w:rPr>
            </w:pPr>
            <w:r w:rsidRPr="00D24DA6">
              <w:rPr>
                <w:rFonts w:ascii="Cambria" w:hAnsi="Cambria" w:cs="Arial"/>
                <w:sz w:val="22"/>
                <w:szCs w:val="22"/>
                <w:lang w:val="en-GB"/>
              </w:rPr>
              <w:t>Rs. 2/-</w:t>
            </w:r>
          </w:p>
        </w:tc>
        <w:tc>
          <w:tcPr>
            <w:tcW w:w="2300" w:type="dxa"/>
            <w:vAlign w:val="center"/>
          </w:tcPr>
          <w:p w14:paraId="4F7B220F" w14:textId="77777777" w:rsidR="00163EE4" w:rsidRPr="00D24DA6" w:rsidRDefault="00163EE4" w:rsidP="00573952">
            <w:pPr>
              <w:pStyle w:val="BodyText2"/>
              <w:contextualSpacing/>
              <w:jc w:val="center"/>
              <w:rPr>
                <w:rFonts w:ascii="Cambria" w:hAnsi="Cambria" w:cs="Arial"/>
                <w:sz w:val="22"/>
                <w:szCs w:val="22"/>
                <w:lang w:val="en-GB"/>
              </w:rPr>
            </w:pPr>
            <w:r w:rsidRPr="00D24DA6">
              <w:rPr>
                <w:rFonts w:ascii="Cambria" w:hAnsi="Cambria" w:cs="Arial"/>
                <w:sz w:val="22"/>
                <w:szCs w:val="22"/>
                <w:lang w:val="en-GB"/>
              </w:rPr>
              <w:t>Rs. 552/-</w:t>
            </w:r>
          </w:p>
        </w:tc>
      </w:tr>
      <w:tr w:rsidR="00163EE4" w:rsidRPr="00CF31E8" w14:paraId="1547B634" w14:textId="77777777" w:rsidTr="00573952">
        <w:trPr>
          <w:jc w:val="center"/>
        </w:trPr>
        <w:tc>
          <w:tcPr>
            <w:tcW w:w="2300" w:type="dxa"/>
            <w:vAlign w:val="center"/>
          </w:tcPr>
          <w:p w14:paraId="5EB505A7" w14:textId="77777777" w:rsidR="00163EE4" w:rsidRPr="00D24DA6" w:rsidRDefault="00163EE4" w:rsidP="00573952">
            <w:pPr>
              <w:pStyle w:val="BodyText2"/>
              <w:contextualSpacing/>
              <w:jc w:val="center"/>
              <w:rPr>
                <w:rFonts w:ascii="Cambria" w:hAnsi="Cambria" w:cs="Arial"/>
                <w:sz w:val="22"/>
                <w:szCs w:val="22"/>
                <w:lang w:val="en-GB"/>
              </w:rPr>
            </w:pPr>
            <w:r w:rsidRPr="00D24DA6">
              <w:rPr>
                <w:rFonts w:ascii="Cambria" w:hAnsi="Cambria" w:cs="Arial"/>
                <w:sz w:val="22"/>
                <w:szCs w:val="22"/>
                <w:lang w:val="en-GB"/>
              </w:rPr>
              <w:t>Highly Skilled</w:t>
            </w:r>
          </w:p>
        </w:tc>
        <w:tc>
          <w:tcPr>
            <w:tcW w:w="2300" w:type="dxa"/>
            <w:vAlign w:val="center"/>
          </w:tcPr>
          <w:p w14:paraId="61A6B88C" w14:textId="77777777" w:rsidR="00163EE4" w:rsidRPr="00D24DA6" w:rsidRDefault="00163EE4" w:rsidP="00573952">
            <w:pPr>
              <w:pStyle w:val="BodyText2"/>
              <w:contextualSpacing/>
              <w:jc w:val="center"/>
              <w:rPr>
                <w:rFonts w:ascii="Cambria" w:hAnsi="Cambria" w:cs="Arial"/>
                <w:sz w:val="22"/>
                <w:szCs w:val="22"/>
                <w:lang w:val="en-GB"/>
              </w:rPr>
            </w:pPr>
            <w:r w:rsidRPr="00D24DA6">
              <w:rPr>
                <w:rFonts w:ascii="Cambria" w:hAnsi="Cambria" w:cs="Arial"/>
                <w:sz w:val="22"/>
                <w:szCs w:val="22"/>
                <w:lang w:val="en-GB"/>
              </w:rPr>
              <w:t>Rs. 600/-</w:t>
            </w:r>
          </w:p>
        </w:tc>
        <w:tc>
          <w:tcPr>
            <w:tcW w:w="2300" w:type="dxa"/>
            <w:vAlign w:val="center"/>
          </w:tcPr>
          <w:p w14:paraId="5402CDBE" w14:textId="77777777" w:rsidR="00163EE4" w:rsidRPr="00D24DA6" w:rsidRDefault="00163EE4" w:rsidP="00573952">
            <w:pPr>
              <w:pStyle w:val="BodyText2"/>
              <w:contextualSpacing/>
              <w:jc w:val="center"/>
              <w:rPr>
                <w:rFonts w:ascii="Cambria" w:hAnsi="Cambria" w:cs="Arial"/>
                <w:sz w:val="22"/>
                <w:szCs w:val="22"/>
                <w:lang w:val="en-GB"/>
              </w:rPr>
            </w:pPr>
            <w:r w:rsidRPr="00D24DA6">
              <w:rPr>
                <w:rFonts w:ascii="Cambria" w:hAnsi="Cambria" w:cs="Arial"/>
                <w:sz w:val="22"/>
                <w:szCs w:val="22"/>
                <w:lang w:val="en-GB"/>
              </w:rPr>
              <w:t>Rs. 2/-</w:t>
            </w:r>
          </w:p>
        </w:tc>
        <w:tc>
          <w:tcPr>
            <w:tcW w:w="2300" w:type="dxa"/>
            <w:vAlign w:val="center"/>
          </w:tcPr>
          <w:p w14:paraId="0A9BC7AC" w14:textId="77777777" w:rsidR="00163EE4" w:rsidRPr="00D24DA6" w:rsidRDefault="00163EE4" w:rsidP="00573952">
            <w:pPr>
              <w:pStyle w:val="BodyText2"/>
              <w:contextualSpacing/>
              <w:jc w:val="center"/>
              <w:rPr>
                <w:rFonts w:ascii="Cambria" w:hAnsi="Cambria" w:cs="Arial"/>
                <w:sz w:val="22"/>
                <w:szCs w:val="22"/>
                <w:lang w:val="en-GB"/>
              </w:rPr>
            </w:pPr>
            <w:r w:rsidRPr="00D24DA6">
              <w:rPr>
                <w:rFonts w:ascii="Cambria" w:hAnsi="Cambria" w:cs="Arial"/>
                <w:sz w:val="22"/>
                <w:szCs w:val="22"/>
                <w:lang w:val="en-GB"/>
              </w:rPr>
              <w:t>Rs. 602/-</w:t>
            </w:r>
          </w:p>
        </w:tc>
      </w:tr>
    </w:tbl>
    <w:p w14:paraId="713C9ADA" w14:textId="77777777" w:rsidR="00A01571" w:rsidRDefault="00A01571" w:rsidP="0097212A">
      <w:pPr>
        <w:pStyle w:val="BodyText2"/>
        <w:spacing w:beforeLines="100" w:before="240" w:afterLines="100" w:after="240" w:line="360" w:lineRule="auto"/>
        <w:jc w:val="both"/>
        <w:rPr>
          <w:rFonts w:ascii="Cambria" w:hAnsi="Cambria" w:cs="Arial"/>
          <w:sz w:val="24"/>
          <w:szCs w:val="24"/>
          <w:lang w:val="en-GB"/>
        </w:rPr>
      </w:pPr>
      <w:r>
        <w:rPr>
          <w:rFonts w:ascii="Cambria" w:hAnsi="Cambria" w:cs="Arial"/>
          <w:sz w:val="24"/>
          <w:szCs w:val="24"/>
          <w:lang w:val="en-GB"/>
        </w:rPr>
        <w:t xml:space="preserve">With the above revision, the employees engaged by various Business Associates for performing activities like MBC, AMC in 33 kV &amp; 11 kV, housekeeping and other maintenance activities, etc. will get the benefit. Accordingly, the associated Cost of services provided by BAs will substantially increase. </w:t>
      </w:r>
    </w:p>
    <w:p w14:paraId="2A1C691D" w14:textId="1F5DE48B" w:rsidR="00B95675" w:rsidRDefault="00A01571" w:rsidP="0097212A">
      <w:pPr>
        <w:pStyle w:val="BodyText2"/>
        <w:spacing w:beforeLines="100" w:before="240" w:afterLines="100" w:after="240" w:line="360" w:lineRule="auto"/>
        <w:jc w:val="both"/>
        <w:rPr>
          <w:rFonts w:ascii="Cambria" w:hAnsi="Cambria" w:cs="Arial"/>
          <w:sz w:val="24"/>
          <w:szCs w:val="24"/>
          <w:lang w:val="en-GB"/>
        </w:rPr>
      </w:pPr>
      <w:r>
        <w:rPr>
          <w:rFonts w:ascii="Cambria" w:hAnsi="Cambria" w:cs="Arial"/>
          <w:sz w:val="24"/>
          <w:szCs w:val="24"/>
          <w:lang w:val="en-GB"/>
        </w:rPr>
        <w:t>As per the order of</w:t>
      </w:r>
      <w:r w:rsidR="00773DE4">
        <w:rPr>
          <w:rFonts w:ascii="Cambria" w:hAnsi="Cambria" w:cs="Arial"/>
          <w:sz w:val="24"/>
          <w:szCs w:val="24"/>
          <w:lang w:val="en-GB"/>
        </w:rPr>
        <w:t xml:space="preserve"> </w:t>
      </w:r>
      <w:r w:rsidR="00034C7C">
        <w:rPr>
          <w:rFonts w:ascii="Cambria" w:hAnsi="Cambria" w:cs="Arial"/>
          <w:sz w:val="24"/>
          <w:szCs w:val="24"/>
          <w:lang w:val="en-GB"/>
        </w:rPr>
        <w:t xml:space="preserve">Labour Commissioner vide Order No. 1047 dated 21.02.2024 </w:t>
      </w:r>
      <w:r>
        <w:rPr>
          <w:rFonts w:ascii="Cambria" w:hAnsi="Cambria" w:cs="Arial"/>
          <w:sz w:val="24"/>
          <w:szCs w:val="24"/>
          <w:lang w:val="en-GB"/>
        </w:rPr>
        <w:t>the employees engaged i.e.</w:t>
      </w:r>
      <w:r w:rsidR="004D2279">
        <w:rPr>
          <w:rFonts w:ascii="Cambria" w:hAnsi="Cambria" w:cs="Arial"/>
          <w:sz w:val="24"/>
          <w:szCs w:val="24"/>
          <w:lang w:val="en-GB"/>
        </w:rPr>
        <w:t xml:space="preserve"> </w:t>
      </w:r>
      <w:r w:rsidR="00852984">
        <w:rPr>
          <w:rFonts w:ascii="Cambria" w:hAnsi="Cambria" w:cs="Arial"/>
          <w:sz w:val="24"/>
          <w:szCs w:val="24"/>
          <w:lang w:val="en-GB"/>
        </w:rPr>
        <w:t xml:space="preserve">Meter Readers </w:t>
      </w:r>
      <w:r w:rsidR="00FD7E73">
        <w:rPr>
          <w:rFonts w:ascii="Cambria" w:hAnsi="Cambria" w:cs="Arial"/>
          <w:sz w:val="24"/>
          <w:szCs w:val="24"/>
          <w:lang w:val="en-GB"/>
        </w:rPr>
        <w:t>&amp; Bill Collectors</w:t>
      </w:r>
      <w:r>
        <w:rPr>
          <w:rFonts w:ascii="Cambria" w:hAnsi="Cambria" w:cs="Arial"/>
          <w:sz w:val="24"/>
          <w:szCs w:val="24"/>
          <w:lang w:val="en-GB"/>
        </w:rPr>
        <w:t xml:space="preserve"> will b</w:t>
      </w:r>
      <w:r w:rsidR="00FD7E73">
        <w:rPr>
          <w:rFonts w:ascii="Cambria" w:hAnsi="Cambria" w:cs="Arial"/>
          <w:sz w:val="24"/>
          <w:szCs w:val="24"/>
          <w:lang w:val="en-GB"/>
        </w:rPr>
        <w:t xml:space="preserve">e covered under “Skilled Category”. </w:t>
      </w:r>
    </w:p>
    <w:p w14:paraId="03A35583" w14:textId="7BB3E3DA" w:rsidR="004342EF" w:rsidRPr="003A0BF7" w:rsidRDefault="004342EF" w:rsidP="003A0BF7">
      <w:pPr>
        <w:spacing w:beforeLines="100" w:before="240" w:afterLines="100" w:after="240" w:line="360" w:lineRule="auto"/>
        <w:jc w:val="both"/>
        <w:rPr>
          <w:rFonts w:ascii="Cambria" w:hAnsi="Cambria"/>
        </w:rPr>
      </w:pPr>
      <w:r w:rsidRPr="003A0BF7">
        <w:rPr>
          <w:rFonts w:ascii="Cambria" w:hAnsi="Cambria"/>
        </w:rPr>
        <w:t>Also, the increase in A&amp;G expenses is primarily attributable to the rise in BA manpower costs</w:t>
      </w:r>
      <w:r w:rsidRPr="00593959">
        <w:t xml:space="preserve"> </w:t>
      </w:r>
      <w:r w:rsidRPr="003A0BF7">
        <w:rPr>
          <w:rFonts w:ascii="Cambria" w:hAnsi="Cambria"/>
        </w:rPr>
        <w:t xml:space="preserve">engaged in essential field and support activities such as meter reading, billing, bill delivery, collection, recovery and housekeeping, consequent to statutory revisions in minimum wages notified by the Government of Odisha and changes in manpower categorization mandated by the </w:t>
      </w:r>
      <w:r w:rsidR="009729CF" w:rsidRPr="003A0BF7">
        <w:rPr>
          <w:rFonts w:ascii="Cambria" w:hAnsi="Cambria"/>
        </w:rPr>
        <w:t>Labor</w:t>
      </w:r>
      <w:r w:rsidRPr="003A0BF7">
        <w:rPr>
          <w:rFonts w:ascii="Cambria" w:hAnsi="Cambria"/>
        </w:rPr>
        <w:t xml:space="preserve"> Department.</w:t>
      </w:r>
    </w:p>
    <w:p w14:paraId="2C14480D" w14:textId="77777777" w:rsidR="004342EF" w:rsidRPr="009729CF" w:rsidRDefault="004342EF" w:rsidP="008F7883">
      <w:pPr>
        <w:spacing w:beforeLines="100" w:before="240" w:afterLines="100" w:after="240" w:line="360" w:lineRule="auto"/>
        <w:jc w:val="both"/>
        <w:rPr>
          <w:rFonts w:ascii="Cambria" w:hAnsi="Cambria"/>
          <w:b/>
        </w:rPr>
      </w:pPr>
      <w:r w:rsidRPr="009729CF">
        <w:rPr>
          <w:rFonts w:ascii="Cambria" w:hAnsi="Cambria"/>
          <w:b/>
          <w:u w:val="single"/>
        </w:rPr>
        <w:t>Revision in Minimum Wages</w:t>
      </w:r>
      <w:r w:rsidRPr="009729CF">
        <w:rPr>
          <w:rFonts w:ascii="Cambria" w:hAnsi="Cambria"/>
          <w:b/>
        </w:rPr>
        <w:t>:</w:t>
      </w:r>
    </w:p>
    <w:p w14:paraId="211CDCD0" w14:textId="0F36E5CE" w:rsidR="004342EF" w:rsidRDefault="004342EF" w:rsidP="008F7883">
      <w:pPr>
        <w:spacing w:beforeLines="100" w:before="240" w:afterLines="100" w:after="240" w:line="360" w:lineRule="auto"/>
        <w:jc w:val="both"/>
        <w:rPr>
          <w:rFonts w:ascii="Cambria" w:hAnsi="Cambria"/>
        </w:rPr>
      </w:pPr>
      <w:r w:rsidRPr="00DE518D">
        <w:rPr>
          <w:rFonts w:ascii="Cambria" w:hAnsi="Cambria"/>
        </w:rPr>
        <w:t xml:space="preserve">The </w:t>
      </w:r>
      <w:r w:rsidR="009729CF" w:rsidRPr="00DE518D">
        <w:rPr>
          <w:rFonts w:ascii="Cambria" w:hAnsi="Cambria"/>
        </w:rPr>
        <w:t>Labor</w:t>
      </w:r>
      <w:r w:rsidRPr="00DE518D">
        <w:rPr>
          <w:rFonts w:ascii="Cambria" w:hAnsi="Cambria"/>
        </w:rPr>
        <w:t xml:space="preserve"> &amp; ESI Department, Government of Odisha, vide Gazette Notification No. 1367 dated 18</w:t>
      </w:r>
      <w:r w:rsidRPr="00DE518D">
        <w:rPr>
          <w:rFonts w:ascii="Cambria" w:hAnsi="Cambria"/>
          <w:vertAlign w:val="superscript"/>
        </w:rPr>
        <w:t>th</w:t>
      </w:r>
      <w:r>
        <w:rPr>
          <w:rFonts w:ascii="Cambria" w:hAnsi="Cambria"/>
        </w:rPr>
        <w:t xml:space="preserve"> </w:t>
      </w:r>
      <w:r w:rsidRPr="00DE518D">
        <w:rPr>
          <w:rFonts w:ascii="Cambria" w:hAnsi="Cambria"/>
        </w:rPr>
        <w:t>July 2024, revised the minimum wages payable to various categories of manpower (unskilled, semi-skilled, skilled, and highly skilled) with effect from 18</w:t>
      </w:r>
      <w:r w:rsidRPr="00DE518D">
        <w:rPr>
          <w:rFonts w:ascii="Cambria" w:hAnsi="Cambria"/>
          <w:vertAlign w:val="superscript"/>
        </w:rPr>
        <w:t>th</w:t>
      </w:r>
      <w:r>
        <w:rPr>
          <w:rFonts w:ascii="Cambria" w:hAnsi="Cambria"/>
        </w:rPr>
        <w:t xml:space="preserve"> </w:t>
      </w:r>
      <w:r w:rsidRPr="00DE518D">
        <w:rPr>
          <w:rFonts w:ascii="Cambria" w:hAnsi="Cambria"/>
        </w:rPr>
        <w:t xml:space="preserve">July 2024. The impact of this notification has resulted in a significant increase </w:t>
      </w:r>
      <w:r>
        <w:rPr>
          <w:rFonts w:ascii="Cambria" w:hAnsi="Cambria"/>
        </w:rPr>
        <w:t xml:space="preserve">(around 27%) </w:t>
      </w:r>
      <w:r w:rsidRPr="00DE518D">
        <w:rPr>
          <w:rFonts w:ascii="Cambria" w:hAnsi="Cambria"/>
        </w:rPr>
        <w:t>in the monthly contractual costs payable</w:t>
      </w:r>
      <w:r>
        <w:rPr>
          <w:rFonts w:ascii="Cambria" w:hAnsi="Cambria"/>
        </w:rPr>
        <w:t>/ wages</w:t>
      </w:r>
      <w:r w:rsidRPr="00DE518D">
        <w:rPr>
          <w:rFonts w:ascii="Cambria" w:hAnsi="Cambria"/>
        </w:rPr>
        <w:t xml:space="preserve"> to manpower engaged in critical field and support operations across divisions.</w:t>
      </w:r>
      <w:r w:rsidRPr="00593959">
        <w:t xml:space="preserve"> </w:t>
      </w:r>
    </w:p>
    <w:p w14:paraId="6B4FD2FA" w14:textId="77777777" w:rsidR="004342EF" w:rsidRPr="009729CF" w:rsidRDefault="004342EF" w:rsidP="008F7883">
      <w:pPr>
        <w:spacing w:beforeLines="100" w:before="240" w:afterLines="100" w:after="240" w:line="360" w:lineRule="auto"/>
        <w:jc w:val="both"/>
        <w:rPr>
          <w:rFonts w:ascii="Cambria" w:hAnsi="Cambria"/>
          <w:b/>
          <w:u w:val="single"/>
        </w:rPr>
      </w:pPr>
      <w:r w:rsidRPr="009729CF">
        <w:rPr>
          <w:rFonts w:ascii="Cambria" w:hAnsi="Cambria"/>
          <w:b/>
          <w:u w:val="single"/>
        </w:rPr>
        <w:t>Change in Manpower Category:</w:t>
      </w:r>
    </w:p>
    <w:p w14:paraId="705DC298" w14:textId="357057F6" w:rsidR="004342EF" w:rsidRDefault="004342EF" w:rsidP="008F7883">
      <w:pPr>
        <w:spacing w:beforeLines="100" w:before="240" w:afterLines="100" w:after="240" w:line="360" w:lineRule="auto"/>
        <w:jc w:val="both"/>
        <w:rPr>
          <w:rFonts w:ascii="Cambria" w:hAnsi="Cambria"/>
        </w:rPr>
      </w:pPr>
      <w:r w:rsidRPr="00DE518D">
        <w:rPr>
          <w:rFonts w:ascii="Cambria" w:hAnsi="Cambria"/>
        </w:rPr>
        <w:t xml:space="preserve">Further, the Office of the </w:t>
      </w:r>
      <w:r w:rsidR="009729CF" w:rsidRPr="00DE518D">
        <w:rPr>
          <w:rFonts w:ascii="Cambria" w:hAnsi="Cambria"/>
        </w:rPr>
        <w:t>Labor</w:t>
      </w:r>
      <w:r w:rsidRPr="00DE518D">
        <w:rPr>
          <w:rFonts w:ascii="Cambria" w:hAnsi="Cambria"/>
        </w:rPr>
        <w:t xml:space="preserve"> Commissioner, Odisha, vide Order No. 1047 dated 21</w:t>
      </w:r>
      <w:r w:rsidRPr="00DE518D">
        <w:rPr>
          <w:rFonts w:ascii="Cambria" w:hAnsi="Cambria"/>
          <w:vertAlign w:val="superscript"/>
        </w:rPr>
        <w:t>st</w:t>
      </w:r>
      <w:r>
        <w:rPr>
          <w:rFonts w:ascii="Cambria" w:hAnsi="Cambria"/>
        </w:rPr>
        <w:t xml:space="preserve"> </w:t>
      </w:r>
      <w:r w:rsidRPr="00DE518D">
        <w:rPr>
          <w:rFonts w:ascii="Cambria" w:hAnsi="Cambria"/>
        </w:rPr>
        <w:t>February 2024, directed reclassification of certain categories of contractual manpower from semi-skilled to skilled, effective from 1</w:t>
      </w:r>
      <w:r w:rsidRPr="00DE518D">
        <w:rPr>
          <w:rFonts w:ascii="Cambria" w:hAnsi="Cambria"/>
          <w:vertAlign w:val="superscript"/>
        </w:rPr>
        <w:t>st</w:t>
      </w:r>
      <w:r>
        <w:rPr>
          <w:rFonts w:ascii="Cambria" w:hAnsi="Cambria"/>
        </w:rPr>
        <w:t xml:space="preserve"> </w:t>
      </w:r>
      <w:r w:rsidRPr="00DE518D">
        <w:rPr>
          <w:rFonts w:ascii="Cambria" w:hAnsi="Cambria"/>
        </w:rPr>
        <w:t>April 2024. This change has also contributed to</w:t>
      </w:r>
      <w:r w:rsidR="00DE77AC">
        <w:rPr>
          <w:rFonts w:ascii="Cambria" w:hAnsi="Cambria"/>
        </w:rPr>
        <w:t xml:space="preserve"> </w:t>
      </w:r>
      <w:r w:rsidRPr="00DE518D">
        <w:rPr>
          <w:rFonts w:ascii="Cambria" w:hAnsi="Cambria"/>
        </w:rPr>
        <w:t>escalation in the manpower-related A&amp;G expenses.</w:t>
      </w:r>
      <w:r w:rsidRPr="00593959">
        <w:t xml:space="preserve"> </w:t>
      </w:r>
      <w:r w:rsidRPr="00593959">
        <w:rPr>
          <w:rFonts w:ascii="Cambria" w:hAnsi="Cambria"/>
        </w:rPr>
        <w:t>Consequently, the minimum wage rate applicable to Meter Readers increased from ₹392 per day to ₹442 per day, resulting in an approximate 13% rise in related manpower expenses, thereby contributing to the overall increase in A&amp;G costs during FY 24-25.</w:t>
      </w:r>
    </w:p>
    <w:p w14:paraId="57FF3222" w14:textId="001C8727" w:rsidR="004342EF" w:rsidRDefault="004342EF" w:rsidP="008F7883">
      <w:pPr>
        <w:spacing w:beforeLines="100" w:before="240" w:afterLines="100" w:after="240" w:line="360" w:lineRule="auto"/>
        <w:jc w:val="both"/>
        <w:rPr>
          <w:rFonts w:ascii="Cambria" w:hAnsi="Cambria"/>
        </w:rPr>
      </w:pPr>
      <w:r w:rsidRPr="00DE518D">
        <w:rPr>
          <w:rFonts w:ascii="Cambria" w:hAnsi="Cambria"/>
        </w:rPr>
        <w:t>The differential cost implications due to the above statutory changes</w:t>
      </w:r>
      <w:r w:rsidR="00DE77AC">
        <w:rPr>
          <w:rFonts w:ascii="Cambria" w:hAnsi="Cambria"/>
        </w:rPr>
        <w:t xml:space="preserve"> (beyond the control of the Licensee)</w:t>
      </w:r>
      <w:r w:rsidRPr="00DE518D">
        <w:rPr>
          <w:rFonts w:ascii="Cambria" w:hAnsi="Cambria"/>
        </w:rPr>
        <w:t xml:space="preserve"> are summarized below for the kind consideration of the Hon’ble Commission:</w:t>
      </w:r>
    </w:p>
    <w:tbl>
      <w:tblPr>
        <w:tblW w:w="8522" w:type="dxa"/>
        <w:tblInd w:w="137" w:type="dxa"/>
        <w:tblLook w:val="04A0" w:firstRow="1" w:lastRow="0" w:firstColumn="1" w:lastColumn="0" w:noHBand="0" w:noVBand="1"/>
      </w:tblPr>
      <w:tblGrid>
        <w:gridCol w:w="472"/>
        <w:gridCol w:w="946"/>
        <w:gridCol w:w="1559"/>
        <w:gridCol w:w="919"/>
        <w:gridCol w:w="1507"/>
        <w:gridCol w:w="1709"/>
        <w:gridCol w:w="1410"/>
      </w:tblGrid>
      <w:tr w:rsidR="000B29B6" w:rsidRPr="00C17E13" w14:paraId="42B96C33" w14:textId="77777777" w:rsidTr="009B0281">
        <w:trPr>
          <w:trHeight w:val="290"/>
        </w:trPr>
        <w:tc>
          <w:tcPr>
            <w:tcW w:w="8522" w:type="dxa"/>
            <w:gridSpan w:val="7"/>
            <w:tcBorders>
              <w:top w:val="single" w:sz="4" w:space="0" w:color="auto"/>
              <w:left w:val="single" w:sz="4" w:space="0" w:color="auto"/>
              <w:bottom w:val="single" w:sz="4" w:space="0" w:color="auto"/>
              <w:right w:val="single" w:sz="4" w:space="0" w:color="auto"/>
            </w:tcBorders>
            <w:noWrap/>
            <w:vAlign w:val="bottom"/>
            <w:hideMark/>
          </w:tcPr>
          <w:p w14:paraId="71C58CDA" w14:textId="20832E9A" w:rsidR="000B29B6" w:rsidRPr="00C17E13" w:rsidRDefault="000B29B6" w:rsidP="00F75F9E">
            <w:pPr>
              <w:jc w:val="center"/>
              <w:rPr>
                <w:rFonts w:ascii="Cambria" w:hAnsi="Cambria"/>
                <w:b/>
                <w:bCs/>
                <w:color w:val="000000"/>
                <w:sz w:val="20"/>
                <w:szCs w:val="20"/>
                <w:lang w:val="en-IN"/>
              </w:rPr>
            </w:pPr>
            <w:r w:rsidRPr="00C17E13">
              <w:rPr>
                <w:rFonts w:ascii="Cambria" w:hAnsi="Cambria"/>
                <w:b/>
                <w:bCs/>
                <w:color w:val="000000"/>
                <w:sz w:val="20"/>
                <w:szCs w:val="20"/>
              </w:rPr>
              <w:t>Implication due to change in category Effective from 18</w:t>
            </w:r>
            <w:r w:rsidRPr="00C17E13">
              <w:rPr>
                <w:rFonts w:ascii="Cambria" w:hAnsi="Cambria"/>
                <w:b/>
                <w:bCs/>
                <w:color w:val="000000"/>
                <w:sz w:val="20"/>
                <w:szCs w:val="20"/>
                <w:vertAlign w:val="superscript"/>
              </w:rPr>
              <w:t>th</w:t>
            </w:r>
            <w:r w:rsidRPr="00C17E13">
              <w:rPr>
                <w:rFonts w:ascii="Cambria" w:hAnsi="Cambria"/>
                <w:b/>
                <w:bCs/>
                <w:color w:val="000000"/>
                <w:sz w:val="20"/>
                <w:szCs w:val="20"/>
              </w:rPr>
              <w:t xml:space="preserve"> July 2024</w:t>
            </w:r>
          </w:p>
        </w:tc>
      </w:tr>
      <w:tr w:rsidR="000B29B6" w:rsidRPr="00C17E13" w14:paraId="0785A924" w14:textId="77777777" w:rsidTr="009B0281">
        <w:trPr>
          <w:trHeight w:val="640"/>
        </w:trPr>
        <w:tc>
          <w:tcPr>
            <w:tcW w:w="472" w:type="dxa"/>
            <w:vMerge w:val="restart"/>
            <w:tcBorders>
              <w:top w:val="nil"/>
              <w:left w:val="single" w:sz="4" w:space="0" w:color="auto"/>
              <w:bottom w:val="single" w:sz="4" w:space="0" w:color="auto"/>
              <w:right w:val="single" w:sz="4" w:space="0" w:color="auto"/>
            </w:tcBorders>
            <w:vAlign w:val="center"/>
            <w:hideMark/>
          </w:tcPr>
          <w:p w14:paraId="5E78B4AC" w14:textId="77777777" w:rsidR="000B29B6" w:rsidRPr="00C17E13" w:rsidRDefault="000B29B6" w:rsidP="00F75F9E">
            <w:pPr>
              <w:jc w:val="center"/>
              <w:rPr>
                <w:rFonts w:ascii="Cambria" w:hAnsi="Cambria"/>
                <w:b/>
                <w:bCs/>
                <w:color w:val="000000"/>
                <w:sz w:val="20"/>
                <w:szCs w:val="20"/>
              </w:rPr>
            </w:pPr>
            <w:r w:rsidRPr="00C17E13">
              <w:rPr>
                <w:rFonts w:ascii="Cambria" w:hAnsi="Cambria"/>
                <w:b/>
                <w:bCs/>
                <w:color w:val="000000"/>
                <w:sz w:val="20"/>
                <w:szCs w:val="20"/>
              </w:rPr>
              <w:t>S. No</w:t>
            </w:r>
          </w:p>
        </w:tc>
        <w:tc>
          <w:tcPr>
            <w:tcW w:w="2505" w:type="dxa"/>
            <w:gridSpan w:val="2"/>
            <w:tcBorders>
              <w:top w:val="single" w:sz="4" w:space="0" w:color="auto"/>
              <w:left w:val="nil"/>
              <w:bottom w:val="single" w:sz="4" w:space="0" w:color="auto"/>
              <w:right w:val="single" w:sz="4" w:space="0" w:color="auto"/>
            </w:tcBorders>
            <w:vAlign w:val="center"/>
            <w:hideMark/>
          </w:tcPr>
          <w:p w14:paraId="57B803A6" w14:textId="77777777" w:rsidR="000B29B6" w:rsidRPr="00C17E13" w:rsidRDefault="000B29B6" w:rsidP="00F75F9E">
            <w:pPr>
              <w:jc w:val="center"/>
              <w:rPr>
                <w:rFonts w:ascii="Cambria" w:hAnsi="Cambria"/>
                <w:b/>
                <w:bCs/>
                <w:color w:val="000000"/>
                <w:sz w:val="20"/>
                <w:szCs w:val="20"/>
              </w:rPr>
            </w:pPr>
            <w:r w:rsidRPr="00C17E13">
              <w:rPr>
                <w:rFonts w:ascii="Cambria" w:hAnsi="Cambria"/>
                <w:b/>
                <w:bCs/>
                <w:color w:val="000000"/>
                <w:sz w:val="20"/>
                <w:szCs w:val="20"/>
              </w:rPr>
              <w:t>Semi-Skilled Minimum Wages (Rs.)</w:t>
            </w:r>
            <w:r w:rsidRPr="00C17E13">
              <w:rPr>
                <w:rFonts w:ascii="Cambria" w:hAnsi="Cambria"/>
                <w:b/>
                <w:bCs/>
                <w:color w:val="000000"/>
                <w:sz w:val="20"/>
                <w:szCs w:val="20"/>
              </w:rPr>
              <w:br/>
              <w:t>w.e.f. 01.10.2023</w:t>
            </w:r>
          </w:p>
        </w:tc>
        <w:tc>
          <w:tcPr>
            <w:tcW w:w="2426" w:type="dxa"/>
            <w:gridSpan w:val="2"/>
            <w:tcBorders>
              <w:top w:val="single" w:sz="4" w:space="0" w:color="auto"/>
              <w:left w:val="nil"/>
              <w:bottom w:val="single" w:sz="4" w:space="0" w:color="auto"/>
              <w:right w:val="single" w:sz="4" w:space="0" w:color="auto"/>
            </w:tcBorders>
            <w:vAlign w:val="center"/>
            <w:hideMark/>
          </w:tcPr>
          <w:p w14:paraId="4970D6FD" w14:textId="77777777" w:rsidR="000B29B6" w:rsidRPr="00C17E13" w:rsidRDefault="000B29B6" w:rsidP="00F75F9E">
            <w:pPr>
              <w:jc w:val="center"/>
              <w:rPr>
                <w:rFonts w:ascii="Cambria" w:hAnsi="Cambria"/>
                <w:b/>
                <w:bCs/>
                <w:color w:val="000000"/>
                <w:sz w:val="20"/>
                <w:szCs w:val="20"/>
              </w:rPr>
            </w:pPr>
            <w:r w:rsidRPr="00C17E13">
              <w:rPr>
                <w:rFonts w:ascii="Cambria" w:hAnsi="Cambria"/>
                <w:b/>
                <w:bCs/>
                <w:color w:val="000000"/>
                <w:sz w:val="20"/>
                <w:szCs w:val="20"/>
              </w:rPr>
              <w:t>Skilled Minimum Wages (Rs.)</w:t>
            </w:r>
            <w:r w:rsidRPr="00C17E13">
              <w:rPr>
                <w:rFonts w:ascii="Cambria" w:hAnsi="Cambria"/>
                <w:b/>
                <w:bCs/>
                <w:color w:val="000000"/>
                <w:sz w:val="20"/>
                <w:szCs w:val="20"/>
              </w:rPr>
              <w:br/>
              <w:t>w.e.f. 18.07.2024</w:t>
            </w:r>
          </w:p>
        </w:tc>
        <w:tc>
          <w:tcPr>
            <w:tcW w:w="1709" w:type="dxa"/>
            <w:vMerge w:val="restart"/>
            <w:tcBorders>
              <w:top w:val="nil"/>
              <w:left w:val="single" w:sz="4" w:space="0" w:color="auto"/>
              <w:right w:val="single" w:sz="4" w:space="0" w:color="auto"/>
            </w:tcBorders>
            <w:vAlign w:val="center"/>
            <w:hideMark/>
          </w:tcPr>
          <w:p w14:paraId="08F48008" w14:textId="2B33E0A8" w:rsidR="000B29B6" w:rsidRPr="00C17E13" w:rsidRDefault="000B29B6" w:rsidP="00F75F9E">
            <w:pPr>
              <w:jc w:val="center"/>
              <w:rPr>
                <w:rFonts w:ascii="Cambria" w:hAnsi="Cambria"/>
                <w:b/>
                <w:bCs/>
                <w:color w:val="000000"/>
                <w:sz w:val="20"/>
                <w:szCs w:val="20"/>
              </w:rPr>
            </w:pPr>
            <w:r w:rsidRPr="00C17E13">
              <w:rPr>
                <w:rFonts w:ascii="Cambria" w:hAnsi="Cambria"/>
                <w:b/>
                <w:bCs/>
                <w:color w:val="000000"/>
                <w:sz w:val="20"/>
                <w:szCs w:val="20"/>
              </w:rPr>
              <w:t>Differential Amount (Rs.)/Month</w:t>
            </w:r>
            <w:r w:rsidR="00DE77AC">
              <w:rPr>
                <w:rFonts w:ascii="Cambria" w:hAnsi="Cambria"/>
                <w:b/>
                <w:bCs/>
                <w:color w:val="000000"/>
                <w:sz w:val="20"/>
                <w:szCs w:val="20"/>
              </w:rPr>
              <w:t xml:space="preserve"> due to c</w:t>
            </w:r>
            <w:r w:rsidRPr="00C17E13">
              <w:rPr>
                <w:rFonts w:ascii="Cambria" w:hAnsi="Cambria"/>
                <w:b/>
                <w:bCs/>
                <w:color w:val="000000"/>
                <w:sz w:val="20"/>
                <w:szCs w:val="20"/>
              </w:rPr>
              <w:t xml:space="preserve">hange in Category </w:t>
            </w:r>
          </w:p>
        </w:tc>
        <w:tc>
          <w:tcPr>
            <w:tcW w:w="1410" w:type="dxa"/>
            <w:vMerge w:val="restart"/>
            <w:tcBorders>
              <w:top w:val="nil"/>
              <w:left w:val="single" w:sz="4" w:space="0" w:color="auto"/>
              <w:right w:val="single" w:sz="4" w:space="0" w:color="auto"/>
            </w:tcBorders>
            <w:vAlign w:val="center"/>
            <w:hideMark/>
          </w:tcPr>
          <w:p w14:paraId="26E05766" w14:textId="77777777" w:rsidR="000B29B6" w:rsidRPr="00C17E13" w:rsidRDefault="000B29B6" w:rsidP="00F75F9E">
            <w:pPr>
              <w:jc w:val="center"/>
              <w:rPr>
                <w:rFonts w:ascii="Cambria" w:hAnsi="Cambria"/>
                <w:b/>
                <w:bCs/>
                <w:color w:val="000000"/>
                <w:sz w:val="20"/>
                <w:szCs w:val="20"/>
              </w:rPr>
            </w:pPr>
            <w:r w:rsidRPr="00C17E13">
              <w:rPr>
                <w:rFonts w:ascii="Cambria" w:hAnsi="Cambria"/>
                <w:b/>
                <w:bCs/>
                <w:color w:val="000000"/>
                <w:sz w:val="20"/>
                <w:szCs w:val="20"/>
              </w:rPr>
              <w:t>Differential Amount (Rs.)/Month With GST@18%</w:t>
            </w:r>
          </w:p>
        </w:tc>
      </w:tr>
      <w:tr w:rsidR="000B29B6" w:rsidRPr="00C17E13" w14:paraId="07EEC5CF" w14:textId="77777777" w:rsidTr="009B0281">
        <w:trPr>
          <w:trHeight w:val="530"/>
        </w:trPr>
        <w:tc>
          <w:tcPr>
            <w:tcW w:w="472" w:type="dxa"/>
            <w:vMerge/>
            <w:tcBorders>
              <w:top w:val="nil"/>
              <w:left w:val="single" w:sz="4" w:space="0" w:color="auto"/>
              <w:bottom w:val="single" w:sz="4" w:space="0" w:color="auto"/>
              <w:right w:val="single" w:sz="4" w:space="0" w:color="auto"/>
            </w:tcBorders>
            <w:vAlign w:val="center"/>
            <w:hideMark/>
          </w:tcPr>
          <w:p w14:paraId="2DB68FB0" w14:textId="77777777" w:rsidR="000B29B6" w:rsidRPr="00C17E13" w:rsidRDefault="000B29B6" w:rsidP="00F75F9E">
            <w:pPr>
              <w:rPr>
                <w:rFonts w:ascii="Cambria" w:hAnsi="Cambria"/>
                <w:color w:val="000000"/>
                <w:sz w:val="20"/>
                <w:szCs w:val="20"/>
              </w:rPr>
            </w:pPr>
          </w:p>
        </w:tc>
        <w:tc>
          <w:tcPr>
            <w:tcW w:w="946" w:type="dxa"/>
            <w:tcBorders>
              <w:top w:val="nil"/>
              <w:left w:val="nil"/>
              <w:bottom w:val="single" w:sz="4" w:space="0" w:color="auto"/>
              <w:right w:val="single" w:sz="4" w:space="0" w:color="auto"/>
            </w:tcBorders>
            <w:noWrap/>
            <w:vAlign w:val="center"/>
            <w:hideMark/>
          </w:tcPr>
          <w:p w14:paraId="4FB322F6" w14:textId="77777777" w:rsidR="000B29B6" w:rsidRPr="00C17E13" w:rsidRDefault="000B29B6" w:rsidP="00F75F9E">
            <w:pPr>
              <w:jc w:val="center"/>
              <w:rPr>
                <w:rFonts w:ascii="Cambria" w:hAnsi="Cambria"/>
                <w:b/>
                <w:bCs/>
                <w:color w:val="000000"/>
                <w:sz w:val="20"/>
                <w:szCs w:val="20"/>
              </w:rPr>
            </w:pPr>
            <w:r w:rsidRPr="00C17E13">
              <w:rPr>
                <w:rFonts w:ascii="Cambria" w:hAnsi="Cambria"/>
                <w:b/>
                <w:bCs/>
                <w:color w:val="000000"/>
                <w:sz w:val="20"/>
                <w:szCs w:val="20"/>
              </w:rPr>
              <w:t>Wages/</w:t>
            </w:r>
          </w:p>
          <w:p w14:paraId="265110E9" w14:textId="77777777" w:rsidR="000B29B6" w:rsidRPr="00C17E13" w:rsidRDefault="000B29B6" w:rsidP="00F75F9E">
            <w:pPr>
              <w:jc w:val="center"/>
              <w:rPr>
                <w:rFonts w:ascii="Cambria" w:hAnsi="Cambria"/>
                <w:b/>
                <w:bCs/>
                <w:color w:val="000000"/>
                <w:sz w:val="20"/>
                <w:szCs w:val="20"/>
              </w:rPr>
            </w:pPr>
            <w:r w:rsidRPr="00C17E13">
              <w:rPr>
                <w:rFonts w:ascii="Cambria" w:hAnsi="Cambria"/>
                <w:b/>
                <w:bCs/>
                <w:color w:val="000000"/>
                <w:sz w:val="20"/>
                <w:szCs w:val="20"/>
              </w:rPr>
              <w:t>Day</w:t>
            </w:r>
          </w:p>
        </w:tc>
        <w:tc>
          <w:tcPr>
            <w:tcW w:w="1559" w:type="dxa"/>
            <w:tcBorders>
              <w:top w:val="nil"/>
              <w:left w:val="nil"/>
              <w:bottom w:val="single" w:sz="4" w:space="0" w:color="auto"/>
              <w:right w:val="single" w:sz="4" w:space="0" w:color="auto"/>
            </w:tcBorders>
            <w:noWrap/>
            <w:vAlign w:val="center"/>
            <w:hideMark/>
          </w:tcPr>
          <w:p w14:paraId="0F027072" w14:textId="77777777" w:rsidR="000B29B6" w:rsidRPr="00C17E13" w:rsidRDefault="000B29B6" w:rsidP="00F75F9E">
            <w:pPr>
              <w:jc w:val="center"/>
              <w:rPr>
                <w:rFonts w:ascii="Cambria" w:hAnsi="Cambria"/>
                <w:b/>
                <w:bCs/>
                <w:color w:val="000000"/>
                <w:sz w:val="20"/>
                <w:szCs w:val="20"/>
              </w:rPr>
            </w:pPr>
            <w:r w:rsidRPr="00C17E13">
              <w:rPr>
                <w:rFonts w:ascii="Cambria" w:hAnsi="Cambria"/>
                <w:b/>
                <w:bCs/>
                <w:color w:val="000000"/>
                <w:sz w:val="20"/>
                <w:szCs w:val="20"/>
              </w:rPr>
              <w:t>Wages (CTC)/ Month</w:t>
            </w:r>
          </w:p>
        </w:tc>
        <w:tc>
          <w:tcPr>
            <w:tcW w:w="919" w:type="dxa"/>
            <w:tcBorders>
              <w:top w:val="nil"/>
              <w:left w:val="nil"/>
              <w:bottom w:val="single" w:sz="4" w:space="0" w:color="auto"/>
              <w:right w:val="single" w:sz="4" w:space="0" w:color="auto"/>
            </w:tcBorders>
            <w:noWrap/>
            <w:vAlign w:val="center"/>
            <w:hideMark/>
          </w:tcPr>
          <w:p w14:paraId="6BA088EC" w14:textId="77777777" w:rsidR="000B29B6" w:rsidRPr="00C17E13" w:rsidRDefault="000B29B6" w:rsidP="00F75F9E">
            <w:pPr>
              <w:jc w:val="center"/>
              <w:rPr>
                <w:rFonts w:ascii="Cambria" w:hAnsi="Cambria"/>
                <w:b/>
                <w:bCs/>
                <w:color w:val="000000"/>
                <w:sz w:val="20"/>
                <w:szCs w:val="20"/>
              </w:rPr>
            </w:pPr>
            <w:r w:rsidRPr="00C17E13">
              <w:rPr>
                <w:rFonts w:ascii="Cambria" w:hAnsi="Cambria"/>
                <w:b/>
                <w:bCs/>
                <w:color w:val="000000"/>
                <w:sz w:val="20"/>
                <w:szCs w:val="20"/>
              </w:rPr>
              <w:t>Wages/ Day</w:t>
            </w:r>
          </w:p>
        </w:tc>
        <w:tc>
          <w:tcPr>
            <w:tcW w:w="1507" w:type="dxa"/>
            <w:tcBorders>
              <w:top w:val="nil"/>
              <w:left w:val="nil"/>
              <w:bottom w:val="single" w:sz="4" w:space="0" w:color="auto"/>
              <w:right w:val="single" w:sz="4" w:space="0" w:color="auto"/>
            </w:tcBorders>
            <w:noWrap/>
            <w:vAlign w:val="center"/>
            <w:hideMark/>
          </w:tcPr>
          <w:p w14:paraId="08B1B8D4" w14:textId="77777777" w:rsidR="000B29B6" w:rsidRPr="00C17E13" w:rsidRDefault="000B29B6" w:rsidP="00F75F9E">
            <w:pPr>
              <w:jc w:val="center"/>
              <w:rPr>
                <w:rFonts w:ascii="Cambria" w:hAnsi="Cambria"/>
                <w:b/>
                <w:bCs/>
                <w:color w:val="000000"/>
                <w:sz w:val="20"/>
                <w:szCs w:val="20"/>
              </w:rPr>
            </w:pPr>
            <w:r w:rsidRPr="00C17E13">
              <w:rPr>
                <w:rFonts w:ascii="Cambria" w:hAnsi="Cambria"/>
                <w:b/>
                <w:bCs/>
                <w:color w:val="000000"/>
                <w:sz w:val="20"/>
                <w:szCs w:val="20"/>
              </w:rPr>
              <w:t>Wages (CTC)/ Month</w:t>
            </w:r>
          </w:p>
        </w:tc>
        <w:tc>
          <w:tcPr>
            <w:tcW w:w="1709" w:type="dxa"/>
            <w:vMerge/>
            <w:tcBorders>
              <w:left w:val="single" w:sz="4" w:space="0" w:color="auto"/>
              <w:bottom w:val="single" w:sz="4" w:space="0" w:color="auto"/>
              <w:right w:val="single" w:sz="4" w:space="0" w:color="auto"/>
            </w:tcBorders>
            <w:vAlign w:val="center"/>
            <w:hideMark/>
          </w:tcPr>
          <w:p w14:paraId="250C507E" w14:textId="77777777" w:rsidR="000B29B6" w:rsidRPr="00C17E13" w:rsidRDefault="000B29B6" w:rsidP="00F75F9E">
            <w:pPr>
              <w:rPr>
                <w:rFonts w:ascii="Cambria" w:hAnsi="Cambria"/>
                <w:color w:val="000000"/>
                <w:sz w:val="20"/>
                <w:szCs w:val="20"/>
              </w:rPr>
            </w:pPr>
          </w:p>
        </w:tc>
        <w:tc>
          <w:tcPr>
            <w:tcW w:w="1410" w:type="dxa"/>
            <w:vMerge/>
            <w:tcBorders>
              <w:left w:val="single" w:sz="4" w:space="0" w:color="auto"/>
              <w:bottom w:val="single" w:sz="4" w:space="0" w:color="auto"/>
              <w:right w:val="single" w:sz="4" w:space="0" w:color="auto"/>
            </w:tcBorders>
            <w:vAlign w:val="center"/>
            <w:hideMark/>
          </w:tcPr>
          <w:p w14:paraId="6478C372" w14:textId="77777777" w:rsidR="000B29B6" w:rsidRPr="00C17E13" w:rsidRDefault="000B29B6" w:rsidP="00F75F9E">
            <w:pPr>
              <w:rPr>
                <w:rFonts w:ascii="Cambria" w:hAnsi="Cambria"/>
                <w:color w:val="000000"/>
                <w:sz w:val="20"/>
                <w:szCs w:val="20"/>
              </w:rPr>
            </w:pPr>
          </w:p>
        </w:tc>
      </w:tr>
      <w:tr w:rsidR="000B29B6" w:rsidRPr="00C17E13" w14:paraId="6AEF02CA" w14:textId="77777777" w:rsidTr="009B0281">
        <w:trPr>
          <w:trHeight w:val="290"/>
        </w:trPr>
        <w:tc>
          <w:tcPr>
            <w:tcW w:w="472" w:type="dxa"/>
            <w:tcBorders>
              <w:top w:val="nil"/>
              <w:left w:val="single" w:sz="4" w:space="0" w:color="auto"/>
              <w:bottom w:val="single" w:sz="4" w:space="0" w:color="auto"/>
              <w:right w:val="single" w:sz="4" w:space="0" w:color="auto"/>
            </w:tcBorders>
            <w:noWrap/>
            <w:vAlign w:val="bottom"/>
            <w:hideMark/>
          </w:tcPr>
          <w:p w14:paraId="6E273E0F" w14:textId="77777777" w:rsidR="000B29B6" w:rsidRPr="00C17E13" w:rsidRDefault="000B29B6" w:rsidP="00F75F9E">
            <w:pPr>
              <w:jc w:val="right"/>
              <w:rPr>
                <w:rFonts w:ascii="Cambria" w:hAnsi="Cambria"/>
                <w:color w:val="000000"/>
                <w:sz w:val="20"/>
                <w:szCs w:val="20"/>
              </w:rPr>
            </w:pPr>
            <w:r w:rsidRPr="00C17E13">
              <w:rPr>
                <w:rFonts w:ascii="Cambria" w:hAnsi="Cambria"/>
                <w:color w:val="000000"/>
                <w:sz w:val="20"/>
                <w:szCs w:val="20"/>
              </w:rPr>
              <w:t>1</w:t>
            </w:r>
          </w:p>
        </w:tc>
        <w:tc>
          <w:tcPr>
            <w:tcW w:w="946" w:type="dxa"/>
            <w:tcBorders>
              <w:top w:val="nil"/>
              <w:left w:val="nil"/>
              <w:bottom w:val="single" w:sz="4" w:space="0" w:color="auto"/>
              <w:right w:val="single" w:sz="4" w:space="0" w:color="auto"/>
            </w:tcBorders>
            <w:noWrap/>
            <w:vAlign w:val="bottom"/>
            <w:hideMark/>
          </w:tcPr>
          <w:p w14:paraId="7284B790" w14:textId="77777777" w:rsidR="000B29B6" w:rsidRPr="00C17E13" w:rsidRDefault="000B29B6" w:rsidP="00F75F9E">
            <w:pPr>
              <w:jc w:val="center"/>
              <w:rPr>
                <w:rFonts w:ascii="Cambria" w:hAnsi="Cambria"/>
                <w:color w:val="000000"/>
                <w:sz w:val="20"/>
                <w:szCs w:val="20"/>
              </w:rPr>
            </w:pPr>
            <w:r w:rsidRPr="00C17E13">
              <w:rPr>
                <w:rFonts w:ascii="Cambria" w:hAnsi="Cambria"/>
                <w:color w:val="000000"/>
                <w:sz w:val="20"/>
                <w:szCs w:val="20"/>
              </w:rPr>
              <w:t>392</w:t>
            </w:r>
          </w:p>
        </w:tc>
        <w:tc>
          <w:tcPr>
            <w:tcW w:w="1559" w:type="dxa"/>
            <w:tcBorders>
              <w:top w:val="nil"/>
              <w:left w:val="nil"/>
              <w:bottom w:val="single" w:sz="4" w:space="0" w:color="auto"/>
              <w:right w:val="single" w:sz="4" w:space="0" w:color="auto"/>
            </w:tcBorders>
            <w:noWrap/>
            <w:vAlign w:val="bottom"/>
            <w:hideMark/>
          </w:tcPr>
          <w:p w14:paraId="688301BA" w14:textId="77777777" w:rsidR="000B29B6" w:rsidRPr="00C17E13" w:rsidRDefault="000B29B6" w:rsidP="00F75F9E">
            <w:pPr>
              <w:jc w:val="center"/>
              <w:rPr>
                <w:rFonts w:ascii="Cambria" w:hAnsi="Cambria"/>
                <w:color w:val="000000"/>
                <w:sz w:val="20"/>
                <w:szCs w:val="20"/>
              </w:rPr>
            </w:pPr>
            <w:r w:rsidRPr="00C17E13">
              <w:rPr>
                <w:rFonts w:ascii="Cambria" w:hAnsi="Cambria"/>
                <w:color w:val="000000"/>
                <w:sz w:val="20"/>
                <w:szCs w:val="20"/>
              </w:rPr>
              <w:t>13311</w:t>
            </w:r>
          </w:p>
        </w:tc>
        <w:tc>
          <w:tcPr>
            <w:tcW w:w="919" w:type="dxa"/>
            <w:tcBorders>
              <w:top w:val="nil"/>
              <w:left w:val="nil"/>
              <w:bottom w:val="single" w:sz="4" w:space="0" w:color="auto"/>
              <w:right w:val="single" w:sz="4" w:space="0" w:color="auto"/>
            </w:tcBorders>
            <w:noWrap/>
            <w:vAlign w:val="bottom"/>
            <w:hideMark/>
          </w:tcPr>
          <w:p w14:paraId="04E62480" w14:textId="77777777" w:rsidR="000B29B6" w:rsidRPr="00C17E13" w:rsidRDefault="000B29B6" w:rsidP="00F75F9E">
            <w:pPr>
              <w:jc w:val="center"/>
              <w:rPr>
                <w:rFonts w:ascii="Cambria" w:hAnsi="Cambria"/>
                <w:color w:val="000000"/>
                <w:sz w:val="20"/>
                <w:szCs w:val="20"/>
              </w:rPr>
            </w:pPr>
            <w:r w:rsidRPr="00C17E13">
              <w:rPr>
                <w:rFonts w:ascii="Cambria" w:hAnsi="Cambria"/>
                <w:color w:val="000000"/>
                <w:sz w:val="20"/>
                <w:szCs w:val="20"/>
              </w:rPr>
              <w:t>550</w:t>
            </w:r>
          </w:p>
        </w:tc>
        <w:tc>
          <w:tcPr>
            <w:tcW w:w="1507" w:type="dxa"/>
            <w:tcBorders>
              <w:top w:val="nil"/>
              <w:left w:val="nil"/>
              <w:bottom w:val="single" w:sz="4" w:space="0" w:color="auto"/>
              <w:right w:val="single" w:sz="4" w:space="0" w:color="auto"/>
            </w:tcBorders>
            <w:noWrap/>
            <w:vAlign w:val="bottom"/>
            <w:hideMark/>
          </w:tcPr>
          <w:p w14:paraId="0C12F382" w14:textId="77777777" w:rsidR="000B29B6" w:rsidRPr="00C17E13" w:rsidRDefault="000B29B6" w:rsidP="00F75F9E">
            <w:pPr>
              <w:jc w:val="center"/>
              <w:rPr>
                <w:rFonts w:ascii="Cambria" w:hAnsi="Cambria"/>
                <w:color w:val="000000"/>
                <w:sz w:val="20"/>
                <w:szCs w:val="20"/>
              </w:rPr>
            </w:pPr>
            <w:r w:rsidRPr="00C17E13">
              <w:rPr>
                <w:rFonts w:ascii="Cambria" w:hAnsi="Cambria"/>
                <w:color w:val="000000"/>
                <w:sz w:val="20"/>
                <w:szCs w:val="20"/>
              </w:rPr>
              <w:t>18676</w:t>
            </w:r>
          </w:p>
        </w:tc>
        <w:tc>
          <w:tcPr>
            <w:tcW w:w="1709" w:type="dxa"/>
            <w:tcBorders>
              <w:top w:val="nil"/>
              <w:left w:val="nil"/>
              <w:bottom w:val="single" w:sz="4" w:space="0" w:color="auto"/>
              <w:right w:val="single" w:sz="4" w:space="0" w:color="auto"/>
            </w:tcBorders>
            <w:noWrap/>
            <w:vAlign w:val="bottom"/>
            <w:hideMark/>
          </w:tcPr>
          <w:p w14:paraId="4E146DC2" w14:textId="77777777" w:rsidR="000B29B6" w:rsidRPr="00C17E13" w:rsidRDefault="000B29B6" w:rsidP="00F75F9E">
            <w:pPr>
              <w:jc w:val="center"/>
              <w:rPr>
                <w:rFonts w:ascii="Cambria" w:hAnsi="Cambria"/>
                <w:color w:val="000000"/>
                <w:sz w:val="20"/>
                <w:szCs w:val="20"/>
              </w:rPr>
            </w:pPr>
            <w:r w:rsidRPr="00C17E13">
              <w:rPr>
                <w:rFonts w:ascii="Cambria" w:hAnsi="Cambria"/>
                <w:color w:val="000000"/>
                <w:sz w:val="20"/>
                <w:szCs w:val="20"/>
              </w:rPr>
              <w:t>5365</w:t>
            </w:r>
          </w:p>
        </w:tc>
        <w:tc>
          <w:tcPr>
            <w:tcW w:w="1410" w:type="dxa"/>
            <w:tcBorders>
              <w:top w:val="nil"/>
              <w:left w:val="nil"/>
              <w:bottom w:val="single" w:sz="4" w:space="0" w:color="auto"/>
              <w:right w:val="single" w:sz="4" w:space="0" w:color="auto"/>
            </w:tcBorders>
            <w:noWrap/>
            <w:vAlign w:val="bottom"/>
            <w:hideMark/>
          </w:tcPr>
          <w:p w14:paraId="00C399C6" w14:textId="77777777" w:rsidR="000B29B6" w:rsidRPr="00C17E13" w:rsidRDefault="000B29B6" w:rsidP="00F75F9E">
            <w:pPr>
              <w:jc w:val="center"/>
              <w:rPr>
                <w:rFonts w:ascii="Cambria" w:hAnsi="Cambria"/>
                <w:color w:val="000000"/>
                <w:sz w:val="20"/>
                <w:szCs w:val="20"/>
              </w:rPr>
            </w:pPr>
            <w:r w:rsidRPr="00C17E13">
              <w:rPr>
                <w:rFonts w:ascii="Cambria" w:hAnsi="Cambria"/>
                <w:color w:val="000000"/>
                <w:sz w:val="20"/>
                <w:szCs w:val="20"/>
              </w:rPr>
              <w:t>6331</w:t>
            </w:r>
          </w:p>
        </w:tc>
      </w:tr>
    </w:tbl>
    <w:p w14:paraId="1843DE7F" w14:textId="5440A9C5" w:rsidR="004342EF" w:rsidRDefault="00DD30FD" w:rsidP="00720590">
      <w:pPr>
        <w:spacing w:beforeLines="100" w:before="240" w:afterLines="100" w:after="240" w:line="360" w:lineRule="auto"/>
        <w:jc w:val="both"/>
        <w:rPr>
          <w:rFonts w:ascii="Cambria" w:hAnsi="Cambria"/>
        </w:rPr>
      </w:pPr>
      <w:r>
        <w:rPr>
          <w:rFonts w:ascii="Cambria" w:hAnsi="Cambria"/>
        </w:rPr>
        <w:t xml:space="preserve">Furthermore, the Labor Commissioner of Odisha vide notification dated 21.11.2025 has passed the order maintaining no change in Variable Dearness Allowance (VDA) rates payable to eligible employees.  </w:t>
      </w:r>
    </w:p>
    <w:p w14:paraId="7EBB789D" w14:textId="77777777" w:rsidR="004342EF" w:rsidRDefault="004342EF" w:rsidP="000350B2">
      <w:pPr>
        <w:pStyle w:val="BodyText2"/>
        <w:spacing w:beforeLines="100" w:before="240" w:afterLines="100" w:after="240" w:line="360" w:lineRule="auto"/>
        <w:jc w:val="both"/>
        <w:rPr>
          <w:rFonts w:ascii="Cambria" w:hAnsi="Cambria"/>
          <w:sz w:val="24"/>
          <w:szCs w:val="24"/>
        </w:rPr>
      </w:pPr>
      <w:r w:rsidRPr="00D96AD2">
        <w:rPr>
          <w:rFonts w:ascii="Cambria" w:hAnsi="Cambria"/>
          <w:sz w:val="24"/>
          <w:szCs w:val="24"/>
        </w:rPr>
        <w:t xml:space="preserve">Since both the above notifications were issued under the statutory authority of the </w:t>
      </w:r>
      <w:proofErr w:type="spellStart"/>
      <w:r w:rsidRPr="00D96AD2">
        <w:rPr>
          <w:rFonts w:ascii="Cambria" w:hAnsi="Cambria"/>
          <w:sz w:val="24"/>
          <w:szCs w:val="24"/>
        </w:rPr>
        <w:t>Labour</w:t>
      </w:r>
      <w:proofErr w:type="spellEnd"/>
      <w:r w:rsidRPr="00D96AD2">
        <w:rPr>
          <w:rFonts w:ascii="Cambria" w:hAnsi="Cambria"/>
          <w:sz w:val="24"/>
          <w:szCs w:val="24"/>
        </w:rPr>
        <w:t xml:space="preserve"> &amp; ESI Department, Government of Odisha, and are beyond the control of the Distribution Licensee, the resultant increase in manpower-related costs qualifies as a “Change in Law” event in line with established regulatory principles.</w:t>
      </w:r>
    </w:p>
    <w:p w14:paraId="70157E83" w14:textId="009A1ACE" w:rsidR="004342EF" w:rsidRDefault="004342EF" w:rsidP="004342EF">
      <w:pPr>
        <w:pStyle w:val="BodyText2"/>
        <w:spacing w:beforeLines="100" w:before="240" w:afterLines="100" w:after="240" w:line="360" w:lineRule="auto"/>
        <w:jc w:val="both"/>
        <w:rPr>
          <w:rFonts w:ascii="Cambria" w:hAnsi="Cambria"/>
          <w:sz w:val="24"/>
          <w:szCs w:val="24"/>
        </w:rPr>
      </w:pPr>
      <w:r w:rsidRPr="00D96AD2">
        <w:rPr>
          <w:rFonts w:ascii="Cambria" w:hAnsi="Cambria"/>
          <w:sz w:val="24"/>
          <w:szCs w:val="24"/>
        </w:rPr>
        <w:t xml:space="preserve">Furthermore, such statutory changes have been consistently held to be pass-through costs in various judicial pronouncements. The Hon’ble APTEL, in its Judgment dated 13.04.2018 in Appeal No. 210 of 2017 (TPDDL vs. DERC), recognized statutory revisions in wages and taxes as valid Change in Law events warranting pass-through in tariff. Similarly, the Hon’ble Supreme Court of India, in Energy Watchdog vs. CERC &amp; </w:t>
      </w:r>
      <w:proofErr w:type="spellStart"/>
      <w:r w:rsidRPr="00D96AD2">
        <w:rPr>
          <w:rFonts w:ascii="Cambria" w:hAnsi="Cambria"/>
          <w:sz w:val="24"/>
          <w:szCs w:val="24"/>
        </w:rPr>
        <w:t>Ors</w:t>
      </w:r>
      <w:proofErr w:type="spellEnd"/>
      <w:r w:rsidRPr="00D96AD2">
        <w:rPr>
          <w:rFonts w:ascii="Cambria" w:hAnsi="Cambria"/>
          <w:sz w:val="24"/>
          <w:szCs w:val="24"/>
        </w:rPr>
        <w:t>. (2017), clarified that any statutory change having an impact on the cost structure of a licensee qualifies as a Change in Law</w:t>
      </w:r>
      <w:r w:rsidR="002D1999">
        <w:rPr>
          <w:rFonts w:ascii="Cambria" w:hAnsi="Cambria"/>
          <w:sz w:val="24"/>
          <w:szCs w:val="24"/>
        </w:rPr>
        <w:t>.</w:t>
      </w:r>
    </w:p>
    <w:p w14:paraId="128D67FC" w14:textId="2CC5CB20" w:rsidR="002D1999" w:rsidRDefault="00B90374" w:rsidP="004342EF">
      <w:pPr>
        <w:pStyle w:val="BodyText2"/>
        <w:spacing w:beforeLines="100" w:before="240" w:afterLines="100" w:after="240" w:line="360" w:lineRule="auto"/>
        <w:jc w:val="both"/>
        <w:rPr>
          <w:rFonts w:ascii="Cambria" w:hAnsi="Cambria"/>
          <w:sz w:val="24"/>
          <w:szCs w:val="24"/>
        </w:rPr>
      </w:pPr>
      <w:r>
        <w:rPr>
          <w:rFonts w:ascii="Cambria" w:hAnsi="Cambria"/>
          <w:sz w:val="24"/>
          <w:szCs w:val="24"/>
        </w:rPr>
        <w:t xml:space="preserve">It is submitted that the Hon’ble Commission in its past </w:t>
      </w:r>
      <w:r w:rsidR="00DF5993">
        <w:rPr>
          <w:rFonts w:ascii="Cambria" w:hAnsi="Cambria"/>
          <w:sz w:val="24"/>
          <w:szCs w:val="24"/>
        </w:rPr>
        <w:t xml:space="preserve">RST </w:t>
      </w:r>
      <w:r>
        <w:rPr>
          <w:rFonts w:ascii="Cambria" w:hAnsi="Cambria"/>
          <w:sz w:val="24"/>
          <w:szCs w:val="24"/>
        </w:rPr>
        <w:t xml:space="preserve">Orders has </w:t>
      </w:r>
      <w:r w:rsidR="00E31A03">
        <w:rPr>
          <w:rFonts w:ascii="Cambria" w:hAnsi="Cambria"/>
          <w:sz w:val="24"/>
          <w:szCs w:val="24"/>
        </w:rPr>
        <w:t xml:space="preserve">approved the A&amp;G Expenses on a normative basis by </w:t>
      </w:r>
      <w:r w:rsidR="00DF5993">
        <w:rPr>
          <w:rFonts w:ascii="Cambria" w:hAnsi="Cambria"/>
          <w:sz w:val="24"/>
          <w:szCs w:val="24"/>
        </w:rPr>
        <w:t xml:space="preserve">increasing the A&amp;G expenses by an escalation of 7% over and above the previous year’s approved A&amp;G Expenses. The Hon’ble Commission vide RST Order dated 24.03.2025 </w:t>
      </w:r>
      <w:r w:rsidR="007A2690">
        <w:rPr>
          <w:rFonts w:ascii="Cambria" w:hAnsi="Cambria"/>
          <w:sz w:val="24"/>
          <w:szCs w:val="24"/>
        </w:rPr>
        <w:t xml:space="preserve">had approved the A&amp;G Expenses </w:t>
      </w:r>
      <w:r w:rsidR="005E6D86">
        <w:rPr>
          <w:rFonts w:ascii="Cambria" w:hAnsi="Cambria"/>
          <w:sz w:val="24"/>
          <w:szCs w:val="24"/>
        </w:rPr>
        <w:t xml:space="preserve">for FY 25-26 as Rs. 181.03 Cr. on a normative basis. </w:t>
      </w:r>
      <w:r w:rsidR="00B32FFB">
        <w:rPr>
          <w:rFonts w:ascii="Cambria" w:hAnsi="Cambria"/>
          <w:sz w:val="24"/>
          <w:szCs w:val="24"/>
        </w:rPr>
        <w:t>If we escalate the said figure by 7%, the</w:t>
      </w:r>
      <w:r w:rsidR="001445D7">
        <w:rPr>
          <w:rFonts w:ascii="Cambria" w:hAnsi="Cambria"/>
          <w:sz w:val="24"/>
          <w:szCs w:val="24"/>
        </w:rPr>
        <w:t xml:space="preserve"> probable normative A&amp;G expenses for FY 26-27 </w:t>
      </w:r>
      <w:r w:rsidR="007B3911">
        <w:rPr>
          <w:rFonts w:ascii="Cambria" w:hAnsi="Cambria"/>
          <w:sz w:val="24"/>
          <w:szCs w:val="24"/>
        </w:rPr>
        <w:t>come to around Rs. 193.70</w:t>
      </w:r>
      <w:r w:rsidR="00B32FFB">
        <w:rPr>
          <w:rFonts w:ascii="Cambria" w:hAnsi="Cambria"/>
          <w:sz w:val="24"/>
          <w:szCs w:val="24"/>
        </w:rPr>
        <w:t xml:space="preserve"> </w:t>
      </w:r>
      <w:r w:rsidR="007B3911">
        <w:rPr>
          <w:rFonts w:ascii="Cambria" w:hAnsi="Cambria"/>
          <w:sz w:val="24"/>
          <w:szCs w:val="24"/>
        </w:rPr>
        <w:t>Cr. However, considering the ground realities</w:t>
      </w:r>
      <w:r w:rsidR="00DE77AC">
        <w:rPr>
          <w:rFonts w:ascii="Cambria" w:hAnsi="Cambria"/>
          <w:sz w:val="24"/>
          <w:szCs w:val="24"/>
        </w:rPr>
        <w:t xml:space="preserve"> described above</w:t>
      </w:r>
      <w:r w:rsidR="007B3911">
        <w:rPr>
          <w:rFonts w:ascii="Cambria" w:hAnsi="Cambria"/>
          <w:sz w:val="24"/>
          <w:szCs w:val="24"/>
        </w:rPr>
        <w:t>,</w:t>
      </w:r>
      <w:r w:rsidR="006D570F">
        <w:rPr>
          <w:rFonts w:ascii="Cambria" w:hAnsi="Cambria"/>
          <w:sz w:val="24"/>
          <w:szCs w:val="24"/>
        </w:rPr>
        <w:t xml:space="preserve"> the Licensee </w:t>
      </w:r>
      <w:r w:rsidR="006D570F" w:rsidRPr="00FC6A67">
        <w:rPr>
          <w:rFonts w:ascii="Cambria" w:hAnsi="Cambria"/>
          <w:b/>
          <w:bCs/>
          <w:sz w:val="24"/>
          <w:szCs w:val="24"/>
        </w:rPr>
        <w:t xml:space="preserve">has proposed A&amp;G Expenses to the tune of Rs. </w:t>
      </w:r>
      <w:r w:rsidR="001C0EE8" w:rsidRPr="00FC6A67">
        <w:rPr>
          <w:rFonts w:ascii="Cambria" w:hAnsi="Cambria"/>
          <w:b/>
          <w:bCs/>
          <w:sz w:val="24"/>
          <w:szCs w:val="24"/>
        </w:rPr>
        <w:t>2</w:t>
      </w:r>
      <w:r w:rsidR="00F226DE">
        <w:rPr>
          <w:rFonts w:ascii="Cambria" w:hAnsi="Cambria"/>
          <w:b/>
          <w:bCs/>
          <w:sz w:val="24"/>
          <w:szCs w:val="24"/>
        </w:rPr>
        <w:t>72.14</w:t>
      </w:r>
      <w:r w:rsidR="001C0EE8" w:rsidRPr="00FC6A67">
        <w:rPr>
          <w:rFonts w:ascii="Cambria" w:hAnsi="Cambria"/>
          <w:b/>
          <w:bCs/>
          <w:sz w:val="24"/>
          <w:szCs w:val="24"/>
        </w:rPr>
        <w:t xml:space="preserve"> Cr. for FY 26-27</w:t>
      </w:r>
      <w:r w:rsidR="001C0EE8">
        <w:rPr>
          <w:rFonts w:ascii="Cambria" w:hAnsi="Cambria"/>
          <w:sz w:val="24"/>
          <w:szCs w:val="24"/>
        </w:rPr>
        <w:t>.</w:t>
      </w:r>
    </w:p>
    <w:p w14:paraId="698E5D42" w14:textId="707FF5E5" w:rsidR="001C0EE8" w:rsidRDefault="0064720B" w:rsidP="004342EF">
      <w:pPr>
        <w:pStyle w:val="BodyText2"/>
        <w:spacing w:beforeLines="100" w:before="240" w:afterLines="100" w:after="240" w:line="360" w:lineRule="auto"/>
        <w:jc w:val="both"/>
        <w:rPr>
          <w:rFonts w:ascii="Cambria" w:hAnsi="Cambria" w:cs="Arial"/>
          <w:sz w:val="24"/>
          <w:szCs w:val="24"/>
          <w:lang w:val="en-GB"/>
        </w:rPr>
      </w:pPr>
      <w:r w:rsidRPr="0064720B">
        <w:rPr>
          <w:rFonts w:ascii="Cambria" w:hAnsi="Cambria" w:cs="Arial"/>
          <w:sz w:val="24"/>
          <w:szCs w:val="24"/>
          <w:lang w:val="en-GB"/>
        </w:rPr>
        <w:t xml:space="preserve">The escalation is primarily driven by unavoidable increase in establishment-related costs and statutory compliance requirements. Over the recent years, significant inflationary pressure on key expense heads such as </w:t>
      </w:r>
      <w:r>
        <w:rPr>
          <w:rFonts w:ascii="Cambria" w:hAnsi="Cambria" w:cs="Arial"/>
          <w:sz w:val="24"/>
          <w:szCs w:val="24"/>
          <w:lang w:val="en-GB"/>
        </w:rPr>
        <w:t>MBC</w:t>
      </w:r>
      <w:r w:rsidR="00F92A24">
        <w:rPr>
          <w:rFonts w:ascii="Cambria" w:hAnsi="Cambria" w:cs="Arial"/>
          <w:sz w:val="24"/>
          <w:szCs w:val="24"/>
          <w:lang w:val="en-GB"/>
        </w:rPr>
        <w:t xml:space="preserve"> activity</w:t>
      </w:r>
      <w:r>
        <w:rPr>
          <w:rFonts w:ascii="Cambria" w:hAnsi="Cambria" w:cs="Arial"/>
          <w:sz w:val="24"/>
          <w:szCs w:val="24"/>
          <w:lang w:val="en-GB"/>
        </w:rPr>
        <w:t xml:space="preserve">, </w:t>
      </w:r>
      <w:r w:rsidRPr="0064720B">
        <w:rPr>
          <w:rFonts w:ascii="Cambria" w:hAnsi="Cambria" w:cs="Arial"/>
          <w:sz w:val="24"/>
          <w:szCs w:val="24"/>
          <w:lang w:val="en-GB"/>
        </w:rPr>
        <w:t xml:space="preserve">security services, </w:t>
      </w:r>
      <w:r w:rsidR="002762CD">
        <w:rPr>
          <w:rFonts w:ascii="Cambria" w:hAnsi="Cambria" w:cs="Arial"/>
          <w:sz w:val="24"/>
          <w:szCs w:val="24"/>
          <w:lang w:val="en-GB"/>
        </w:rPr>
        <w:t>Licence fees (FG &amp; SAP)</w:t>
      </w:r>
      <w:r w:rsidRPr="0064720B">
        <w:rPr>
          <w:rFonts w:ascii="Cambria" w:hAnsi="Cambria" w:cs="Arial"/>
          <w:sz w:val="24"/>
          <w:szCs w:val="24"/>
          <w:lang w:val="en-GB"/>
        </w:rPr>
        <w:t xml:space="preserve">, </w:t>
      </w:r>
      <w:r w:rsidR="007827EA">
        <w:rPr>
          <w:rFonts w:ascii="Cambria" w:hAnsi="Cambria" w:cs="Arial"/>
          <w:sz w:val="24"/>
          <w:szCs w:val="24"/>
          <w:lang w:val="en-GB"/>
        </w:rPr>
        <w:t xml:space="preserve">housekeeping, </w:t>
      </w:r>
      <w:r w:rsidR="005D7FA6">
        <w:rPr>
          <w:rFonts w:ascii="Cambria" w:hAnsi="Cambria" w:cs="Arial"/>
          <w:sz w:val="24"/>
          <w:szCs w:val="24"/>
          <w:lang w:val="en-GB"/>
        </w:rPr>
        <w:t xml:space="preserve">vigilance activities, </w:t>
      </w:r>
      <w:r w:rsidRPr="0064720B">
        <w:rPr>
          <w:rFonts w:ascii="Cambria" w:hAnsi="Cambria" w:cs="Arial"/>
          <w:sz w:val="24"/>
          <w:szCs w:val="24"/>
          <w:lang w:val="en-GB"/>
        </w:rPr>
        <w:t xml:space="preserve">communication systems, insurance premiums and office administration has resulted in </w:t>
      </w:r>
      <w:r w:rsidR="00DE77AC">
        <w:rPr>
          <w:rFonts w:ascii="Cambria" w:hAnsi="Cambria" w:cs="Arial"/>
          <w:sz w:val="24"/>
          <w:szCs w:val="24"/>
          <w:lang w:val="en-GB"/>
        </w:rPr>
        <w:t xml:space="preserve">higher </w:t>
      </w:r>
      <w:r w:rsidRPr="0064720B">
        <w:rPr>
          <w:rFonts w:ascii="Cambria" w:hAnsi="Cambria" w:cs="Arial"/>
          <w:sz w:val="24"/>
          <w:szCs w:val="24"/>
          <w:lang w:val="en-GB"/>
        </w:rPr>
        <w:t xml:space="preserve">cost levels that cannot be contained within the existing normative ceiling. </w:t>
      </w:r>
      <w:r w:rsidR="008C474D" w:rsidRPr="008C474D">
        <w:rPr>
          <w:rFonts w:ascii="Cambria" w:hAnsi="Cambria" w:cs="Arial"/>
          <w:sz w:val="24"/>
          <w:szCs w:val="24"/>
          <w:lang w:val="en-GB"/>
        </w:rPr>
        <w:t>Further, the digital transformation initiatives mandated under national and state-level reforms</w:t>
      </w:r>
      <w:r w:rsidR="008C474D">
        <w:rPr>
          <w:rFonts w:ascii="Cambria" w:hAnsi="Cambria" w:cs="Arial"/>
          <w:sz w:val="24"/>
          <w:szCs w:val="24"/>
          <w:lang w:val="en-GB"/>
        </w:rPr>
        <w:t xml:space="preserve"> </w:t>
      </w:r>
      <w:r w:rsidR="008C474D" w:rsidRPr="008C474D">
        <w:rPr>
          <w:rFonts w:ascii="Cambria" w:hAnsi="Cambria" w:cs="Arial"/>
          <w:sz w:val="24"/>
          <w:szCs w:val="24"/>
          <w:lang w:val="en-GB"/>
        </w:rPr>
        <w:t>including the Revamped Distribution Sector Scheme (RDSS), Energy Accounting &amp; Audit Framework and cybersecurity guidelines</w:t>
      </w:r>
      <w:r w:rsidR="008C474D">
        <w:rPr>
          <w:rFonts w:ascii="Cambria" w:hAnsi="Cambria" w:cs="Arial"/>
          <w:sz w:val="24"/>
          <w:szCs w:val="24"/>
          <w:lang w:val="en-GB"/>
        </w:rPr>
        <w:t xml:space="preserve"> </w:t>
      </w:r>
      <w:r w:rsidR="008C474D" w:rsidRPr="008C474D">
        <w:rPr>
          <w:rFonts w:ascii="Cambria" w:hAnsi="Cambria" w:cs="Arial"/>
          <w:sz w:val="24"/>
          <w:szCs w:val="24"/>
          <w:lang w:val="en-GB"/>
        </w:rPr>
        <w:t>have led to additional recurring A&amp;G expenses. These include costs towards AMC of IT systems, cloud hosting, data management, ERP systems, prepaid metering infrastructure, cybersecurity audits, and consumer</w:t>
      </w:r>
      <w:r w:rsidR="00DE77AC">
        <w:rPr>
          <w:rFonts w:ascii="Cambria" w:hAnsi="Cambria" w:cs="Arial"/>
          <w:sz w:val="24"/>
          <w:szCs w:val="24"/>
          <w:lang w:val="en-GB"/>
        </w:rPr>
        <w:t xml:space="preserve">-centric </w:t>
      </w:r>
      <w:r w:rsidR="008C474D" w:rsidRPr="008C474D">
        <w:rPr>
          <w:rFonts w:ascii="Cambria" w:hAnsi="Cambria" w:cs="Arial"/>
          <w:sz w:val="24"/>
          <w:szCs w:val="24"/>
          <w:lang w:val="en-GB"/>
        </w:rPr>
        <w:t>facing digital services. These expenses, though non-capital in nature, are indispensable for improving operational efficiency, enhancing energy accounting accuracy</w:t>
      </w:r>
      <w:r w:rsidR="007B05BA">
        <w:rPr>
          <w:rFonts w:ascii="Cambria" w:hAnsi="Cambria" w:cs="Arial"/>
          <w:sz w:val="24"/>
          <w:szCs w:val="24"/>
          <w:lang w:val="en-GB"/>
        </w:rPr>
        <w:t xml:space="preserve"> and</w:t>
      </w:r>
      <w:r w:rsidR="008C474D" w:rsidRPr="008C474D">
        <w:rPr>
          <w:rFonts w:ascii="Cambria" w:hAnsi="Cambria" w:cs="Arial"/>
          <w:sz w:val="24"/>
          <w:szCs w:val="24"/>
          <w:lang w:val="en-GB"/>
        </w:rPr>
        <w:t xml:space="preserve"> reducing losses</w:t>
      </w:r>
      <w:r w:rsidR="007B05BA">
        <w:rPr>
          <w:rFonts w:ascii="Cambria" w:hAnsi="Cambria" w:cs="Arial"/>
          <w:sz w:val="24"/>
          <w:szCs w:val="24"/>
          <w:lang w:val="en-GB"/>
        </w:rPr>
        <w:t>.</w:t>
      </w:r>
      <w:r w:rsidR="003B2EC2">
        <w:rPr>
          <w:rFonts w:ascii="Cambria" w:hAnsi="Cambria" w:cs="Arial"/>
          <w:sz w:val="24"/>
          <w:szCs w:val="24"/>
          <w:lang w:val="en-GB"/>
        </w:rPr>
        <w:t xml:space="preserve"> </w:t>
      </w:r>
      <w:r w:rsidR="003B2EC2" w:rsidRPr="003B2EC2">
        <w:rPr>
          <w:rFonts w:ascii="Cambria" w:hAnsi="Cambria" w:cs="Arial"/>
          <w:sz w:val="24"/>
          <w:szCs w:val="24"/>
          <w:lang w:val="en-GB"/>
        </w:rPr>
        <w:t>Additionally, the Licensee is required to maintain and strengthen consumer service delivery mechanisms such as Customer Care Centres, Call Centre operations, digital complaint redressal systems, SMS services and field-level grievance handling infrastructure. The expenditure on these activities has increased with rising consumer expectations, higher complaint volumes and the requirement for quicker resolution timelines. The Licensee is also incurring additional insurance costs for network assets and offices, lease rentals, audit fees, and statutory payments, all of which have seen substantial upward revision.</w:t>
      </w:r>
      <w:r w:rsidR="00D610EC">
        <w:rPr>
          <w:rFonts w:ascii="Cambria" w:hAnsi="Cambria" w:cs="Arial"/>
          <w:sz w:val="24"/>
          <w:szCs w:val="24"/>
          <w:lang w:val="en-GB"/>
        </w:rPr>
        <w:t xml:space="preserve"> </w:t>
      </w:r>
      <w:r w:rsidR="00D610EC" w:rsidRPr="00D610EC">
        <w:rPr>
          <w:rFonts w:ascii="Cambria" w:hAnsi="Cambria" w:cs="Arial"/>
          <w:sz w:val="24"/>
          <w:szCs w:val="24"/>
          <w:lang w:val="en-GB"/>
        </w:rPr>
        <w:t>These are genuine</w:t>
      </w:r>
      <w:r w:rsidR="00D610EC">
        <w:rPr>
          <w:rFonts w:ascii="Cambria" w:hAnsi="Cambria" w:cs="Arial"/>
          <w:sz w:val="24"/>
          <w:szCs w:val="24"/>
          <w:lang w:val="en-GB"/>
        </w:rPr>
        <w:t xml:space="preserve"> and </w:t>
      </w:r>
      <w:r w:rsidR="00D610EC" w:rsidRPr="00D610EC">
        <w:rPr>
          <w:rFonts w:ascii="Cambria" w:hAnsi="Cambria" w:cs="Arial"/>
          <w:sz w:val="24"/>
          <w:szCs w:val="24"/>
          <w:lang w:val="en-GB"/>
        </w:rPr>
        <w:t xml:space="preserve">unavoidable </w:t>
      </w:r>
      <w:r w:rsidR="00D610EC">
        <w:rPr>
          <w:rFonts w:ascii="Cambria" w:hAnsi="Cambria" w:cs="Arial"/>
          <w:sz w:val="24"/>
          <w:szCs w:val="24"/>
          <w:lang w:val="en-GB"/>
        </w:rPr>
        <w:t>expenses</w:t>
      </w:r>
      <w:r w:rsidR="00D610EC" w:rsidRPr="00D610EC">
        <w:rPr>
          <w:rFonts w:ascii="Cambria" w:hAnsi="Cambria" w:cs="Arial"/>
          <w:sz w:val="24"/>
          <w:szCs w:val="24"/>
          <w:lang w:val="en-GB"/>
        </w:rPr>
        <w:t xml:space="preserve"> directly linked to ensuring reliable and uninterrupted power supply.</w:t>
      </w:r>
    </w:p>
    <w:p w14:paraId="64E7F38D" w14:textId="64A3BEBC" w:rsidR="00CF31E8" w:rsidRDefault="00BD2268" w:rsidP="0097212A">
      <w:pPr>
        <w:pStyle w:val="BodyText2"/>
        <w:spacing w:beforeLines="100" w:before="240" w:afterLines="100" w:after="240" w:line="360" w:lineRule="auto"/>
        <w:jc w:val="both"/>
        <w:rPr>
          <w:rFonts w:ascii="Cambria" w:hAnsi="Cambria" w:cs="Arial"/>
          <w:sz w:val="24"/>
          <w:szCs w:val="24"/>
          <w:lang w:val="en-GB"/>
        </w:rPr>
      </w:pPr>
      <w:r w:rsidRPr="003308FF">
        <w:rPr>
          <w:rFonts w:ascii="Cambria" w:hAnsi="Cambria" w:cs="Arial"/>
          <w:sz w:val="24"/>
          <w:szCs w:val="24"/>
          <w:lang w:val="en-GB"/>
        </w:rPr>
        <w:t xml:space="preserve">Accordingly, the Hon’ble Commission is requested to </w:t>
      </w:r>
      <w:r w:rsidR="0011025F" w:rsidRPr="003308FF">
        <w:rPr>
          <w:rFonts w:ascii="Cambria" w:hAnsi="Cambria" w:cs="Arial"/>
          <w:sz w:val="24"/>
          <w:szCs w:val="24"/>
          <w:lang w:val="en-GB"/>
        </w:rPr>
        <w:t xml:space="preserve">allow </w:t>
      </w:r>
      <w:r w:rsidR="00D610EC">
        <w:rPr>
          <w:rFonts w:ascii="Cambria" w:hAnsi="Cambria" w:cs="Arial"/>
          <w:sz w:val="24"/>
          <w:szCs w:val="24"/>
          <w:lang w:val="en-GB"/>
        </w:rPr>
        <w:t>any</w:t>
      </w:r>
      <w:r w:rsidR="0011025F" w:rsidRPr="003308FF">
        <w:rPr>
          <w:rFonts w:ascii="Cambria" w:hAnsi="Cambria" w:cs="Arial"/>
          <w:sz w:val="24"/>
          <w:szCs w:val="24"/>
          <w:lang w:val="en-GB"/>
        </w:rPr>
        <w:t xml:space="preserve"> additional cost incurred on account of wage revision</w:t>
      </w:r>
      <w:r w:rsidR="005C1255" w:rsidRPr="003308FF">
        <w:rPr>
          <w:rFonts w:ascii="Cambria" w:hAnsi="Cambria" w:cs="Arial"/>
          <w:sz w:val="24"/>
          <w:szCs w:val="24"/>
          <w:lang w:val="en-GB"/>
        </w:rPr>
        <w:t xml:space="preserve"> </w:t>
      </w:r>
      <w:r w:rsidR="00A01571" w:rsidRPr="003308FF">
        <w:rPr>
          <w:rFonts w:ascii="Cambria" w:hAnsi="Cambria" w:cs="Arial"/>
          <w:sz w:val="24"/>
          <w:szCs w:val="24"/>
          <w:lang w:val="en-GB"/>
        </w:rPr>
        <w:t xml:space="preserve">during the current year </w:t>
      </w:r>
      <w:r w:rsidR="00720590">
        <w:rPr>
          <w:rFonts w:ascii="Cambria" w:hAnsi="Cambria" w:cs="Arial"/>
          <w:sz w:val="24"/>
          <w:szCs w:val="24"/>
          <w:lang w:val="en-GB"/>
        </w:rPr>
        <w:t>as well as for the ensuing year</w:t>
      </w:r>
      <w:r w:rsidR="0088025C">
        <w:rPr>
          <w:rFonts w:ascii="Cambria" w:hAnsi="Cambria" w:cs="Arial"/>
          <w:sz w:val="24"/>
          <w:szCs w:val="24"/>
          <w:lang w:val="en-GB"/>
        </w:rPr>
        <w:t>.</w:t>
      </w:r>
      <w:r w:rsidR="00720590">
        <w:rPr>
          <w:rFonts w:ascii="Cambria" w:hAnsi="Cambria" w:cs="Arial"/>
          <w:sz w:val="24"/>
          <w:szCs w:val="24"/>
          <w:lang w:val="en-GB"/>
        </w:rPr>
        <w:t xml:space="preserve"> </w:t>
      </w:r>
      <w:r w:rsidR="0088025C">
        <w:rPr>
          <w:rFonts w:ascii="Cambria" w:hAnsi="Cambria" w:cs="Arial"/>
          <w:sz w:val="24"/>
          <w:szCs w:val="24"/>
          <w:lang w:val="en-GB"/>
        </w:rPr>
        <w:t>W</w:t>
      </w:r>
      <w:r w:rsidR="00A01571" w:rsidRPr="003308FF">
        <w:rPr>
          <w:rFonts w:ascii="Cambria" w:hAnsi="Cambria" w:cs="Arial"/>
          <w:sz w:val="24"/>
          <w:szCs w:val="24"/>
          <w:lang w:val="en-GB"/>
        </w:rPr>
        <w:t xml:space="preserve">hile projecting the cost of MBC for ensuing year the base after wage revision has been </w:t>
      </w:r>
      <w:r w:rsidR="009729CF" w:rsidRPr="003308FF">
        <w:rPr>
          <w:rFonts w:ascii="Cambria" w:hAnsi="Cambria" w:cs="Arial"/>
          <w:sz w:val="24"/>
          <w:szCs w:val="24"/>
          <w:lang w:val="en-GB"/>
        </w:rPr>
        <w:t>considered</w:t>
      </w:r>
      <w:r w:rsidR="00A01571" w:rsidRPr="003308FF">
        <w:rPr>
          <w:rFonts w:ascii="Cambria" w:hAnsi="Cambria" w:cs="Arial"/>
          <w:sz w:val="24"/>
          <w:szCs w:val="24"/>
          <w:lang w:val="en-GB"/>
        </w:rPr>
        <w:t>.</w:t>
      </w:r>
      <w:r w:rsidR="00D610EC">
        <w:rPr>
          <w:rFonts w:ascii="Cambria" w:hAnsi="Cambria" w:cs="Arial"/>
          <w:sz w:val="24"/>
          <w:szCs w:val="24"/>
          <w:lang w:val="en-GB"/>
        </w:rPr>
        <w:t xml:space="preserve"> </w:t>
      </w:r>
    </w:p>
    <w:p w14:paraId="4FD6473D" w14:textId="0F8E694A" w:rsidR="00F63862" w:rsidRDefault="00EC42BD" w:rsidP="0097212A">
      <w:pPr>
        <w:pStyle w:val="BodyText2"/>
        <w:spacing w:beforeLines="100" w:before="240" w:afterLines="100" w:after="240" w:line="360" w:lineRule="auto"/>
        <w:jc w:val="both"/>
        <w:rPr>
          <w:rFonts w:ascii="Cambria" w:hAnsi="Cambria" w:cs="Arial"/>
          <w:sz w:val="24"/>
          <w:szCs w:val="24"/>
          <w:lang w:val="en-GB"/>
        </w:rPr>
      </w:pPr>
      <w:r>
        <w:rPr>
          <w:rFonts w:ascii="Cambria" w:hAnsi="Cambria" w:cs="Arial"/>
          <w:sz w:val="24"/>
          <w:szCs w:val="24"/>
          <w:lang w:val="en-GB"/>
        </w:rPr>
        <w:t>The Licensee</w:t>
      </w:r>
      <w:r w:rsidR="00B62367">
        <w:rPr>
          <w:rFonts w:ascii="Cambria" w:hAnsi="Cambria" w:cs="Arial"/>
          <w:sz w:val="24"/>
          <w:szCs w:val="24"/>
          <w:lang w:val="en-GB"/>
        </w:rPr>
        <w:t xml:space="preserve"> has projected the A&amp;G cost for ensuing year with hike of 7% on estimated expenses of current year</w:t>
      </w:r>
      <w:r w:rsidR="00C02105">
        <w:rPr>
          <w:rFonts w:ascii="Cambria" w:hAnsi="Cambria" w:cs="Arial"/>
          <w:sz w:val="24"/>
          <w:szCs w:val="24"/>
          <w:lang w:val="en-GB"/>
        </w:rPr>
        <w:t xml:space="preserve"> (FY 2</w:t>
      </w:r>
      <w:r w:rsidR="00EF4F70">
        <w:rPr>
          <w:rFonts w:ascii="Cambria" w:hAnsi="Cambria" w:cs="Arial"/>
          <w:sz w:val="24"/>
          <w:szCs w:val="24"/>
          <w:lang w:val="en-GB"/>
        </w:rPr>
        <w:t>5</w:t>
      </w:r>
      <w:r w:rsidR="00C02105">
        <w:rPr>
          <w:rFonts w:ascii="Cambria" w:hAnsi="Cambria" w:cs="Arial"/>
          <w:sz w:val="24"/>
          <w:szCs w:val="24"/>
          <w:lang w:val="en-GB"/>
        </w:rPr>
        <w:t>-2</w:t>
      </w:r>
      <w:r w:rsidR="00EF4F70">
        <w:rPr>
          <w:rFonts w:ascii="Cambria" w:hAnsi="Cambria" w:cs="Arial"/>
          <w:sz w:val="24"/>
          <w:szCs w:val="24"/>
          <w:lang w:val="en-GB"/>
        </w:rPr>
        <w:t>6</w:t>
      </w:r>
      <w:r w:rsidR="00C02105">
        <w:rPr>
          <w:rFonts w:ascii="Cambria" w:hAnsi="Cambria" w:cs="Arial"/>
          <w:sz w:val="24"/>
          <w:szCs w:val="24"/>
          <w:lang w:val="en-GB"/>
        </w:rPr>
        <w:t>)</w:t>
      </w:r>
      <w:r w:rsidR="00B62367">
        <w:rPr>
          <w:rFonts w:ascii="Cambria" w:hAnsi="Cambria" w:cs="Arial"/>
          <w:sz w:val="24"/>
          <w:szCs w:val="24"/>
          <w:lang w:val="en-GB"/>
        </w:rPr>
        <w:t xml:space="preserve"> and also reques</w:t>
      </w:r>
      <w:r w:rsidR="00382E29">
        <w:rPr>
          <w:rFonts w:ascii="Cambria" w:hAnsi="Cambria" w:cs="Arial"/>
          <w:sz w:val="24"/>
          <w:szCs w:val="24"/>
          <w:lang w:val="en-GB"/>
        </w:rPr>
        <w:t>ts</w:t>
      </w:r>
      <w:r w:rsidR="00B62367">
        <w:rPr>
          <w:rFonts w:ascii="Cambria" w:hAnsi="Cambria" w:cs="Arial"/>
          <w:sz w:val="24"/>
          <w:szCs w:val="24"/>
          <w:lang w:val="en-GB"/>
        </w:rPr>
        <w:t xml:space="preserve"> for </w:t>
      </w:r>
      <w:r w:rsidR="00382E29">
        <w:rPr>
          <w:rFonts w:ascii="Cambria" w:hAnsi="Cambria" w:cs="Arial"/>
          <w:sz w:val="24"/>
          <w:szCs w:val="24"/>
          <w:lang w:val="en-GB"/>
        </w:rPr>
        <w:t xml:space="preserve">approval of any </w:t>
      </w:r>
      <w:r w:rsidR="00B62367">
        <w:rPr>
          <w:rFonts w:ascii="Cambria" w:hAnsi="Cambria" w:cs="Arial"/>
          <w:sz w:val="24"/>
          <w:szCs w:val="24"/>
          <w:lang w:val="en-GB"/>
        </w:rPr>
        <w:t>additional expenses towards specific head with detail</w:t>
      </w:r>
      <w:r w:rsidR="00382E29">
        <w:rPr>
          <w:rFonts w:ascii="Cambria" w:hAnsi="Cambria" w:cs="Arial"/>
          <w:sz w:val="24"/>
          <w:szCs w:val="24"/>
          <w:lang w:val="en-GB"/>
        </w:rPr>
        <w:t>ed</w:t>
      </w:r>
      <w:r w:rsidR="00B62367">
        <w:rPr>
          <w:rFonts w:ascii="Cambria" w:hAnsi="Cambria" w:cs="Arial"/>
          <w:sz w:val="24"/>
          <w:szCs w:val="24"/>
          <w:lang w:val="en-GB"/>
        </w:rPr>
        <w:t xml:space="preserve"> justification as outlined in following sections</w:t>
      </w:r>
      <w:r w:rsidR="00382E29">
        <w:rPr>
          <w:rFonts w:ascii="Cambria" w:hAnsi="Cambria" w:cs="Arial"/>
          <w:sz w:val="24"/>
          <w:szCs w:val="24"/>
          <w:lang w:val="en-GB"/>
        </w:rPr>
        <w:t>.</w:t>
      </w:r>
      <w:r w:rsidR="00B62367">
        <w:rPr>
          <w:rFonts w:ascii="Cambria" w:hAnsi="Cambria" w:cs="Arial"/>
          <w:sz w:val="24"/>
          <w:szCs w:val="24"/>
          <w:lang w:val="en-GB"/>
        </w:rPr>
        <w:t xml:space="preserve"> </w:t>
      </w:r>
    </w:p>
    <w:p w14:paraId="66C6A144" w14:textId="7580AE18" w:rsidR="004276A0" w:rsidRDefault="004276A0" w:rsidP="0097212A">
      <w:pPr>
        <w:spacing w:beforeLines="100" w:before="240" w:afterLines="100" w:after="240" w:line="360" w:lineRule="auto"/>
        <w:jc w:val="both"/>
        <w:rPr>
          <w:rFonts w:ascii="Cambria" w:hAnsi="Cambria" w:cs="Arial"/>
          <w:b/>
          <w:bCs/>
        </w:rPr>
      </w:pPr>
      <w:r w:rsidRPr="003C0BB5">
        <w:rPr>
          <w:rFonts w:ascii="Cambria" w:hAnsi="Cambria" w:cs="Arial"/>
          <w:b/>
          <w:bCs/>
        </w:rPr>
        <w:t xml:space="preserve">The A&amp;G </w:t>
      </w:r>
      <w:r w:rsidR="002E5467" w:rsidRPr="003C0BB5">
        <w:rPr>
          <w:rFonts w:ascii="Cambria" w:hAnsi="Cambria" w:cs="Arial"/>
          <w:b/>
          <w:bCs/>
        </w:rPr>
        <w:t xml:space="preserve">expenses for FY </w:t>
      </w:r>
      <w:r w:rsidR="009A0E63" w:rsidRPr="003C0BB5">
        <w:rPr>
          <w:rFonts w:ascii="Cambria" w:hAnsi="Cambria" w:cs="Arial"/>
          <w:b/>
          <w:bCs/>
        </w:rPr>
        <w:t>2026-27</w:t>
      </w:r>
      <w:r w:rsidR="002E5467" w:rsidRPr="003C0BB5">
        <w:rPr>
          <w:rFonts w:ascii="Cambria" w:hAnsi="Cambria" w:cs="Arial"/>
          <w:b/>
          <w:bCs/>
        </w:rPr>
        <w:t xml:space="preserve"> </w:t>
      </w:r>
      <w:r w:rsidR="009729CF">
        <w:rPr>
          <w:rFonts w:ascii="Cambria" w:hAnsi="Cambria" w:cs="Arial"/>
          <w:b/>
          <w:bCs/>
        </w:rPr>
        <w:t>is</w:t>
      </w:r>
      <w:r w:rsidRPr="003C0BB5">
        <w:rPr>
          <w:rFonts w:ascii="Cambria" w:hAnsi="Cambria" w:cs="Arial"/>
          <w:b/>
          <w:bCs/>
        </w:rPr>
        <w:t xml:space="preserve"> projected at Rs </w:t>
      </w:r>
      <w:r w:rsidR="00624E3E" w:rsidRPr="003C0BB5">
        <w:rPr>
          <w:rFonts w:ascii="Cambria" w:hAnsi="Cambria" w:cs="Arial"/>
          <w:b/>
          <w:bCs/>
        </w:rPr>
        <w:t>2</w:t>
      </w:r>
      <w:r w:rsidR="00B92B32">
        <w:rPr>
          <w:rFonts w:ascii="Cambria" w:hAnsi="Cambria" w:cs="Arial"/>
          <w:b/>
          <w:bCs/>
        </w:rPr>
        <w:t>72.14</w:t>
      </w:r>
      <w:r w:rsidR="00516915" w:rsidRPr="003C0BB5">
        <w:rPr>
          <w:rFonts w:ascii="Cambria" w:hAnsi="Cambria" w:cs="Arial"/>
          <w:b/>
          <w:bCs/>
        </w:rPr>
        <w:t xml:space="preserve"> </w:t>
      </w:r>
      <w:r w:rsidRPr="003C0BB5">
        <w:rPr>
          <w:rFonts w:ascii="Cambria" w:hAnsi="Cambria" w:cs="Arial"/>
          <w:b/>
          <w:bCs/>
        </w:rPr>
        <w:t>Cr</w:t>
      </w:r>
      <w:r w:rsidR="00444274" w:rsidRPr="003C0BB5">
        <w:rPr>
          <w:rFonts w:ascii="Cambria" w:hAnsi="Cambria" w:cs="Arial"/>
          <w:b/>
          <w:bCs/>
        </w:rPr>
        <w:t>.</w:t>
      </w:r>
    </w:p>
    <w:p w14:paraId="6206CD62" w14:textId="77777777" w:rsidR="00F52CB2" w:rsidRPr="00F52CB2" w:rsidRDefault="000322F2" w:rsidP="0097212A">
      <w:pPr>
        <w:pStyle w:val="BodyText2"/>
        <w:spacing w:beforeLines="100" w:before="240" w:afterLines="100" w:after="240" w:line="360" w:lineRule="auto"/>
        <w:jc w:val="both"/>
        <w:rPr>
          <w:rFonts w:ascii="Cambria" w:hAnsi="Cambria" w:cs="Arial"/>
          <w:sz w:val="24"/>
          <w:szCs w:val="24"/>
          <w:lang w:val="en-GB"/>
        </w:rPr>
      </w:pPr>
      <w:r>
        <w:rPr>
          <w:rFonts w:ascii="Cambria" w:hAnsi="Cambria" w:cs="Arial"/>
          <w:sz w:val="24"/>
          <w:szCs w:val="24"/>
          <w:lang w:val="en-GB"/>
        </w:rPr>
        <w:t xml:space="preserve">It is submitted that </w:t>
      </w:r>
      <w:r w:rsidR="00F52CB2" w:rsidRPr="00F52CB2">
        <w:rPr>
          <w:rFonts w:ascii="Cambria" w:hAnsi="Cambria" w:cs="Arial"/>
          <w:sz w:val="24"/>
          <w:szCs w:val="24"/>
          <w:lang w:val="en-GB"/>
        </w:rPr>
        <w:t>there has been an increase in Meter Reading, Bill Distribution, Billing, and Collection (MBC) costs due to various reasons as under:</w:t>
      </w:r>
    </w:p>
    <w:p w14:paraId="3A02189F" w14:textId="45177D33" w:rsidR="00F52CB2" w:rsidRPr="00F52CB2" w:rsidRDefault="00F52CB2" w:rsidP="001972DE">
      <w:pPr>
        <w:pStyle w:val="BodyText2"/>
        <w:numPr>
          <w:ilvl w:val="0"/>
          <w:numId w:val="33"/>
        </w:numPr>
        <w:spacing w:line="276" w:lineRule="auto"/>
        <w:jc w:val="both"/>
        <w:rPr>
          <w:rFonts w:ascii="Cambria" w:hAnsi="Cambria" w:cs="Arial"/>
          <w:sz w:val="24"/>
          <w:szCs w:val="24"/>
          <w:lang w:val="en-GB"/>
        </w:rPr>
      </w:pPr>
      <w:r w:rsidRPr="00F52CB2">
        <w:rPr>
          <w:rFonts w:ascii="Cambria" w:hAnsi="Cambria" w:cs="Arial"/>
          <w:sz w:val="24"/>
          <w:szCs w:val="24"/>
          <w:lang w:val="en-GB"/>
        </w:rPr>
        <w:t>Transition towards advanced metering infrastructure (AMI) and smart meters, while beneficial in the long run, requires significant upfront investment in technology and training.</w:t>
      </w:r>
    </w:p>
    <w:p w14:paraId="7D775470" w14:textId="513DCEFC" w:rsidR="00F52CB2" w:rsidRPr="00F52CB2" w:rsidRDefault="00F52CB2" w:rsidP="001972DE">
      <w:pPr>
        <w:pStyle w:val="BodyText2"/>
        <w:numPr>
          <w:ilvl w:val="0"/>
          <w:numId w:val="33"/>
        </w:numPr>
        <w:spacing w:line="276" w:lineRule="auto"/>
        <w:jc w:val="both"/>
        <w:rPr>
          <w:rFonts w:ascii="Cambria" w:hAnsi="Cambria" w:cs="Arial"/>
          <w:sz w:val="24"/>
          <w:szCs w:val="24"/>
          <w:lang w:val="en-GB"/>
        </w:rPr>
      </w:pPr>
      <w:r w:rsidRPr="00F52CB2">
        <w:rPr>
          <w:rFonts w:ascii="Cambria" w:hAnsi="Cambria" w:cs="Arial"/>
          <w:sz w:val="24"/>
          <w:szCs w:val="24"/>
          <w:lang w:val="en-GB"/>
        </w:rPr>
        <w:t xml:space="preserve">Rising costs of </w:t>
      </w:r>
      <w:proofErr w:type="spellStart"/>
      <w:r w:rsidRPr="00F52CB2">
        <w:rPr>
          <w:rFonts w:ascii="Cambria" w:hAnsi="Cambria" w:cs="Arial"/>
          <w:sz w:val="24"/>
          <w:szCs w:val="24"/>
          <w:lang w:val="en-GB"/>
        </w:rPr>
        <w:t>labor</w:t>
      </w:r>
      <w:proofErr w:type="spellEnd"/>
      <w:r w:rsidRPr="00F52CB2">
        <w:rPr>
          <w:rFonts w:ascii="Cambria" w:hAnsi="Cambria" w:cs="Arial"/>
          <w:sz w:val="24"/>
          <w:szCs w:val="24"/>
          <w:lang w:val="en-GB"/>
        </w:rPr>
        <w:t>, driven by inflation and increased demand for skilled personnel.</w:t>
      </w:r>
    </w:p>
    <w:p w14:paraId="65EF543B" w14:textId="39204CE3" w:rsidR="00F52CB2" w:rsidRPr="00F52CB2" w:rsidRDefault="00F52CB2" w:rsidP="001972DE">
      <w:pPr>
        <w:pStyle w:val="BodyText2"/>
        <w:numPr>
          <w:ilvl w:val="0"/>
          <w:numId w:val="33"/>
        </w:numPr>
        <w:spacing w:line="276" w:lineRule="auto"/>
        <w:jc w:val="both"/>
        <w:rPr>
          <w:rFonts w:ascii="Cambria" w:hAnsi="Cambria" w:cs="Arial"/>
          <w:sz w:val="24"/>
          <w:szCs w:val="24"/>
          <w:lang w:val="en-GB"/>
        </w:rPr>
      </w:pPr>
      <w:r w:rsidRPr="00F52CB2">
        <w:rPr>
          <w:rFonts w:ascii="Cambria" w:hAnsi="Cambria" w:cs="Arial"/>
          <w:sz w:val="24"/>
          <w:szCs w:val="24"/>
          <w:lang w:val="en-GB"/>
        </w:rPr>
        <w:t>Growing complexity of billing systems, including the need for accurate data integration and management.</w:t>
      </w:r>
    </w:p>
    <w:p w14:paraId="297F4BE7" w14:textId="1D145E7A" w:rsidR="00F52CB2" w:rsidRPr="00F52CB2" w:rsidRDefault="00F52CB2" w:rsidP="001972DE">
      <w:pPr>
        <w:pStyle w:val="BodyText2"/>
        <w:numPr>
          <w:ilvl w:val="0"/>
          <w:numId w:val="33"/>
        </w:numPr>
        <w:spacing w:line="276" w:lineRule="auto"/>
        <w:jc w:val="both"/>
        <w:rPr>
          <w:rFonts w:ascii="Cambria" w:hAnsi="Cambria" w:cs="Arial"/>
          <w:sz w:val="24"/>
          <w:szCs w:val="24"/>
          <w:lang w:val="en-GB"/>
        </w:rPr>
      </w:pPr>
      <w:r w:rsidRPr="00F52CB2">
        <w:rPr>
          <w:rFonts w:ascii="Cambria" w:hAnsi="Cambria" w:cs="Arial"/>
          <w:sz w:val="24"/>
          <w:szCs w:val="24"/>
          <w:lang w:val="en-GB"/>
        </w:rPr>
        <w:t>Enhancements in customer service, such as improved complaint resolution mechanisms, necessitate additional resources and technology investments.</w:t>
      </w:r>
    </w:p>
    <w:p w14:paraId="6AEB2EF7" w14:textId="65EA62CF" w:rsidR="00177B1F" w:rsidRDefault="00F52CB2" w:rsidP="001972DE">
      <w:pPr>
        <w:pStyle w:val="BodyText2"/>
        <w:numPr>
          <w:ilvl w:val="0"/>
          <w:numId w:val="33"/>
        </w:numPr>
        <w:spacing w:line="276" w:lineRule="auto"/>
        <w:jc w:val="both"/>
        <w:rPr>
          <w:rFonts w:ascii="Cambria" w:hAnsi="Cambria" w:cs="Arial"/>
          <w:sz w:val="24"/>
          <w:szCs w:val="24"/>
          <w:lang w:val="en-GB"/>
        </w:rPr>
      </w:pPr>
      <w:r w:rsidRPr="00F52CB2">
        <w:rPr>
          <w:rFonts w:ascii="Cambria" w:hAnsi="Cambria" w:cs="Arial"/>
          <w:sz w:val="24"/>
          <w:szCs w:val="24"/>
          <w:lang w:val="en-GB"/>
        </w:rPr>
        <w:t>Implementation of robust collection strategies to minimize revenue losses from delinquent accounts.</w:t>
      </w:r>
    </w:p>
    <w:p w14:paraId="450CE5EA" w14:textId="77777777" w:rsidR="009729CF" w:rsidRDefault="00C23C9F" w:rsidP="00AA2A98">
      <w:pPr>
        <w:spacing w:line="360" w:lineRule="auto"/>
        <w:jc w:val="both"/>
        <w:rPr>
          <w:rFonts w:ascii="Cambria" w:hAnsi="Cambria"/>
        </w:rPr>
      </w:pPr>
      <w:r w:rsidRPr="00C23C9F">
        <w:rPr>
          <w:rFonts w:ascii="Cambria" w:hAnsi="Cambria"/>
        </w:rPr>
        <w:t>Furthermore, it is important to highlight that from FY 2018-19 to FY 202</w:t>
      </w:r>
      <w:r w:rsidR="00B51D9F">
        <w:rPr>
          <w:rFonts w:ascii="Cambria" w:hAnsi="Cambria"/>
        </w:rPr>
        <w:t>4</w:t>
      </w:r>
      <w:r w:rsidRPr="00C23C9F">
        <w:rPr>
          <w:rFonts w:ascii="Cambria" w:hAnsi="Cambria"/>
        </w:rPr>
        <w:t>-2</w:t>
      </w:r>
      <w:r w:rsidR="00B51D9F">
        <w:rPr>
          <w:rFonts w:ascii="Cambria" w:hAnsi="Cambria"/>
        </w:rPr>
        <w:t>5</w:t>
      </w:r>
      <w:r w:rsidRPr="00C23C9F">
        <w:rPr>
          <w:rFonts w:ascii="Cambria" w:hAnsi="Cambria"/>
        </w:rPr>
        <w:t xml:space="preserve">, DISCOM has witnessed a steady increase in month-wise revenue collection (LT), demonstrating improved operational efficiency, greater billing accuracy, and broader consumer outreach. </w:t>
      </w:r>
    </w:p>
    <w:p w14:paraId="320EA826" w14:textId="77777777" w:rsidR="009729CF" w:rsidRDefault="009729CF" w:rsidP="00AA2A98">
      <w:pPr>
        <w:spacing w:line="360" w:lineRule="auto"/>
        <w:jc w:val="both"/>
        <w:rPr>
          <w:rFonts w:ascii="Cambria" w:hAnsi="Cambria"/>
        </w:rPr>
      </w:pPr>
    </w:p>
    <w:p w14:paraId="0897DAC8" w14:textId="1ADD2CDC" w:rsidR="00AF668F" w:rsidRDefault="00AF668F" w:rsidP="00AA2A98">
      <w:pPr>
        <w:spacing w:line="360" w:lineRule="auto"/>
        <w:jc w:val="both"/>
        <w:rPr>
          <w:rFonts w:ascii="Cambria" w:hAnsi="Cambria"/>
        </w:rPr>
      </w:pPr>
      <w:r w:rsidRPr="00AF668F">
        <w:rPr>
          <w:rFonts w:ascii="Cambria" w:hAnsi="Cambria"/>
        </w:rPr>
        <w:t>The month-wise collection trend for the LT segment is tabulated as below:</w:t>
      </w:r>
    </w:p>
    <w:p w14:paraId="5EF4FC51" w14:textId="1FAD0F58" w:rsidR="00277E8C" w:rsidRPr="00277E8C" w:rsidRDefault="00277E8C" w:rsidP="00277E8C">
      <w:pPr>
        <w:ind w:left="7920"/>
        <w:jc w:val="both"/>
        <w:rPr>
          <w:rFonts w:ascii="Cambria" w:hAnsi="Cambria"/>
          <w:b/>
        </w:rPr>
      </w:pPr>
      <w:r>
        <w:rPr>
          <w:rFonts w:ascii="Cambria" w:hAnsi="Cambria"/>
          <w:b/>
        </w:rPr>
        <w:t xml:space="preserve">           </w:t>
      </w:r>
      <w:r w:rsidRPr="00277E8C">
        <w:rPr>
          <w:rFonts w:ascii="Cambria" w:hAnsi="Cambria"/>
          <w:b/>
        </w:rPr>
        <w:t>Rs. Cr.</w:t>
      </w:r>
    </w:p>
    <w:tbl>
      <w:tblPr>
        <w:tblW w:w="1013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613"/>
        <w:gridCol w:w="696"/>
        <w:gridCol w:w="726"/>
        <w:gridCol w:w="725"/>
        <w:gridCol w:w="698"/>
        <w:gridCol w:w="731"/>
        <w:gridCol w:w="721"/>
        <w:gridCol w:w="696"/>
        <w:gridCol w:w="696"/>
        <w:gridCol w:w="702"/>
        <w:gridCol w:w="742"/>
        <w:gridCol w:w="731"/>
        <w:gridCol w:w="888"/>
      </w:tblGrid>
      <w:tr w:rsidR="00D9743D" w:rsidRPr="00BA3DB7" w14:paraId="5ED74A3C" w14:textId="77777777" w:rsidTr="005C4611">
        <w:trPr>
          <w:trHeight w:val="307"/>
          <w:tblHeader/>
        </w:trPr>
        <w:tc>
          <w:tcPr>
            <w:tcW w:w="766" w:type="dxa"/>
            <w:vMerge w:val="restart"/>
            <w:shd w:val="clear" w:color="auto" w:fill="DBE5F1" w:themeFill="accent1" w:themeFillTint="33"/>
            <w:vAlign w:val="center"/>
            <w:hideMark/>
          </w:tcPr>
          <w:p w14:paraId="7E2C357E" w14:textId="77777777" w:rsidR="00463FB5" w:rsidRPr="00BA3DB7" w:rsidRDefault="00463FB5" w:rsidP="00F75F9E">
            <w:pPr>
              <w:jc w:val="center"/>
              <w:rPr>
                <w:rFonts w:ascii="Cambria" w:hAnsi="Cambria"/>
                <w:b/>
                <w:bCs/>
                <w:color w:val="000000"/>
                <w:sz w:val="20"/>
                <w:szCs w:val="20"/>
                <w:lang w:val="en-IN" w:eastAsia="en-IN" w:bidi="hi-IN"/>
              </w:rPr>
            </w:pPr>
            <w:bookmarkStart w:id="24" w:name="_Hlk212466092"/>
            <w:r w:rsidRPr="00BA3DB7">
              <w:rPr>
                <w:rFonts w:ascii="Cambria" w:hAnsi="Cambria"/>
                <w:b/>
                <w:bCs/>
                <w:color w:val="000000"/>
                <w:sz w:val="20"/>
                <w:szCs w:val="20"/>
                <w:lang w:eastAsia="en-IN" w:bidi="hi-IN"/>
              </w:rPr>
              <w:t>FY</w:t>
            </w:r>
          </w:p>
        </w:tc>
        <w:tc>
          <w:tcPr>
            <w:tcW w:w="613" w:type="dxa"/>
            <w:shd w:val="clear" w:color="auto" w:fill="DBE5F1" w:themeFill="accent1" w:themeFillTint="33"/>
            <w:vAlign w:val="center"/>
            <w:hideMark/>
          </w:tcPr>
          <w:p w14:paraId="010D1A37"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Apr</w:t>
            </w:r>
          </w:p>
        </w:tc>
        <w:tc>
          <w:tcPr>
            <w:tcW w:w="696" w:type="dxa"/>
            <w:shd w:val="clear" w:color="auto" w:fill="DBE5F1" w:themeFill="accent1" w:themeFillTint="33"/>
            <w:vAlign w:val="center"/>
            <w:hideMark/>
          </w:tcPr>
          <w:p w14:paraId="6EB351C5"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May</w:t>
            </w:r>
          </w:p>
        </w:tc>
        <w:tc>
          <w:tcPr>
            <w:tcW w:w="726" w:type="dxa"/>
            <w:shd w:val="clear" w:color="auto" w:fill="DBE5F1" w:themeFill="accent1" w:themeFillTint="33"/>
            <w:vAlign w:val="center"/>
            <w:hideMark/>
          </w:tcPr>
          <w:p w14:paraId="7054EFB2"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Jun</w:t>
            </w:r>
          </w:p>
        </w:tc>
        <w:tc>
          <w:tcPr>
            <w:tcW w:w="725" w:type="dxa"/>
            <w:shd w:val="clear" w:color="auto" w:fill="DBE5F1" w:themeFill="accent1" w:themeFillTint="33"/>
            <w:vAlign w:val="center"/>
            <w:hideMark/>
          </w:tcPr>
          <w:p w14:paraId="057C7215"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Jul</w:t>
            </w:r>
          </w:p>
        </w:tc>
        <w:tc>
          <w:tcPr>
            <w:tcW w:w="698" w:type="dxa"/>
            <w:shd w:val="clear" w:color="auto" w:fill="DBE5F1" w:themeFill="accent1" w:themeFillTint="33"/>
            <w:vAlign w:val="center"/>
            <w:hideMark/>
          </w:tcPr>
          <w:p w14:paraId="12315132"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Aug</w:t>
            </w:r>
          </w:p>
        </w:tc>
        <w:tc>
          <w:tcPr>
            <w:tcW w:w="731" w:type="dxa"/>
            <w:shd w:val="clear" w:color="auto" w:fill="DBE5F1" w:themeFill="accent1" w:themeFillTint="33"/>
            <w:vAlign w:val="center"/>
            <w:hideMark/>
          </w:tcPr>
          <w:p w14:paraId="09049C2C"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Sep</w:t>
            </w:r>
          </w:p>
        </w:tc>
        <w:tc>
          <w:tcPr>
            <w:tcW w:w="721" w:type="dxa"/>
            <w:shd w:val="clear" w:color="auto" w:fill="DBE5F1" w:themeFill="accent1" w:themeFillTint="33"/>
            <w:vAlign w:val="center"/>
            <w:hideMark/>
          </w:tcPr>
          <w:p w14:paraId="10E7EF85"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Oct</w:t>
            </w:r>
          </w:p>
        </w:tc>
        <w:tc>
          <w:tcPr>
            <w:tcW w:w="696" w:type="dxa"/>
            <w:shd w:val="clear" w:color="auto" w:fill="DBE5F1" w:themeFill="accent1" w:themeFillTint="33"/>
            <w:vAlign w:val="center"/>
            <w:hideMark/>
          </w:tcPr>
          <w:p w14:paraId="2CDC8940"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Nov</w:t>
            </w:r>
          </w:p>
        </w:tc>
        <w:tc>
          <w:tcPr>
            <w:tcW w:w="696" w:type="dxa"/>
            <w:shd w:val="clear" w:color="auto" w:fill="DBE5F1" w:themeFill="accent1" w:themeFillTint="33"/>
            <w:vAlign w:val="center"/>
            <w:hideMark/>
          </w:tcPr>
          <w:p w14:paraId="238A1E1D"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Dec</w:t>
            </w:r>
          </w:p>
        </w:tc>
        <w:tc>
          <w:tcPr>
            <w:tcW w:w="702" w:type="dxa"/>
            <w:shd w:val="clear" w:color="auto" w:fill="DBE5F1" w:themeFill="accent1" w:themeFillTint="33"/>
            <w:vAlign w:val="center"/>
            <w:hideMark/>
          </w:tcPr>
          <w:p w14:paraId="04B20B6A"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Jan</w:t>
            </w:r>
          </w:p>
        </w:tc>
        <w:tc>
          <w:tcPr>
            <w:tcW w:w="742" w:type="dxa"/>
            <w:shd w:val="clear" w:color="auto" w:fill="DBE5F1" w:themeFill="accent1" w:themeFillTint="33"/>
            <w:vAlign w:val="center"/>
            <w:hideMark/>
          </w:tcPr>
          <w:p w14:paraId="3D6CA2EC"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Feb</w:t>
            </w:r>
          </w:p>
        </w:tc>
        <w:tc>
          <w:tcPr>
            <w:tcW w:w="731" w:type="dxa"/>
            <w:shd w:val="clear" w:color="auto" w:fill="DBE5F1" w:themeFill="accent1" w:themeFillTint="33"/>
            <w:vAlign w:val="center"/>
            <w:hideMark/>
          </w:tcPr>
          <w:p w14:paraId="0BB3012B"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Mar</w:t>
            </w:r>
          </w:p>
        </w:tc>
        <w:tc>
          <w:tcPr>
            <w:tcW w:w="888" w:type="dxa"/>
            <w:shd w:val="clear" w:color="auto" w:fill="DBE5F1" w:themeFill="accent1" w:themeFillTint="33"/>
            <w:vAlign w:val="center"/>
            <w:hideMark/>
          </w:tcPr>
          <w:p w14:paraId="6D408265"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Total</w:t>
            </w:r>
          </w:p>
        </w:tc>
      </w:tr>
      <w:tr w:rsidR="00463FB5" w:rsidRPr="00BA3DB7" w14:paraId="6506C55D" w14:textId="77777777" w:rsidTr="005C4611">
        <w:trPr>
          <w:trHeight w:val="307"/>
          <w:tblHeader/>
        </w:trPr>
        <w:tc>
          <w:tcPr>
            <w:tcW w:w="766" w:type="dxa"/>
            <w:vMerge/>
            <w:shd w:val="clear" w:color="auto" w:fill="DBE5F1" w:themeFill="accent1" w:themeFillTint="33"/>
            <w:vAlign w:val="center"/>
            <w:hideMark/>
          </w:tcPr>
          <w:p w14:paraId="0447CF38" w14:textId="77777777" w:rsidR="00463FB5" w:rsidRPr="00BA3DB7" w:rsidRDefault="00463FB5" w:rsidP="00F75F9E">
            <w:pPr>
              <w:jc w:val="center"/>
              <w:rPr>
                <w:rFonts w:ascii="Cambria" w:hAnsi="Cambria"/>
                <w:b/>
                <w:bCs/>
                <w:color w:val="000000"/>
                <w:sz w:val="20"/>
                <w:szCs w:val="20"/>
                <w:lang w:val="en-IN" w:eastAsia="en-IN" w:bidi="hi-IN"/>
              </w:rPr>
            </w:pPr>
          </w:p>
        </w:tc>
        <w:tc>
          <w:tcPr>
            <w:tcW w:w="9365" w:type="dxa"/>
            <w:gridSpan w:val="13"/>
            <w:shd w:val="clear" w:color="auto" w:fill="DBE5F1" w:themeFill="accent1" w:themeFillTint="33"/>
            <w:vAlign w:val="center"/>
            <w:hideMark/>
          </w:tcPr>
          <w:p w14:paraId="51E54EA4"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(Rs. Cr.)</w:t>
            </w:r>
          </w:p>
        </w:tc>
      </w:tr>
      <w:tr w:rsidR="00463FB5" w:rsidRPr="00BA3DB7" w14:paraId="6A9641CE" w14:textId="77777777" w:rsidTr="005C4611">
        <w:trPr>
          <w:trHeight w:val="307"/>
        </w:trPr>
        <w:tc>
          <w:tcPr>
            <w:tcW w:w="766" w:type="dxa"/>
            <w:vAlign w:val="center"/>
            <w:hideMark/>
          </w:tcPr>
          <w:p w14:paraId="4FCE6E2E"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18-19</w:t>
            </w:r>
          </w:p>
        </w:tc>
        <w:tc>
          <w:tcPr>
            <w:tcW w:w="613" w:type="dxa"/>
            <w:vAlign w:val="center"/>
            <w:hideMark/>
          </w:tcPr>
          <w:p w14:paraId="3D65BC0B"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45.6</w:t>
            </w:r>
          </w:p>
        </w:tc>
        <w:tc>
          <w:tcPr>
            <w:tcW w:w="696" w:type="dxa"/>
            <w:vAlign w:val="center"/>
            <w:hideMark/>
          </w:tcPr>
          <w:p w14:paraId="02EBC9F7"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40.6</w:t>
            </w:r>
          </w:p>
        </w:tc>
        <w:tc>
          <w:tcPr>
            <w:tcW w:w="726" w:type="dxa"/>
            <w:vAlign w:val="center"/>
            <w:hideMark/>
          </w:tcPr>
          <w:p w14:paraId="2AAFC5A6"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54.0</w:t>
            </w:r>
          </w:p>
        </w:tc>
        <w:tc>
          <w:tcPr>
            <w:tcW w:w="725" w:type="dxa"/>
            <w:vAlign w:val="center"/>
            <w:hideMark/>
          </w:tcPr>
          <w:p w14:paraId="343E3EA2"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53.3</w:t>
            </w:r>
          </w:p>
        </w:tc>
        <w:tc>
          <w:tcPr>
            <w:tcW w:w="698" w:type="dxa"/>
            <w:vAlign w:val="center"/>
            <w:hideMark/>
          </w:tcPr>
          <w:p w14:paraId="52F5A8B6"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48.9</w:t>
            </w:r>
          </w:p>
        </w:tc>
        <w:tc>
          <w:tcPr>
            <w:tcW w:w="731" w:type="dxa"/>
            <w:vAlign w:val="center"/>
            <w:hideMark/>
          </w:tcPr>
          <w:p w14:paraId="3556427B"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46.2</w:t>
            </w:r>
          </w:p>
        </w:tc>
        <w:tc>
          <w:tcPr>
            <w:tcW w:w="721" w:type="dxa"/>
            <w:vAlign w:val="center"/>
            <w:hideMark/>
          </w:tcPr>
          <w:p w14:paraId="494145E5"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47.9</w:t>
            </w:r>
          </w:p>
        </w:tc>
        <w:tc>
          <w:tcPr>
            <w:tcW w:w="696" w:type="dxa"/>
            <w:vAlign w:val="center"/>
            <w:hideMark/>
          </w:tcPr>
          <w:p w14:paraId="68233A88"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43.7</w:t>
            </w:r>
          </w:p>
        </w:tc>
        <w:tc>
          <w:tcPr>
            <w:tcW w:w="696" w:type="dxa"/>
            <w:vAlign w:val="center"/>
            <w:hideMark/>
          </w:tcPr>
          <w:p w14:paraId="2A89532B"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41.0</w:t>
            </w:r>
          </w:p>
        </w:tc>
        <w:tc>
          <w:tcPr>
            <w:tcW w:w="702" w:type="dxa"/>
            <w:vAlign w:val="center"/>
            <w:hideMark/>
          </w:tcPr>
          <w:p w14:paraId="71485157"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43.3</w:t>
            </w:r>
          </w:p>
        </w:tc>
        <w:tc>
          <w:tcPr>
            <w:tcW w:w="742" w:type="dxa"/>
            <w:vAlign w:val="center"/>
            <w:hideMark/>
          </w:tcPr>
          <w:p w14:paraId="7E6563B3"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38.0</w:t>
            </w:r>
          </w:p>
        </w:tc>
        <w:tc>
          <w:tcPr>
            <w:tcW w:w="731" w:type="dxa"/>
            <w:vAlign w:val="center"/>
            <w:hideMark/>
          </w:tcPr>
          <w:p w14:paraId="12AEB5DA"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202.9</w:t>
            </w:r>
          </w:p>
        </w:tc>
        <w:tc>
          <w:tcPr>
            <w:tcW w:w="888" w:type="dxa"/>
            <w:vAlign w:val="center"/>
            <w:hideMark/>
          </w:tcPr>
          <w:p w14:paraId="53832E5B" w14:textId="77777777" w:rsidR="00463FB5" w:rsidRPr="00BA3DB7" w:rsidRDefault="00463FB5" w:rsidP="00F75F9E">
            <w:pPr>
              <w:jc w:val="center"/>
              <w:rPr>
                <w:rFonts w:ascii="Cambria" w:hAnsi="Cambria"/>
                <w:b/>
                <w:bCs/>
                <w:color w:val="000000"/>
                <w:sz w:val="20"/>
                <w:szCs w:val="20"/>
                <w:lang w:val="en-IN" w:eastAsia="en-IN" w:bidi="hi-IN"/>
              </w:rPr>
            </w:pPr>
            <w:r>
              <w:rPr>
                <w:rFonts w:ascii="Cambria" w:hAnsi="Cambria"/>
                <w:b/>
                <w:bCs/>
                <w:color w:val="000000"/>
                <w:sz w:val="20"/>
                <w:szCs w:val="20"/>
              </w:rPr>
              <w:t>705.4</w:t>
            </w:r>
          </w:p>
        </w:tc>
      </w:tr>
      <w:tr w:rsidR="00463FB5" w:rsidRPr="00BA3DB7" w14:paraId="1AECB082" w14:textId="77777777" w:rsidTr="005C4611">
        <w:trPr>
          <w:trHeight w:val="307"/>
        </w:trPr>
        <w:tc>
          <w:tcPr>
            <w:tcW w:w="766" w:type="dxa"/>
            <w:vAlign w:val="center"/>
            <w:hideMark/>
          </w:tcPr>
          <w:p w14:paraId="2167797E"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19-20</w:t>
            </w:r>
          </w:p>
        </w:tc>
        <w:tc>
          <w:tcPr>
            <w:tcW w:w="613" w:type="dxa"/>
            <w:vAlign w:val="center"/>
            <w:hideMark/>
          </w:tcPr>
          <w:p w14:paraId="19ACA1B4"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35.8</w:t>
            </w:r>
          </w:p>
        </w:tc>
        <w:tc>
          <w:tcPr>
            <w:tcW w:w="696" w:type="dxa"/>
            <w:vAlign w:val="center"/>
            <w:hideMark/>
          </w:tcPr>
          <w:p w14:paraId="0EC44272"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50.3</w:t>
            </w:r>
          </w:p>
        </w:tc>
        <w:tc>
          <w:tcPr>
            <w:tcW w:w="726" w:type="dxa"/>
            <w:vAlign w:val="center"/>
            <w:hideMark/>
          </w:tcPr>
          <w:p w14:paraId="1A35D0E7"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58.6</w:t>
            </w:r>
          </w:p>
        </w:tc>
        <w:tc>
          <w:tcPr>
            <w:tcW w:w="725" w:type="dxa"/>
            <w:vAlign w:val="center"/>
            <w:hideMark/>
          </w:tcPr>
          <w:p w14:paraId="1D9BFE52"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56.8</w:t>
            </w:r>
          </w:p>
        </w:tc>
        <w:tc>
          <w:tcPr>
            <w:tcW w:w="698" w:type="dxa"/>
            <w:vAlign w:val="center"/>
            <w:hideMark/>
          </w:tcPr>
          <w:p w14:paraId="04783F73"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49.9</w:t>
            </w:r>
          </w:p>
        </w:tc>
        <w:tc>
          <w:tcPr>
            <w:tcW w:w="731" w:type="dxa"/>
            <w:vAlign w:val="center"/>
            <w:hideMark/>
          </w:tcPr>
          <w:p w14:paraId="1426BFF9"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49.4</w:t>
            </w:r>
          </w:p>
        </w:tc>
        <w:tc>
          <w:tcPr>
            <w:tcW w:w="721" w:type="dxa"/>
            <w:vAlign w:val="center"/>
            <w:hideMark/>
          </w:tcPr>
          <w:p w14:paraId="2D9F78D8"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55.9</w:t>
            </w:r>
          </w:p>
        </w:tc>
        <w:tc>
          <w:tcPr>
            <w:tcW w:w="696" w:type="dxa"/>
            <w:vAlign w:val="center"/>
            <w:hideMark/>
          </w:tcPr>
          <w:p w14:paraId="59EBB196"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56.5</w:t>
            </w:r>
          </w:p>
        </w:tc>
        <w:tc>
          <w:tcPr>
            <w:tcW w:w="696" w:type="dxa"/>
            <w:vAlign w:val="center"/>
            <w:hideMark/>
          </w:tcPr>
          <w:p w14:paraId="4208AD65"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57.8</w:t>
            </w:r>
          </w:p>
        </w:tc>
        <w:tc>
          <w:tcPr>
            <w:tcW w:w="702" w:type="dxa"/>
            <w:vAlign w:val="center"/>
            <w:hideMark/>
          </w:tcPr>
          <w:p w14:paraId="61F0D6BA"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57.3</w:t>
            </w:r>
          </w:p>
        </w:tc>
        <w:tc>
          <w:tcPr>
            <w:tcW w:w="742" w:type="dxa"/>
            <w:vAlign w:val="center"/>
            <w:hideMark/>
          </w:tcPr>
          <w:p w14:paraId="6F6A9202"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61.0</w:t>
            </w:r>
          </w:p>
        </w:tc>
        <w:tc>
          <w:tcPr>
            <w:tcW w:w="731" w:type="dxa"/>
            <w:vAlign w:val="center"/>
            <w:hideMark/>
          </w:tcPr>
          <w:p w14:paraId="66703AE7"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102.1</w:t>
            </w:r>
          </w:p>
        </w:tc>
        <w:tc>
          <w:tcPr>
            <w:tcW w:w="888" w:type="dxa"/>
            <w:vAlign w:val="center"/>
            <w:hideMark/>
          </w:tcPr>
          <w:p w14:paraId="7A90AA93" w14:textId="77777777" w:rsidR="00463FB5" w:rsidRPr="00BA3DB7" w:rsidRDefault="00463FB5" w:rsidP="00F75F9E">
            <w:pPr>
              <w:jc w:val="center"/>
              <w:rPr>
                <w:rFonts w:ascii="Cambria" w:hAnsi="Cambria"/>
                <w:b/>
                <w:bCs/>
                <w:color w:val="000000"/>
                <w:sz w:val="20"/>
                <w:szCs w:val="20"/>
                <w:lang w:val="en-IN" w:eastAsia="en-IN" w:bidi="hi-IN"/>
              </w:rPr>
            </w:pPr>
            <w:r>
              <w:rPr>
                <w:rFonts w:ascii="Cambria" w:hAnsi="Cambria"/>
                <w:b/>
                <w:bCs/>
                <w:color w:val="000000"/>
                <w:sz w:val="20"/>
                <w:szCs w:val="20"/>
              </w:rPr>
              <w:t>691.3</w:t>
            </w:r>
          </w:p>
        </w:tc>
      </w:tr>
      <w:tr w:rsidR="00463FB5" w:rsidRPr="00BA3DB7" w14:paraId="5C878692" w14:textId="77777777" w:rsidTr="005C4611">
        <w:trPr>
          <w:trHeight w:val="307"/>
        </w:trPr>
        <w:tc>
          <w:tcPr>
            <w:tcW w:w="766" w:type="dxa"/>
            <w:vAlign w:val="center"/>
            <w:hideMark/>
          </w:tcPr>
          <w:p w14:paraId="053C1C4F"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20-21</w:t>
            </w:r>
          </w:p>
        </w:tc>
        <w:tc>
          <w:tcPr>
            <w:tcW w:w="613" w:type="dxa"/>
            <w:vAlign w:val="center"/>
            <w:hideMark/>
          </w:tcPr>
          <w:p w14:paraId="6E16B533"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21.4</w:t>
            </w:r>
          </w:p>
        </w:tc>
        <w:tc>
          <w:tcPr>
            <w:tcW w:w="696" w:type="dxa"/>
            <w:vAlign w:val="center"/>
            <w:hideMark/>
          </w:tcPr>
          <w:p w14:paraId="78324FB3"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57.7</w:t>
            </w:r>
          </w:p>
        </w:tc>
        <w:tc>
          <w:tcPr>
            <w:tcW w:w="726" w:type="dxa"/>
            <w:vAlign w:val="center"/>
            <w:hideMark/>
          </w:tcPr>
          <w:p w14:paraId="3D286EB4"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64.3</w:t>
            </w:r>
          </w:p>
        </w:tc>
        <w:tc>
          <w:tcPr>
            <w:tcW w:w="725" w:type="dxa"/>
            <w:vAlign w:val="center"/>
            <w:hideMark/>
          </w:tcPr>
          <w:p w14:paraId="532BBFCA"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60.3</w:t>
            </w:r>
          </w:p>
        </w:tc>
        <w:tc>
          <w:tcPr>
            <w:tcW w:w="698" w:type="dxa"/>
            <w:vAlign w:val="center"/>
            <w:hideMark/>
          </w:tcPr>
          <w:p w14:paraId="50697E66"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58.8</w:t>
            </w:r>
          </w:p>
        </w:tc>
        <w:tc>
          <w:tcPr>
            <w:tcW w:w="731" w:type="dxa"/>
            <w:vAlign w:val="center"/>
            <w:hideMark/>
          </w:tcPr>
          <w:p w14:paraId="7A22FCF9"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62.8</w:t>
            </w:r>
          </w:p>
        </w:tc>
        <w:tc>
          <w:tcPr>
            <w:tcW w:w="721" w:type="dxa"/>
            <w:vAlign w:val="center"/>
            <w:hideMark/>
          </w:tcPr>
          <w:p w14:paraId="2B4FC835"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69.6</w:t>
            </w:r>
          </w:p>
        </w:tc>
        <w:tc>
          <w:tcPr>
            <w:tcW w:w="696" w:type="dxa"/>
            <w:vAlign w:val="center"/>
            <w:hideMark/>
          </w:tcPr>
          <w:p w14:paraId="2EC05486"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83.3</w:t>
            </w:r>
          </w:p>
        </w:tc>
        <w:tc>
          <w:tcPr>
            <w:tcW w:w="696" w:type="dxa"/>
            <w:vAlign w:val="center"/>
            <w:hideMark/>
          </w:tcPr>
          <w:p w14:paraId="23776628"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66.6</w:t>
            </w:r>
          </w:p>
        </w:tc>
        <w:tc>
          <w:tcPr>
            <w:tcW w:w="702" w:type="dxa"/>
            <w:vAlign w:val="center"/>
            <w:hideMark/>
          </w:tcPr>
          <w:p w14:paraId="3696DF54"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93.9</w:t>
            </w:r>
          </w:p>
        </w:tc>
        <w:tc>
          <w:tcPr>
            <w:tcW w:w="742" w:type="dxa"/>
            <w:vAlign w:val="center"/>
            <w:hideMark/>
          </w:tcPr>
          <w:p w14:paraId="55026857"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53.7</w:t>
            </w:r>
          </w:p>
        </w:tc>
        <w:tc>
          <w:tcPr>
            <w:tcW w:w="731" w:type="dxa"/>
            <w:vAlign w:val="center"/>
            <w:hideMark/>
          </w:tcPr>
          <w:p w14:paraId="5869AEBD"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220.3</w:t>
            </w:r>
          </w:p>
        </w:tc>
        <w:tc>
          <w:tcPr>
            <w:tcW w:w="888" w:type="dxa"/>
            <w:vAlign w:val="center"/>
            <w:hideMark/>
          </w:tcPr>
          <w:p w14:paraId="69618065" w14:textId="77777777" w:rsidR="00463FB5" w:rsidRPr="00BA3DB7" w:rsidRDefault="00463FB5" w:rsidP="00F75F9E">
            <w:pPr>
              <w:jc w:val="center"/>
              <w:rPr>
                <w:rFonts w:ascii="Cambria" w:hAnsi="Cambria"/>
                <w:b/>
                <w:bCs/>
                <w:color w:val="000000"/>
                <w:sz w:val="20"/>
                <w:szCs w:val="20"/>
                <w:lang w:val="en-IN" w:eastAsia="en-IN" w:bidi="hi-IN"/>
              </w:rPr>
            </w:pPr>
            <w:r>
              <w:rPr>
                <w:rFonts w:ascii="Cambria" w:hAnsi="Cambria"/>
                <w:b/>
                <w:bCs/>
                <w:color w:val="000000"/>
                <w:sz w:val="20"/>
                <w:szCs w:val="20"/>
              </w:rPr>
              <w:t>912.5</w:t>
            </w:r>
          </w:p>
        </w:tc>
      </w:tr>
      <w:tr w:rsidR="00463FB5" w:rsidRPr="00BA3DB7" w14:paraId="1D58937A" w14:textId="77777777" w:rsidTr="005C4611">
        <w:trPr>
          <w:trHeight w:val="307"/>
        </w:trPr>
        <w:tc>
          <w:tcPr>
            <w:tcW w:w="766" w:type="dxa"/>
            <w:vAlign w:val="center"/>
            <w:hideMark/>
          </w:tcPr>
          <w:p w14:paraId="56426DBF"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21-22</w:t>
            </w:r>
          </w:p>
        </w:tc>
        <w:tc>
          <w:tcPr>
            <w:tcW w:w="613" w:type="dxa"/>
            <w:vAlign w:val="center"/>
            <w:hideMark/>
          </w:tcPr>
          <w:p w14:paraId="4D792901"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49.7</w:t>
            </w:r>
          </w:p>
        </w:tc>
        <w:tc>
          <w:tcPr>
            <w:tcW w:w="696" w:type="dxa"/>
            <w:vAlign w:val="center"/>
            <w:hideMark/>
          </w:tcPr>
          <w:p w14:paraId="3C26E56D"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31.2</w:t>
            </w:r>
          </w:p>
        </w:tc>
        <w:tc>
          <w:tcPr>
            <w:tcW w:w="726" w:type="dxa"/>
            <w:vAlign w:val="center"/>
            <w:hideMark/>
          </w:tcPr>
          <w:p w14:paraId="3B3C6D2D"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91.6</w:t>
            </w:r>
          </w:p>
        </w:tc>
        <w:tc>
          <w:tcPr>
            <w:tcW w:w="725" w:type="dxa"/>
            <w:vAlign w:val="center"/>
            <w:hideMark/>
          </w:tcPr>
          <w:p w14:paraId="18352460"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71.6</w:t>
            </w:r>
          </w:p>
        </w:tc>
        <w:tc>
          <w:tcPr>
            <w:tcW w:w="698" w:type="dxa"/>
            <w:vAlign w:val="center"/>
            <w:hideMark/>
          </w:tcPr>
          <w:p w14:paraId="49C14639"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75.2</w:t>
            </w:r>
          </w:p>
        </w:tc>
        <w:tc>
          <w:tcPr>
            <w:tcW w:w="731" w:type="dxa"/>
            <w:vAlign w:val="center"/>
            <w:hideMark/>
          </w:tcPr>
          <w:p w14:paraId="16AFE043"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67.0</w:t>
            </w:r>
          </w:p>
        </w:tc>
        <w:tc>
          <w:tcPr>
            <w:tcW w:w="721" w:type="dxa"/>
            <w:vAlign w:val="center"/>
            <w:hideMark/>
          </w:tcPr>
          <w:p w14:paraId="743B1EDD"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56.6</w:t>
            </w:r>
          </w:p>
        </w:tc>
        <w:tc>
          <w:tcPr>
            <w:tcW w:w="696" w:type="dxa"/>
            <w:vAlign w:val="center"/>
            <w:hideMark/>
          </w:tcPr>
          <w:p w14:paraId="1B1BEACA"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71.4</w:t>
            </w:r>
          </w:p>
        </w:tc>
        <w:tc>
          <w:tcPr>
            <w:tcW w:w="696" w:type="dxa"/>
            <w:vAlign w:val="center"/>
            <w:hideMark/>
          </w:tcPr>
          <w:p w14:paraId="190B0D72"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98.0</w:t>
            </w:r>
          </w:p>
        </w:tc>
        <w:tc>
          <w:tcPr>
            <w:tcW w:w="702" w:type="dxa"/>
            <w:vAlign w:val="center"/>
            <w:hideMark/>
          </w:tcPr>
          <w:p w14:paraId="580F7B85"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78.9</w:t>
            </w:r>
          </w:p>
        </w:tc>
        <w:tc>
          <w:tcPr>
            <w:tcW w:w="742" w:type="dxa"/>
            <w:vAlign w:val="center"/>
            <w:hideMark/>
          </w:tcPr>
          <w:p w14:paraId="6502847E"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87.6</w:t>
            </w:r>
          </w:p>
        </w:tc>
        <w:tc>
          <w:tcPr>
            <w:tcW w:w="731" w:type="dxa"/>
            <w:vAlign w:val="center"/>
            <w:hideMark/>
          </w:tcPr>
          <w:p w14:paraId="2CA1B42F"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263.0</w:t>
            </w:r>
          </w:p>
        </w:tc>
        <w:tc>
          <w:tcPr>
            <w:tcW w:w="888" w:type="dxa"/>
            <w:vAlign w:val="center"/>
            <w:hideMark/>
          </w:tcPr>
          <w:p w14:paraId="528A43D1" w14:textId="77777777" w:rsidR="00463FB5" w:rsidRPr="00BA3DB7" w:rsidRDefault="00463FB5" w:rsidP="00F75F9E">
            <w:pPr>
              <w:jc w:val="center"/>
              <w:rPr>
                <w:rFonts w:ascii="Cambria" w:hAnsi="Cambria"/>
                <w:b/>
                <w:bCs/>
                <w:color w:val="000000"/>
                <w:sz w:val="20"/>
                <w:szCs w:val="20"/>
                <w:lang w:val="en-IN" w:eastAsia="en-IN" w:bidi="hi-IN"/>
              </w:rPr>
            </w:pPr>
            <w:r>
              <w:rPr>
                <w:rFonts w:ascii="Cambria" w:hAnsi="Cambria"/>
                <w:b/>
                <w:bCs/>
                <w:color w:val="000000"/>
                <w:sz w:val="20"/>
                <w:szCs w:val="20"/>
              </w:rPr>
              <w:t>1041.7</w:t>
            </w:r>
          </w:p>
        </w:tc>
      </w:tr>
      <w:tr w:rsidR="00D9743D" w:rsidRPr="00BA3DB7" w14:paraId="774A647F" w14:textId="77777777" w:rsidTr="005C4611">
        <w:trPr>
          <w:trHeight w:val="307"/>
        </w:trPr>
        <w:tc>
          <w:tcPr>
            <w:tcW w:w="766" w:type="dxa"/>
            <w:shd w:val="clear" w:color="auto" w:fill="F2F2F2" w:themeFill="background1" w:themeFillShade="F2"/>
            <w:vAlign w:val="center"/>
            <w:hideMark/>
          </w:tcPr>
          <w:p w14:paraId="6A1E6E08"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22-23</w:t>
            </w:r>
          </w:p>
        </w:tc>
        <w:tc>
          <w:tcPr>
            <w:tcW w:w="613" w:type="dxa"/>
            <w:shd w:val="clear" w:color="auto" w:fill="F2F2F2" w:themeFill="background1" w:themeFillShade="F2"/>
            <w:vAlign w:val="center"/>
            <w:hideMark/>
          </w:tcPr>
          <w:p w14:paraId="2C702A62"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57.6</w:t>
            </w:r>
          </w:p>
        </w:tc>
        <w:tc>
          <w:tcPr>
            <w:tcW w:w="696" w:type="dxa"/>
            <w:shd w:val="clear" w:color="auto" w:fill="F2F2F2" w:themeFill="background1" w:themeFillShade="F2"/>
            <w:vAlign w:val="center"/>
            <w:hideMark/>
          </w:tcPr>
          <w:p w14:paraId="6616C6A5"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72.9</w:t>
            </w:r>
          </w:p>
        </w:tc>
        <w:tc>
          <w:tcPr>
            <w:tcW w:w="726" w:type="dxa"/>
            <w:shd w:val="clear" w:color="auto" w:fill="F2F2F2" w:themeFill="background1" w:themeFillShade="F2"/>
            <w:vAlign w:val="center"/>
            <w:hideMark/>
          </w:tcPr>
          <w:p w14:paraId="12CF8801"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107.5</w:t>
            </w:r>
          </w:p>
        </w:tc>
        <w:tc>
          <w:tcPr>
            <w:tcW w:w="725" w:type="dxa"/>
            <w:shd w:val="clear" w:color="auto" w:fill="F2F2F2" w:themeFill="background1" w:themeFillShade="F2"/>
            <w:vAlign w:val="center"/>
            <w:hideMark/>
          </w:tcPr>
          <w:p w14:paraId="3EA13C98"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104.7</w:t>
            </w:r>
          </w:p>
        </w:tc>
        <w:tc>
          <w:tcPr>
            <w:tcW w:w="698" w:type="dxa"/>
            <w:shd w:val="clear" w:color="auto" w:fill="F2F2F2" w:themeFill="background1" w:themeFillShade="F2"/>
            <w:vAlign w:val="center"/>
            <w:hideMark/>
          </w:tcPr>
          <w:p w14:paraId="4A9E6FD4"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90.2</w:t>
            </w:r>
          </w:p>
        </w:tc>
        <w:tc>
          <w:tcPr>
            <w:tcW w:w="731" w:type="dxa"/>
            <w:shd w:val="clear" w:color="auto" w:fill="F2F2F2" w:themeFill="background1" w:themeFillShade="F2"/>
            <w:vAlign w:val="center"/>
            <w:hideMark/>
          </w:tcPr>
          <w:p w14:paraId="3B350556"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100.7</w:t>
            </w:r>
          </w:p>
        </w:tc>
        <w:tc>
          <w:tcPr>
            <w:tcW w:w="721" w:type="dxa"/>
            <w:shd w:val="clear" w:color="auto" w:fill="F2F2F2" w:themeFill="background1" w:themeFillShade="F2"/>
            <w:vAlign w:val="center"/>
            <w:hideMark/>
          </w:tcPr>
          <w:p w14:paraId="7C1A8E9A"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89.5</w:t>
            </w:r>
          </w:p>
        </w:tc>
        <w:tc>
          <w:tcPr>
            <w:tcW w:w="696" w:type="dxa"/>
            <w:shd w:val="clear" w:color="auto" w:fill="F2F2F2" w:themeFill="background1" w:themeFillShade="F2"/>
            <w:vAlign w:val="center"/>
            <w:hideMark/>
          </w:tcPr>
          <w:p w14:paraId="21DDAC66"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90.3</w:t>
            </w:r>
          </w:p>
        </w:tc>
        <w:tc>
          <w:tcPr>
            <w:tcW w:w="696" w:type="dxa"/>
            <w:shd w:val="clear" w:color="auto" w:fill="F2F2F2" w:themeFill="background1" w:themeFillShade="F2"/>
            <w:vAlign w:val="center"/>
            <w:hideMark/>
          </w:tcPr>
          <w:p w14:paraId="502B81AC"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92.4</w:t>
            </w:r>
          </w:p>
        </w:tc>
        <w:tc>
          <w:tcPr>
            <w:tcW w:w="702" w:type="dxa"/>
            <w:shd w:val="clear" w:color="auto" w:fill="F2F2F2" w:themeFill="background1" w:themeFillShade="F2"/>
            <w:vAlign w:val="center"/>
            <w:hideMark/>
          </w:tcPr>
          <w:p w14:paraId="301A7B4D"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96.9</w:t>
            </w:r>
          </w:p>
        </w:tc>
        <w:tc>
          <w:tcPr>
            <w:tcW w:w="742" w:type="dxa"/>
            <w:shd w:val="clear" w:color="auto" w:fill="F2F2F2" w:themeFill="background1" w:themeFillShade="F2"/>
            <w:vAlign w:val="center"/>
            <w:hideMark/>
          </w:tcPr>
          <w:p w14:paraId="02F90E52"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109.7</w:t>
            </w:r>
          </w:p>
        </w:tc>
        <w:tc>
          <w:tcPr>
            <w:tcW w:w="731" w:type="dxa"/>
            <w:shd w:val="clear" w:color="auto" w:fill="F2F2F2" w:themeFill="background1" w:themeFillShade="F2"/>
            <w:vAlign w:val="center"/>
            <w:hideMark/>
          </w:tcPr>
          <w:p w14:paraId="27A70EFF"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287.1</w:t>
            </w:r>
          </w:p>
        </w:tc>
        <w:tc>
          <w:tcPr>
            <w:tcW w:w="888" w:type="dxa"/>
            <w:shd w:val="clear" w:color="auto" w:fill="F2F2F2" w:themeFill="background1" w:themeFillShade="F2"/>
            <w:vAlign w:val="center"/>
            <w:hideMark/>
          </w:tcPr>
          <w:p w14:paraId="4EF710C0" w14:textId="77777777" w:rsidR="00463FB5" w:rsidRPr="00BA3DB7" w:rsidRDefault="00463FB5" w:rsidP="00F75F9E">
            <w:pPr>
              <w:jc w:val="center"/>
              <w:rPr>
                <w:rFonts w:ascii="Cambria" w:hAnsi="Cambria"/>
                <w:b/>
                <w:bCs/>
                <w:color w:val="000000"/>
                <w:sz w:val="20"/>
                <w:szCs w:val="20"/>
                <w:lang w:val="en-IN" w:eastAsia="en-IN" w:bidi="hi-IN"/>
              </w:rPr>
            </w:pPr>
            <w:r>
              <w:rPr>
                <w:rFonts w:ascii="Cambria" w:hAnsi="Cambria"/>
                <w:b/>
                <w:bCs/>
                <w:color w:val="000000"/>
                <w:sz w:val="20"/>
                <w:szCs w:val="20"/>
              </w:rPr>
              <w:t>1299.3</w:t>
            </w:r>
          </w:p>
        </w:tc>
      </w:tr>
      <w:tr w:rsidR="00D9743D" w:rsidRPr="00BA3DB7" w14:paraId="45F073E8" w14:textId="77777777" w:rsidTr="005C4611">
        <w:trPr>
          <w:trHeight w:val="307"/>
        </w:trPr>
        <w:tc>
          <w:tcPr>
            <w:tcW w:w="766" w:type="dxa"/>
            <w:shd w:val="clear" w:color="auto" w:fill="F2F2F2" w:themeFill="background1" w:themeFillShade="F2"/>
            <w:vAlign w:val="center"/>
          </w:tcPr>
          <w:p w14:paraId="7BFE58AA" w14:textId="77777777" w:rsidR="00463FB5" w:rsidRPr="00BA3DB7" w:rsidRDefault="00463FB5" w:rsidP="00F75F9E">
            <w:pPr>
              <w:jc w:val="center"/>
              <w:rPr>
                <w:rFonts w:ascii="Cambria" w:hAnsi="Cambria"/>
                <w:b/>
                <w:bCs/>
                <w:color w:val="000000"/>
                <w:sz w:val="20"/>
                <w:szCs w:val="20"/>
                <w:lang w:eastAsia="en-IN" w:bidi="hi-IN"/>
              </w:rPr>
            </w:pPr>
            <w:r w:rsidRPr="00AA2EEA">
              <w:rPr>
                <w:rFonts w:ascii="Cambria" w:hAnsi="Cambria"/>
                <w:b/>
                <w:bCs/>
                <w:color w:val="000000"/>
                <w:sz w:val="20"/>
                <w:szCs w:val="20"/>
                <w:lang w:eastAsia="en-IN" w:bidi="hi-IN"/>
              </w:rPr>
              <w:t>23-24</w:t>
            </w:r>
          </w:p>
        </w:tc>
        <w:tc>
          <w:tcPr>
            <w:tcW w:w="613" w:type="dxa"/>
            <w:shd w:val="clear" w:color="auto" w:fill="F2F2F2" w:themeFill="background1" w:themeFillShade="F2"/>
            <w:vAlign w:val="center"/>
          </w:tcPr>
          <w:p w14:paraId="679C6DC3" w14:textId="77777777" w:rsidR="00463FB5" w:rsidRPr="00BA3DB7" w:rsidRDefault="00463FB5" w:rsidP="00F75F9E">
            <w:pPr>
              <w:jc w:val="center"/>
              <w:rPr>
                <w:rFonts w:ascii="Cambria" w:hAnsi="Cambria"/>
                <w:color w:val="000000"/>
                <w:sz w:val="20"/>
                <w:szCs w:val="20"/>
                <w:lang w:eastAsia="en-IN" w:bidi="hi-IN"/>
              </w:rPr>
            </w:pPr>
            <w:r>
              <w:rPr>
                <w:rFonts w:cs="Calibri"/>
                <w:color w:val="000000"/>
                <w:sz w:val="20"/>
                <w:szCs w:val="20"/>
              </w:rPr>
              <w:t>84.9</w:t>
            </w:r>
          </w:p>
        </w:tc>
        <w:tc>
          <w:tcPr>
            <w:tcW w:w="696" w:type="dxa"/>
            <w:shd w:val="clear" w:color="auto" w:fill="F2F2F2" w:themeFill="background1" w:themeFillShade="F2"/>
            <w:vAlign w:val="center"/>
          </w:tcPr>
          <w:p w14:paraId="772BC35A" w14:textId="77777777" w:rsidR="00463FB5" w:rsidRPr="00BA3DB7" w:rsidRDefault="00463FB5" w:rsidP="00F75F9E">
            <w:pPr>
              <w:jc w:val="center"/>
              <w:rPr>
                <w:rFonts w:ascii="Cambria" w:hAnsi="Cambria"/>
                <w:color w:val="000000"/>
                <w:sz w:val="20"/>
                <w:szCs w:val="20"/>
                <w:lang w:eastAsia="en-IN" w:bidi="hi-IN"/>
              </w:rPr>
            </w:pPr>
            <w:r>
              <w:rPr>
                <w:rFonts w:cs="Calibri"/>
                <w:color w:val="000000"/>
                <w:sz w:val="20"/>
                <w:szCs w:val="20"/>
              </w:rPr>
              <w:t>88.1</w:t>
            </w:r>
          </w:p>
        </w:tc>
        <w:tc>
          <w:tcPr>
            <w:tcW w:w="726" w:type="dxa"/>
            <w:shd w:val="clear" w:color="auto" w:fill="F2F2F2" w:themeFill="background1" w:themeFillShade="F2"/>
            <w:vAlign w:val="center"/>
          </w:tcPr>
          <w:p w14:paraId="64F25B04" w14:textId="77777777" w:rsidR="00463FB5" w:rsidRPr="00BA3DB7" w:rsidRDefault="00463FB5" w:rsidP="00F75F9E">
            <w:pPr>
              <w:jc w:val="center"/>
              <w:rPr>
                <w:rFonts w:ascii="Cambria" w:hAnsi="Cambria"/>
                <w:color w:val="000000"/>
                <w:sz w:val="20"/>
                <w:szCs w:val="20"/>
                <w:lang w:eastAsia="en-IN" w:bidi="hi-IN"/>
              </w:rPr>
            </w:pPr>
            <w:r>
              <w:rPr>
                <w:rFonts w:cs="Calibri"/>
                <w:color w:val="000000"/>
                <w:sz w:val="20"/>
                <w:szCs w:val="20"/>
              </w:rPr>
              <w:t>116.8</w:t>
            </w:r>
          </w:p>
        </w:tc>
        <w:tc>
          <w:tcPr>
            <w:tcW w:w="725" w:type="dxa"/>
            <w:shd w:val="clear" w:color="auto" w:fill="F2F2F2" w:themeFill="background1" w:themeFillShade="F2"/>
            <w:vAlign w:val="center"/>
          </w:tcPr>
          <w:p w14:paraId="409A8417" w14:textId="77777777" w:rsidR="00463FB5" w:rsidRPr="00BA3DB7" w:rsidRDefault="00463FB5" w:rsidP="00F75F9E">
            <w:pPr>
              <w:jc w:val="center"/>
              <w:rPr>
                <w:rFonts w:ascii="Cambria" w:hAnsi="Cambria"/>
                <w:color w:val="000000"/>
                <w:sz w:val="20"/>
                <w:szCs w:val="20"/>
                <w:lang w:eastAsia="en-IN" w:bidi="hi-IN"/>
              </w:rPr>
            </w:pPr>
            <w:r>
              <w:rPr>
                <w:rFonts w:cs="Calibri"/>
                <w:color w:val="000000"/>
                <w:sz w:val="20"/>
                <w:szCs w:val="20"/>
              </w:rPr>
              <w:t>124.9</w:t>
            </w:r>
          </w:p>
        </w:tc>
        <w:tc>
          <w:tcPr>
            <w:tcW w:w="698" w:type="dxa"/>
            <w:shd w:val="clear" w:color="auto" w:fill="F2F2F2" w:themeFill="background1" w:themeFillShade="F2"/>
            <w:vAlign w:val="center"/>
          </w:tcPr>
          <w:p w14:paraId="02CA45D1" w14:textId="77777777" w:rsidR="00463FB5" w:rsidRPr="00BA3DB7" w:rsidRDefault="00463FB5" w:rsidP="00F75F9E">
            <w:pPr>
              <w:jc w:val="center"/>
              <w:rPr>
                <w:rFonts w:ascii="Cambria" w:hAnsi="Cambria"/>
                <w:color w:val="000000"/>
                <w:sz w:val="20"/>
                <w:szCs w:val="20"/>
                <w:lang w:eastAsia="en-IN" w:bidi="hi-IN"/>
              </w:rPr>
            </w:pPr>
            <w:r>
              <w:rPr>
                <w:rFonts w:cs="Calibri"/>
                <w:color w:val="000000"/>
                <w:sz w:val="20"/>
                <w:szCs w:val="20"/>
              </w:rPr>
              <w:t>109.8</w:t>
            </w:r>
          </w:p>
        </w:tc>
        <w:tc>
          <w:tcPr>
            <w:tcW w:w="731" w:type="dxa"/>
            <w:shd w:val="clear" w:color="auto" w:fill="F2F2F2" w:themeFill="background1" w:themeFillShade="F2"/>
            <w:vAlign w:val="center"/>
          </w:tcPr>
          <w:p w14:paraId="24E52623" w14:textId="77777777" w:rsidR="00463FB5" w:rsidRPr="00BA3DB7" w:rsidRDefault="00463FB5" w:rsidP="00F75F9E">
            <w:pPr>
              <w:jc w:val="center"/>
              <w:rPr>
                <w:rFonts w:ascii="Cambria" w:hAnsi="Cambria"/>
                <w:color w:val="000000"/>
                <w:sz w:val="20"/>
                <w:szCs w:val="20"/>
                <w:lang w:eastAsia="en-IN" w:bidi="hi-IN"/>
              </w:rPr>
            </w:pPr>
            <w:r>
              <w:rPr>
                <w:rFonts w:cs="Calibri"/>
                <w:color w:val="000000"/>
                <w:sz w:val="20"/>
                <w:szCs w:val="20"/>
              </w:rPr>
              <w:t>105.9</w:t>
            </w:r>
          </w:p>
        </w:tc>
        <w:tc>
          <w:tcPr>
            <w:tcW w:w="721" w:type="dxa"/>
            <w:shd w:val="clear" w:color="auto" w:fill="F2F2F2" w:themeFill="background1" w:themeFillShade="F2"/>
            <w:vAlign w:val="center"/>
          </w:tcPr>
          <w:p w14:paraId="05F4E3F0" w14:textId="77777777" w:rsidR="00463FB5" w:rsidRPr="00BA3DB7" w:rsidRDefault="00463FB5" w:rsidP="00F75F9E">
            <w:pPr>
              <w:jc w:val="center"/>
              <w:rPr>
                <w:rFonts w:ascii="Cambria" w:hAnsi="Cambria"/>
                <w:color w:val="000000"/>
                <w:sz w:val="20"/>
                <w:szCs w:val="20"/>
                <w:lang w:eastAsia="en-IN" w:bidi="hi-IN"/>
              </w:rPr>
            </w:pPr>
            <w:r>
              <w:rPr>
                <w:rFonts w:cs="Calibri"/>
                <w:color w:val="000000"/>
                <w:sz w:val="20"/>
                <w:szCs w:val="20"/>
              </w:rPr>
              <w:t>113.5</w:t>
            </w:r>
          </w:p>
        </w:tc>
        <w:tc>
          <w:tcPr>
            <w:tcW w:w="696" w:type="dxa"/>
            <w:shd w:val="clear" w:color="auto" w:fill="F2F2F2" w:themeFill="background1" w:themeFillShade="F2"/>
            <w:vAlign w:val="center"/>
          </w:tcPr>
          <w:p w14:paraId="1ED922CA" w14:textId="77777777" w:rsidR="00463FB5" w:rsidRPr="00BA3DB7" w:rsidRDefault="00463FB5" w:rsidP="00F75F9E">
            <w:pPr>
              <w:jc w:val="center"/>
              <w:rPr>
                <w:rFonts w:ascii="Cambria" w:hAnsi="Cambria"/>
                <w:color w:val="000000"/>
                <w:sz w:val="20"/>
                <w:szCs w:val="20"/>
                <w:lang w:eastAsia="en-IN" w:bidi="hi-IN"/>
              </w:rPr>
            </w:pPr>
            <w:r>
              <w:rPr>
                <w:rFonts w:cs="Calibri"/>
                <w:color w:val="000000"/>
                <w:sz w:val="20"/>
                <w:szCs w:val="20"/>
              </w:rPr>
              <w:t>108.1</w:t>
            </w:r>
          </w:p>
        </w:tc>
        <w:tc>
          <w:tcPr>
            <w:tcW w:w="696" w:type="dxa"/>
            <w:shd w:val="clear" w:color="auto" w:fill="F2F2F2" w:themeFill="background1" w:themeFillShade="F2"/>
            <w:vAlign w:val="center"/>
          </w:tcPr>
          <w:p w14:paraId="0B18667E" w14:textId="77777777" w:rsidR="00463FB5" w:rsidRPr="00BA3DB7" w:rsidRDefault="00463FB5" w:rsidP="00F75F9E">
            <w:pPr>
              <w:jc w:val="center"/>
              <w:rPr>
                <w:rFonts w:ascii="Cambria" w:hAnsi="Cambria"/>
                <w:color w:val="000000"/>
                <w:sz w:val="20"/>
                <w:szCs w:val="20"/>
                <w:lang w:eastAsia="en-IN" w:bidi="hi-IN"/>
              </w:rPr>
            </w:pPr>
            <w:r>
              <w:rPr>
                <w:rFonts w:cs="Calibri"/>
                <w:color w:val="000000"/>
                <w:sz w:val="20"/>
                <w:szCs w:val="20"/>
              </w:rPr>
              <w:t>101.0</w:t>
            </w:r>
          </w:p>
        </w:tc>
        <w:tc>
          <w:tcPr>
            <w:tcW w:w="702" w:type="dxa"/>
            <w:shd w:val="clear" w:color="auto" w:fill="F2F2F2" w:themeFill="background1" w:themeFillShade="F2"/>
            <w:vAlign w:val="center"/>
          </w:tcPr>
          <w:p w14:paraId="4220B1B6" w14:textId="77777777" w:rsidR="00463FB5" w:rsidRPr="00BA3DB7" w:rsidRDefault="00463FB5" w:rsidP="00F75F9E">
            <w:pPr>
              <w:jc w:val="center"/>
              <w:rPr>
                <w:rFonts w:ascii="Cambria" w:hAnsi="Cambria"/>
                <w:color w:val="000000"/>
                <w:sz w:val="20"/>
                <w:szCs w:val="20"/>
                <w:lang w:eastAsia="en-IN" w:bidi="hi-IN"/>
              </w:rPr>
            </w:pPr>
            <w:r>
              <w:rPr>
                <w:rFonts w:cs="Calibri"/>
                <w:color w:val="000000"/>
                <w:sz w:val="20"/>
                <w:szCs w:val="20"/>
              </w:rPr>
              <w:t>95.0</w:t>
            </w:r>
          </w:p>
        </w:tc>
        <w:tc>
          <w:tcPr>
            <w:tcW w:w="742" w:type="dxa"/>
            <w:shd w:val="clear" w:color="auto" w:fill="F2F2F2" w:themeFill="background1" w:themeFillShade="F2"/>
            <w:vAlign w:val="center"/>
          </w:tcPr>
          <w:p w14:paraId="7B4E66F5" w14:textId="77777777" w:rsidR="00463FB5" w:rsidRPr="00BA3DB7" w:rsidRDefault="00463FB5" w:rsidP="00F75F9E">
            <w:pPr>
              <w:jc w:val="center"/>
              <w:rPr>
                <w:rFonts w:ascii="Cambria" w:hAnsi="Cambria"/>
                <w:color w:val="000000"/>
                <w:sz w:val="20"/>
                <w:szCs w:val="20"/>
                <w:lang w:eastAsia="en-IN" w:bidi="hi-IN"/>
              </w:rPr>
            </w:pPr>
            <w:r>
              <w:rPr>
                <w:rFonts w:cs="Calibri"/>
                <w:color w:val="000000"/>
                <w:sz w:val="20"/>
                <w:szCs w:val="20"/>
              </w:rPr>
              <w:t>96.9</w:t>
            </w:r>
          </w:p>
        </w:tc>
        <w:tc>
          <w:tcPr>
            <w:tcW w:w="731" w:type="dxa"/>
            <w:shd w:val="clear" w:color="auto" w:fill="F2F2F2" w:themeFill="background1" w:themeFillShade="F2"/>
            <w:vAlign w:val="center"/>
          </w:tcPr>
          <w:p w14:paraId="09D0CF07" w14:textId="77777777" w:rsidR="00463FB5" w:rsidRPr="00BA3DB7" w:rsidRDefault="00463FB5" w:rsidP="00F75F9E">
            <w:pPr>
              <w:jc w:val="center"/>
              <w:rPr>
                <w:rFonts w:ascii="Cambria" w:hAnsi="Cambria"/>
                <w:color w:val="000000"/>
                <w:sz w:val="20"/>
                <w:szCs w:val="20"/>
                <w:lang w:eastAsia="en-IN" w:bidi="hi-IN"/>
              </w:rPr>
            </w:pPr>
            <w:r>
              <w:rPr>
                <w:rFonts w:cs="Calibri"/>
                <w:color w:val="000000"/>
                <w:sz w:val="20"/>
                <w:szCs w:val="20"/>
              </w:rPr>
              <w:t>231.7</w:t>
            </w:r>
          </w:p>
        </w:tc>
        <w:tc>
          <w:tcPr>
            <w:tcW w:w="888" w:type="dxa"/>
            <w:shd w:val="clear" w:color="auto" w:fill="F2F2F2" w:themeFill="background1" w:themeFillShade="F2"/>
            <w:vAlign w:val="center"/>
          </w:tcPr>
          <w:p w14:paraId="2AA2E323" w14:textId="77777777" w:rsidR="00463FB5" w:rsidRPr="00BA3DB7" w:rsidRDefault="00463FB5" w:rsidP="00F75F9E">
            <w:pPr>
              <w:jc w:val="center"/>
              <w:rPr>
                <w:rFonts w:ascii="Cambria" w:hAnsi="Cambria"/>
                <w:b/>
                <w:bCs/>
                <w:color w:val="000000"/>
                <w:sz w:val="20"/>
                <w:szCs w:val="20"/>
                <w:lang w:eastAsia="en-IN" w:bidi="hi-IN"/>
              </w:rPr>
            </w:pPr>
            <w:r>
              <w:rPr>
                <w:rFonts w:cs="Calibri"/>
                <w:b/>
                <w:bCs/>
                <w:color w:val="000000"/>
                <w:sz w:val="20"/>
                <w:szCs w:val="20"/>
              </w:rPr>
              <w:t>1376.8</w:t>
            </w:r>
          </w:p>
        </w:tc>
      </w:tr>
      <w:tr w:rsidR="00D9743D" w:rsidRPr="00BA3DB7" w14:paraId="6F4273AD" w14:textId="77777777" w:rsidTr="005C4611">
        <w:trPr>
          <w:trHeight w:val="307"/>
        </w:trPr>
        <w:tc>
          <w:tcPr>
            <w:tcW w:w="766" w:type="dxa"/>
            <w:shd w:val="clear" w:color="auto" w:fill="F2F2F2" w:themeFill="background1" w:themeFillShade="F2"/>
            <w:vAlign w:val="center"/>
          </w:tcPr>
          <w:p w14:paraId="349B5BFB" w14:textId="77777777" w:rsidR="00463FB5" w:rsidRPr="00AA2EEA" w:rsidRDefault="00463FB5" w:rsidP="00F75F9E">
            <w:pPr>
              <w:jc w:val="center"/>
              <w:rPr>
                <w:rFonts w:ascii="Cambria" w:hAnsi="Cambria"/>
                <w:b/>
                <w:bCs/>
                <w:color w:val="000000"/>
                <w:sz w:val="20"/>
                <w:szCs w:val="20"/>
                <w:lang w:eastAsia="en-IN" w:bidi="hi-IN"/>
              </w:rPr>
            </w:pPr>
            <w:r>
              <w:rPr>
                <w:rFonts w:ascii="Cambria" w:hAnsi="Cambria"/>
                <w:b/>
                <w:bCs/>
                <w:color w:val="000000"/>
                <w:sz w:val="20"/>
                <w:szCs w:val="20"/>
                <w:lang w:eastAsia="en-IN" w:bidi="hi-IN"/>
              </w:rPr>
              <w:t>24-25</w:t>
            </w:r>
          </w:p>
        </w:tc>
        <w:tc>
          <w:tcPr>
            <w:tcW w:w="613" w:type="dxa"/>
            <w:shd w:val="clear" w:color="auto" w:fill="F2F2F2" w:themeFill="background1" w:themeFillShade="F2"/>
            <w:vAlign w:val="center"/>
          </w:tcPr>
          <w:p w14:paraId="472477B6" w14:textId="77777777" w:rsidR="00463FB5" w:rsidRDefault="00463FB5" w:rsidP="00F75F9E">
            <w:pPr>
              <w:jc w:val="center"/>
              <w:rPr>
                <w:rFonts w:cs="Calibri"/>
                <w:color w:val="000000"/>
                <w:sz w:val="20"/>
                <w:szCs w:val="20"/>
              </w:rPr>
            </w:pPr>
            <w:r>
              <w:rPr>
                <w:rFonts w:cs="Calibri"/>
                <w:color w:val="000000"/>
                <w:sz w:val="20"/>
                <w:szCs w:val="20"/>
              </w:rPr>
              <w:t>90.1</w:t>
            </w:r>
          </w:p>
        </w:tc>
        <w:tc>
          <w:tcPr>
            <w:tcW w:w="696" w:type="dxa"/>
            <w:shd w:val="clear" w:color="auto" w:fill="F2F2F2" w:themeFill="background1" w:themeFillShade="F2"/>
            <w:vAlign w:val="center"/>
          </w:tcPr>
          <w:p w14:paraId="5D115E8D" w14:textId="77777777" w:rsidR="00463FB5" w:rsidRDefault="00463FB5" w:rsidP="00F75F9E">
            <w:pPr>
              <w:jc w:val="center"/>
              <w:rPr>
                <w:rFonts w:cs="Calibri"/>
                <w:color w:val="000000"/>
                <w:sz w:val="20"/>
                <w:szCs w:val="20"/>
              </w:rPr>
            </w:pPr>
            <w:r>
              <w:rPr>
                <w:rFonts w:cs="Calibri"/>
                <w:color w:val="000000"/>
                <w:sz w:val="20"/>
                <w:szCs w:val="20"/>
              </w:rPr>
              <w:t>110.8</w:t>
            </w:r>
          </w:p>
        </w:tc>
        <w:tc>
          <w:tcPr>
            <w:tcW w:w="726" w:type="dxa"/>
            <w:shd w:val="clear" w:color="auto" w:fill="F2F2F2" w:themeFill="background1" w:themeFillShade="F2"/>
            <w:vAlign w:val="center"/>
          </w:tcPr>
          <w:p w14:paraId="7E653477" w14:textId="77777777" w:rsidR="00463FB5" w:rsidRDefault="00463FB5" w:rsidP="00F75F9E">
            <w:pPr>
              <w:jc w:val="center"/>
              <w:rPr>
                <w:rFonts w:cs="Calibri"/>
                <w:color w:val="000000"/>
                <w:sz w:val="20"/>
                <w:szCs w:val="20"/>
              </w:rPr>
            </w:pPr>
            <w:r>
              <w:rPr>
                <w:rFonts w:cs="Calibri"/>
                <w:color w:val="000000"/>
                <w:sz w:val="20"/>
                <w:szCs w:val="20"/>
              </w:rPr>
              <w:t>138.3</w:t>
            </w:r>
          </w:p>
        </w:tc>
        <w:tc>
          <w:tcPr>
            <w:tcW w:w="725" w:type="dxa"/>
            <w:shd w:val="clear" w:color="auto" w:fill="F2F2F2" w:themeFill="background1" w:themeFillShade="F2"/>
            <w:vAlign w:val="center"/>
          </w:tcPr>
          <w:p w14:paraId="0B9AB2FE" w14:textId="77777777" w:rsidR="00463FB5" w:rsidRDefault="00463FB5" w:rsidP="00F75F9E">
            <w:pPr>
              <w:jc w:val="center"/>
              <w:rPr>
                <w:rFonts w:cs="Calibri"/>
                <w:color w:val="000000"/>
                <w:sz w:val="20"/>
                <w:szCs w:val="20"/>
              </w:rPr>
            </w:pPr>
            <w:r>
              <w:rPr>
                <w:rFonts w:cs="Calibri"/>
                <w:color w:val="000000"/>
                <w:sz w:val="20"/>
                <w:szCs w:val="20"/>
              </w:rPr>
              <w:t>126.5</w:t>
            </w:r>
          </w:p>
        </w:tc>
        <w:tc>
          <w:tcPr>
            <w:tcW w:w="698" w:type="dxa"/>
            <w:shd w:val="clear" w:color="auto" w:fill="F2F2F2" w:themeFill="background1" w:themeFillShade="F2"/>
            <w:vAlign w:val="center"/>
          </w:tcPr>
          <w:p w14:paraId="48D17431" w14:textId="77777777" w:rsidR="00463FB5" w:rsidRDefault="00463FB5" w:rsidP="00F75F9E">
            <w:pPr>
              <w:jc w:val="center"/>
              <w:rPr>
                <w:rFonts w:cs="Calibri"/>
                <w:color w:val="000000"/>
                <w:sz w:val="20"/>
                <w:szCs w:val="20"/>
              </w:rPr>
            </w:pPr>
            <w:r>
              <w:rPr>
                <w:rFonts w:cs="Calibri"/>
                <w:color w:val="000000"/>
                <w:sz w:val="20"/>
                <w:szCs w:val="20"/>
              </w:rPr>
              <w:t>114.5</w:t>
            </w:r>
          </w:p>
        </w:tc>
        <w:tc>
          <w:tcPr>
            <w:tcW w:w="731" w:type="dxa"/>
            <w:shd w:val="clear" w:color="auto" w:fill="F2F2F2" w:themeFill="background1" w:themeFillShade="F2"/>
            <w:vAlign w:val="center"/>
          </w:tcPr>
          <w:p w14:paraId="2663654D" w14:textId="77777777" w:rsidR="00463FB5" w:rsidRDefault="00463FB5" w:rsidP="00F75F9E">
            <w:pPr>
              <w:jc w:val="center"/>
              <w:rPr>
                <w:rFonts w:cs="Calibri"/>
                <w:color w:val="000000"/>
                <w:sz w:val="20"/>
                <w:szCs w:val="20"/>
              </w:rPr>
            </w:pPr>
            <w:r>
              <w:rPr>
                <w:rFonts w:cs="Calibri"/>
                <w:color w:val="000000"/>
                <w:sz w:val="20"/>
                <w:szCs w:val="20"/>
              </w:rPr>
              <w:t>136.0</w:t>
            </w:r>
          </w:p>
        </w:tc>
        <w:tc>
          <w:tcPr>
            <w:tcW w:w="721" w:type="dxa"/>
            <w:shd w:val="clear" w:color="auto" w:fill="F2F2F2" w:themeFill="background1" w:themeFillShade="F2"/>
            <w:vAlign w:val="center"/>
          </w:tcPr>
          <w:p w14:paraId="4E320B38" w14:textId="77777777" w:rsidR="00463FB5" w:rsidRDefault="00463FB5" w:rsidP="00F75F9E">
            <w:pPr>
              <w:jc w:val="center"/>
              <w:rPr>
                <w:rFonts w:cs="Calibri"/>
                <w:color w:val="000000"/>
                <w:sz w:val="20"/>
                <w:szCs w:val="20"/>
              </w:rPr>
            </w:pPr>
            <w:r>
              <w:rPr>
                <w:rFonts w:cs="Calibri"/>
                <w:color w:val="000000"/>
                <w:sz w:val="20"/>
                <w:szCs w:val="20"/>
              </w:rPr>
              <w:t>123.3</w:t>
            </w:r>
          </w:p>
        </w:tc>
        <w:tc>
          <w:tcPr>
            <w:tcW w:w="696" w:type="dxa"/>
            <w:shd w:val="clear" w:color="auto" w:fill="F2F2F2" w:themeFill="background1" w:themeFillShade="F2"/>
            <w:vAlign w:val="center"/>
          </w:tcPr>
          <w:p w14:paraId="70E551C9" w14:textId="77777777" w:rsidR="00463FB5" w:rsidRDefault="00463FB5" w:rsidP="00F75F9E">
            <w:pPr>
              <w:jc w:val="center"/>
              <w:rPr>
                <w:rFonts w:cs="Calibri"/>
                <w:color w:val="000000"/>
                <w:sz w:val="20"/>
                <w:szCs w:val="20"/>
              </w:rPr>
            </w:pPr>
            <w:r>
              <w:rPr>
                <w:rFonts w:cs="Calibri"/>
                <w:color w:val="000000"/>
                <w:sz w:val="20"/>
                <w:szCs w:val="20"/>
              </w:rPr>
              <w:t>116.8</w:t>
            </w:r>
          </w:p>
        </w:tc>
        <w:tc>
          <w:tcPr>
            <w:tcW w:w="696" w:type="dxa"/>
            <w:shd w:val="clear" w:color="auto" w:fill="F2F2F2" w:themeFill="background1" w:themeFillShade="F2"/>
            <w:vAlign w:val="center"/>
          </w:tcPr>
          <w:p w14:paraId="287F822F" w14:textId="77777777" w:rsidR="00463FB5" w:rsidRDefault="00463FB5" w:rsidP="00F75F9E">
            <w:pPr>
              <w:jc w:val="center"/>
              <w:rPr>
                <w:rFonts w:cs="Calibri"/>
                <w:color w:val="000000"/>
                <w:sz w:val="20"/>
                <w:szCs w:val="20"/>
              </w:rPr>
            </w:pPr>
            <w:r>
              <w:rPr>
                <w:rFonts w:cs="Calibri"/>
                <w:color w:val="000000"/>
                <w:sz w:val="20"/>
                <w:szCs w:val="20"/>
              </w:rPr>
              <w:t>121.6</w:t>
            </w:r>
          </w:p>
        </w:tc>
        <w:tc>
          <w:tcPr>
            <w:tcW w:w="702" w:type="dxa"/>
            <w:shd w:val="clear" w:color="auto" w:fill="F2F2F2" w:themeFill="background1" w:themeFillShade="F2"/>
            <w:vAlign w:val="center"/>
          </w:tcPr>
          <w:p w14:paraId="3EB209C9" w14:textId="77777777" w:rsidR="00463FB5" w:rsidRDefault="00463FB5" w:rsidP="00F75F9E">
            <w:pPr>
              <w:jc w:val="center"/>
              <w:rPr>
                <w:rFonts w:cs="Calibri"/>
                <w:color w:val="000000"/>
                <w:sz w:val="20"/>
                <w:szCs w:val="20"/>
              </w:rPr>
            </w:pPr>
            <w:r>
              <w:rPr>
                <w:rFonts w:cs="Calibri"/>
                <w:color w:val="000000"/>
                <w:sz w:val="20"/>
                <w:szCs w:val="20"/>
              </w:rPr>
              <w:t>102.4</w:t>
            </w:r>
          </w:p>
        </w:tc>
        <w:tc>
          <w:tcPr>
            <w:tcW w:w="742" w:type="dxa"/>
            <w:shd w:val="clear" w:color="auto" w:fill="F2F2F2" w:themeFill="background1" w:themeFillShade="F2"/>
            <w:vAlign w:val="center"/>
          </w:tcPr>
          <w:p w14:paraId="4F2E2D26" w14:textId="77777777" w:rsidR="00463FB5" w:rsidRDefault="00463FB5" w:rsidP="00F75F9E">
            <w:pPr>
              <w:jc w:val="center"/>
              <w:rPr>
                <w:rFonts w:cs="Calibri"/>
                <w:color w:val="000000"/>
                <w:sz w:val="20"/>
                <w:szCs w:val="20"/>
              </w:rPr>
            </w:pPr>
            <w:r>
              <w:rPr>
                <w:rFonts w:cs="Calibri"/>
                <w:color w:val="000000"/>
                <w:sz w:val="20"/>
                <w:szCs w:val="20"/>
              </w:rPr>
              <w:t>127.7</w:t>
            </w:r>
          </w:p>
        </w:tc>
        <w:tc>
          <w:tcPr>
            <w:tcW w:w="731" w:type="dxa"/>
            <w:shd w:val="clear" w:color="auto" w:fill="F2F2F2" w:themeFill="background1" w:themeFillShade="F2"/>
            <w:vAlign w:val="center"/>
          </w:tcPr>
          <w:p w14:paraId="3986EF6F" w14:textId="77777777" w:rsidR="00463FB5" w:rsidRDefault="00463FB5" w:rsidP="00F75F9E">
            <w:pPr>
              <w:jc w:val="center"/>
              <w:rPr>
                <w:rFonts w:cs="Calibri"/>
                <w:color w:val="000000"/>
                <w:sz w:val="20"/>
                <w:szCs w:val="20"/>
              </w:rPr>
            </w:pPr>
            <w:r>
              <w:rPr>
                <w:rFonts w:cs="Calibri"/>
                <w:color w:val="000000"/>
                <w:sz w:val="20"/>
                <w:szCs w:val="20"/>
              </w:rPr>
              <w:t>277.0</w:t>
            </w:r>
          </w:p>
        </w:tc>
        <w:tc>
          <w:tcPr>
            <w:tcW w:w="888" w:type="dxa"/>
            <w:shd w:val="clear" w:color="auto" w:fill="F2F2F2" w:themeFill="background1" w:themeFillShade="F2"/>
            <w:vAlign w:val="center"/>
          </w:tcPr>
          <w:p w14:paraId="089C4CFE" w14:textId="77777777" w:rsidR="00463FB5" w:rsidRDefault="00463FB5" w:rsidP="00F75F9E">
            <w:pPr>
              <w:jc w:val="center"/>
              <w:rPr>
                <w:rFonts w:cs="Calibri"/>
                <w:b/>
                <w:bCs/>
                <w:color w:val="000000"/>
                <w:sz w:val="20"/>
                <w:szCs w:val="20"/>
              </w:rPr>
            </w:pPr>
            <w:r>
              <w:rPr>
                <w:rFonts w:cs="Calibri"/>
                <w:b/>
                <w:bCs/>
                <w:color w:val="000000"/>
                <w:sz w:val="20"/>
                <w:szCs w:val="20"/>
              </w:rPr>
              <w:t>1585.1</w:t>
            </w:r>
          </w:p>
        </w:tc>
      </w:tr>
      <w:bookmarkEnd w:id="24"/>
    </w:tbl>
    <w:p w14:paraId="1B26C954" w14:textId="77777777" w:rsidR="0097212A" w:rsidRPr="009C651B" w:rsidRDefault="0097212A" w:rsidP="00AA2A98">
      <w:pPr>
        <w:pStyle w:val="ListParagraph"/>
        <w:spacing w:after="0" w:line="360" w:lineRule="auto"/>
        <w:ind w:left="0"/>
        <w:contextualSpacing w:val="0"/>
        <w:jc w:val="both"/>
        <w:rPr>
          <w:rFonts w:ascii="Cambria" w:hAnsi="Cambria"/>
          <w:sz w:val="24"/>
          <w:szCs w:val="24"/>
          <w:highlight w:val="cyan"/>
        </w:rPr>
      </w:pPr>
    </w:p>
    <w:p w14:paraId="3C43DC28" w14:textId="72F01BF5" w:rsidR="00AF668F" w:rsidRPr="00463FB5" w:rsidRDefault="00AA2A98" w:rsidP="00AA2A98">
      <w:pPr>
        <w:pStyle w:val="ListParagraph"/>
        <w:spacing w:after="0" w:line="360" w:lineRule="auto"/>
        <w:ind w:left="0"/>
        <w:contextualSpacing w:val="0"/>
        <w:jc w:val="both"/>
        <w:rPr>
          <w:rFonts w:ascii="Cambria" w:hAnsi="Cambria"/>
          <w:sz w:val="24"/>
          <w:szCs w:val="24"/>
        </w:rPr>
      </w:pPr>
      <w:r w:rsidRPr="00463FB5">
        <w:rPr>
          <w:rFonts w:ascii="Cambria" w:hAnsi="Cambria"/>
          <w:sz w:val="24"/>
          <w:szCs w:val="24"/>
        </w:rPr>
        <w:t>Similarly,</w:t>
      </w:r>
      <w:r w:rsidR="00AF668F" w:rsidRPr="00463FB5">
        <w:rPr>
          <w:rFonts w:ascii="Cambria" w:hAnsi="Cambria"/>
          <w:sz w:val="24"/>
          <w:szCs w:val="24"/>
        </w:rPr>
        <w:t xml:space="preserve"> from FY 18-19 to FY 2</w:t>
      </w:r>
      <w:r w:rsidR="00463FB5" w:rsidRPr="00463FB5">
        <w:rPr>
          <w:rFonts w:ascii="Cambria" w:hAnsi="Cambria"/>
          <w:sz w:val="24"/>
          <w:szCs w:val="24"/>
        </w:rPr>
        <w:t>4</w:t>
      </w:r>
      <w:r w:rsidR="00AF668F" w:rsidRPr="00463FB5">
        <w:rPr>
          <w:rFonts w:ascii="Cambria" w:hAnsi="Cambria"/>
          <w:sz w:val="24"/>
          <w:szCs w:val="24"/>
        </w:rPr>
        <w:t>-2</w:t>
      </w:r>
      <w:r w:rsidR="00463FB5" w:rsidRPr="00463FB5">
        <w:rPr>
          <w:rFonts w:ascii="Cambria" w:hAnsi="Cambria"/>
          <w:sz w:val="24"/>
          <w:szCs w:val="24"/>
        </w:rPr>
        <w:t>5</w:t>
      </w:r>
      <w:r w:rsidR="00AF668F" w:rsidRPr="00463FB5">
        <w:rPr>
          <w:rFonts w:ascii="Cambria" w:hAnsi="Cambria"/>
          <w:sz w:val="24"/>
          <w:szCs w:val="24"/>
        </w:rPr>
        <w:t>, TPWODL has also experienced a steady increase in LT consumer coverage month-on-month. This growth aligns with national electrification policies aimed at providing universal access to electricity, especially in underserved rural regions. Key initiatives, such as intensified consumer outreach, last-mile connectivity, and simplified connection processes, have made it easier for households and small businesses to join the grid. The month-wise consumer coverage (MRs generated in lakhs) is tabulated below:</w:t>
      </w:r>
    </w:p>
    <w:p w14:paraId="2FF7C902" w14:textId="1D6C0AEF" w:rsidR="00AA2A98" w:rsidRPr="009C651B" w:rsidRDefault="00AA2A98" w:rsidP="00AA2A98">
      <w:pPr>
        <w:pStyle w:val="ListParagraph"/>
        <w:spacing w:after="0" w:line="240" w:lineRule="auto"/>
        <w:ind w:left="7200"/>
        <w:contextualSpacing w:val="0"/>
        <w:jc w:val="both"/>
        <w:rPr>
          <w:rFonts w:ascii="Cambria" w:hAnsi="Cambria"/>
          <w:sz w:val="24"/>
          <w:szCs w:val="24"/>
          <w:highlight w:val="cyan"/>
        </w:rPr>
      </w:pPr>
      <w:r w:rsidRPr="009C651B">
        <w:rPr>
          <w:rFonts w:ascii="Cambria" w:hAnsi="Cambria"/>
          <w:b/>
          <w:highlight w:val="cyan"/>
        </w:rPr>
        <w:t xml:space="preserve">               </w:t>
      </w:r>
    </w:p>
    <w:tbl>
      <w:tblPr>
        <w:tblW w:w="978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680"/>
        <w:gridCol w:w="681"/>
        <w:gridCol w:w="690"/>
        <w:gridCol w:w="691"/>
        <w:gridCol w:w="691"/>
        <w:gridCol w:w="672"/>
        <w:gridCol w:w="678"/>
        <w:gridCol w:w="691"/>
        <w:gridCol w:w="679"/>
        <w:gridCol w:w="692"/>
        <w:gridCol w:w="692"/>
        <w:gridCol w:w="700"/>
        <w:gridCol w:w="777"/>
      </w:tblGrid>
      <w:tr w:rsidR="00D9743D" w:rsidRPr="00BA3DB7" w14:paraId="5A34B418" w14:textId="77777777" w:rsidTr="005C4611">
        <w:trPr>
          <w:trHeight w:val="300"/>
          <w:tblHeader/>
        </w:trPr>
        <w:tc>
          <w:tcPr>
            <w:tcW w:w="767" w:type="dxa"/>
            <w:vMerge w:val="restart"/>
            <w:shd w:val="clear" w:color="auto" w:fill="DBE5F1" w:themeFill="accent1" w:themeFillTint="33"/>
            <w:vAlign w:val="center"/>
            <w:hideMark/>
          </w:tcPr>
          <w:p w14:paraId="0846C5FF" w14:textId="77777777" w:rsidR="00463FB5" w:rsidRPr="00BA3DB7" w:rsidRDefault="00463FB5" w:rsidP="00F75F9E">
            <w:pPr>
              <w:rPr>
                <w:rFonts w:ascii="Cambria" w:hAnsi="Cambria"/>
                <w:b/>
                <w:bCs/>
                <w:color w:val="000000"/>
                <w:sz w:val="20"/>
                <w:szCs w:val="20"/>
                <w:lang w:val="en-IN" w:eastAsia="en-IN" w:bidi="hi-IN"/>
              </w:rPr>
            </w:pPr>
            <w:bookmarkStart w:id="25" w:name="_Hlk212466119"/>
            <w:r w:rsidRPr="00BA3DB7">
              <w:rPr>
                <w:rFonts w:ascii="Cambria" w:hAnsi="Cambria"/>
                <w:b/>
                <w:bCs/>
                <w:color w:val="000000"/>
                <w:sz w:val="20"/>
                <w:szCs w:val="20"/>
                <w:lang w:eastAsia="en-IN" w:bidi="hi-IN"/>
              </w:rPr>
              <w:t>FY</w:t>
            </w:r>
          </w:p>
        </w:tc>
        <w:tc>
          <w:tcPr>
            <w:tcW w:w="680" w:type="dxa"/>
            <w:shd w:val="clear" w:color="auto" w:fill="DBE5F1" w:themeFill="accent1" w:themeFillTint="33"/>
            <w:vAlign w:val="center"/>
            <w:hideMark/>
          </w:tcPr>
          <w:p w14:paraId="1E267E69"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Apr</w:t>
            </w:r>
          </w:p>
        </w:tc>
        <w:tc>
          <w:tcPr>
            <w:tcW w:w="681" w:type="dxa"/>
            <w:shd w:val="clear" w:color="auto" w:fill="DBE5F1" w:themeFill="accent1" w:themeFillTint="33"/>
            <w:vAlign w:val="center"/>
            <w:hideMark/>
          </w:tcPr>
          <w:p w14:paraId="45CC5384"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May</w:t>
            </w:r>
          </w:p>
        </w:tc>
        <w:tc>
          <w:tcPr>
            <w:tcW w:w="690" w:type="dxa"/>
            <w:shd w:val="clear" w:color="auto" w:fill="DBE5F1" w:themeFill="accent1" w:themeFillTint="33"/>
            <w:vAlign w:val="center"/>
            <w:hideMark/>
          </w:tcPr>
          <w:p w14:paraId="4AACD2D5"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Jun</w:t>
            </w:r>
          </w:p>
        </w:tc>
        <w:tc>
          <w:tcPr>
            <w:tcW w:w="691" w:type="dxa"/>
            <w:shd w:val="clear" w:color="auto" w:fill="DBE5F1" w:themeFill="accent1" w:themeFillTint="33"/>
            <w:vAlign w:val="center"/>
            <w:hideMark/>
          </w:tcPr>
          <w:p w14:paraId="63211416"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Jul</w:t>
            </w:r>
          </w:p>
        </w:tc>
        <w:tc>
          <w:tcPr>
            <w:tcW w:w="691" w:type="dxa"/>
            <w:shd w:val="clear" w:color="auto" w:fill="DBE5F1" w:themeFill="accent1" w:themeFillTint="33"/>
            <w:vAlign w:val="center"/>
            <w:hideMark/>
          </w:tcPr>
          <w:p w14:paraId="070C809D"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Aug</w:t>
            </w:r>
          </w:p>
        </w:tc>
        <w:tc>
          <w:tcPr>
            <w:tcW w:w="672" w:type="dxa"/>
            <w:shd w:val="clear" w:color="auto" w:fill="DBE5F1" w:themeFill="accent1" w:themeFillTint="33"/>
            <w:vAlign w:val="center"/>
            <w:hideMark/>
          </w:tcPr>
          <w:p w14:paraId="05AEBABD"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Sep</w:t>
            </w:r>
          </w:p>
        </w:tc>
        <w:tc>
          <w:tcPr>
            <w:tcW w:w="678" w:type="dxa"/>
            <w:shd w:val="clear" w:color="auto" w:fill="DBE5F1" w:themeFill="accent1" w:themeFillTint="33"/>
            <w:vAlign w:val="center"/>
            <w:hideMark/>
          </w:tcPr>
          <w:p w14:paraId="1B3EA4E0"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Oct</w:t>
            </w:r>
          </w:p>
        </w:tc>
        <w:tc>
          <w:tcPr>
            <w:tcW w:w="691" w:type="dxa"/>
            <w:shd w:val="clear" w:color="auto" w:fill="DBE5F1" w:themeFill="accent1" w:themeFillTint="33"/>
            <w:vAlign w:val="center"/>
            <w:hideMark/>
          </w:tcPr>
          <w:p w14:paraId="4D47F267"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Nov</w:t>
            </w:r>
          </w:p>
        </w:tc>
        <w:tc>
          <w:tcPr>
            <w:tcW w:w="679" w:type="dxa"/>
            <w:shd w:val="clear" w:color="auto" w:fill="DBE5F1" w:themeFill="accent1" w:themeFillTint="33"/>
            <w:vAlign w:val="center"/>
            <w:hideMark/>
          </w:tcPr>
          <w:p w14:paraId="5C2B28C4"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Dec</w:t>
            </w:r>
          </w:p>
        </w:tc>
        <w:tc>
          <w:tcPr>
            <w:tcW w:w="692" w:type="dxa"/>
            <w:shd w:val="clear" w:color="auto" w:fill="DBE5F1" w:themeFill="accent1" w:themeFillTint="33"/>
            <w:vAlign w:val="center"/>
            <w:hideMark/>
          </w:tcPr>
          <w:p w14:paraId="7EC7CEC0"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Jan</w:t>
            </w:r>
          </w:p>
        </w:tc>
        <w:tc>
          <w:tcPr>
            <w:tcW w:w="692" w:type="dxa"/>
            <w:shd w:val="clear" w:color="auto" w:fill="DBE5F1" w:themeFill="accent1" w:themeFillTint="33"/>
            <w:vAlign w:val="center"/>
            <w:hideMark/>
          </w:tcPr>
          <w:p w14:paraId="52539D00"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Feb</w:t>
            </w:r>
          </w:p>
        </w:tc>
        <w:tc>
          <w:tcPr>
            <w:tcW w:w="700" w:type="dxa"/>
            <w:shd w:val="clear" w:color="auto" w:fill="DBE5F1" w:themeFill="accent1" w:themeFillTint="33"/>
            <w:vAlign w:val="center"/>
            <w:hideMark/>
          </w:tcPr>
          <w:p w14:paraId="6CBAEF93"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Mar</w:t>
            </w:r>
          </w:p>
        </w:tc>
        <w:tc>
          <w:tcPr>
            <w:tcW w:w="777" w:type="dxa"/>
            <w:shd w:val="clear" w:color="auto" w:fill="DBE5F1" w:themeFill="accent1" w:themeFillTint="33"/>
            <w:vAlign w:val="center"/>
            <w:hideMark/>
          </w:tcPr>
          <w:p w14:paraId="5A85CDCA"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Total</w:t>
            </w:r>
          </w:p>
        </w:tc>
      </w:tr>
      <w:tr w:rsidR="00463FB5" w:rsidRPr="00BA3DB7" w14:paraId="1E004825" w14:textId="77777777" w:rsidTr="005C4611">
        <w:trPr>
          <w:trHeight w:val="300"/>
          <w:tblHeader/>
        </w:trPr>
        <w:tc>
          <w:tcPr>
            <w:tcW w:w="767" w:type="dxa"/>
            <w:vMerge/>
            <w:shd w:val="clear" w:color="auto" w:fill="DBE5F1" w:themeFill="accent1" w:themeFillTint="33"/>
            <w:vAlign w:val="center"/>
            <w:hideMark/>
          </w:tcPr>
          <w:p w14:paraId="32EDE445" w14:textId="77777777" w:rsidR="00463FB5" w:rsidRPr="00BA3DB7" w:rsidRDefault="00463FB5" w:rsidP="00F75F9E">
            <w:pPr>
              <w:rPr>
                <w:rFonts w:ascii="Cambria" w:hAnsi="Cambria"/>
                <w:b/>
                <w:bCs/>
                <w:color w:val="000000"/>
                <w:sz w:val="20"/>
                <w:szCs w:val="20"/>
                <w:lang w:val="en-IN" w:eastAsia="en-IN" w:bidi="hi-IN"/>
              </w:rPr>
            </w:pPr>
          </w:p>
        </w:tc>
        <w:tc>
          <w:tcPr>
            <w:tcW w:w="9014" w:type="dxa"/>
            <w:gridSpan w:val="13"/>
            <w:shd w:val="clear" w:color="auto" w:fill="DBE5F1" w:themeFill="accent1" w:themeFillTint="33"/>
            <w:vAlign w:val="center"/>
            <w:hideMark/>
          </w:tcPr>
          <w:p w14:paraId="6B5B05F4" w14:textId="77777777" w:rsidR="00463FB5" w:rsidRPr="00BA3DB7" w:rsidRDefault="00463FB5" w:rsidP="00F75F9E">
            <w:pPr>
              <w:jc w:val="cente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(MRs generated in lakhs)</w:t>
            </w:r>
          </w:p>
        </w:tc>
      </w:tr>
      <w:tr w:rsidR="00463FB5" w:rsidRPr="00BA3DB7" w14:paraId="0788494F" w14:textId="77777777" w:rsidTr="005C4611">
        <w:trPr>
          <w:trHeight w:val="300"/>
        </w:trPr>
        <w:tc>
          <w:tcPr>
            <w:tcW w:w="767" w:type="dxa"/>
            <w:vAlign w:val="center"/>
            <w:hideMark/>
          </w:tcPr>
          <w:p w14:paraId="0BDC7981" w14:textId="77777777" w:rsidR="00463FB5" w:rsidRPr="00BA3DB7" w:rsidRDefault="00463FB5" w:rsidP="00F75F9E">
            <w:pP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18-19</w:t>
            </w:r>
          </w:p>
        </w:tc>
        <w:tc>
          <w:tcPr>
            <w:tcW w:w="680" w:type="dxa"/>
            <w:vAlign w:val="center"/>
            <w:hideMark/>
          </w:tcPr>
          <w:p w14:paraId="242DF6F9"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3.0</w:t>
            </w:r>
          </w:p>
        </w:tc>
        <w:tc>
          <w:tcPr>
            <w:tcW w:w="681" w:type="dxa"/>
            <w:vAlign w:val="center"/>
            <w:hideMark/>
          </w:tcPr>
          <w:p w14:paraId="12686F46"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2.2</w:t>
            </w:r>
          </w:p>
        </w:tc>
        <w:tc>
          <w:tcPr>
            <w:tcW w:w="690" w:type="dxa"/>
            <w:vAlign w:val="center"/>
            <w:hideMark/>
          </w:tcPr>
          <w:p w14:paraId="4B81887A"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2.8</w:t>
            </w:r>
          </w:p>
        </w:tc>
        <w:tc>
          <w:tcPr>
            <w:tcW w:w="691" w:type="dxa"/>
            <w:vAlign w:val="center"/>
            <w:hideMark/>
          </w:tcPr>
          <w:p w14:paraId="435D8510"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3.1</w:t>
            </w:r>
          </w:p>
        </w:tc>
        <w:tc>
          <w:tcPr>
            <w:tcW w:w="691" w:type="dxa"/>
            <w:vAlign w:val="center"/>
            <w:hideMark/>
          </w:tcPr>
          <w:p w14:paraId="75C6A15C"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3.3</w:t>
            </w:r>
          </w:p>
        </w:tc>
        <w:tc>
          <w:tcPr>
            <w:tcW w:w="672" w:type="dxa"/>
            <w:vAlign w:val="center"/>
            <w:hideMark/>
          </w:tcPr>
          <w:p w14:paraId="60292B80"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3.1</w:t>
            </w:r>
          </w:p>
        </w:tc>
        <w:tc>
          <w:tcPr>
            <w:tcW w:w="678" w:type="dxa"/>
            <w:vAlign w:val="center"/>
            <w:hideMark/>
          </w:tcPr>
          <w:p w14:paraId="2676A8B1"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3.2</w:t>
            </w:r>
          </w:p>
        </w:tc>
        <w:tc>
          <w:tcPr>
            <w:tcW w:w="691" w:type="dxa"/>
            <w:vAlign w:val="center"/>
            <w:hideMark/>
          </w:tcPr>
          <w:p w14:paraId="313243F3"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3.2</w:t>
            </w:r>
          </w:p>
        </w:tc>
        <w:tc>
          <w:tcPr>
            <w:tcW w:w="679" w:type="dxa"/>
            <w:vAlign w:val="center"/>
            <w:hideMark/>
          </w:tcPr>
          <w:p w14:paraId="70659D36"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3.2</w:t>
            </w:r>
          </w:p>
        </w:tc>
        <w:tc>
          <w:tcPr>
            <w:tcW w:w="692" w:type="dxa"/>
            <w:vAlign w:val="center"/>
            <w:hideMark/>
          </w:tcPr>
          <w:p w14:paraId="054D1BF4"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3.6</w:t>
            </w:r>
          </w:p>
        </w:tc>
        <w:tc>
          <w:tcPr>
            <w:tcW w:w="692" w:type="dxa"/>
            <w:vAlign w:val="center"/>
            <w:hideMark/>
          </w:tcPr>
          <w:p w14:paraId="7A361284"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3.1</w:t>
            </w:r>
          </w:p>
        </w:tc>
        <w:tc>
          <w:tcPr>
            <w:tcW w:w="700" w:type="dxa"/>
            <w:vAlign w:val="center"/>
            <w:hideMark/>
          </w:tcPr>
          <w:p w14:paraId="0771389C"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7.0</w:t>
            </w:r>
          </w:p>
        </w:tc>
        <w:tc>
          <w:tcPr>
            <w:tcW w:w="777" w:type="dxa"/>
            <w:vAlign w:val="center"/>
            <w:hideMark/>
          </w:tcPr>
          <w:p w14:paraId="1D956675" w14:textId="77777777" w:rsidR="00463FB5" w:rsidRPr="00BA3DB7" w:rsidRDefault="00463FB5" w:rsidP="00F75F9E">
            <w:pPr>
              <w:jc w:val="center"/>
              <w:rPr>
                <w:rFonts w:ascii="Cambria" w:hAnsi="Cambria"/>
                <w:b/>
                <w:bCs/>
                <w:color w:val="000000"/>
                <w:sz w:val="20"/>
                <w:szCs w:val="20"/>
                <w:lang w:val="en-IN" w:eastAsia="en-IN" w:bidi="hi-IN"/>
              </w:rPr>
            </w:pPr>
            <w:r>
              <w:rPr>
                <w:rFonts w:ascii="Cambria" w:hAnsi="Cambria"/>
                <w:b/>
                <w:bCs/>
                <w:color w:val="000000"/>
                <w:sz w:val="20"/>
                <w:szCs w:val="20"/>
              </w:rPr>
              <w:t>40.7</w:t>
            </w:r>
          </w:p>
        </w:tc>
      </w:tr>
      <w:tr w:rsidR="00463FB5" w:rsidRPr="00BA3DB7" w14:paraId="59598641" w14:textId="77777777" w:rsidTr="005C4611">
        <w:trPr>
          <w:trHeight w:val="300"/>
        </w:trPr>
        <w:tc>
          <w:tcPr>
            <w:tcW w:w="767" w:type="dxa"/>
            <w:vAlign w:val="center"/>
            <w:hideMark/>
          </w:tcPr>
          <w:p w14:paraId="12711506" w14:textId="77777777" w:rsidR="00463FB5" w:rsidRPr="00BA3DB7" w:rsidRDefault="00463FB5" w:rsidP="00F75F9E">
            <w:pP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19-20</w:t>
            </w:r>
          </w:p>
        </w:tc>
        <w:tc>
          <w:tcPr>
            <w:tcW w:w="680" w:type="dxa"/>
            <w:vAlign w:val="center"/>
            <w:hideMark/>
          </w:tcPr>
          <w:p w14:paraId="174038EF"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2.3</w:t>
            </w:r>
          </w:p>
        </w:tc>
        <w:tc>
          <w:tcPr>
            <w:tcW w:w="681" w:type="dxa"/>
            <w:vAlign w:val="center"/>
            <w:hideMark/>
          </w:tcPr>
          <w:p w14:paraId="15D4F3AE"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3.3</w:t>
            </w:r>
          </w:p>
        </w:tc>
        <w:tc>
          <w:tcPr>
            <w:tcW w:w="690" w:type="dxa"/>
            <w:vAlign w:val="center"/>
            <w:hideMark/>
          </w:tcPr>
          <w:p w14:paraId="25951F4C"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3.1</w:t>
            </w:r>
          </w:p>
        </w:tc>
        <w:tc>
          <w:tcPr>
            <w:tcW w:w="691" w:type="dxa"/>
            <w:vAlign w:val="center"/>
            <w:hideMark/>
          </w:tcPr>
          <w:p w14:paraId="64DE6C37"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3.4</w:t>
            </w:r>
          </w:p>
        </w:tc>
        <w:tc>
          <w:tcPr>
            <w:tcW w:w="691" w:type="dxa"/>
            <w:vAlign w:val="center"/>
            <w:hideMark/>
          </w:tcPr>
          <w:p w14:paraId="43EA705E"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3.0</w:t>
            </w:r>
          </w:p>
        </w:tc>
        <w:tc>
          <w:tcPr>
            <w:tcW w:w="672" w:type="dxa"/>
            <w:vAlign w:val="center"/>
            <w:hideMark/>
          </w:tcPr>
          <w:p w14:paraId="13E59FB1"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3.1</w:t>
            </w:r>
          </w:p>
        </w:tc>
        <w:tc>
          <w:tcPr>
            <w:tcW w:w="678" w:type="dxa"/>
            <w:vAlign w:val="center"/>
            <w:hideMark/>
          </w:tcPr>
          <w:p w14:paraId="6B2BFF19"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3.6</w:t>
            </w:r>
          </w:p>
        </w:tc>
        <w:tc>
          <w:tcPr>
            <w:tcW w:w="691" w:type="dxa"/>
            <w:vAlign w:val="center"/>
            <w:hideMark/>
          </w:tcPr>
          <w:p w14:paraId="11E64BF5"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4.0</w:t>
            </w:r>
          </w:p>
        </w:tc>
        <w:tc>
          <w:tcPr>
            <w:tcW w:w="679" w:type="dxa"/>
            <w:vAlign w:val="center"/>
            <w:hideMark/>
          </w:tcPr>
          <w:p w14:paraId="4AFCC2CE"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4.5</w:t>
            </w:r>
          </w:p>
        </w:tc>
        <w:tc>
          <w:tcPr>
            <w:tcW w:w="692" w:type="dxa"/>
            <w:vAlign w:val="center"/>
            <w:hideMark/>
          </w:tcPr>
          <w:p w14:paraId="5DCA39A4"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4.6</w:t>
            </w:r>
          </w:p>
        </w:tc>
        <w:tc>
          <w:tcPr>
            <w:tcW w:w="692" w:type="dxa"/>
            <w:vAlign w:val="center"/>
            <w:hideMark/>
          </w:tcPr>
          <w:p w14:paraId="32123C7E"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4.1</w:t>
            </w:r>
          </w:p>
        </w:tc>
        <w:tc>
          <w:tcPr>
            <w:tcW w:w="700" w:type="dxa"/>
            <w:vAlign w:val="center"/>
            <w:hideMark/>
          </w:tcPr>
          <w:p w14:paraId="00A7878B"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4.1</w:t>
            </w:r>
          </w:p>
        </w:tc>
        <w:tc>
          <w:tcPr>
            <w:tcW w:w="777" w:type="dxa"/>
            <w:vAlign w:val="center"/>
            <w:hideMark/>
          </w:tcPr>
          <w:p w14:paraId="360783D6" w14:textId="77777777" w:rsidR="00463FB5" w:rsidRPr="00BA3DB7" w:rsidRDefault="00463FB5" w:rsidP="00F75F9E">
            <w:pPr>
              <w:jc w:val="center"/>
              <w:rPr>
                <w:rFonts w:ascii="Cambria" w:hAnsi="Cambria"/>
                <w:b/>
                <w:bCs/>
                <w:color w:val="000000"/>
                <w:sz w:val="20"/>
                <w:szCs w:val="20"/>
                <w:lang w:val="en-IN" w:eastAsia="en-IN" w:bidi="hi-IN"/>
              </w:rPr>
            </w:pPr>
            <w:r>
              <w:rPr>
                <w:rFonts w:ascii="Cambria" w:hAnsi="Cambria"/>
                <w:b/>
                <w:bCs/>
                <w:color w:val="000000"/>
                <w:sz w:val="20"/>
                <w:szCs w:val="20"/>
              </w:rPr>
              <w:t>43.1</w:t>
            </w:r>
          </w:p>
        </w:tc>
      </w:tr>
      <w:tr w:rsidR="00463FB5" w:rsidRPr="00BA3DB7" w14:paraId="01C07EC6" w14:textId="77777777" w:rsidTr="005C4611">
        <w:trPr>
          <w:trHeight w:val="300"/>
        </w:trPr>
        <w:tc>
          <w:tcPr>
            <w:tcW w:w="767" w:type="dxa"/>
            <w:vAlign w:val="center"/>
            <w:hideMark/>
          </w:tcPr>
          <w:p w14:paraId="5A8044ED" w14:textId="77777777" w:rsidR="00463FB5" w:rsidRPr="00BA3DB7" w:rsidRDefault="00463FB5" w:rsidP="00F75F9E">
            <w:pP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20-21</w:t>
            </w:r>
          </w:p>
        </w:tc>
        <w:tc>
          <w:tcPr>
            <w:tcW w:w="680" w:type="dxa"/>
            <w:vAlign w:val="center"/>
            <w:hideMark/>
          </w:tcPr>
          <w:p w14:paraId="05E125B9"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0.5</w:t>
            </w:r>
          </w:p>
        </w:tc>
        <w:tc>
          <w:tcPr>
            <w:tcW w:w="681" w:type="dxa"/>
            <w:vAlign w:val="center"/>
            <w:hideMark/>
          </w:tcPr>
          <w:p w14:paraId="2970D3B8"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2.8</w:t>
            </w:r>
          </w:p>
        </w:tc>
        <w:tc>
          <w:tcPr>
            <w:tcW w:w="690" w:type="dxa"/>
            <w:vAlign w:val="center"/>
            <w:hideMark/>
          </w:tcPr>
          <w:p w14:paraId="68770572"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3.2</w:t>
            </w:r>
          </w:p>
        </w:tc>
        <w:tc>
          <w:tcPr>
            <w:tcW w:w="691" w:type="dxa"/>
            <w:vAlign w:val="center"/>
            <w:hideMark/>
          </w:tcPr>
          <w:p w14:paraId="3918CAD2"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3.6</w:t>
            </w:r>
          </w:p>
        </w:tc>
        <w:tc>
          <w:tcPr>
            <w:tcW w:w="691" w:type="dxa"/>
            <w:vAlign w:val="center"/>
            <w:hideMark/>
          </w:tcPr>
          <w:p w14:paraId="07299D0E"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3.7</w:t>
            </w:r>
          </w:p>
        </w:tc>
        <w:tc>
          <w:tcPr>
            <w:tcW w:w="672" w:type="dxa"/>
            <w:vAlign w:val="center"/>
            <w:hideMark/>
          </w:tcPr>
          <w:p w14:paraId="627ACF7E"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4.6</w:t>
            </w:r>
          </w:p>
        </w:tc>
        <w:tc>
          <w:tcPr>
            <w:tcW w:w="678" w:type="dxa"/>
            <w:vAlign w:val="center"/>
            <w:hideMark/>
          </w:tcPr>
          <w:p w14:paraId="1C76F176"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4.8</w:t>
            </w:r>
          </w:p>
        </w:tc>
        <w:tc>
          <w:tcPr>
            <w:tcW w:w="691" w:type="dxa"/>
            <w:vAlign w:val="center"/>
            <w:hideMark/>
          </w:tcPr>
          <w:p w14:paraId="1A1A09CC"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5.8</w:t>
            </w:r>
          </w:p>
        </w:tc>
        <w:tc>
          <w:tcPr>
            <w:tcW w:w="679" w:type="dxa"/>
            <w:vAlign w:val="center"/>
            <w:hideMark/>
          </w:tcPr>
          <w:p w14:paraId="73F686FC"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5.1</w:t>
            </w:r>
          </w:p>
        </w:tc>
        <w:tc>
          <w:tcPr>
            <w:tcW w:w="692" w:type="dxa"/>
            <w:vAlign w:val="center"/>
            <w:hideMark/>
          </w:tcPr>
          <w:p w14:paraId="53A5745F"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5.2</w:t>
            </w:r>
          </w:p>
        </w:tc>
        <w:tc>
          <w:tcPr>
            <w:tcW w:w="692" w:type="dxa"/>
            <w:vAlign w:val="center"/>
            <w:hideMark/>
          </w:tcPr>
          <w:p w14:paraId="0D6E400C"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4.7</w:t>
            </w:r>
          </w:p>
        </w:tc>
        <w:tc>
          <w:tcPr>
            <w:tcW w:w="700" w:type="dxa"/>
            <w:vAlign w:val="center"/>
            <w:hideMark/>
          </w:tcPr>
          <w:p w14:paraId="599BD68A"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8.6</w:t>
            </w:r>
          </w:p>
        </w:tc>
        <w:tc>
          <w:tcPr>
            <w:tcW w:w="777" w:type="dxa"/>
            <w:vAlign w:val="center"/>
            <w:hideMark/>
          </w:tcPr>
          <w:p w14:paraId="4A823F3A" w14:textId="77777777" w:rsidR="00463FB5" w:rsidRPr="00BA3DB7" w:rsidRDefault="00463FB5" w:rsidP="00F75F9E">
            <w:pPr>
              <w:jc w:val="center"/>
              <w:rPr>
                <w:rFonts w:ascii="Cambria" w:hAnsi="Cambria"/>
                <w:b/>
                <w:bCs/>
                <w:color w:val="000000"/>
                <w:sz w:val="20"/>
                <w:szCs w:val="20"/>
                <w:lang w:val="en-IN" w:eastAsia="en-IN" w:bidi="hi-IN"/>
              </w:rPr>
            </w:pPr>
            <w:r>
              <w:rPr>
                <w:rFonts w:ascii="Cambria" w:hAnsi="Cambria"/>
                <w:b/>
                <w:bCs/>
                <w:color w:val="000000"/>
                <w:sz w:val="20"/>
                <w:szCs w:val="20"/>
              </w:rPr>
              <w:t>52.4</w:t>
            </w:r>
          </w:p>
        </w:tc>
      </w:tr>
      <w:tr w:rsidR="00463FB5" w:rsidRPr="00BA3DB7" w14:paraId="4F83B0C1" w14:textId="77777777" w:rsidTr="005C4611">
        <w:trPr>
          <w:trHeight w:val="300"/>
        </w:trPr>
        <w:tc>
          <w:tcPr>
            <w:tcW w:w="767" w:type="dxa"/>
            <w:vAlign w:val="center"/>
            <w:hideMark/>
          </w:tcPr>
          <w:p w14:paraId="50CC1838" w14:textId="77777777" w:rsidR="00463FB5" w:rsidRPr="00BA3DB7" w:rsidRDefault="00463FB5" w:rsidP="00F75F9E">
            <w:pP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21-22</w:t>
            </w:r>
          </w:p>
        </w:tc>
        <w:tc>
          <w:tcPr>
            <w:tcW w:w="680" w:type="dxa"/>
            <w:vAlign w:val="center"/>
            <w:hideMark/>
          </w:tcPr>
          <w:p w14:paraId="40C9EF38"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3.0</w:t>
            </w:r>
          </w:p>
        </w:tc>
        <w:tc>
          <w:tcPr>
            <w:tcW w:w="681" w:type="dxa"/>
            <w:vAlign w:val="center"/>
            <w:hideMark/>
          </w:tcPr>
          <w:p w14:paraId="1DEAFDC7"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4.2</w:t>
            </w:r>
          </w:p>
        </w:tc>
        <w:tc>
          <w:tcPr>
            <w:tcW w:w="690" w:type="dxa"/>
            <w:vAlign w:val="center"/>
            <w:hideMark/>
          </w:tcPr>
          <w:p w14:paraId="5B168B3D"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4.4</w:t>
            </w:r>
          </w:p>
        </w:tc>
        <w:tc>
          <w:tcPr>
            <w:tcW w:w="691" w:type="dxa"/>
            <w:vAlign w:val="center"/>
            <w:hideMark/>
          </w:tcPr>
          <w:p w14:paraId="0AE89C19"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4.3</w:t>
            </w:r>
          </w:p>
        </w:tc>
        <w:tc>
          <w:tcPr>
            <w:tcW w:w="691" w:type="dxa"/>
            <w:vAlign w:val="center"/>
            <w:hideMark/>
          </w:tcPr>
          <w:p w14:paraId="18B92501"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4.0</w:t>
            </w:r>
          </w:p>
        </w:tc>
        <w:tc>
          <w:tcPr>
            <w:tcW w:w="672" w:type="dxa"/>
            <w:vAlign w:val="center"/>
            <w:hideMark/>
          </w:tcPr>
          <w:p w14:paraId="11CD5A81"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3.1</w:t>
            </w:r>
          </w:p>
        </w:tc>
        <w:tc>
          <w:tcPr>
            <w:tcW w:w="678" w:type="dxa"/>
            <w:vAlign w:val="center"/>
            <w:hideMark/>
          </w:tcPr>
          <w:p w14:paraId="0E15B0C0"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2.8</w:t>
            </w:r>
          </w:p>
        </w:tc>
        <w:tc>
          <w:tcPr>
            <w:tcW w:w="691" w:type="dxa"/>
            <w:vAlign w:val="center"/>
            <w:hideMark/>
          </w:tcPr>
          <w:p w14:paraId="712A7DD4"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4.2</w:t>
            </w:r>
          </w:p>
        </w:tc>
        <w:tc>
          <w:tcPr>
            <w:tcW w:w="679" w:type="dxa"/>
            <w:vAlign w:val="center"/>
            <w:hideMark/>
          </w:tcPr>
          <w:p w14:paraId="062A242E"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5.5</w:t>
            </w:r>
          </w:p>
        </w:tc>
        <w:tc>
          <w:tcPr>
            <w:tcW w:w="692" w:type="dxa"/>
            <w:vAlign w:val="center"/>
            <w:hideMark/>
          </w:tcPr>
          <w:p w14:paraId="19BABD6C"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5.3</w:t>
            </w:r>
          </w:p>
        </w:tc>
        <w:tc>
          <w:tcPr>
            <w:tcW w:w="692" w:type="dxa"/>
            <w:vAlign w:val="center"/>
            <w:hideMark/>
          </w:tcPr>
          <w:p w14:paraId="2C01A15E"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6.0</w:t>
            </w:r>
          </w:p>
        </w:tc>
        <w:tc>
          <w:tcPr>
            <w:tcW w:w="700" w:type="dxa"/>
            <w:vAlign w:val="center"/>
            <w:hideMark/>
          </w:tcPr>
          <w:p w14:paraId="5598516A"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10.1</w:t>
            </w:r>
          </w:p>
        </w:tc>
        <w:tc>
          <w:tcPr>
            <w:tcW w:w="777" w:type="dxa"/>
            <w:vAlign w:val="center"/>
            <w:hideMark/>
          </w:tcPr>
          <w:p w14:paraId="4F78272C" w14:textId="77777777" w:rsidR="00463FB5" w:rsidRPr="00BA3DB7" w:rsidRDefault="00463FB5" w:rsidP="00F75F9E">
            <w:pPr>
              <w:jc w:val="center"/>
              <w:rPr>
                <w:rFonts w:ascii="Cambria" w:hAnsi="Cambria"/>
                <w:b/>
                <w:bCs/>
                <w:color w:val="000000"/>
                <w:sz w:val="20"/>
                <w:szCs w:val="20"/>
                <w:lang w:val="en-IN" w:eastAsia="en-IN" w:bidi="hi-IN"/>
              </w:rPr>
            </w:pPr>
            <w:r>
              <w:rPr>
                <w:rFonts w:ascii="Cambria" w:hAnsi="Cambria"/>
                <w:b/>
                <w:bCs/>
                <w:color w:val="000000"/>
                <w:sz w:val="20"/>
                <w:szCs w:val="20"/>
              </w:rPr>
              <w:t>57.0</w:t>
            </w:r>
          </w:p>
        </w:tc>
      </w:tr>
      <w:tr w:rsidR="00D9743D" w:rsidRPr="00BA3DB7" w14:paraId="2310487C" w14:textId="77777777" w:rsidTr="005C4611">
        <w:trPr>
          <w:trHeight w:val="300"/>
        </w:trPr>
        <w:tc>
          <w:tcPr>
            <w:tcW w:w="767" w:type="dxa"/>
            <w:shd w:val="clear" w:color="auto" w:fill="F2F2F2" w:themeFill="background1" w:themeFillShade="F2"/>
            <w:vAlign w:val="center"/>
            <w:hideMark/>
          </w:tcPr>
          <w:p w14:paraId="0A20B9ED" w14:textId="77777777" w:rsidR="00463FB5" w:rsidRPr="00BA3DB7" w:rsidRDefault="00463FB5" w:rsidP="00F75F9E">
            <w:pPr>
              <w:rPr>
                <w:rFonts w:ascii="Cambria" w:hAnsi="Cambria"/>
                <w:b/>
                <w:bCs/>
                <w:color w:val="000000"/>
                <w:sz w:val="20"/>
                <w:szCs w:val="20"/>
                <w:lang w:val="en-IN" w:eastAsia="en-IN" w:bidi="hi-IN"/>
              </w:rPr>
            </w:pPr>
            <w:r w:rsidRPr="00BA3DB7">
              <w:rPr>
                <w:rFonts w:ascii="Cambria" w:hAnsi="Cambria"/>
                <w:b/>
                <w:bCs/>
                <w:color w:val="000000"/>
                <w:sz w:val="20"/>
                <w:szCs w:val="20"/>
                <w:lang w:eastAsia="en-IN" w:bidi="hi-IN"/>
              </w:rPr>
              <w:t>22-23</w:t>
            </w:r>
          </w:p>
        </w:tc>
        <w:tc>
          <w:tcPr>
            <w:tcW w:w="680" w:type="dxa"/>
            <w:shd w:val="clear" w:color="auto" w:fill="F2F2F2" w:themeFill="background1" w:themeFillShade="F2"/>
            <w:vAlign w:val="center"/>
            <w:hideMark/>
          </w:tcPr>
          <w:p w14:paraId="24897C76"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3.2</w:t>
            </w:r>
          </w:p>
        </w:tc>
        <w:tc>
          <w:tcPr>
            <w:tcW w:w="681" w:type="dxa"/>
            <w:shd w:val="clear" w:color="auto" w:fill="F2F2F2" w:themeFill="background1" w:themeFillShade="F2"/>
            <w:vAlign w:val="center"/>
            <w:hideMark/>
          </w:tcPr>
          <w:p w14:paraId="497879A8"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4.1</w:t>
            </w:r>
          </w:p>
        </w:tc>
        <w:tc>
          <w:tcPr>
            <w:tcW w:w="690" w:type="dxa"/>
            <w:shd w:val="clear" w:color="auto" w:fill="F2F2F2" w:themeFill="background1" w:themeFillShade="F2"/>
            <w:vAlign w:val="center"/>
            <w:hideMark/>
          </w:tcPr>
          <w:p w14:paraId="2DE0041D"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7.0</w:t>
            </w:r>
          </w:p>
        </w:tc>
        <w:tc>
          <w:tcPr>
            <w:tcW w:w="691" w:type="dxa"/>
            <w:shd w:val="clear" w:color="auto" w:fill="F2F2F2" w:themeFill="background1" w:themeFillShade="F2"/>
            <w:vAlign w:val="center"/>
            <w:hideMark/>
          </w:tcPr>
          <w:p w14:paraId="060A9D76"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7.6</w:t>
            </w:r>
          </w:p>
        </w:tc>
        <w:tc>
          <w:tcPr>
            <w:tcW w:w="691" w:type="dxa"/>
            <w:shd w:val="clear" w:color="auto" w:fill="F2F2F2" w:themeFill="background1" w:themeFillShade="F2"/>
            <w:vAlign w:val="center"/>
            <w:hideMark/>
          </w:tcPr>
          <w:p w14:paraId="604771EF"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7.6</w:t>
            </w:r>
          </w:p>
        </w:tc>
        <w:tc>
          <w:tcPr>
            <w:tcW w:w="672" w:type="dxa"/>
            <w:shd w:val="clear" w:color="auto" w:fill="F2F2F2" w:themeFill="background1" w:themeFillShade="F2"/>
            <w:vAlign w:val="center"/>
            <w:hideMark/>
          </w:tcPr>
          <w:p w14:paraId="2FEAD543"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8.3</w:t>
            </w:r>
          </w:p>
        </w:tc>
        <w:tc>
          <w:tcPr>
            <w:tcW w:w="678" w:type="dxa"/>
            <w:shd w:val="clear" w:color="auto" w:fill="F2F2F2" w:themeFill="background1" w:themeFillShade="F2"/>
            <w:vAlign w:val="center"/>
            <w:hideMark/>
          </w:tcPr>
          <w:p w14:paraId="5F043358"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8.3</w:t>
            </w:r>
          </w:p>
        </w:tc>
        <w:tc>
          <w:tcPr>
            <w:tcW w:w="691" w:type="dxa"/>
            <w:shd w:val="clear" w:color="auto" w:fill="F2F2F2" w:themeFill="background1" w:themeFillShade="F2"/>
            <w:vAlign w:val="center"/>
            <w:hideMark/>
          </w:tcPr>
          <w:p w14:paraId="3F32A62A"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9.1</w:t>
            </w:r>
          </w:p>
        </w:tc>
        <w:tc>
          <w:tcPr>
            <w:tcW w:w="679" w:type="dxa"/>
            <w:shd w:val="clear" w:color="auto" w:fill="F2F2F2" w:themeFill="background1" w:themeFillShade="F2"/>
            <w:vAlign w:val="center"/>
            <w:hideMark/>
          </w:tcPr>
          <w:p w14:paraId="151D6204"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10.1</w:t>
            </w:r>
          </w:p>
        </w:tc>
        <w:tc>
          <w:tcPr>
            <w:tcW w:w="692" w:type="dxa"/>
            <w:shd w:val="clear" w:color="auto" w:fill="F2F2F2" w:themeFill="background1" w:themeFillShade="F2"/>
            <w:vAlign w:val="center"/>
            <w:hideMark/>
          </w:tcPr>
          <w:p w14:paraId="2345F53E"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9.6</w:t>
            </w:r>
          </w:p>
        </w:tc>
        <w:tc>
          <w:tcPr>
            <w:tcW w:w="692" w:type="dxa"/>
            <w:shd w:val="clear" w:color="auto" w:fill="F2F2F2" w:themeFill="background1" w:themeFillShade="F2"/>
            <w:vAlign w:val="center"/>
            <w:hideMark/>
          </w:tcPr>
          <w:p w14:paraId="4DDE116E"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9.3</w:t>
            </w:r>
          </w:p>
        </w:tc>
        <w:tc>
          <w:tcPr>
            <w:tcW w:w="700" w:type="dxa"/>
            <w:shd w:val="clear" w:color="auto" w:fill="F2F2F2" w:themeFill="background1" w:themeFillShade="F2"/>
            <w:vAlign w:val="center"/>
            <w:hideMark/>
          </w:tcPr>
          <w:p w14:paraId="5B4F94DB" w14:textId="77777777" w:rsidR="00463FB5" w:rsidRPr="00BA3DB7" w:rsidRDefault="00463FB5" w:rsidP="00F75F9E">
            <w:pPr>
              <w:jc w:val="center"/>
              <w:rPr>
                <w:rFonts w:ascii="Cambria" w:hAnsi="Cambria"/>
                <w:color w:val="000000"/>
                <w:sz w:val="20"/>
                <w:szCs w:val="20"/>
                <w:lang w:val="en-IN" w:eastAsia="en-IN" w:bidi="hi-IN"/>
              </w:rPr>
            </w:pPr>
            <w:r>
              <w:rPr>
                <w:rFonts w:ascii="Cambria" w:hAnsi="Cambria"/>
                <w:color w:val="000000"/>
                <w:sz w:val="20"/>
                <w:szCs w:val="20"/>
              </w:rPr>
              <w:t>11.5</w:t>
            </w:r>
          </w:p>
        </w:tc>
        <w:tc>
          <w:tcPr>
            <w:tcW w:w="777" w:type="dxa"/>
            <w:shd w:val="clear" w:color="auto" w:fill="F2F2F2" w:themeFill="background1" w:themeFillShade="F2"/>
            <w:vAlign w:val="center"/>
            <w:hideMark/>
          </w:tcPr>
          <w:p w14:paraId="170E84FB" w14:textId="77777777" w:rsidR="00463FB5" w:rsidRPr="00BA3DB7" w:rsidRDefault="00463FB5" w:rsidP="00F75F9E">
            <w:pPr>
              <w:jc w:val="center"/>
              <w:rPr>
                <w:rFonts w:ascii="Cambria" w:hAnsi="Cambria"/>
                <w:b/>
                <w:bCs/>
                <w:color w:val="000000"/>
                <w:sz w:val="20"/>
                <w:szCs w:val="20"/>
                <w:lang w:val="en-IN" w:eastAsia="en-IN" w:bidi="hi-IN"/>
              </w:rPr>
            </w:pPr>
            <w:r>
              <w:rPr>
                <w:rFonts w:ascii="Cambria" w:hAnsi="Cambria"/>
                <w:b/>
                <w:bCs/>
                <w:color w:val="000000"/>
                <w:sz w:val="20"/>
                <w:szCs w:val="20"/>
              </w:rPr>
              <w:t>95.7</w:t>
            </w:r>
          </w:p>
        </w:tc>
      </w:tr>
      <w:tr w:rsidR="00D9743D" w:rsidRPr="00BA3DB7" w14:paraId="48BEBFDC" w14:textId="77777777" w:rsidTr="005C4611">
        <w:trPr>
          <w:trHeight w:val="300"/>
        </w:trPr>
        <w:tc>
          <w:tcPr>
            <w:tcW w:w="767" w:type="dxa"/>
            <w:shd w:val="clear" w:color="auto" w:fill="F2F2F2" w:themeFill="background1" w:themeFillShade="F2"/>
            <w:vAlign w:val="center"/>
          </w:tcPr>
          <w:p w14:paraId="42B97279" w14:textId="77777777" w:rsidR="00463FB5" w:rsidRPr="00BA3DB7" w:rsidRDefault="00463FB5" w:rsidP="00F75F9E">
            <w:pPr>
              <w:rPr>
                <w:rFonts w:ascii="Cambria" w:hAnsi="Cambria"/>
                <w:b/>
                <w:bCs/>
                <w:color w:val="000000"/>
                <w:sz w:val="20"/>
                <w:szCs w:val="20"/>
                <w:lang w:eastAsia="en-IN" w:bidi="hi-IN"/>
              </w:rPr>
            </w:pPr>
            <w:r w:rsidRPr="00BA3DB7">
              <w:rPr>
                <w:rFonts w:ascii="Cambria" w:hAnsi="Cambria"/>
                <w:b/>
                <w:bCs/>
                <w:color w:val="000000"/>
                <w:sz w:val="20"/>
                <w:szCs w:val="20"/>
                <w:lang w:eastAsia="en-IN" w:bidi="hi-IN"/>
              </w:rPr>
              <w:t>23-24</w:t>
            </w:r>
          </w:p>
        </w:tc>
        <w:tc>
          <w:tcPr>
            <w:tcW w:w="680" w:type="dxa"/>
            <w:shd w:val="clear" w:color="auto" w:fill="F2F2F2" w:themeFill="background1" w:themeFillShade="F2"/>
            <w:vAlign w:val="center"/>
          </w:tcPr>
          <w:p w14:paraId="5F6952FD" w14:textId="77777777" w:rsidR="00463FB5" w:rsidRPr="00BA3DB7" w:rsidRDefault="00463FB5" w:rsidP="00F75F9E">
            <w:pPr>
              <w:jc w:val="center"/>
              <w:rPr>
                <w:rFonts w:ascii="Cambria" w:hAnsi="Cambria"/>
                <w:color w:val="000000"/>
                <w:sz w:val="20"/>
                <w:szCs w:val="20"/>
                <w:lang w:eastAsia="en-IN" w:bidi="hi-IN"/>
              </w:rPr>
            </w:pPr>
            <w:r>
              <w:rPr>
                <w:rFonts w:cs="Calibri"/>
                <w:color w:val="000000"/>
                <w:sz w:val="20"/>
                <w:szCs w:val="20"/>
              </w:rPr>
              <w:t>8.8</w:t>
            </w:r>
          </w:p>
        </w:tc>
        <w:tc>
          <w:tcPr>
            <w:tcW w:w="681" w:type="dxa"/>
            <w:shd w:val="clear" w:color="auto" w:fill="F2F2F2" w:themeFill="background1" w:themeFillShade="F2"/>
            <w:vAlign w:val="center"/>
          </w:tcPr>
          <w:p w14:paraId="66A1953D" w14:textId="77777777" w:rsidR="00463FB5" w:rsidRPr="00BA3DB7" w:rsidRDefault="00463FB5" w:rsidP="00F75F9E">
            <w:pPr>
              <w:jc w:val="center"/>
              <w:rPr>
                <w:rFonts w:ascii="Cambria" w:hAnsi="Cambria"/>
                <w:color w:val="000000"/>
                <w:sz w:val="20"/>
                <w:szCs w:val="20"/>
                <w:lang w:eastAsia="en-IN" w:bidi="hi-IN"/>
              </w:rPr>
            </w:pPr>
            <w:r>
              <w:rPr>
                <w:rFonts w:cs="Calibri"/>
                <w:color w:val="000000"/>
                <w:sz w:val="20"/>
                <w:szCs w:val="20"/>
              </w:rPr>
              <w:t>10.6</w:t>
            </w:r>
          </w:p>
        </w:tc>
        <w:tc>
          <w:tcPr>
            <w:tcW w:w="690" w:type="dxa"/>
            <w:shd w:val="clear" w:color="auto" w:fill="F2F2F2" w:themeFill="background1" w:themeFillShade="F2"/>
            <w:vAlign w:val="center"/>
          </w:tcPr>
          <w:p w14:paraId="5FE7437D" w14:textId="77777777" w:rsidR="00463FB5" w:rsidRPr="00BA3DB7" w:rsidRDefault="00463FB5" w:rsidP="00F75F9E">
            <w:pPr>
              <w:jc w:val="center"/>
              <w:rPr>
                <w:rFonts w:ascii="Cambria" w:hAnsi="Cambria"/>
                <w:color w:val="000000"/>
                <w:sz w:val="20"/>
                <w:szCs w:val="20"/>
                <w:lang w:eastAsia="en-IN" w:bidi="hi-IN"/>
              </w:rPr>
            </w:pPr>
            <w:r>
              <w:rPr>
                <w:rFonts w:cs="Calibri"/>
                <w:color w:val="000000"/>
                <w:sz w:val="20"/>
                <w:szCs w:val="20"/>
              </w:rPr>
              <w:t>10.5</w:t>
            </w:r>
          </w:p>
        </w:tc>
        <w:tc>
          <w:tcPr>
            <w:tcW w:w="691" w:type="dxa"/>
            <w:shd w:val="clear" w:color="auto" w:fill="F2F2F2" w:themeFill="background1" w:themeFillShade="F2"/>
            <w:vAlign w:val="center"/>
          </w:tcPr>
          <w:p w14:paraId="4614F5B1" w14:textId="77777777" w:rsidR="00463FB5" w:rsidRPr="00BA3DB7" w:rsidRDefault="00463FB5" w:rsidP="00F75F9E">
            <w:pPr>
              <w:jc w:val="center"/>
              <w:rPr>
                <w:rFonts w:ascii="Cambria" w:hAnsi="Cambria"/>
                <w:color w:val="000000"/>
                <w:sz w:val="20"/>
                <w:szCs w:val="20"/>
                <w:lang w:eastAsia="en-IN" w:bidi="hi-IN"/>
              </w:rPr>
            </w:pPr>
            <w:r>
              <w:rPr>
                <w:rFonts w:cs="Calibri"/>
                <w:color w:val="000000"/>
                <w:sz w:val="20"/>
                <w:szCs w:val="20"/>
              </w:rPr>
              <w:t>11.9</w:t>
            </w:r>
          </w:p>
        </w:tc>
        <w:tc>
          <w:tcPr>
            <w:tcW w:w="691" w:type="dxa"/>
            <w:shd w:val="clear" w:color="auto" w:fill="F2F2F2" w:themeFill="background1" w:themeFillShade="F2"/>
            <w:vAlign w:val="center"/>
          </w:tcPr>
          <w:p w14:paraId="2D2254A1" w14:textId="77777777" w:rsidR="00463FB5" w:rsidRPr="00BA3DB7" w:rsidRDefault="00463FB5" w:rsidP="00F75F9E">
            <w:pPr>
              <w:jc w:val="center"/>
              <w:rPr>
                <w:rFonts w:ascii="Cambria" w:hAnsi="Cambria"/>
                <w:color w:val="000000"/>
                <w:sz w:val="20"/>
                <w:szCs w:val="20"/>
                <w:lang w:eastAsia="en-IN" w:bidi="hi-IN"/>
              </w:rPr>
            </w:pPr>
            <w:r>
              <w:rPr>
                <w:rFonts w:cs="Calibri"/>
                <w:color w:val="000000"/>
                <w:sz w:val="20"/>
                <w:szCs w:val="20"/>
              </w:rPr>
              <w:t>11.8</w:t>
            </w:r>
          </w:p>
        </w:tc>
        <w:tc>
          <w:tcPr>
            <w:tcW w:w="672" w:type="dxa"/>
            <w:shd w:val="clear" w:color="auto" w:fill="F2F2F2" w:themeFill="background1" w:themeFillShade="F2"/>
            <w:vAlign w:val="center"/>
          </w:tcPr>
          <w:p w14:paraId="1915695A" w14:textId="77777777" w:rsidR="00463FB5" w:rsidRPr="00BA3DB7" w:rsidRDefault="00463FB5" w:rsidP="00F75F9E">
            <w:pPr>
              <w:jc w:val="center"/>
              <w:rPr>
                <w:rFonts w:ascii="Cambria" w:hAnsi="Cambria"/>
                <w:color w:val="000000"/>
                <w:sz w:val="20"/>
                <w:szCs w:val="20"/>
                <w:lang w:eastAsia="en-IN" w:bidi="hi-IN"/>
              </w:rPr>
            </w:pPr>
            <w:r>
              <w:rPr>
                <w:rFonts w:cs="Calibri"/>
                <w:color w:val="000000"/>
                <w:sz w:val="20"/>
                <w:szCs w:val="20"/>
              </w:rPr>
              <w:t>11.4</w:t>
            </w:r>
          </w:p>
        </w:tc>
        <w:tc>
          <w:tcPr>
            <w:tcW w:w="678" w:type="dxa"/>
            <w:shd w:val="clear" w:color="auto" w:fill="F2F2F2" w:themeFill="background1" w:themeFillShade="F2"/>
            <w:vAlign w:val="center"/>
          </w:tcPr>
          <w:p w14:paraId="65775266" w14:textId="77777777" w:rsidR="00463FB5" w:rsidRPr="00BA3DB7" w:rsidRDefault="00463FB5" w:rsidP="00F75F9E">
            <w:pPr>
              <w:jc w:val="center"/>
              <w:rPr>
                <w:rFonts w:ascii="Cambria" w:hAnsi="Cambria"/>
                <w:color w:val="000000"/>
                <w:sz w:val="20"/>
                <w:szCs w:val="20"/>
                <w:lang w:eastAsia="en-IN" w:bidi="hi-IN"/>
              </w:rPr>
            </w:pPr>
            <w:r>
              <w:rPr>
                <w:rFonts w:cs="Calibri"/>
                <w:color w:val="000000"/>
                <w:sz w:val="20"/>
                <w:szCs w:val="20"/>
              </w:rPr>
              <w:t>11.8</w:t>
            </w:r>
          </w:p>
        </w:tc>
        <w:tc>
          <w:tcPr>
            <w:tcW w:w="691" w:type="dxa"/>
            <w:shd w:val="clear" w:color="auto" w:fill="F2F2F2" w:themeFill="background1" w:themeFillShade="F2"/>
            <w:vAlign w:val="center"/>
          </w:tcPr>
          <w:p w14:paraId="2DA0EF71" w14:textId="77777777" w:rsidR="00463FB5" w:rsidRPr="00BA3DB7" w:rsidRDefault="00463FB5" w:rsidP="00F75F9E">
            <w:pPr>
              <w:jc w:val="center"/>
              <w:rPr>
                <w:rFonts w:ascii="Cambria" w:hAnsi="Cambria"/>
                <w:color w:val="000000"/>
                <w:sz w:val="20"/>
                <w:szCs w:val="20"/>
                <w:lang w:eastAsia="en-IN" w:bidi="hi-IN"/>
              </w:rPr>
            </w:pPr>
            <w:r>
              <w:rPr>
                <w:rFonts w:cs="Calibri"/>
                <w:color w:val="000000"/>
                <w:sz w:val="20"/>
                <w:szCs w:val="20"/>
              </w:rPr>
              <w:t>12.0</w:t>
            </w:r>
          </w:p>
        </w:tc>
        <w:tc>
          <w:tcPr>
            <w:tcW w:w="679" w:type="dxa"/>
            <w:shd w:val="clear" w:color="auto" w:fill="F2F2F2" w:themeFill="background1" w:themeFillShade="F2"/>
            <w:vAlign w:val="center"/>
          </w:tcPr>
          <w:p w14:paraId="120E9A78" w14:textId="77777777" w:rsidR="00463FB5" w:rsidRPr="00BA3DB7" w:rsidRDefault="00463FB5" w:rsidP="00F75F9E">
            <w:pPr>
              <w:jc w:val="center"/>
              <w:rPr>
                <w:rFonts w:ascii="Cambria" w:hAnsi="Cambria"/>
                <w:color w:val="000000"/>
                <w:sz w:val="20"/>
                <w:szCs w:val="20"/>
                <w:lang w:eastAsia="en-IN" w:bidi="hi-IN"/>
              </w:rPr>
            </w:pPr>
            <w:r>
              <w:rPr>
                <w:rFonts w:cs="Calibri"/>
                <w:color w:val="000000"/>
                <w:sz w:val="20"/>
                <w:szCs w:val="20"/>
              </w:rPr>
              <w:t>11.9</w:t>
            </w:r>
          </w:p>
        </w:tc>
        <w:tc>
          <w:tcPr>
            <w:tcW w:w="692" w:type="dxa"/>
            <w:shd w:val="clear" w:color="auto" w:fill="F2F2F2" w:themeFill="background1" w:themeFillShade="F2"/>
            <w:vAlign w:val="center"/>
          </w:tcPr>
          <w:p w14:paraId="5548ADF5" w14:textId="77777777" w:rsidR="00463FB5" w:rsidRPr="00BA3DB7" w:rsidRDefault="00463FB5" w:rsidP="00F75F9E">
            <w:pPr>
              <w:jc w:val="center"/>
              <w:rPr>
                <w:rFonts w:ascii="Cambria" w:hAnsi="Cambria"/>
                <w:color w:val="000000"/>
                <w:sz w:val="20"/>
                <w:szCs w:val="20"/>
                <w:lang w:eastAsia="en-IN" w:bidi="hi-IN"/>
              </w:rPr>
            </w:pPr>
            <w:r>
              <w:rPr>
                <w:rFonts w:cs="Calibri"/>
                <w:color w:val="000000"/>
                <w:sz w:val="20"/>
                <w:szCs w:val="20"/>
              </w:rPr>
              <w:t>12.2</w:t>
            </w:r>
          </w:p>
        </w:tc>
        <w:tc>
          <w:tcPr>
            <w:tcW w:w="692" w:type="dxa"/>
            <w:shd w:val="clear" w:color="auto" w:fill="F2F2F2" w:themeFill="background1" w:themeFillShade="F2"/>
            <w:vAlign w:val="center"/>
          </w:tcPr>
          <w:p w14:paraId="60466AF7" w14:textId="77777777" w:rsidR="00463FB5" w:rsidRPr="00BA3DB7" w:rsidRDefault="00463FB5" w:rsidP="00F75F9E">
            <w:pPr>
              <w:jc w:val="center"/>
              <w:rPr>
                <w:rFonts w:ascii="Cambria" w:hAnsi="Cambria"/>
                <w:color w:val="000000"/>
                <w:sz w:val="20"/>
                <w:szCs w:val="20"/>
                <w:lang w:eastAsia="en-IN" w:bidi="hi-IN"/>
              </w:rPr>
            </w:pPr>
            <w:r>
              <w:rPr>
                <w:rFonts w:cs="Calibri"/>
                <w:color w:val="000000"/>
                <w:sz w:val="20"/>
                <w:szCs w:val="20"/>
              </w:rPr>
              <w:t>12.7</w:t>
            </w:r>
          </w:p>
        </w:tc>
        <w:tc>
          <w:tcPr>
            <w:tcW w:w="700" w:type="dxa"/>
            <w:shd w:val="clear" w:color="auto" w:fill="F2F2F2" w:themeFill="background1" w:themeFillShade="F2"/>
            <w:vAlign w:val="center"/>
          </w:tcPr>
          <w:p w14:paraId="08827334" w14:textId="77777777" w:rsidR="00463FB5" w:rsidRPr="00BA3DB7" w:rsidRDefault="00463FB5" w:rsidP="00F75F9E">
            <w:pPr>
              <w:jc w:val="center"/>
              <w:rPr>
                <w:rFonts w:ascii="Cambria" w:hAnsi="Cambria"/>
                <w:color w:val="000000"/>
                <w:sz w:val="20"/>
                <w:szCs w:val="20"/>
                <w:lang w:eastAsia="en-IN" w:bidi="hi-IN"/>
              </w:rPr>
            </w:pPr>
            <w:r>
              <w:rPr>
                <w:rFonts w:cs="Calibri"/>
                <w:color w:val="000000"/>
                <w:sz w:val="20"/>
                <w:szCs w:val="20"/>
              </w:rPr>
              <w:t>14.2</w:t>
            </w:r>
          </w:p>
        </w:tc>
        <w:tc>
          <w:tcPr>
            <w:tcW w:w="777" w:type="dxa"/>
            <w:shd w:val="clear" w:color="auto" w:fill="F2F2F2" w:themeFill="background1" w:themeFillShade="F2"/>
            <w:vAlign w:val="center"/>
          </w:tcPr>
          <w:p w14:paraId="0F8A53D5" w14:textId="77777777" w:rsidR="00463FB5" w:rsidRPr="00BA3DB7" w:rsidRDefault="00463FB5" w:rsidP="00F75F9E">
            <w:pPr>
              <w:jc w:val="center"/>
              <w:rPr>
                <w:rFonts w:ascii="Cambria" w:hAnsi="Cambria"/>
                <w:b/>
                <w:bCs/>
                <w:color w:val="000000"/>
                <w:sz w:val="20"/>
                <w:szCs w:val="20"/>
                <w:lang w:eastAsia="en-IN" w:bidi="hi-IN"/>
              </w:rPr>
            </w:pPr>
            <w:r>
              <w:rPr>
                <w:rFonts w:cs="Calibri"/>
                <w:b/>
                <w:bCs/>
                <w:color w:val="000000"/>
                <w:sz w:val="20"/>
                <w:szCs w:val="20"/>
              </w:rPr>
              <w:t>139.8</w:t>
            </w:r>
          </w:p>
        </w:tc>
      </w:tr>
      <w:tr w:rsidR="00D9743D" w:rsidRPr="00BA3DB7" w14:paraId="6EAA9624" w14:textId="77777777" w:rsidTr="005C4611">
        <w:trPr>
          <w:trHeight w:val="300"/>
        </w:trPr>
        <w:tc>
          <w:tcPr>
            <w:tcW w:w="767" w:type="dxa"/>
            <w:shd w:val="clear" w:color="auto" w:fill="F2F2F2" w:themeFill="background1" w:themeFillShade="F2"/>
            <w:vAlign w:val="center"/>
          </w:tcPr>
          <w:p w14:paraId="58D33E93" w14:textId="77777777" w:rsidR="00463FB5" w:rsidRPr="00BA3DB7" w:rsidRDefault="00463FB5" w:rsidP="00F75F9E">
            <w:pPr>
              <w:rPr>
                <w:rFonts w:ascii="Cambria" w:hAnsi="Cambria"/>
                <w:b/>
                <w:bCs/>
                <w:color w:val="000000"/>
                <w:sz w:val="20"/>
                <w:szCs w:val="20"/>
                <w:lang w:eastAsia="en-IN" w:bidi="hi-IN"/>
              </w:rPr>
            </w:pPr>
            <w:r>
              <w:rPr>
                <w:rFonts w:ascii="Cambria" w:hAnsi="Cambria"/>
                <w:b/>
                <w:bCs/>
                <w:color w:val="000000"/>
                <w:sz w:val="20"/>
                <w:szCs w:val="20"/>
                <w:lang w:eastAsia="en-IN" w:bidi="hi-IN"/>
              </w:rPr>
              <w:t>24-25</w:t>
            </w:r>
          </w:p>
        </w:tc>
        <w:tc>
          <w:tcPr>
            <w:tcW w:w="680" w:type="dxa"/>
            <w:shd w:val="clear" w:color="auto" w:fill="F2F2F2" w:themeFill="background1" w:themeFillShade="F2"/>
            <w:vAlign w:val="center"/>
          </w:tcPr>
          <w:p w14:paraId="3B147D92" w14:textId="77777777" w:rsidR="00463FB5" w:rsidRDefault="00463FB5" w:rsidP="00F75F9E">
            <w:pPr>
              <w:jc w:val="center"/>
              <w:rPr>
                <w:rFonts w:cs="Calibri"/>
                <w:color w:val="000000"/>
                <w:sz w:val="20"/>
                <w:szCs w:val="20"/>
              </w:rPr>
            </w:pPr>
            <w:r>
              <w:rPr>
                <w:rFonts w:cs="Calibri"/>
                <w:color w:val="000000"/>
                <w:sz w:val="20"/>
                <w:szCs w:val="20"/>
              </w:rPr>
              <w:t>10.9</w:t>
            </w:r>
          </w:p>
        </w:tc>
        <w:tc>
          <w:tcPr>
            <w:tcW w:w="681" w:type="dxa"/>
            <w:shd w:val="clear" w:color="auto" w:fill="F2F2F2" w:themeFill="background1" w:themeFillShade="F2"/>
            <w:vAlign w:val="center"/>
          </w:tcPr>
          <w:p w14:paraId="1C2220A9" w14:textId="77777777" w:rsidR="00463FB5" w:rsidRDefault="00463FB5" w:rsidP="00F75F9E">
            <w:pPr>
              <w:jc w:val="center"/>
              <w:rPr>
                <w:rFonts w:cs="Calibri"/>
                <w:color w:val="000000"/>
                <w:sz w:val="20"/>
                <w:szCs w:val="20"/>
              </w:rPr>
            </w:pPr>
            <w:r>
              <w:rPr>
                <w:rFonts w:cs="Calibri"/>
                <w:color w:val="000000"/>
                <w:sz w:val="20"/>
                <w:szCs w:val="20"/>
              </w:rPr>
              <w:t>11.7</w:t>
            </w:r>
          </w:p>
        </w:tc>
        <w:tc>
          <w:tcPr>
            <w:tcW w:w="690" w:type="dxa"/>
            <w:shd w:val="clear" w:color="auto" w:fill="F2F2F2" w:themeFill="background1" w:themeFillShade="F2"/>
            <w:vAlign w:val="center"/>
          </w:tcPr>
          <w:p w14:paraId="644BA5F8" w14:textId="77777777" w:rsidR="00463FB5" w:rsidRDefault="00463FB5" w:rsidP="00F75F9E">
            <w:pPr>
              <w:jc w:val="center"/>
              <w:rPr>
                <w:rFonts w:cs="Calibri"/>
                <w:color w:val="000000"/>
                <w:sz w:val="20"/>
                <w:szCs w:val="20"/>
              </w:rPr>
            </w:pPr>
            <w:r>
              <w:rPr>
                <w:rFonts w:cs="Calibri"/>
                <w:color w:val="000000"/>
                <w:sz w:val="20"/>
                <w:szCs w:val="20"/>
              </w:rPr>
              <w:t>11.7</w:t>
            </w:r>
          </w:p>
        </w:tc>
        <w:tc>
          <w:tcPr>
            <w:tcW w:w="691" w:type="dxa"/>
            <w:shd w:val="clear" w:color="auto" w:fill="F2F2F2" w:themeFill="background1" w:themeFillShade="F2"/>
            <w:vAlign w:val="center"/>
          </w:tcPr>
          <w:p w14:paraId="452B0C3C" w14:textId="77777777" w:rsidR="00463FB5" w:rsidRDefault="00463FB5" w:rsidP="00F75F9E">
            <w:pPr>
              <w:jc w:val="center"/>
              <w:rPr>
                <w:rFonts w:cs="Calibri"/>
                <w:color w:val="000000"/>
                <w:sz w:val="20"/>
                <w:szCs w:val="20"/>
              </w:rPr>
            </w:pPr>
            <w:r>
              <w:rPr>
                <w:rFonts w:cs="Calibri"/>
                <w:color w:val="000000"/>
                <w:sz w:val="20"/>
                <w:szCs w:val="20"/>
              </w:rPr>
              <w:t>12.1</w:t>
            </w:r>
          </w:p>
        </w:tc>
        <w:tc>
          <w:tcPr>
            <w:tcW w:w="691" w:type="dxa"/>
            <w:shd w:val="clear" w:color="auto" w:fill="F2F2F2" w:themeFill="background1" w:themeFillShade="F2"/>
            <w:vAlign w:val="center"/>
          </w:tcPr>
          <w:p w14:paraId="1F813E47" w14:textId="77777777" w:rsidR="00463FB5" w:rsidRDefault="00463FB5" w:rsidP="00F75F9E">
            <w:pPr>
              <w:jc w:val="center"/>
              <w:rPr>
                <w:rFonts w:cs="Calibri"/>
                <w:color w:val="000000"/>
                <w:sz w:val="20"/>
                <w:szCs w:val="20"/>
              </w:rPr>
            </w:pPr>
            <w:r>
              <w:rPr>
                <w:rFonts w:cs="Calibri"/>
                <w:color w:val="000000"/>
                <w:sz w:val="20"/>
                <w:szCs w:val="20"/>
              </w:rPr>
              <w:t>12.4</w:t>
            </w:r>
          </w:p>
        </w:tc>
        <w:tc>
          <w:tcPr>
            <w:tcW w:w="672" w:type="dxa"/>
            <w:shd w:val="clear" w:color="auto" w:fill="F2F2F2" w:themeFill="background1" w:themeFillShade="F2"/>
            <w:vAlign w:val="center"/>
          </w:tcPr>
          <w:p w14:paraId="3C3EF386" w14:textId="77777777" w:rsidR="00463FB5" w:rsidRDefault="00463FB5" w:rsidP="00F75F9E">
            <w:pPr>
              <w:jc w:val="center"/>
              <w:rPr>
                <w:rFonts w:cs="Calibri"/>
                <w:color w:val="000000"/>
                <w:sz w:val="20"/>
                <w:szCs w:val="20"/>
              </w:rPr>
            </w:pPr>
            <w:r>
              <w:rPr>
                <w:rFonts w:cs="Calibri"/>
                <w:color w:val="000000"/>
                <w:sz w:val="20"/>
                <w:szCs w:val="20"/>
              </w:rPr>
              <w:t>12.5</w:t>
            </w:r>
          </w:p>
        </w:tc>
        <w:tc>
          <w:tcPr>
            <w:tcW w:w="678" w:type="dxa"/>
            <w:shd w:val="clear" w:color="auto" w:fill="F2F2F2" w:themeFill="background1" w:themeFillShade="F2"/>
            <w:vAlign w:val="center"/>
          </w:tcPr>
          <w:p w14:paraId="56112B54" w14:textId="77777777" w:rsidR="00463FB5" w:rsidRDefault="00463FB5" w:rsidP="00F75F9E">
            <w:pPr>
              <w:jc w:val="center"/>
              <w:rPr>
                <w:rFonts w:cs="Calibri"/>
                <w:color w:val="000000"/>
                <w:sz w:val="20"/>
                <w:szCs w:val="20"/>
              </w:rPr>
            </w:pPr>
            <w:r>
              <w:rPr>
                <w:rFonts w:cs="Calibri"/>
                <w:color w:val="000000"/>
                <w:sz w:val="20"/>
                <w:szCs w:val="20"/>
              </w:rPr>
              <w:t>12.5</w:t>
            </w:r>
          </w:p>
        </w:tc>
        <w:tc>
          <w:tcPr>
            <w:tcW w:w="691" w:type="dxa"/>
            <w:shd w:val="clear" w:color="auto" w:fill="F2F2F2" w:themeFill="background1" w:themeFillShade="F2"/>
            <w:vAlign w:val="center"/>
          </w:tcPr>
          <w:p w14:paraId="6BB81293" w14:textId="77777777" w:rsidR="00463FB5" w:rsidRDefault="00463FB5" w:rsidP="00F75F9E">
            <w:pPr>
              <w:jc w:val="center"/>
              <w:rPr>
                <w:rFonts w:cs="Calibri"/>
                <w:color w:val="000000"/>
                <w:sz w:val="20"/>
                <w:szCs w:val="20"/>
              </w:rPr>
            </w:pPr>
            <w:r>
              <w:rPr>
                <w:rFonts w:cs="Calibri"/>
                <w:color w:val="000000"/>
                <w:sz w:val="20"/>
                <w:szCs w:val="20"/>
              </w:rPr>
              <w:t>12.8</w:t>
            </w:r>
          </w:p>
        </w:tc>
        <w:tc>
          <w:tcPr>
            <w:tcW w:w="679" w:type="dxa"/>
            <w:shd w:val="clear" w:color="auto" w:fill="F2F2F2" w:themeFill="background1" w:themeFillShade="F2"/>
            <w:vAlign w:val="center"/>
          </w:tcPr>
          <w:p w14:paraId="0FAD822C" w14:textId="77777777" w:rsidR="00463FB5" w:rsidRDefault="00463FB5" w:rsidP="00F75F9E">
            <w:pPr>
              <w:jc w:val="center"/>
              <w:rPr>
                <w:rFonts w:cs="Calibri"/>
                <w:color w:val="000000"/>
                <w:sz w:val="20"/>
                <w:szCs w:val="20"/>
              </w:rPr>
            </w:pPr>
            <w:r>
              <w:rPr>
                <w:rFonts w:cs="Calibri"/>
                <w:color w:val="000000"/>
                <w:sz w:val="20"/>
                <w:szCs w:val="20"/>
              </w:rPr>
              <w:t>14.0</w:t>
            </w:r>
          </w:p>
        </w:tc>
        <w:tc>
          <w:tcPr>
            <w:tcW w:w="692" w:type="dxa"/>
            <w:shd w:val="clear" w:color="auto" w:fill="F2F2F2" w:themeFill="background1" w:themeFillShade="F2"/>
            <w:vAlign w:val="center"/>
          </w:tcPr>
          <w:p w14:paraId="0E6793B3" w14:textId="77777777" w:rsidR="00463FB5" w:rsidRDefault="00463FB5" w:rsidP="00F75F9E">
            <w:pPr>
              <w:jc w:val="center"/>
              <w:rPr>
                <w:rFonts w:cs="Calibri"/>
                <w:color w:val="000000"/>
                <w:sz w:val="20"/>
                <w:szCs w:val="20"/>
              </w:rPr>
            </w:pPr>
            <w:r>
              <w:rPr>
                <w:rFonts w:cs="Calibri"/>
                <w:color w:val="000000"/>
                <w:sz w:val="20"/>
                <w:szCs w:val="20"/>
              </w:rPr>
              <w:t>14.1</w:t>
            </w:r>
          </w:p>
        </w:tc>
        <w:tc>
          <w:tcPr>
            <w:tcW w:w="692" w:type="dxa"/>
            <w:shd w:val="clear" w:color="auto" w:fill="F2F2F2" w:themeFill="background1" w:themeFillShade="F2"/>
            <w:vAlign w:val="center"/>
          </w:tcPr>
          <w:p w14:paraId="3699F8F8" w14:textId="77777777" w:rsidR="00463FB5" w:rsidRDefault="00463FB5" w:rsidP="00F75F9E">
            <w:pPr>
              <w:jc w:val="center"/>
              <w:rPr>
                <w:rFonts w:cs="Calibri"/>
                <w:color w:val="000000"/>
                <w:sz w:val="20"/>
                <w:szCs w:val="20"/>
              </w:rPr>
            </w:pPr>
            <w:r>
              <w:rPr>
                <w:rFonts w:cs="Calibri"/>
                <w:color w:val="000000"/>
                <w:sz w:val="20"/>
                <w:szCs w:val="20"/>
              </w:rPr>
              <w:t>13.7</w:t>
            </w:r>
          </w:p>
        </w:tc>
        <w:tc>
          <w:tcPr>
            <w:tcW w:w="700" w:type="dxa"/>
            <w:shd w:val="clear" w:color="auto" w:fill="F2F2F2" w:themeFill="background1" w:themeFillShade="F2"/>
            <w:vAlign w:val="center"/>
          </w:tcPr>
          <w:p w14:paraId="4BF10BBF" w14:textId="77777777" w:rsidR="00463FB5" w:rsidRDefault="00463FB5" w:rsidP="00F75F9E">
            <w:pPr>
              <w:jc w:val="center"/>
              <w:rPr>
                <w:rFonts w:cs="Calibri"/>
                <w:color w:val="000000"/>
                <w:sz w:val="20"/>
                <w:szCs w:val="20"/>
              </w:rPr>
            </w:pPr>
            <w:r>
              <w:rPr>
                <w:rFonts w:cs="Calibri"/>
                <w:color w:val="000000"/>
                <w:sz w:val="20"/>
                <w:szCs w:val="20"/>
              </w:rPr>
              <w:t>16.2</w:t>
            </w:r>
          </w:p>
        </w:tc>
        <w:tc>
          <w:tcPr>
            <w:tcW w:w="777" w:type="dxa"/>
            <w:shd w:val="clear" w:color="auto" w:fill="F2F2F2" w:themeFill="background1" w:themeFillShade="F2"/>
            <w:vAlign w:val="center"/>
          </w:tcPr>
          <w:p w14:paraId="795C8D6D" w14:textId="77777777" w:rsidR="00463FB5" w:rsidRDefault="00463FB5" w:rsidP="00F75F9E">
            <w:pPr>
              <w:jc w:val="center"/>
              <w:rPr>
                <w:rFonts w:cs="Calibri"/>
                <w:b/>
                <w:bCs/>
                <w:color w:val="000000"/>
                <w:sz w:val="20"/>
                <w:szCs w:val="20"/>
              </w:rPr>
            </w:pPr>
            <w:r>
              <w:rPr>
                <w:rFonts w:cs="Calibri"/>
                <w:b/>
                <w:bCs/>
                <w:color w:val="000000"/>
                <w:sz w:val="20"/>
                <w:szCs w:val="20"/>
              </w:rPr>
              <w:t>154.6</w:t>
            </w:r>
          </w:p>
        </w:tc>
      </w:tr>
    </w:tbl>
    <w:bookmarkEnd w:id="25"/>
    <w:p w14:paraId="5BCDBAF3" w14:textId="340D20FC" w:rsidR="008A1490" w:rsidRPr="005C4611" w:rsidRDefault="00AF668F" w:rsidP="008A1490">
      <w:pPr>
        <w:pStyle w:val="ListParagraph"/>
        <w:spacing w:beforeLines="100" w:before="240" w:afterLines="100" w:after="240" w:line="360" w:lineRule="auto"/>
        <w:ind w:left="0"/>
        <w:contextualSpacing w:val="0"/>
        <w:jc w:val="both"/>
        <w:rPr>
          <w:rFonts w:ascii="Cambria" w:hAnsi="Cambria"/>
          <w:sz w:val="24"/>
          <w:szCs w:val="24"/>
        </w:rPr>
      </w:pPr>
      <w:r w:rsidRPr="005C4611">
        <w:rPr>
          <w:rFonts w:ascii="Cambria" w:hAnsi="Cambria"/>
          <w:sz w:val="24"/>
          <w:szCs w:val="24"/>
        </w:rPr>
        <w:t>As can be seen from the above table, there has been an annual as well as month-wise increase in LT consumer coverage from FY 18-19 to FY 2</w:t>
      </w:r>
      <w:r w:rsidR="005C4611" w:rsidRPr="005C4611">
        <w:rPr>
          <w:rFonts w:ascii="Cambria" w:hAnsi="Cambria"/>
          <w:sz w:val="24"/>
          <w:szCs w:val="24"/>
        </w:rPr>
        <w:t>4</w:t>
      </w:r>
      <w:r w:rsidRPr="005C4611">
        <w:rPr>
          <w:rFonts w:ascii="Cambria" w:hAnsi="Cambria"/>
          <w:sz w:val="24"/>
          <w:szCs w:val="24"/>
        </w:rPr>
        <w:t>-2</w:t>
      </w:r>
      <w:r w:rsidR="005C4611" w:rsidRPr="005C4611">
        <w:rPr>
          <w:rFonts w:ascii="Cambria" w:hAnsi="Cambria"/>
          <w:sz w:val="24"/>
          <w:szCs w:val="24"/>
        </w:rPr>
        <w:t>5</w:t>
      </w:r>
      <w:r w:rsidRPr="005C4611">
        <w:rPr>
          <w:rFonts w:ascii="Cambria" w:hAnsi="Cambria"/>
          <w:sz w:val="24"/>
          <w:szCs w:val="24"/>
        </w:rPr>
        <w:t xml:space="preserve"> which has necessitated higher A&amp;G expenses, which have supported the DISCOM in scaling its operations to meet new demands. The increase in LT consumer coverage reflects DISCOM’s commitment to enhancing energy access, which has, in turn, supported revenue growth and improved overall network utilization. As the consumer base has expanded, DISCOM has scaled up its infrastructure and customer service capabilities to maintain quality and reliability, positioning itself to serve an ever broadening and diverse range of consumers across its service areas.</w:t>
      </w:r>
    </w:p>
    <w:p w14:paraId="769AA484" w14:textId="51A39177" w:rsidR="00E6755C" w:rsidRPr="00097922" w:rsidRDefault="00E6755C" w:rsidP="00E6755C">
      <w:pPr>
        <w:pStyle w:val="BodyText2"/>
        <w:spacing w:line="360" w:lineRule="auto"/>
        <w:jc w:val="both"/>
        <w:rPr>
          <w:rFonts w:ascii="Cambria" w:hAnsi="Cambria" w:cs="Arial"/>
          <w:sz w:val="24"/>
          <w:szCs w:val="24"/>
          <w:lang w:val="en-GB"/>
        </w:rPr>
      </w:pPr>
      <w:r w:rsidRPr="006107AF">
        <w:rPr>
          <w:rFonts w:ascii="Cambria" w:hAnsi="Cambria" w:cs="Arial"/>
          <w:sz w:val="24"/>
          <w:szCs w:val="24"/>
          <w:lang w:val="en-GB"/>
        </w:rPr>
        <w:t>The reason</w:t>
      </w:r>
      <w:r w:rsidR="00C2702E" w:rsidRPr="006107AF">
        <w:rPr>
          <w:rFonts w:ascii="Cambria" w:hAnsi="Cambria" w:cs="Arial"/>
          <w:sz w:val="24"/>
          <w:szCs w:val="24"/>
          <w:lang w:val="en-GB"/>
        </w:rPr>
        <w:t>/justification</w:t>
      </w:r>
      <w:r w:rsidRPr="006107AF">
        <w:rPr>
          <w:rFonts w:ascii="Cambria" w:hAnsi="Cambria" w:cs="Arial"/>
          <w:sz w:val="24"/>
          <w:szCs w:val="24"/>
          <w:lang w:val="en-GB"/>
        </w:rPr>
        <w:t xml:space="preserve"> and approximate cost under each head is provided in the following paragraphs:</w:t>
      </w:r>
      <w:r w:rsidRPr="00097922">
        <w:rPr>
          <w:rFonts w:ascii="Cambria" w:hAnsi="Cambria" w:cs="Arial"/>
          <w:sz w:val="24"/>
          <w:szCs w:val="24"/>
          <w:lang w:val="en-GB"/>
        </w:rPr>
        <w:t xml:space="preserve"> </w:t>
      </w:r>
    </w:p>
    <w:p w14:paraId="6D2599BF" w14:textId="6522A929" w:rsidR="004276A0" w:rsidRPr="00051738" w:rsidRDefault="00235AE0" w:rsidP="0008776E">
      <w:pPr>
        <w:pStyle w:val="Heading3"/>
        <w:numPr>
          <w:ilvl w:val="2"/>
          <w:numId w:val="1"/>
        </w:numPr>
        <w:shd w:val="clear" w:color="auto" w:fill="002060"/>
        <w:rPr>
          <w:rFonts w:asciiTheme="majorHAnsi" w:hAnsiTheme="majorHAnsi"/>
          <w:sz w:val="24"/>
          <w:szCs w:val="24"/>
        </w:rPr>
      </w:pPr>
      <w:bookmarkStart w:id="26" w:name="_Toc152180075"/>
      <w:bookmarkStart w:id="27" w:name="_Toc183204687"/>
      <w:bookmarkStart w:id="28" w:name="_Toc215250611"/>
      <w:r w:rsidRPr="00051738">
        <w:rPr>
          <w:rFonts w:asciiTheme="majorHAnsi" w:hAnsiTheme="majorHAnsi"/>
          <w:sz w:val="24"/>
          <w:szCs w:val="24"/>
        </w:rPr>
        <w:t>Energy Audit</w:t>
      </w:r>
      <w:bookmarkEnd w:id="26"/>
      <w:bookmarkEnd w:id="27"/>
      <w:bookmarkEnd w:id="28"/>
      <w:r w:rsidR="004276A0" w:rsidRPr="00051738">
        <w:rPr>
          <w:rFonts w:asciiTheme="majorHAnsi" w:hAnsiTheme="majorHAnsi"/>
          <w:sz w:val="24"/>
          <w:szCs w:val="24"/>
        </w:rPr>
        <w:t xml:space="preserve">  </w:t>
      </w:r>
    </w:p>
    <w:p w14:paraId="22815C2C" w14:textId="77777777" w:rsidR="00C06558" w:rsidRDefault="00C06558" w:rsidP="00C06558">
      <w:pPr>
        <w:pStyle w:val="ListParagraph"/>
        <w:tabs>
          <w:tab w:val="left" w:pos="0"/>
        </w:tabs>
        <w:spacing w:line="240" w:lineRule="auto"/>
        <w:ind w:left="0"/>
        <w:jc w:val="both"/>
        <w:rPr>
          <w:rFonts w:ascii="Cambria" w:hAnsi="Cambria"/>
          <w:sz w:val="24"/>
          <w:szCs w:val="32"/>
        </w:rPr>
      </w:pPr>
    </w:p>
    <w:p w14:paraId="2F52F4BB" w14:textId="568C14EE" w:rsidR="006019AD" w:rsidRDefault="00B32DE8" w:rsidP="006019AD">
      <w:pPr>
        <w:pStyle w:val="ListParagraph"/>
        <w:tabs>
          <w:tab w:val="left" w:pos="0"/>
        </w:tabs>
        <w:spacing w:line="360" w:lineRule="auto"/>
        <w:ind w:left="0"/>
        <w:jc w:val="both"/>
        <w:rPr>
          <w:rFonts w:ascii="Cambria" w:hAnsi="Cambria"/>
          <w:sz w:val="24"/>
          <w:szCs w:val="32"/>
        </w:rPr>
      </w:pPr>
      <w:r w:rsidRPr="00B32DE8">
        <w:rPr>
          <w:rFonts w:ascii="Cambria" w:hAnsi="Cambria"/>
          <w:sz w:val="24"/>
          <w:szCs w:val="32"/>
        </w:rPr>
        <w:t xml:space="preserve">An energy audit is a comprehensive assessment of how energy is used effectively in a Utility. It aims to identify areas where energy is being wasted and </w:t>
      </w:r>
      <w:r w:rsidR="00152F47" w:rsidRPr="00B32DE8">
        <w:rPr>
          <w:rFonts w:ascii="Cambria" w:hAnsi="Cambria"/>
          <w:sz w:val="24"/>
          <w:szCs w:val="32"/>
        </w:rPr>
        <w:t>recommends</w:t>
      </w:r>
      <w:r w:rsidRPr="00B32DE8">
        <w:rPr>
          <w:rFonts w:ascii="Cambria" w:hAnsi="Cambria"/>
          <w:sz w:val="24"/>
          <w:szCs w:val="32"/>
        </w:rPr>
        <w:t xml:space="preserve"> measures to improve efficiency. The Energy Audit department of TPWODL has been proactive in taking various initiatives and implementing strategies to reduce energy losses. The Energy Audit department at TPWODL plays a crucial role in ensuring compliance with regulatory standards and environmental regulations. Energy audits are fundamental in driving operational efficiency, cutting costs, and promoting sustainability at TPWODL. By identifying and addressing energy inefficiencies, it helps to create a more reliable and environmentally friendly energy distribution system. This not only benefits the organization but also supports broader environmental goals and regulatory compliance.</w:t>
      </w:r>
    </w:p>
    <w:p w14:paraId="55B04C88" w14:textId="77777777" w:rsidR="009729CF" w:rsidRPr="009729CF" w:rsidRDefault="009729CF" w:rsidP="006019AD">
      <w:pPr>
        <w:pStyle w:val="ListParagraph"/>
        <w:tabs>
          <w:tab w:val="left" w:pos="0"/>
        </w:tabs>
        <w:spacing w:line="360" w:lineRule="auto"/>
        <w:ind w:left="0"/>
        <w:jc w:val="both"/>
        <w:rPr>
          <w:rFonts w:ascii="Cambria" w:hAnsi="Cambria"/>
          <w:sz w:val="6"/>
          <w:u w:val="single"/>
        </w:rPr>
      </w:pPr>
    </w:p>
    <w:p w14:paraId="5F0055D1" w14:textId="254B52B2" w:rsidR="009879F7" w:rsidRPr="00A20FC8" w:rsidRDefault="009879F7" w:rsidP="006019AD">
      <w:pPr>
        <w:pStyle w:val="ListParagraph"/>
        <w:tabs>
          <w:tab w:val="left" w:pos="0"/>
        </w:tabs>
        <w:spacing w:line="360" w:lineRule="auto"/>
        <w:ind w:left="0"/>
        <w:jc w:val="both"/>
        <w:rPr>
          <w:rFonts w:ascii="Cambria" w:hAnsi="Cambria"/>
          <w:sz w:val="24"/>
          <w:u w:val="single"/>
        </w:rPr>
      </w:pPr>
      <w:r w:rsidRPr="00A20FC8">
        <w:rPr>
          <w:rFonts w:ascii="Cambria" w:hAnsi="Cambria"/>
          <w:sz w:val="24"/>
          <w:u w:val="single"/>
        </w:rPr>
        <w:t>The following monthly Energy audit activities are carried out in TPWODL:</w:t>
      </w:r>
    </w:p>
    <w:p w14:paraId="140363A9" w14:textId="760C7F49" w:rsidR="007C0BA0" w:rsidRPr="00097922" w:rsidRDefault="007C0BA0" w:rsidP="001972DE">
      <w:pPr>
        <w:pStyle w:val="ListParagraph"/>
        <w:numPr>
          <w:ilvl w:val="0"/>
          <w:numId w:val="31"/>
        </w:numPr>
        <w:spacing w:after="160"/>
        <w:ind w:left="714" w:hanging="357"/>
        <w:contextualSpacing w:val="0"/>
        <w:jc w:val="both"/>
        <w:rPr>
          <w:rFonts w:ascii="Cambria" w:hAnsi="Cambria"/>
          <w:sz w:val="24"/>
          <w:szCs w:val="24"/>
        </w:rPr>
      </w:pPr>
      <w:r w:rsidRPr="00097922">
        <w:rPr>
          <w:rFonts w:ascii="Cambria" w:hAnsi="Cambria"/>
          <w:sz w:val="24"/>
          <w:szCs w:val="24"/>
        </w:rPr>
        <w:t xml:space="preserve">BST </w:t>
      </w:r>
      <w:r w:rsidR="00C06558">
        <w:rPr>
          <w:rFonts w:ascii="Cambria" w:hAnsi="Cambria"/>
          <w:sz w:val="24"/>
          <w:szCs w:val="24"/>
        </w:rPr>
        <w:t xml:space="preserve">&amp; Transmission </w:t>
      </w:r>
      <w:r w:rsidRPr="00097922">
        <w:rPr>
          <w:rFonts w:ascii="Cambria" w:hAnsi="Cambria"/>
          <w:sz w:val="24"/>
          <w:szCs w:val="24"/>
        </w:rPr>
        <w:t>bill unit comparison w</w:t>
      </w:r>
      <w:r w:rsidRPr="00AA4660">
        <w:rPr>
          <w:rFonts w:ascii="Cambria" w:hAnsi="Cambria"/>
          <w:sz w:val="24"/>
          <w:szCs w:val="24"/>
        </w:rPr>
        <w:t xml:space="preserve">.r.t GRIDCO </w:t>
      </w:r>
      <w:r w:rsidR="00C06558" w:rsidRPr="00AA4660">
        <w:rPr>
          <w:rFonts w:ascii="Cambria" w:hAnsi="Cambria"/>
          <w:sz w:val="24"/>
          <w:szCs w:val="24"/>
        </w:rPr>
        <w:t xml:space="preserve">&amp; OPTCL </w:t>
      </w:r>
      <w:r w:rsidRPr="00AA4660">
        <w:rPr>
          <w:rFonts w:ascii="Cambria" w:hAnsi="Cambria"/>
          <w:sz w:val="24"/>
          <w:szCs w:val="24"/>
        </w:rPr>
        <w:t>bill</w:t>
      </w:r>
      <w:r w:rsidR="00A20FC8" w:rsidRPr="00AA4660">
        <w:rPr>
          <w:rFonts w:ascii="Cambria" w:hAnsi="Cambria"/>
          <w:sz w:val="24"/>
          <w:szCs w:val="24"/>
        </w:rPr>
        <w:t>ed units</w:t>
      </w:r>
      <w:r w:rsidRPr="00AA4660">
        <w:rPr>
          <w:rFonts w:ascii="Cambria" w:hAnsi="Cambria"/>
          <w:sz w:val="24"/>
          <w:szCs w:val="24"/>
        </w:rPr>
        <w:t>.</w:t>
      </w:r>
    </w:p>
    <w:p w14:paraId="6113091C" w14:textId="77777777" w:rsidR="007C0BA0" w:rsidRPr="00097922" w:rsidRDefault="007C0BA0" w:rsidP="001972DE">
      <w:pPr>
        <w:pStyle w:val="ListParagraph"/>
        <w:numPr>
          <w:ilvl w:val="0"/>
          <w:numId w:val="31"/>
        </w:numPr>
        <w:spacing w:after="160"/>
        <w:ind w:left="714" w:hanging="357"/>
        <w:contextualSpacing w:val="0"/>
        <w:jc w:val="both"/>
        <w:rPr>
          <w:rFonts w:ascii="Cambria" w:hAnsi="Cambria"/>
          <w:sz w:val="24"/>
          <w:szCs w:val="24"/>
        </w:rPr>
      </w:pPr>
      <w:r w:rsidRPr="00097922">
        <w:rPr>
          <w:rFonts w:ascii="Cambria" w:hAnsi="Cambria"/>
          <w:sz w:val="24"/>
          <w:szCs w:val="24"/>
        </w:rPr>
        <w:t>BST bill unit v</w:t>
      </w:r>
      <w:r>
        <w:rPr>
          <w:rFonts w:ascii="Cambria" w:hAnsi="Cambria"/>
          <w:sz w:val="24"/>
          <w:szCs w:val="24"/>
        </w:rPr>
        <w:t>/s</w:t>
      </w:r>
      <w:r w:rsidRPr="00097922">
        <w:rPr>
          <w:rFonts w:ascii="Cambria" w:hAnsi="Cambria"/>
          <w:sz w:val="24"/>
          <w:szCs w:val="24"/>
        </w:rPr>
        <w:t xml:space="preserve"> 33</w:t>
      </w:r>
      <w:r>
        <w:rPr>
          <w:rFonts w:ascii="Cambria" w:hAnsi="Cambria"/>
          <w:sz w:val="24"/>
          <w:szCs w:val="24"/>
        </w:rPr>
        <w:t xml:space="preserve"> kV</w:t>
      </w:r>
      <w:r w:rsidRPr="00097922">
        <w:rPr>
          <w:rFonts w:ascii="Cambria" w:hAnsi="Cambria"/>
          <w:sz w:val="24"/>
          <w:szCs w:val="24"/>
        </w:rPr>
        <w:t xml:space="preserve"> Feeder consumption.</w:t>
      </w:r>
    </w:p>
    <w:p w14:paraId="32515249" w14:textId="77777777" w:rsidR="007C0BA0" w:rsidRPr="00097922" w:rsidRDefault="007C0BA0" w:rsidP="001972DE">
      <w:pPr>
        <w:pStyle w:val="ListParagraph"/>
        <w:numPr>
          <w:ilvl w:val="0"/>
          <w:numId w:val="31"/>
        </w:numPr>
        <w:spacing w:after="160"/>
        <w:ind w:left="714" w:hanging="357"/>
        <w:contextualSpacing w:val="0"/>
        <w:jc w:val="both"/>
        <w:rPr>
          <w:rFonts w:ascii="Cambria" w:hAnsi="Cambria"/>
          <w:sz w:val="24"/>
          <w:szCs w:val="24"/>
        </w:rPr>
      </w:pPr>
      <w:r w:rsidRPr="00097922">
        <w:rPr>
          <w:rFonts w:ascii="Cambria" w:hAnsi="Cambria"/>
          <w:sz w:val="24"/>
          <w:szCs w:val="24"/>
        </w:rPr>
        <w:t>EHT Consumer Consumption Comparison w.r.t BST bill unit.</w:t>
      </w:r>
    </w:p>
    <w:p w14:paraId="74CE8F8F" w14:textId="23EC6D2B" w:rsidR="007C0BA0" w:rsidRPr="00097922" w:rsidRDefault="007C0BA0" w:rsidP="001972DE">
      <w:pPr>
        <w:pStyle w:val="ListParagraph"/>
        <w:numPr>
          <w:ilvl w:val="0"/>
          <w:numId w:val="31"/>
        </w:numPr>
        <w:spacing w:after="160"/>
        <w:ind w:left="714" w:hanging="357"/>
        <w:contextualSpacing w:val="0"/>
        <w:jc w:val="both"/>
        <w:rPr>
          <w:rFonts w:ascii="Cambria" w:hAnsi="Cambria"/>
          <w:sz w:val="24"/>
          <w:szCs w:val="24"/>
        </w:rPr>
      </w:pPr>
      <w:r w:rsidRPr="00097922">
        <w:rPr>
          <w:rFonts w:ascii="Cambria" w:hAnsi="Cambria"/>
          <w:sz w:val="24"/>
          <w:szCs w:val="24"/>
        </w:rPr>
        <w:t>33</w:t>
      </w:r>
      <w:r>
        <w:rPr>
          <w:rFonts w:ascii="Cambria" w:hAnsi="Cambria"/>
          <w:sz w:val="24"/>
          <w:szCs w:val="24"/>
        </w:rPr>
        <w:t xml:space="preserve"> </w:t>
      </w:r>
      <w:r w:rsidR="00AA4660">
        <w:rPr>
          <w:rFonts w:ascii="Cambria" w:hAnsi="Cambria"/>
          <w:sz w:val="24"/>
          <w:szCs w:val="24"/>
        </w:rPr>
        <w:t>k</w:t>
      </w:r>
      <w:r>
        <w:rPr>
          <w:rFonts w:ascii="Cambria" w:hAnsi="Cambria"/>
          <w:sz w:val="24"/>
          <w:szCs w:val="24"/>
        </w:rPr>
        <w:t xml:space="preserve">V &amp; 11 </w:t>
      </w:r>
      <w:r w:rsidR="00220001">
        <w:rPr>
          <w:rFonts w:ascii="Cambria" w:hAnsi="Cambria"/>
          <w:sz w:val="24"/>
          <w:szCs w:val="24"/>
        </w:rPr>
        <w:t>k</w:t>
      </w:r>
      <w:r>
        <w:rPr>
          <w:rFonts w:ascii="Cambria" w:hAnsi="Cambria"/>
          <w:sz w:val="24"/>
          <w:szCs w:val="24"/>
        </w:rPr>
        <w:t>V</w:t>
      </w:r>
      <w:r w:rsidRPr="00097922">
        <w:rPr>
          <w:rFonts w:ascii="Cambria" w:hAnsi="Cambria"/>
          <w:sz w:val="24"/>
          <w:szCs w:val="24"/>
        </w:rPr>
        <w:t xml:space="preserve"> Feeder </w:t>
      </w:r>
      <w:r>
        <w:rPr>
          <w:rFonts w:ascii="Cambria" w:hAnsi="Cambria"/>
          <w:sz w:val="24"/>
          <w:szCs w:val="24"/>
        </w:rPr>
        <w:t xml:space="preserve">and DT </w:t>
      </w:r>
      <w:r w:rsidRPr="00097922">
        <w:rPr>
          <w:rFonts w:ascii="Cambria" w:hAnsi="Cambria"/>
          <w:sz w:val="24"/>
          <w:szCs w:val="24"/>
        </w:rPr>
        <w:t>loss calculation.</w:t>
      </w:r>
    </w:p>
    <w:p w14:paraId="3366675F" w14:textId="77777777" w:rsidR="007C0BA0" w:rsidRPr="00097922" w:rsidRDefault="007C0BA0" w:rsidP="001972DE">
      <w:pPr>
        <w:pStyle w:val="ListParagraph"/>
        <w:numPr>
          <w:ilvl w:val="0"/>
          <w:numId w:val="31"/>
        </w:numPr>
        <w:spacing w:after="160"/>
        <w:ind w:left="714" w:hanging="357"/>
        <w:contextualSpacing w:val="0"/>
        <w:jc w:val="both"/>
        <w:rPr>
          <w:rFonts w:ascii="Cambria" w:hAnsi="Cambria"/>
          <w:sz w:val="24"/>
          <w:szCs w:val="24"/>
        </w:rPr>
      </w:pPr>
      <w:r w:rsidRPr="00097922">
        <w:rPr>
          <w:rFonts w:ascii="Cambria" w:hAnsi="Cambria"/>
          <w:sz w:val="24"/>
          <w:szCs w:val="24"/>
        </w:rPr>
        <w:t xml:space="preserve"> Dedicated Industry audit </w:t>
      </w:r>
    </w:p>
    <w:p w14:paraId="7A987C41" w14:textId="77777777" w:rsidR="007C0BA0" w:rsidRPr="00097922" w:rsidRDefault="007C0BA0" w:rsidP="001972DE">
      <w:pPr>
        <w:pStyle w:val="ListParagraph"/>
        <w:numPr>
          <w:ilvl w:val="0"/>
          <w:numId w:val="31"/>
        </w:numPr>
        <w:spacing w:after="160"/>
        <w:ind w:left="714" w:hanging="357"/>
        <w:contextualSpacing w:val="0"/>
        <w:jc w:val="both"/>
        <w:rPr>
          <w:rFonts w:ascii="Cambria" w:hAnsi="Cambria"/>
          <w:sz w:val="24"/>
          <w:szCs w:val="24"/>
        </w:rPr>
      </w:pPr>
      <w:r w:rsidRPr="00097922">
        <w:rPr>
          <w:rFonts w:ascii="Cambria" w:hAnsi="Cambria"/>
          <w:sz w:val="24"/>
          <w:szCs w:val="24"/>
        </w:rPr>
        <w:t>Group audit/one-to-one audit of high-value industrial consumers</w:t>
      </w:r>
    </w:p>
    <w:p w14:paraId="46E3B429" w14:textId="77777777" w:rsidR="007C0BA0" w:rsidRPr="00C433DC" w:rsidRDefault="007C0BA0" w:rsidP="001972DE">
      <w:pPr>
        <w:pStyle w:val="ListParagraph"/>
        <w:numPr>
          <w:ilvl w:val="0"/>
          <w:numId w:val="31"/>
        </w:numPr>
        <w:spacing w:after="160"/>
        <w:ind w:left="714" w:hanging="357"/>
        <w:contextualSpacing w:val="0"/>
        <w:jc w:val="both"/>
        <w:rPr>
          <w:rFonts w:ascii="Cambria" w:hAnsi="Cambria"/>
          <w:sz w:val="24"/>
          <w:szCs w:val="24"/>
        </w:rPr>
      </w:pPr>
      <w:r w:rsidRPr="00097922">
        <w:rPr>
          <w:rFonts w:ascii="Cambria" w:hAnsi="Cambria"/>
          <w:sz w:val="24"/>
          <w:szCs w:val="24"/>
        </w:rPr>
        <w:t>Apartment audit of residential/commercial apartments</w:t>
      </w:r>
    </w:p>
    <w:p w14:paraId="140EA565" w14:textId="53EBC352" w:rsidR="00106843" w:rsidRDefault="00106843" w:rsidP="00106843">
      <w:pPr>
        <w:spacing w:line="360" w:lineRule="auto"/>
        <w:jc w:val="both"/>
        <w:rPr>
          <w:rFonts w:asciiTheme="majorHAnsi" w:hAnsiTheme="majorHAnsi"/>
          <w:b/>
          <w:bCs/>
          <w:u w:val="single"/>
        </w:rPr>
      </w:pPr>
      <w:r w:rsidRPr="00106843">
        <w:rPr>
          <w:rFonts w:asciiTheme="majorHAnsi" w:hAnsiTheme="majorHAnsi"/>
          <w:b/>
          <w:bCs/>
          <w:u w:val="single"/>
        </w:rPr>
        <w:t>The present scenario of Energy Audit in TPWODL is as follows: -</w:t>
      </w:r>
    </w:p>
    <w:p w14:paraId="16B0F60F" w14:textId="77777777" w:rsidR="007F0468" w:rsidRPr="00106843" w:rsidRDefault="007F0468" w:rsidP="00106843">
      <w:pPr>
        <w:spacing w:line="360" w:lineRule="auto"/>
        <w:jc w:val="both"/>
        <w:rPr>
          <w:rFonts w:asciiTheme="majorHAnsi" w:hAnsiTheme="majorHAnsi"/>
          <w:b/>
          <w:bCs/>
          <w:u w:val="singl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985"/>
        <w:gridCol w:w="1984"/>
        <w:gridCol w:w="2126"/>
      </w:tblGrid>
      <w:tr w:rsidR="00106843" w:rsidRPr="00106843" w14:paraId="36E598D3" w14:textId="77777777" w:rsidTr="000F221E">
        <w:trPr>
          <w:trHeight w:val="450"/>
        </w:trPr>
        <w:tc>
          <w:tcPr>
            <w:tcW w:w="2977" w:type="dxa"/>
            <w:vMerge w:val="restart"/>
            <w:vAlign w:val="center"/>
          </w:tcPr>
          <w:p w14:paraId="10EBE25F" w14:textId="77777777" w:rsidR="00106843" w:rsidRPr="00106843" w:rsidRDefault="00106843" w:rsidP="000F221E">
            <w:pPr>
              <w:spacing w:line="240" w:lineRule="atLeast"/>
              <w:jc w:val="center"/>
              <w:rPr>
                <w:rFonts w:asciiTheme="majorHAnsi" w:hAnsiTheme="majorHAnsi" w:cs="Calibri"/>
                <w:b/>
                <w:lang w:eastAsia="en-IN"/>
              </w:rPr>
            </w:pPr>
            <w:r w:rsidRPr="00106843">
              <w:rPr>
                <w:rFonts w:asciiTheme="majorHAnsi" w:hAnsiTheme="majorHAnsi" w:cs="Calibri"/>
                <w:b/>
                <w:lang w:eastAsia="en-IN"/>
              </w:rPr>
              <w:t>Audit Particulars</w:t>
            </w:r>
          </w:p>
        </w:tc>
        <w:tc>
          <w:tcPr>
            <w:tcW w:w="1985" w:type="dxa"/>
            <w:vMerge w:val="restart"/>
            <w:vAlign w:val="center"/>
          </w:tcPr>
          <w:p w14:paraId="4457FF59" w14:textId="77777777" w:rsidR="00106843" w:rsidRPr="00106843" w:rsidRDefault="00106843" w:rsidP="000F221E">
            <w:pPr>
              <w:spacing w:line="240" w:lineRule="atLeast"/>
              <w:jc w:val="center"/>
              <w:rPr>
                <w:rFonts w:asciiTheme="majorHAnsi" w:hAnsiTheme="majorHAnsi" w:cs="Calibri"/>
                <w:b/>
                <w:lang w:eastAsia="en-IN"/>
              </w:rPr>
            </w:pPr>
            <w:r w:rsidRPr="00106843">
              <w:rPr>
                <w:rFonts w:asciiTheme="majorHAnsi" w:hAnsiTheme="majorHAnsi" w:cs="Calibri"/>
                <w:b/>
                <w:lang w:eastAsia="en-IN"/>
              </w:rPr>
              <w:t>Numbers</w:t>
            </w:r>
          </w:p>
        </w:tc>
        <w:tc>
          <w:tcPr>
            <w:tcW w:w="1984" w:type="dxa"/>
            <w:vMerge w:val="restart"/>
            <w:vAlign w:val="center"/>
          </w:tcPr>
          <w:p w14:paraId="7EEBD2F1" w14:textId="77777777" w:rsidR="00106843" w:rsidRPr="00106843" w:rsidRDefault="00106843" w:rsidP="000F221E">
            <w:pPr>
              <w:spacing w:line="240" w:lineRule="atLeast"/>
              <w:jc w:val="center"/>
              <w:rPr>
                <w:rFonts w:asciiTheme="majorHAnsi" w:hAnsiTheme="majorHAnsi" w:cs="Calibri"/>
                <w:b/>
                <w:lang w:eastAsia="en-IN"/>
              </w:rPr>
            </w:pPr>
            <w:r w:rsidRPr="00106843">
              <w:rPr>
                <w:rFonts w:asciiTheme="majorHAnsi" w:hAnsiTheme="majorHAnsi" w:cs="Calibri"/>
                <w:b/>
                <w:lang w:eastAsia="en-IN"/>
              </w:rPr>
              <w:t>OK Metering</w:t>
            </w:r>
          </w:p>
        </w:tc>
        <w:tc>
          <w:tcPr>
            <w:tcW w:w="2126" w:type="dxa"/>
            <w:vMerge w:val="restart"/>
            <w:vAlign w:val="center"/>
          </w:tcPr>
          <w:p w14:paraId="3808710C" w14:textId="77777777" w:rsidR="00106843" w:rsidRPr="00106843" w:rsidRDefault="00106843" w:rsidP="000F221E">
            <w:pPr>
              <w:spacing w:line="240" w:lineRule="atLeast"/>
              <w:jc w:val="center"/>
              <w:rPr>
                <w:rFonts w:asciiTheme="majorHAnsi" w:hAnsiTheme="majorHAnsi" w:cs="Calibri"/>
                <w:b/>
                <w:lang w:eastAsia="en-IN"/>
              </w:rPr>
            </w:pPr>
            <w:r w:rsidRPr="00106843">
              <w:rPr>
                <w:rFonts w:asciiTheme="majorHAnsi" w:hAnsiTheme="majorHAnsi" w:cs="Calibri"/>
                <w:b/>
                <w:lang w:eastAsia="en-IN"/>
              </w:rPr>
              <w:t>Audit Activity</w:t>
            </w:r>
          </w:p>
        </w:tc>
      </w:tr>
      <w:tr w:rsidR="00106843" w:rsidRPr="00106843" w14:paraId="12AA503B" w14:textId="77777777" w:rsidTr="00C53366">
        <w:trPr>
          <w:trHeight w:val="281"/>
        </w:trPr>
        <w:tc>
          <w:tcPr>
            <w:tcW w:w="2977" w:type="dxa"/>
            <w:vMerge/>
          </w:tcPr>
          <w:p w14:paraId="2124AAB9" w14:textId="77777777" w:rsidR="00106843" w:rsidRPr="00106843" w:rsidRDefault="00106843" w:rsidP="000F221E">
            <w:pPr>
              <w:spacing w:line="240" w:lineRule="atLeast"/>
              <w:jc w:val="center"/>
              <w:rPr>
                <w:rFonts w:asciiTheme="majorHAnsi" w:hAnsiTheme="majorHAnsi" w:cs="Calibri"/>
                <w:lang w:eastAsia="en-IN"/>
              </w:rPr>
            </w:pPr>
          </w:p>
        </w:tc>
        <w:tc>
          <w:tcPr>
            <w:tcW w:w="1985" w:type="dxa"/>
            <w:vMerge/>
          </w:tcPr>
          <w:p w14:paraId="16B64D68" w14:textId="77777777" w:rsidR="00106843" w:rsidRPr="00106843" w:rsidRDefault="00106843" w:rsidP="000F221E">
            <w:pPr>
              <w:spacing w:line="240" w:lineRule="atLeast"/>
              <w:jc w:val="center"/>
              <w:rPr>
                <w:rFonts w:asciiTheme="majorHAnsi" w:hAnsiTheme="majorHAnsi" w:cs="Calibri"/>
                <w:lang w:eastAsia="en-IN"/>
              </w:rPr>
            </w:pPr>
          </w:p>
        </w:tc>
        <w:tc>
          <w:tcPr>
            <w:tcW w:w="1984" w:type="dxa"/>
            <w:vMerge/>
          </w:tcPr>
          <w:p w14:paraId="6AC44C38" w14:textId="77777777" w:rsidR="00106843" w:rsidRPr="00106843" w:rsidRDefault="00106843" w:rsidP="000F221E">
            <w:pPr>
              <w:spacing w:line="240" w:lineRule="atLeast"/>
              <w:jc w:val="center"/>
              <w:rPr>
                <w:rFonts w:asciiTheme="majorHAnsi" w:hAnsiTheme="majorHAnsi" w:cs="Calibri"/>
                <w:lang w:eastAsia="en-IN"/>
              </w:rPr>
            </w:pPr>
          </w:p>
        </w:tc>
        <w:tc>
          <w:tcPr>
            <w:tcW w:w="2126" w:type="dxa"/>
            <w:vMerge/>
          </w:tcPr>
          <w:p w14:paraId="07ACFE74" w14:textId="77777777" w:rsidR="00106843" w:rsidRPr="00106843" w:rsidRDefault="00106843" w:rsidP="000F221E">
            <w:pPr>
              <w:spacing w:line="240" w:lineRule="atLeast"/>
              <w:jc w:val="center"/>
              <w:rPr>
                <w:rFonts w:asciiTheme="majorHAnsi" w:hAnsiTheme="majorHAnsi" w:cs="Calibri"/>
                <w:lang w:eastAsia="en-IN"/>
              </w:rPr>
            </w:pPr>
          </w:p>
        </w:tc>
      </w:tr>
      <w:tr w:rsidR="00106843" w:rsidRPr="00106843" w14:paraId="27071480" w14:textId="77777777" w:rsidTr="000F221E">
        <w:trPr>
          <w:trHeight w:val="50"/>
        </w:trPr>
        <w:tc>
          <w:tcPr>
            <w:tcW w:w="2977" w:type="dxa"/>
            <w:vAlign w:val="center"/>
          </w:tcPr>
          <w:p w14:paraId="2AD4A1BB" w14:textId="77777777" w:rsidR="00106843" w:rsidRPr="00106843" w:rsidRDefault="00106843" w:rsidP="000F221E">
            <w:pPr>
              <w:spacing w:line="240" w:lineRule="atLeast"/>
              <w:rPr>
                <w:rFonts w:asciiTheme="majorHAnsi" w:hAnsiTheme="majorHAnsi" w:cs="Calibri"/>
                <w:lang w:eastAsia="en-IN"/>
              </w:rPr>
            </w:pPr>
            <w:r w:rsidRPr="00106843">
              <w:rPr>
                <w:rFonts w:asciiTheme="majorHAnsi" w:hAnsiTheme="majorHAnsi" w:cs="Calibri"/>
                <w:lang w:eastAsia="en-IN"/>
              </w:rPr>
              <w:t>BST Points (GRID end)</w:t>
            </w:r>
          </w:p>
        </w:tc>
        <w:tc>
          <w:tcPr>
            <w:tcW w:w="1985" w:type="dxa"/>
            <w:vAlign w:val="center"/>
          </w:tcPr>
          <w:p w14:paraId="3A4D428C" w14:textId="77777777" w:rsidR="00106843" w:rsidRPr="00106843" w:rsidRDefault="00106843" w:rsidP="000F221E">
            <w:pPr>
              <w:spacing w:line="240" w:lineRule="atLeast"/>
              <w:jc w:val="center"/>
              <w:rPr>
                <w:rFonts w:asciiTheme="majorHAnsi" w:hAnsiTheme="majorHAnsi" w:cs="Calibri"/>
                <w:lang w:eastAsia="en-IN"/>
              </w:rPr>
            </w:pPr>
            <w:r w:rsidRPr="00106843">
              <w:rPr>
                <w:rFonts w:asciiTheme="majorHAnsi" w:hAnsiTheme="majorHAnsi" w:cs="Calibri"/>
                <w:lang w:eastAsia="en-IN"/>
              </w:rPr>
              <w:t>221</w:t>
            </w:r>
          </w:p>
        </w:tc>
        <w:tc>
          <w:tcPr>
            <w:tcW w:w="1984" w:type="dxa"/>
            <w:vAlign w:val="center"/>
          </w:tcPr>
          <w:p w14:paraId="40FED6DE" w14:textId="77777777" w:rsidR="00106843" w:rsidRPr="00106843" w:rsidRDefault="00106843" w:rsidP="000F221E">
            <w:pPr>
              <w:spacing w:line="240" w:lineRule="atLeast"/>
              <w:jc w:val="center"/>
              <w:rPr>
                <w:rFonts w:asciiTheme="majorHAnsi" w:hAnsiTheme="majorHAnsi" w:cs="Calibri"/>
                <w:lang w:eastAsia="en-IN"/>
              </w:rPr>
            </w:pPr>
            <w:r w:rsidRPr="00106843">
              <w:rPr>
                <w:rFonts w:asciiTheme="majorHAnsi" w:hAnsiTheme="majorHAnsi" w:cs="Calibri"/>
                <w:lang w:eastAsia="en-IN"/>
              </w:rPr>
              <w:t>221</w:t>
            </w:r>
          </w:p>
        </w:tc>
        <w:tc>
          <w:tcPr>
            <w:tcW w:w="2126" w:type="dxa"/>
            <w:vAlign w:val="center"/>
          </w:tcPr>
          <w:p w14:paraId="0B85CC9B" w14:textId="77777777" w:rsidR="00106843" w:rsidRPr="00106843" w:rsidRDefault="00106843" w:rsidP="000F221E">
            <w:pPr>
              <w:spacing w:line="240" w:lineRule="atLeast"/>
              <w:jc w:val="center"/>
              <w:rPr>
                <w:rFonts w:asciiTheme="majorHAnsi" w:hAnsiTheme="majorHAnsi" w:cs="Calibri"/>
                <w:lang w:eastAsia="en-IN"/>
              </w:rPr>
            </w:pPr>
            <w:r w:rsidRPr="00106843">
              <w:rPr>
                <w:rFonts w:asciiTheme="majorHAnsi" w:hAnsiTheme="majorHAnsi" w:cs="Calibri"/>
                <w:lang w:eastAsia="en-IN"/>
              </w:rPr>
              <w:t>221</w:t>
            </w:r>
          </w:p>
        </w:tc>
      </w:tr>
      <w:tr w:rsidR="00106843" w:rsidRPr="00106843" w14:paraId="4ACFDFA7" w14:textId="77777777" w:rsidTr="000F221E">
        <w:trPr>
          <w:trHeight w:val="50"/>
        </w:trPr>
        <w:tc>
          <w:tcPr>
            <w:tcW w:w="2977" w:type="dxa"/>
            <w:vAlign w:val="center"/>
          </w:tcPr>
          <w:p w14:paraId="55AA4332" w14:textId="77777777" w:rsidR="00106843" w:rsidRPr="00106843" w:rsidRDefault="00106843" w:rsidP="000F221E">
            <w:pPr>
              <w:spacing w:line="240" w:lineRule="atLeast"/>
              <w:rPr>
                <w:rFonts w:asciiTheme="majorHAnsi" w:hAnsiTheme="majorHAnsi" w:cs="Calibri"/>
                <w:lang w:eastAsia="en-IN"/>
              </w:rPr>
            </w:pPr>
            <w:r w:rsidRPr="00106843">
              <w:rPr>
                <w:rFonts w:asciiTheme="majorHAnsi" w:hAnsiTheme="majorHAnsi" w:cs="Calibri"/>
                <w:lang w:eastAsia="en-IN"/>
              </w:rPr>
              <w:t>EHT Consumers</w:t>
            </w:r>
          </w:p>
        </w:tc>
        <w:tc>
          <w:tcPr>
            <w:tcW w:w="1985" w:type="dxa"/>
            <w:vAlign w:val="center"/>
          </w:tcPr>
          <w:p w14:paraId="7FE0C70D" w14:textId="77777777" w:rsidR="00106843" w:rsidRPr="00106843" w:rsidRDefault="00106843" w:rsidP="000F221E">
            <w:pPr>
              <w:spacing w:line="240" w:lineRule="atLeast"/>
              <w:jc w:val="center"/>
              <w:rPr>
                <w:rFonts w:asciiTheme="majorHAnsi" w:hAnsiTheme="majorHAnsi" w:cs="Calibri"/>
                <w:lang w:eastAsia="en-IN"/>
              </w:rPr>
            </w:pPr>
            <w:r w:rsidRPr="00106843">
              <w:rPr>
                <w:rFonts w:asciiTheme="majorHAnsi" w:hAnsiTheme="majorHAnsi" w:cs="Calibri"/>
                <w:lang w:eastAsia="en-IN"/>
              </w:rPr>
              <w:t>60</w:t>
            </w:r>
          </w:p>
        </w:tc>
        <w:tc>
          <w:tcPr>
            <w:tcW w:w="1984" w:type="dxa"/>
            <w:vAlign w:val="center"/>
          </w:tcPr>
          <w:p w14:paraId="6D414185" w14:textId="77777777" w:rsidR="00106843" w:rsidRPr="00106843" w:rsidRDefault="00106843" w:rsidP="000F221E">
            <w:pPr>
              <w:spacing w:line="240" w:lineRule="atLeast"/>
              <w:jc w:val="center"/>
              <w:rPr>
                <w:rFonts w:asciiTheme="majorHAnsi" w:hAnsiTheme="majorHAnsi" w:cs="Calibri"/>
                <w:lang w:eastAsia="en-IN"/>
              </w:rPr>
            </w:pPr>
            <w:r w:rsidRPr="00106843">
              <w:rPr>
                <w:rFonts w:asciiTheme="majorHAnsi" w:hAnsiTheme="majorHAnsi" w:cs="Calibri"/>
                <w:lang w:eastAsia="en-IN"/>
              </w:rPr>
              <w:t>60</w:t>
            </w:r>
          </w:p>
        </w:tc>
        <w:tc>
          <w:tcPr>
            <w:tcW w:w="2126" w:type="dxa"/>
            <w:vAlign w:val="center"/>
          </w:tcPr>
          <w:p w14:paraId="7B7B78A2" w14:textId="77777777" w:rsidR="00106843" w:rsidRPr="00106843" w:rsidRDefault="00106843" w:rsidP="000F221E">
            <w:pPr>
              <w:spacing w:line="240" w:lineRule="atLeast"/>
              <w:jc w:val="center"/>
              <w:rPr>
                <w:rFonts w:asciiTheme="majorHAnsi" w:hAnsiTheme="majorHAnsi" w:cs="Calibri"/>
                <w:lang w:eastAsia="en-IN"/>
              </w:rPr>
            </w:pPr>
            <w:r w:rsidRPr="00106843">
              <w:rPr>
                <w:rFonts w:asciiTheme="majorHAnsi" w:hAnsiTheme="majorHAnsi" w:cs="Calibri"/>
                <w:lang w:eastAsia="en-IN"/>
              </w:rPr>
              <w:t>60</w:t>
            </w:r>
          </w:p>
        </w:tc>
      </w:tr>
      <w:tr w:rsidR="00106843" w:rsidRPr="00106843" w14:paraId="3AF2AB96" w14:textId="77777777" w:rsidTr="000F221E">
        <w:trPr>
          <w:trHeight w:val="50"/>
        </w:trPr>
        <w:tc>
          <w:tcPr>
            <w:tcW w:w="2977" w:type="dxa"/>
            <w:vAlign w:val="center"/>
          </w:tcPr>
          <w:p w14:paraId="23C3ECCD" w14:textId="77777777" w:rsidR="00106843" w:rsidRPr="00106843" w:rsidRDefault="00106843" w:rsidP="000F221E">
            <w:pPr>
              <w:spacing w:line="240" w:lineRule="atLeast"/>
              <w:rPr>
                <w:rFonts w:asciiTheme="majorHAnsi" w:hAnsiTheme="majorHAnsi" w:cs="Calibri"/>
                <w:lang w:eastAsia="en-IN"/>
              </w:rPr>
            </w:pPr>
            <w:r w:rsidRPr="00106843">
              <w:rPr>
                <w:rFonts w:asciiTheme="majorHAnsi" w:hAnsiTheme="majorHAnsi" w:cs="Calibri"/>
                <w:lang w:eastAsia="en-IN"/>
              </w:rPr>
              <w:t>33 kV Feeder (GRID end)</w:t>
            </w:r>
          </w:p>
        </w:tc>
        <w:tc>
          <w:tcPr>
            <w:tcW w:w="1985" w:type="dxa"/>
            <w:vAlign w:val="center"/>
          </w:tcPr>
          <w:p w14:paraId="2E6033DD" w14:textId="77777777" w:rsidR="00106843" w:rsidRPr="00E36929" w:rsidRDefault="00106843" w:rsidP="000F221E">
            <w:pPr>
              <w:spacing w:line="240" w:lineRule="atLeast"/>
              <w:jc w:val="center"/>
              <w:rPr>
                <w:rFonts w:asciiTheme="majorHAnsi" w:hAnsiTheme="majorHAnsi" w:cs="Calibri"/>
                <w:lang w:eastAsia="en-IN"/>
              </w:rPr>
            </w:pPr>
            <w:r w:rsidRPr="00E36929">
              <w:rPr>
                <w:rFonts w:asciiTheme="majorHAnsi" w:hAnsiTheme="majorHAnsi" w:cs="Calibri"/>
                <w:lang w:eastAsia="en-IN"/>
              </w:rPr>
              <w:t>224</w:t>
            </w:r>
          </w:p>
        </w:tc>
        <w:tc>
          <w:tcPr>
            <w:tcW w:w="1984" w:type="dxa"/>
            <w:vAlign w:val="center"/>
          </w:tcPr>
          <w:p w14:paraId="3BB27263" w14:textId="77777777" w:rsidR="00106843" w:rsidRPr="00E36929" w:rsidRDefault="00106843" w:rsidP="000F221E">
            <w:pPr>
              <w:spacing w:line="240" w:lineRule="atLeast"/>
              <w:jc w:val="center"/>
              <w:rPr>
                <w:rFonts w:asciiTheme="majorHAnsi" w:hAnsiTheme="majorHAnsi" w:cs="Calibri"/>
                <w:lang w:eastAsia="en-IN"/>
              </w:rPr>
            </w:pPr>
            <w:r w:rsidRPr="00E36929">
              <w:rPr>
                <w:rFonts w:asciiTheme="majorHAnsi" w:hAnsiTheme="majorHAnsi" w:cs="Calibri"/>
                <w:lang w:eastAsia="en-IN"/>
              </w:rPr>
              <w:t>224</w:t>
            </w:r>
          </w:p>
        </w:tc>
        <w:tc>
          <w:tcPr>
            <w:tcW w:w="2126" w:type="dxa"/>
            <w:vAlign w:val="center"/>
          </w:tcPr>
          <w:p w14:paraId="47DB1648" w14:textId="77777777" w:rsidR="00106843" w:rsidRPr="00E36929" w:rsidRDefault="00106843" w:rsidP="000F221E">
            <w:pPr>
              <w:spacing w:line="240" w:lineRule="atLeast"/>
              <w:jc w:val="center"/>
              <w:rPr>
                <w:rFonts w:asciiTheme="majorHAnsi" w:hAnsiTheme="majorHAnsi" w:cs="Calibri"/>
                <w:lang w:eastAsia="en-IN"/>
              </w:rPr>
            </w:pPr>
            <w:r w:rsidRPr="00E36929">
              <w:rPr>
                <w:rFonts w:asciiTheme="majorHAnsi" w:hAnsiTheme="majorHAnsi" w:cs="Calibri"/>
                <w:lang w:eastAsia="en-IN"/>
              </w:rPr>
              <w:t>224</w:t>
            </w:r>
          </w:p>
        </w:tc>
      </w:tr>
      <w:tr w:rsidR="00106843" w:rsidRPr="00106843" w14:paraId="2C66A61B" w14:textId="77777777" w:rsidTr="000F221E">
        <w:trPr>
          <w:trHeight w:val="50"/>
        </w:trPr>
        <w:tc>
          <w:tcPr>
            <w:tcW w:w="2977" w:type="dxa"/>
            <w:vAlign w:val="center"/>
          </w:tcPr>
          <w:p w14:paraId="0AAD74C2" w14:textId="77777777" w:rsidR="00106843" w:rsidRPr="00106843" w:rsidRDefault="00106843" w:rsidP="000F221E">
            <w:pPr>
              <w:spacing w:line="240" w:lineRule="atLeast"/>
              <w:rPr>
                <w:rFonts w:asciiTheme="majorHAnsi" w:hAnsiTheme="majorHAnsi" w:cs="Calibri"/>
                <w:lang w:eastAsia="en-IN"/>
              </w:rPr>
            </w:pPr>
            <w:r w:rsidRPr="00106843">
              <w:rPr>
                <w:rFonts w:asciiTheme="majorHAnsi" w:hAnsiTheme="majorHAnsi" w:cs="Calibri"/>
                <w:lang w:eastAsia="en-IN"/>
              </w:rPr>
              <w:t>11 kV Feeder</w:t>
            </w:r>
          </w:p>
        </w:tc>
        <w:tc>
          <w:tcPr>
            <w:tcW w:w="1985" w:type="dxa"/>
            <w:vAlign w:val="center"/>
          </w:tcPr>
          <w:p w14:paraId="3B64F318" w14:textId="77777777" w:rsidR="00106843" w:rsidRPr="00E36929" w:rsidRDefault="00106843" w:rsidP="000F221E">
            <w:pPr>
              <w:spacing w:line="240" w:lineRule="atLeast"/>
              <w:jc w:val="center"/>
              <w:rPr>
                <w:rFonts w:asciiTheme="majorHAnsi" w:hAnsiTheme="majorHAnsi" w:cs="Calibri"/>
                <w:lang w:eastAsia="en-IN"/>
              </w:rPr>
            </w:pPr>
            <w:r w:rsidRPr="00E36929">
              <w:rPr>
                <w:rFonts w:asciiTheme="majorHAnsi" w:hAnsiTheme="majorHAnsi" w:cs="Calibri"/>
                <w:lang w:eastAsia="en-IN"/>
              </w:rPr>
              <w:t>1250</w:t>
            </w:r>
          </w:p>
        </w:tc>
        <w:tc>
          <w:tcPr>
            <w:tcW w:w="1984" w:type="dxa"/>
            <w:vAlign w:val="center"/>
          </w:tcPr>
          <w:p w14:paraId="2ACEB789" w14:textId="77777777" w:rsidR="00106843" w:rsidRPr="00E36929" w:rsidRDefault="00106843" w:rsidP="000F221E">
            <w:pPr>
              <w:spacing w:line="240" w:lineRule="atLeast"/>
              <w:jc w:val="center"/>
              <w:rPr>
                <w:rFonts w:asciiTheme="majorHAnsi" w:hAnsiTheme="majorHAnsi" w:cs="Calibri"/>
                <w:lang w:eastAsia="en-IN"/>
              </w:rPr>
            </w:pPr>
            <w:r w:rsidRPr="00E36929">
              <w:rPr>
                <w:rFonts w:asciiTheme="majorHAnsi" w:hAnsiTheme="majorHAnsi" w:cs="Calibri"/>
                <w:lang w:eastAsia="en-IN"/>
              </w:rPr>
              <w:t>1250</w:t>
            </w:r>
          </w:p>
        </w:tc>
        <w:tc>
          <w:tcPr>
            <w:tcW w:w="2126" w:type="dxa"/>
            <w:vAlign w:val="center"/>
          </w:tcPr>
          <w:p w14:paraId="5763D81D" w14:textId="77777777" w:rsidR="00106843" w:rsidRPr="00E36929" w:rsidRDefault="00106843" w:rsidP="000F221E">
            <w:pPr>
              <w:spacing w:line="240" w:lineRule="atLeast"/>
              <w:jc w:val="center"/>
              <w:rPr>
                <w:rFonts w:asciiTheme="majorHAnsi" w:hAnsiTheme="majorHAnsi" w:cs="Calibri"/>
                <w:lang w:eastAsia="en-IN"/>
              </w:rPr>
            </w:pPr>
            <w:r w:rsidRPr="00E36929">
              <w:rPr>
                <w:rFonts w:asciiTheme="majorHAnsi" w:hAnsiTheme="majorHAnsi" w:cs="Calibri"/>
                <w:lang w:eastAsia="en-IN"/>
              </w:rPr>
              <w:t>1184</w:t>
            </w:r>
          </w:p>
        </w:tc>
      </w:tr>
      <w:tr w:rsidR="00106843" w:rsidRPr="00106843" w14:paraId="6C042A15" w14:textId="77777777" w:rsidTr="000F221E">
        <w:trPr>
          <w:trHeight w:val="50"/>
        </w:trPr>
        <w:tc>
          <w:tcPr>
            <w:tcW w:w="2977" w:type="dxa"/>
            <w:vAlign w:val="center"/>
          </w:tcPr>
          <w:p w14:paraId="78FF1DEA" w14:textId="77777777" w:rsidR="00106843" w:rsidRPr="00106843" w:rsidRDefault="00106843" w:rsidP="000F221E">
            <w:pPr>
              <w:spacing w:line="240" w:lineRule="atLeast"/>
              <w:rPr>
                <w:rFonts w:asciiTheme="majorHAnsi" w:hAnsiTheme="majorHAnsi" w:cs="Calibri"/>
                <w:lang w:eastAsia="en-IN"/>
              </w:rPr>
            </w:pPr>
            <w:r w:rsidRPr="00106843">
              <w:rPr>
                <w:rFonts w:asciiTheme="majorHAnsi" w:hAnsiTheme="majorHAnsi" w:cs="Calibri"/>
                <w:lang w:eastAsia="en-IN"/>
              </w:rPr>
              <w:t>DTR Smart Metering</w:t>
            </w:r>
          </w:p>
        </w:tc>
        <w:tc>
          <w:tcPr>
            <w:tcW w:w="1985" w:type="dxa"/>
            <w:vAlign w:val="center"/>
          </w:tcPr>
          <w:p w14:paraId="6E2B9E7B" w14:textId="77777777" w:rsidR="00106843" w:rsidRPr="00106843" w:rsidRDefault="00106843" w:rsidP="000F221E">
            <w:pPr>
              <w:spacing w:line="240" w:lineRule="atLeast"/>
              <w:jc w:val="center"/>
              <w:rPr>
                <w:rFonts w:asciiTheme="majorHAnsi" w:hAnsiTheme="majorHAnsi" w:cs="Calibri"/>
                <w:lang w:eastAsia="en-IN"/>
              </w:rPr>
            </w:pPr>
            <w:r w:rsidRPr="00106843">
              <w:rPr>
                <w:rFonts w:asciiTheme="majorHAnsi" w:hAnsiTheme="majorHAnsi" w:cs="Calibri"/>
                <w:lang w:eastAsia="en-IN"/>
              </w:rPr>
              <w:t>84542</w:t>
            </w:r>
          </w:p>
        </w:tc>
        <w:tc>
          <w:tcPr>
            <w:tcW w:w="1984" w:type="dxa"/>
            <w:vAlign w:val="center"/>
          </w:tcPr>
          <w:p w14:paraId="1A6BB3EC" w14:textId="77777777" w:rsidR="00106843" w:rsidRPr="00106843" w:rsidRDefault="00106843" w:rsidP="000F221E">
            <w:pPr>
              <w:spacing w:line="240" w:lineRule="atLeast"/>
              <w:jc w:val="center"/>
              <w:rPr>
                <w:rFonts w:asciiTheme="majorHAnsi" w:hAnsiTheme="majorHAnsi" w:cs="Calibri"/>
                <w:lang w:eastAsia="en-IN"/>
              </w:rPr>
            </w:pPr>
            <w:r w:rsidRPr="00106843">
              <w:rPr>
                <w:rFonts w:asciiTheme="majorHAnsi" w:hAnsiTheme="majorHAnsi" w:cs="Calibri"/>
                <w:lang w:eastAsia="en-IN"/>
              </w:rPr>
              <w:t>8897</w:t>
            </w:r>
          </w:p>
        </w:tc>
        <w:tc>
          <w:tcPr>
            <w:tcW w:w="2126" w:type="dxa"/>
            <w:vAlign w:val="center"/>
          </w:tcPr>
          <w:p w14:paraId="30E2131E" w14:textId="77777777" w:rsidR="00106843" w:rsidRPr="00106843" w:rsidRDefault="00106843" w:rsidP="000F221E">
            <w:pPr>
              <w:spacing w:line="240" w:lineRule="atLeast"/>
              <w:jc w:val="center"/>
              <w:rPr>
                <w:rFonts w:asciiTheme="majorHAnsi" w:hAnsiTheme="majorHAnsi" w:cs="Calibri"/>
                <w:lang w:eastAsia="en-IN"/>
              </w:rPr>
            </w:pPr>
            <w:r w:rsidRPr="00106843">
              <w:rPr>
                <w:rFonts w:asciiTheme="majorHAnsi" w:hAnsiTheme="majorHAnsi" w:cs="Calibri"/>
                <w:lang w:eastAsia="en-IN"/>
              </w:rPr>
              <w:t>5400</w:t>
            </w:r>
          </w:p>
        </w:tc>
      </w:tr>
    </w:tbl>
    <w:p w14:paraId="76CF4CB4" w14:textId="77777777" w:rsidR="00106843" w:rsidRPr="00106843" w:rsidRDefault="00106843" w:rsidP="00106843">
      <w:pPr>
        <w:spacing w:line="360" w:lineRule="auto"/>
        <w:jc w:val="both"/>
        <w:rPr>
          <w:rFonts w:asciiTheme="majorHAnsi" w:hAnsiTheme="majorHAnsi"/>
          <w:highlight w:val="yellow"/>
          <w:u w:val="single"/>
        </w:rPr>
      </w:pPr>
    </w:p>
    <w:tbl>
      <w:tblPr>
        <w:tblW w:w="8954" w:type="dxa"/>
        <w:tblInd w:w="-5" w:type="dxa"/>
        <w:tblLook w:val="04A0" w:firstRow="1" w:lastRow="0" w:firstColumn="1" w:lastColumn="0" w:noHBand="0" w:noVBand="1"/>
      </w:tblPr>
      <w:tblGrid>
        <w:gridCol w:w="826"/>
        <w:gridCol w:w="2175"/>
        <w:gridCol w:w="1522"/>
        <w:gridCol w:w="2345"/>
        <w:gridCol w:w="2086"/>
      </w:tblGrid>
      <w:tr w:rsidR="00106843" w:rsidRPr="00106843" w14:paraId="6FB177A3" w14:textId="77777777" w:rsidTr="000F221E">
        <w:trPr>
          <w:trHeight w:val="286"/>
        </w:trPr>
        <w:tc>
          <w:tcPr>
            <w:tcW w:w="8954" w:type="dxa"/>
            <w:gridSpan w:val="5"/>
            <w:tcBorders>
              <w:top w:val="single" w:sz="4" w:space="0" w:color="auto"/>
              <w:left w:val="single" w:sz="4" w:space="0" w:color="auto"/>
              <w:bottom w:val="single" w:sz="4" w:space="0" w:color="auto"/>
              <w:right w:val="single" w:sz="4" w:space="0" w:color="auto"/>
            </w:tcBorders>
            <w:vAlign w:val="center"/>
            <w:hideMark/>
          </w:tcPr>
          <w:p w14:paraId="09BE96F2" w14:textId="77777777" w:rsidR="00106843" w:rsidRPr="00106843" w:rsidRDefault="00106843" w:rsidP="000F221E">
            <w:pPr>
              <w:spacing w:line="240" w:lineRule="atLeast"/>
              <w:rPr>
                <w:rFonts w:asciiTheme="majorHAnsi" w:hAnsiTheme="majorHAnsi" w:cs="Calibri"/>
                <w:b/>
                <w:lang w:eastAsia="en-IN"/>
              </w:rPr>
            </w:pPr>
            <w:bookmarkStart w:id="29" w:name="_Hlk213317880"/>
            <w:r w:rsidRPr="00106843">
              <w:rPr>
                <w:rFonts w:asciiTheme="majorHAnsi" w:hAnsiTheme="majorHAnsi" w:cs="Calibri"/>
                <w:b/>
                <w:lang w:eastAsia="en-IN"/>
              </w:rPr>
              <w:t>BST Points Consumption Comparison w.r.t GRIDCO Bill:</w:t>
            </w:r>
          </w:p>
        </w:tc>
      </w:tr>
      <w:tr w:rsidR="00106843" w:rsidRPr="00106843" w14:paraId="605DBBF1" w14:textId="77777777" w:rsidTr="000F221E">
        <w:trPr>
          <w:trHeight w:val="1289"/>
        </w:trPr>
        <w:tc>
          <w:tcPr>
            <w:tcW w:w="826" w:type="dxa"/>
            <w:tcBorders>
              <w:top w:val="nil"/>
              <w:left w:val="single" w:sz="4" w:space="0" w:color="auto"/>
              <w:bottom w:val="single" w:sz="4" w:space="0" w:color="auto"/>
              <w:right w:val="single" w:sz="4" w:space="0" w:color="auto"/>
            </w:tcBorders>
            <w:vAlign w:val="center"/>
            <w:hideMark/>
          </w:tcPr>
          <w:p w14:paraId="06478B20" w14:textId="77777777" w:rsidR="00106843" w:rsidRPr="00106843" w:rsidRDefault="00106843" w:rsidP="000F221E">
            <w:pPr>
              <w:spacing w:line="240" w:lineRule="atLeast"/>
              <w:jc w:val="center"/>
              <w:rPr>
                <w:rFonts w:asciiTheme="majorHAnsi" w:hAnsiTheme="majorHAnsi" w:cs="Calibri"/>
                <w:b/>
                <w:lang w:eastAsia="en-IN"/>
              </w:rPr>
            </w:pPr>
            <w:r w:rsidRPr="00106843">
              <w:rPr>
                <w:rFonts w:asciiTheme="majorHAnsi" w:hAnsiTheme="majorHAnsi" w:cs="Calibri"/>
                <w:b/>
                <w:lang w:eastAsia="en-IN"/>
              </w:rPr>
              <w:t>SL NO</w:t>
            </w:r>
          </w:p>
        </w:tc>
        <w:tc>
          <w:tcPr>
            <w:tcW w:w="2175" w:type="dxa"/>
            <w:tcBorders>
              <w:top w:val="nil"/>
              <w:left w:val="nil"/>
              <w:bottom w:val="single" w:sz="4" w:space="0" w:color="auto"/>
              <w:right w:val="single" w:sz="4" w:space="0" w:color="auto"/>
            </w:tcBorders>
            <w:vAlign w:val="center"/>
            <w:hideMark/>
          </w:tcPr>
          <w:p w14:paraId="01B0F51D" w14:textId="77777777" w:rsidR="00106843" w:rsidRPr="00106843" w:rsidRDefault="00106843" w:rsidP="000F221E">
            <w:pPr>
              <w:spacing w:line="240" w:lineRule="atLeast"/>
              <w:jc w:val="center"/>
              <w:rPr>
                <w:rFonts w:asciiTheme="majorHAnsi" w:hAnsiTheme="majorHAnsi" w:cs="Calibri"/>
                <w:b/>
                <w:lang w:eastAsia="en-IN"/>
              </w:rPr>
            </w:pPr>
            <w:r w:rsidRPr="00106843">
              <w:rPr>
                <w:rFonts w:asciiTheme="majorHAnsi" w:hAnsiTheme="majorHAnsi" w:cs="Calibri"/>
                <w:b/>
                <w:lang w:eastAsia="en-IN"/>
              </w:rPr>
              <w:t>Circle Name</w:t>
            </w:r>
          </w:p>
        </w:tc>
        <w:tc>
          <w:tcPr>
            <w:tcW w:w="1522" w:type="dxa"/>
            <w:tcBorders>
              <w:top w:val="nil"/>
              <w:left w:val="nil"/>
              <w:bottom w:val="single" w:sz="4" w:space="0" w:color="auto"/>
              <w:right w:val="single" w:sz="4" w:space="0" w:color="auto"/>
            </w:tcBorders>
            <w:vAlign w:val="center"/>
            <w:hideMark/>
          </w:tcPr>
          <w:p w14:paraId="7CB80CA2" w14:textId="77777777" w:rsidR="00106843" w:rsidRPr="00106843" w:rsidRDefault="00106843" w:rsidP="000F221E">
            <w:pPr>
              <w:spacing w:line="240" w:lineRule="atLeast"/>
              <w:jc w:val="center"/>
              <w:rPr>
                <w:rFonts w:asciiTheme="majorHAnsi" w:hAnsiTheme="majorHAnsi" w:cs="Calibri"/>
                <w:b/>
                <w:lang w:eastAsia="en-IN"/>
              </w:rPr>
            </w:pPr>
            <w:r w:rsidRPr="00106843">
              <w:rPr>
                <w:rFonts w:asciiTheme="majorHAnsi" w:hAnsiTheme="majorHAnsi" w:cs="Calibri"/>
                <w:b/>
                <w:lang w:eastAsia="en-IN"/>
              </w:rPr>
              <w:t>No of BST Metering Points</w:t>
            </w:r>
          </w:p>
        </w:tc>
        <w:tc>
          <w:tcPr>
            <w:tcW w:w="2345" w:type="dxa"/>
            <w:tcBorders>
              <w:top w:val="nil"/>
              <w:left w:val="nil"/>
              <w:bottom w:val="single" w:sz="4" w:space="0" w:color="auto"/>
              <w:right w:val="single" w:sz="4" w:space="0" w:color="auto"/>
            </w:tcBorders>
            <w:vAlign w:val="center"/>
            <w:hideMark/>
          </w:tcPr>
          <w:p w14:paraId="3BC99E69" w14:textId="77777777" w:rsidR="00106843" w:rsidRPr="00106843" w:rsidRDefault="00106843" w:rsidP="000F221E">
            <w:pPr>
              <w:spacing w:line="240" w:lineRule="atLeast"/>
              <w:jc w:val="center"/>
              <w:rPr>
                <w:rFonts w:asciiTheme="majorHAnsi" w:hAnsiTheme="majorHAnsi" w:cs="Calibri"/>
                <w:b/>
                <w:lang w:eastAsia="en-IN"/>
              </w:rPr>
            </w:pPr>
            <w:r w:rsidRPr="00106843">
              <w:rPr>
                <w:rFonts w:asciiTheme="majorHAnsi" w:hAnsiTheme="majorHAnsi" w:cs="Calibri"/>
                <w:b/>
                <w:lang w:eastAsia="en-IN"/>
              </w:rPr>
              <w:t>No of BST consumption points checked and found ok</w:t>
            </w:r>
          </w:p>
        </w:tc>
        <w:tc>
          <w:tcPr>
            <w:tcW w:w="2086" w:type="dxa"/>
            <w:tcBorders>
              <w:top w:val="nil"/>
              <w:left w:val="nil"/>
              <w:bottom w:val="single" w:sz="4" w:space="0" w:color="auto"/>
              <w:right w:val="single" w:sz="4" w:space="0" w:color="auto"/>
            </w:tcBorders>
            <w:vAlign w:val="center"/>
            <w:hideMark/>
          </w:tcPr>
          <w:p w14:paraId="40CF00C7" w14:textId="77777777" w:rsidR="00106843" w:rsidRPr="00106843" w:rsidRDefault="00106843" w:rsidP="000F221E">
            <w:pPr>
              <w:spacing w:line="240" w:lineRule="atLeast"/>
              <w:jc w:val="center"/>
              <w:rPr>
                <w:rFonts w:asciiTheme="majorHAnsi" w:hAnsiTheme="majorHAnsi" w:cs="Calibri"/>
                <w:b/>
                <w:lang w:eastAsia="en-IN"/>
              </w:rPr>
            </w:pPr>
            <w:r w:rsidRPr="00106843">
              <w:rPr>
                <w:rFonts w:asciiTheme="majorHAnsi" w:hAnsiTheme="majorHAnsi" w:cs="Calibri"/>
                <w:b/>
                <w:lang w:eastAsia="en-IN"/>
              </w:rPr>
              <w:t>Abnormality found</w:t>
            </w:r>
          </w:p>
        </w:tc>
      </w:tr>
      <w:tr w:rsidR="00106843" w:rsidRPr="00106843" w14:paraId="2898D828" w14:textId="77777777" w:rsidTr="000F221E">
        <w:trPr>
          <w:trHeight w:val="50"/>
        </w:trPr>
        <w:tc>
          <w:tcPr>
            <w:tcW w:w="826" w:type="dxa"/>
            <w:tcBorders>
              <w:top w:val="nil"/>
              <w:left w:val="single" w:sz="4" w:space="0" w:color="auto"/>
              <w:bottom w:val="single" w:sz="4" w:space="0" w:color="auto"/>
              <w:right w:val="single" w:sz="4" w:space="0" w:color="auto"/>
            </w:tcBorders>
            <w:vAlign w:val="center"/>
            <w:hideMark/>
          </w:tcPr>
          <w:p w14:paraId="06FFEABD" w14:textId="77777777" w:rsidR="00106843" w:rsidRPr="00106843" w:rsidRDefault="00106843" w:rsidP="000F221E">
            <w:pPr>
              <w:spacing w:line="240" w:lineRule="atLeast"/>
              <w:jc w:val="center"/>
              <w:rPr>
                <w:rFonts w:asciiTheme="majorHAnsi" w:hAnsiTheme="majorHAnsi" w:cs="Calibri"/>
                <w:bCs/>
                <w:lang w:eastAsia="en-IN"/>
              </w:rPr>
            </w:pPr>
            <w:r w:rsidRPr="00106843">
              <w:rPr>
                <w:rFonts w:asciiTheme="majorHAnsi" w:hAnsiTheme="majorHAnsi" w:cs="Calibri"/>
                <w:bCs/>
                <w:lang w:eastAsia="en-IN"/>
              </w:rPr>
              <w:t>1</w:t>
            </w:r>
          </w:p>
        </w:tc>
        <w:tc>
          <w:tcPr>
            <w:tcW w:w="2175" w:type="dxa"/>
            <w:tcBorders>
              <w:top w:val="nil"/>
              <w:left w:val="nil"/>
              <w:bottom w:val="single" w:sz="4" w:space="0" w:color="auto"/>
              <w:right w:val="single" w:sz="4" w:space="0" w:color="auto"/>
            </w:tcBorders>
            <w:vAlign w:val="center"/>
            <w:hideMark/>
          </w:tcPr>
          <w:p w14:paraId="22DD1480" w14:textId="77777777" w:rsidR="00106843" w:rsidRPr="00106843" w:rsidRDefault="00106843" w:rsidP="000F221E">
            <w:pPr>
              <w:spacing w:line="240" w:lineRule="atLeast"/>
              <w:rPr>
                <w:rFonts w:asciiTheme="majorHAnsi" w:hAnsiTheme="majorHAnsi" w:cs="Calibri"/>
                <w:bCs/>
                <w:lang w:eastAsia="en-IN"/>
              </w:rPr>
            </w:pPr>
            <w:r w:rsidRPr="00106843">
              <w:rPr>
                <w:rFonts w:asciiTheme="majorHAnsi" w:hAnsiTheme="majorHAnsi" w:cs="Calibri"/>
                <w:bCs/>
                <w:lang w:eastAsia="en-IN"/>
              </w:rPr>
              <w:t>Rourkela Circle</w:t>
            </w:r>
          </w:p>
        </w:tc>
        <w:tc>
          <w:tcPr>
            <w:tcW w:w="1522" w:type="dxa"/>
            <w:tcBorders>
              <w:top w:val="nil"/>
              <w:left w:val="nil"/>
              <w:bottom w:val="single" w:sz="4" w:space="0" w:color="auto"/>
              <w:right w:val="single" w:sz="4" w:space="0" w:color="auto"/>
            </w:tcBorders>
            <w:vAlign w:val="center"/>
          </w:tcPr>
          <w:p w14:paraId="1668430D" w14:textId="77777777" w:rsidR="00106843" w:rsidRPr="00106843" w:rsidRDefault="00106843" w:rsidP="000F221E">
            <w:pPr>
              <w:spacing w:line="240" w:lineRule="atLeast"/>
              <w:jc w:val="center"/>
              <w:rPr>
                <w:rFonts w:asciiTheme="majorHAnsi" w:hAnsiTheme="majorHAnsi" w:cs="Calibri"/>
                <w:bCs/>
                <w:lang w:eastAsia="en-IN"/>
              </w:rPr>
            </w:pPr>
            <w:r w:rsidRPr="00106843">
              <w:rPr>
                <w:rFonts w:asciiTheme="majorHAnsi" w:hAnsiTheme="majorHAnsi" w:cs="Calibri"/>
                <w:bCs/>
                <w:lang w:eastAsia="en-IN"/>
              </w:rPr>
              <w:t>49</w:t>
            </w:r>
          </w:p>
        </w:tc>
        <w:tc>
          <w:tcPr>
            <w:tcW w:w="2345" w:type="dxa"/>
            <w:tcBorders>
              <w:top w:val="nil"/>
              <w:left w:val="nil"/>
              <w:bottom w:val="single" w:sz="4" w:space="0" w:color="auto"/>
              <w:right w:val="single" w:sz="4" w:space="0" w:color="auto"/>
            </w:tcBorders>
            <w:vAlign w:val="center"/>
          </w:tcPr>
          <w:p w14:paraId="38E10751" w14:textId="77777777" w:rsidR="00106843" w:rsidRPr="00106843" w:rsidRDefault="00106843" w:rsidP="000F221E">
            <w:pPr>
              <w:spacing w:line="240" w:lineRule="atLeast"/>
              <w:jc w:val="center"/>
              <w:rPr>
                <w:rFonts w:asciiTheme="majorHAnsi" w:hAnsiTheme="majorHAnsi" w:cs="Calibri"/>
                <w:bCs/>
                <w:lang w:eastAsia="en-IN"/>
              </w:rPr>
            </w:pPr>
            <w:r w:rsidRPr="00106843">
              <w:rPr>
                <w:rFonts w:asciiTheme="majorHAnsi" w:hAnsiTheme="majorHAnsi" w:cs="Calibri"/>
                <w:bCs/>
                <w:lang w:eastAsia="en-IN"/>
              </w:rPr>
              <w:t>49</w:t>
            </w:r>
          </w:p>
        </w:tc>
        <w:tc>
          <w:tcPr>
            <w:tcW w:w="2086" w:type="dxa"/>
            <w:tcBorders>
              <w:top w:val="nil"/>
              <w:left w:val="nil"/>
              <w:bottom w:val="single" w:sz="4" w:space="0" w:color="auto"/>
              <w:right w:val="single" w:sz="4" w:space="0" w:color="auto"/>
            </w:tcBorders>
            <w:vAlign w:val="center"/>
            <w:hideMark/>
          </w:tcPr>
          <w:p w14:paraId="2BE26DBE" w14:textId="77777777" w:rsidR="00106843" w:rsidRPr="00106843" w:rsidRDefault="00106843" w:rsidP="000F221E">
            <w:pPr>
              <w:spacing w:line="240" w:lineRule="atLeast"/>
              <w:jc w:val="center"/>
              <w:rPr>
                <w:rFonts w:asciiTheme="majorHAnsi" w:hAnsiTheme="majorHAnsi" w:cs="Calibri"/>
                <w:bCs/>
                <w:lang w:eastAsia="en-IN"/>
              </w:rPr>
            </w:pPr>
            <w:r w:rsidRPr="00106843">
              <w:rPr>
                <w:rFonts w:asciiTheme="majorHAnsi" w:hAnsiTheme="majorHAnsi" w:cs="Calibri"/>
                <w:bCs/>
                <w:lang w:eastAsia="en-IN"/>
              </w:rPr>
              <w:t>0</w:t>
            </w:r>
          </w:p>
        </w:tc>
      </w:tr>
      <w:tr w:rsidR="00106843" w:rsidRPr="00106843" w14:paraId="15E53835" w14:textId="77777777" w:rsidTr="000F221E">
        <w:trPr>
          <w:trHeight w:val="50"/>
        </w:trPr>
        <w:tc>
          <w:tcPr>
            <w:tcW w:w="826" w:type="dxa"/>
            <w:tcBorders>
              <w:top w:val="nil"/>
              <w:left w:val="single" w:sz="4" w:space="0" w:color="auto"/>
              <w:bottom w:val="single" w:sz="4" w:space="0" w:color="auto"/>
              <w:right w:val="single" w:sz="4" w:space="0" w:color="auto"/>
            </w:tcBorders>
            <w:vAlign w:val="center"/>
            <w:hideMark/>
          </w:tcPr>
          <w:p w14:paraId="0AA950F9" w14:textId="77777777" w:rsidR="00106843" w:rsidRPr="00106843" w:rsidRDefault="00106843" w:rsidP="000F221E">
            <w:pPr>
              <w:spacing w:line="240" w:lineRule="atLeast"/>
              <w:jc w:val="center"/>
              <w:rPr>
                <w:rFonts w:asciiTheme="majorHAnsi" w:hAnsiTheme="majorHAnsi" w:cs="Calibri"/>
                <w:bCs/>
                <w:lang w:eastAsia="en-IN"/>
              </w:rPr>
            </w:pPr>
            <w:r w:rsidRPr="00106843">
              <w:rPr>
                <w:rFonts w:asciiTheme="majorHAnsi" w:hAnsiTheme="majorHAnsi" w:cs="Calibri"/>
                <w:bCs/>
                <w:lang w:eastAsia="en-IN"/>
              </w:rPr>
              <w:t>2</w:t>
            </w:r>
          </w:p>
        </w:tc>
        <w:tc>
          <w:tcPr>
            <w:tcW w:w="2175" w:type="dxa"/>
            <w:tcBorders>
              <w:top w:val="nil"/>
              <w:left w:val="nil"/>
              <w:bottom w:val="single" w:sz="4" w:space="0" w:color="auto"/>
              <w:right w:val="single" w:sz="4" w:space="0" w:color="auto"/>
            </w:tcBorders>
            <w:vAlign w:val="center"/>
            <w:hideMark/>
          </w:tcPr>
          <w:p w14:paraId="1C941D27" w14:textId="77777777" w:rsidR="00106843" w:rsidRPr="00106843" w:rsidRDefault="00106843" w:rsidP="000F221E">
            <w:pPr>
              <w:spacing w:line="240" w:lineRule="atLeast"/>
              <w:rPr>
                <w:rFonts w:asciiTheme="majorHAnsi" w:hAnsiTheme="majorHAnsi" w:cs="Calibri"/>
                <w:bCs/>
                <w:lang w:eastAsia="en-IN"/>
              </w:rPr>
            </w:pPr>
            <w:r w:rsidRPr="00106843">
              <w:rPr>
                <w:rFonts w:asciiTheme="majorHAnsi" w:hAnsiTheme="majorHAnsi" w:cs="Calibri"/>
                <w:bCs/>
                <w:lang w:eastAsia="en-IN"/>
              </w:rPr>
              <w:t>Sambalpur Circle</w:t>
            </w:r>
          </w:p>
        </w:tc>
        <w:tc>
          <w:tcPr>
            <w:tcW w:w="1522" w:type="dxa"/>
            <w:tcBorders>
              <w:top w:val="nil"/>
              <w:left w:val="nil"/>
              <w:bottom w:val="single" w:sz="4" w:space="0" w:color="auto"/>
              <w:right w:val="single" w:sz="4" w:space="0" w:color="auto"/>
            </w:tcBorders>
            <w:vAlign w:val="center"/>
          </w:tcPr>
          <w:p w14:paraId="792F1996" w14:textId="77777777" w:rsidR="00106843" w:rsidRPr="00106843" w:rsidRDefault="00106843" w:rsidP="000F221E">
            <w:pPr>
              <w:spacing w:line="240" w:lineRule="atLeast"/>
              <w:jc w:val="center"/>
              <w:rPr>
                <w:rFonts w:asciiTheme="majorHAnsi" w:hAnsiTheme="majorHAnsi" w:cs="Calibri"/>
                <w:bCs/>
                <w:lang w:eastAsia="en-IN"/>
              </w:rPr>
            </w:pPr>
            <w:r w:rsidRPr="00106843">
              <w:rPr>
                <w:rFonts w:asciiTheme="majorHAnsi" w:hAnsiTheme="majorHAnsi" w:cs="Calibri"/>
                <w:bCs/>
                <w:lang w:eastAsia="en-IN"/>
              </w:rPr>
              <w:t>73</w:t>
            </w:r>
          </w:p>
        </w:tc>
        <w:tc>
          <w:tcPr>
            <w:tcW w:w="2345" w:type="dxa"/>
            <w:tcBorders>
              <w:top w:val="nil"/>
              <w:left w:val="nil"/>
              <w:bottom w:val="single" w:sz="4" w:space="0" w:color="auto"/>
              <w:right w:val="single" w:sz="4" w:space="0" w:color="auto"/>
            </w:tcBorders>
            <w:vAlign w:val="center"/>
          </w:tcPr>
          <w:p w14:paraId="1EF58715" w14:textId="77777777" w:rsidR="00106843" w:rsidRPr="00106843" w:rsidRDefault="00106843" w:rsidP="000F221E">
            <w:pPr>
              <w:spacing w:line="240" w:lineRule="atLeast"/>
              <w:jc w:val="center"/>
              <w:rPr>
                <w:rFonts w:asciiTheme="majorHAnsi" w:hAnsiTheme="majorHAnsi" w:cs="Calibri"/>
                <w:bCs/>
                <w:lang w:eastAsia="en-IN"/>
              </w:rPr>
            </w:pPr>
            <w:r w:rsidRPr="00106843">
              <w:rPr>
                <w:rFonts w:asciiTheme="majorHAnsi" w:hAnsiTheme="majorHAnsi" w:cs="Calibri"/>
                <w:bCs/>
                <w:lang w:eastAsia="en-IN"/>
              </w:rPr>
              <w:t>69</w:t>
            </w:r>
          </w:p>
        </w:tc>
        <w:tc>
          <w:tcPr>
            <w:tcW w:w="2086" w:type="dxa"/>
            <w:tcBorders>
              <w:top w:val="nil"/>
              <w:left w:val="nil"/>
              <w:bottom w:val="single" w:sz="4" w:space="0" w:color="auto"/>
              <w:right w:val="single" w:sz="4" w:space="0" w:color="auto"/>
            </w:tcBorders>
            <w:vAlign w:val="center"/>
            <w:hideMark/>
          </w:tcPr>
          <w:p w14:paraId="4C4BE035" w14:textId="77777777" w:rsidR="00106843" w:rsidRPr="00106843" w:rsidRDefault="00106843" w:rsidP="000F221E">
            <w:pPr>
              <w:spacing w:line="240" w:lineRule="atLeast"/>
              <w:jc w:val="center"/>
              <w:rPr>
                <w:rFonts w:asciiTheme="majorHAnsi" w:hAnsiTheme="majorHAnsi" w:cs="Calibri"/>
                <w:bCs/>
                <w:lang w:eastAsia="en-IN"/>
              </w:rPr>
            </w:pPr>
            <w:r w:rsidRPr="00106843">
              <w:rPr>
                <w:rFonts w:asciiTheme="majorHAnsi" w:hAnsiTheme="majorHAnsi" w:cs="Calibri"/>
                <w:bCs/>
                <w:lang w:eastAsia="en-IN"/>
              </w:rPr>
              <w:t>4</w:t>
            </w:r>
          </w:p>
        </w:tc>
      </w:tr>
      <w:tr w:rsidR="00106843" w:rsidRPr="00106843" w14:paraId="28DF18B2" w14:textId="77777777" w:rsidTr="000F221E">
        <w:trPr>
          <w:trHeight w:val="50"/>
        </w:trPr>
        <w:tc>
          <w:tcPr>
            <w:tcW w:w="826" w:type="dxa"/>
            <w:tcBorders>
              <w:top w:val="nil"/>
              <w:left w:val="single" w:sz="4" w:space="0" w:color="auto"/>
              <w:bottom w:val="single" w:sz="4" w:space="0" w:color="auto"/>
              <w:right w:val="single" w:sz="4" w:space="0" w:color="auto"/>
            </w:tcBorders>
            <w:vAlign w:val="center"/>
            <w:hideMark/>
          </w:tcPr>
          <w:p w14:paraId="15AA12C3" w14:textId="77777777" w:rsidR="00106843" w:rsidRPr="00106843" w:rsidRDefault="00106843" w:rsidP="000F221E">
            <w:pPr>
              <w:spacing w:line="240" w:lineRule="atLeast"/>
              <w:jc w:val="center"/>
              <w:rPr>
                <w:rFonts w:asciiTheme="majorHAnsi" w:hAnsiTheme="majorHAnsi" w:cs="Calibri"/>
                <w:bCs/>
                <w:lang w:eastAsia="en-IN"/>
              </w:rPr>
            </w:pPr>
            <w:r w:rsidRPr="00106843">
              <w:rPr>
                <w:rFonts w:asciiTheme="majorHAnsi" w:hAnsiTheme="majorHAnsi" w:cs="Calibri"/>
                <w:bCs/>
                <w:lang w:eastAsia="en-IN"/>
              </w:rPr>
              <w:t>3</w:t>
            </w:r>
          </w:p>
        </w:tc>
        <w:tc>
          <w:tcPr>
            <w:tcW w:w="2175" w:type="dxa"/>
            <w:tcBorders>
              <w:top w:val="nil"/>
              <w:left w:val="nil"/>
              <w:bottom w:val="single" w:sz="4" w:space="0" w:color="auto"/>
              <w:right w:val="single" w:sz="4" w:space="0" w:color="auto"/>
            </w:tcBorders>
            <w:vAlign w:val="center"/>
            <w:hideMark/>
          </w:tcPr>
          <w:p w14:paraId="389E7D96" w14:textId="77777777" w:rsidR="00106843" w:rsidRPr="00106843" w:rsidRDefault="00106843" w:rsidP="000F221E">
            <w:pPr>
              <w:spacing w:line="240" w:lineRule="atLeast"/>
              <w:rPr>
                <w:rFonts w:asciiTheme="majorHAnsi" w:hAnsiTheme="majorHAnsi" w:cs="Calibri"/>
                <w:bCs/>
                <w:lang w:eastAsia="en-IN"/>
              </w:rPr>
            </w:pPr>
            <w:r w:rsidRPr="00106843">
              <w:rPr>
                <w:rFonts w:asciiTheme="majorHAnsi" w:hAnsiTheme="majorHAnsi" w:cs="Calibri"/>
                <w:bCs/>
                <w:lang w:eastAsia="en-IN"/>
              </w:rPr>
              <w:t>Bargarh Circle</w:t>
            </w:r>
          </w:p>
        </w:tc>
        <w:tc>
          <w:tcPr>
            <w:tcW w:w="1522" w:type="dxa"/>
            <w:tcBorders>
              <w:top w:val="nil"/>
              <w:left w:val="nil"/>
              <w:bottom w:val="single" w:sz="4" w:space="0" w:color="auto"/>
              <w:right w:val="single" w:sz="4" w:space="0" w:color="auto"/>
            </w:tcBorders>
            <w:vAlign w:val="center"/>
          </w:tcPr>
          <w:p w14:paraId="3344A68E" w14:textId="77777777" w:rsidR="00106843" w:rsidRPr="00106843" w:rsidRDefault="00106843" w:rsidP="000F221E">
            <w:pPr>
              <w:spacing w:line="240" w:lineRule="atLeast"/>
              <w:jc w:val="center"/>
              <w:rPr>
                <w:rFonts w:asciiTheme="majorHAnsi" w:hAnsiTheme="majorHAnsi" w:cs="Calibri"/>
                <w:bCs/>
                <w:lang w:eastAsia="en-IN"/>
              </w:rPr>
            </w:pPr>
            <w:r w:rsidRPr="00106843">
              <w:rPr>
                <w:rFonts w:asciiTheme="majorHAnsi" w:hAnsiTheme="majorHAnsi" w:cs="Calibri"/>
                <w:bCs/>
                <w:lang w:eastAsia="en-IN"/>
              </w:rPr>
              <w:t>27</w:t>
            </w:r>
          </w:p>
        </w:tc>
        <w:tc>
          <w:tcPr>
            <w:tcW w:w="2345" w:type="dxa"/>
            <w:tcBorders>
              <w:top w:val="nil"/>
              <w:left w:val="nil"/>
              <w:bottom w:val="single" w:sz="4" w:space="0" w:color="auto"/>
              <w:right w:val="single" w:sz="4" w:space="0" w:color="auto"/>
            </w:tcBorders>
            <w:vAlign w:val="center"/>
          </w:tcPr>
          <w:p w14:paraId="6BB65EDD" w14:textId="77777777" w:rsidR="00106843" w:rsidRPr="00106843" w:rsidRDefault="00106843" w:rsidP="000F221E">
            <w:pPr>
              <w:spacing w:line="240" w:lineRule="atLeast"/>
              <w:jc w:val="center"/>
              <w:rPr>
                <w:rFonts w:asciiTheme="majorHAnsi" w:hAnsiTheme="majorHAnsi" w:cs="Calibri"/>
                <w:bCs/>
                <w:lang w:eastAsia="en-IN"/>
              </w:rPr>
            </w:pPr>
            <w:r w:rsidRPr="00106843">
              <w:rPr>
                <w:rFonts w:asciiTheme="majorHAnsi" w:hAnsiTheme="majorHAnsi" w:cs="Calibri"/>
                <w:bCs/>
                <w:lang w:eastAsia="en-IN"/>
              </w:rPr>
              <w:t>24</w:t>
            </w:r>
          </w:p>
        </w:tc>
        <w:tc>
          <w:tcPr>
            <w:tcW w:w="2086" w:type="dxa"/>
            <w:tcBorders>
              <w:top w:val="nil"/>
              <w:left w:val="nil"/>
              <w:bottom w:val="single" w:sz="4" w:space="0" w:color="auto"/>
              <w:right w:val="single" w:sz="4" w:space="0" w:color="auto"/>
            </w:tcBorders>
            <w:vAlign w:val="center"/>
            <w:hideMark/>
          </w:tcPr>
          <w:p w14:paraId="4E6236DA" w14:textId="77777777" w:rsidR="00106843" w:rsidRPr="00106843" w:rsidRDefault="00106843" w:rsidP="000F221E">
            <w:pPr>
              <w:spacing w:line="240" w:lineRule="atLeast"/>
              <w:jc w:val="center"/>
              <w:rPr>
                <w:rFonts w:asciiTheme="majorHAnsi" w:hAnsiTheme="majorHAnsi" w:cs="Calibri"/>
                <w:bCs/>
                <w:lang w:eastAsia="en-IN"/>
              </w:rPr>
            </w:pPr>
            <w:r w:rsidRPr="00106843">
              <w:rPr>
                <w:rFonts w:asciiTheme="majorHAnsi" w:hAnsiTheme="majorHAnsi" w:cs="Calibri"/>
                <w:bCs/>
                <w:lang w:eastAsia="en-IN"/>
              </w:rPr>
              <w:t>3</w:t>
            </w:r>
          </w:p>
        </w:tc>
      </w:tr>
      <w:tr w:rsidR="00106843" w:rsidRPr="00106843" w14:paraId="7C950EC0" w14:textId="77777777" w:rsidTr="000F221E">
        <w:trPr>
          <w:trHeight w:val="50"/>
        </w:trPr>
        <w:tc>
          <w:tcPr>
            <w:tcW w:w="826" w:type="dxa"/>
            <w:tcBorders>
              <w:top w:val="nil"/>
              <w:left w:val="single" w:sz="4" w:space="0" w:color="auto"/>
              <w:bottom w:val="single" w:sz="4" w:space="0" w:color="auto"/>
              <w:right w:val="single" w:sz="4" w:space="0" w:color="auto"/>
            </w:tcBorders>
            <w:vAlign w:val="center"/>
            <w:hideMark/>
          </w:tcPr>
          <w:p w14:paraId="11C333CB" w14:textId="77777777" w:rsidR="00106843" w:rsidRPr="00106843" w:rsidRDefault="00106843" w:rsidP="000F221E">
            <w:pPr>
              <w:spacing w:line="240" w:lineRule="atLeast"/>
              <w:jc w:val="center"/>
              <w:rPr>
                <w:rFonts w:asciiTheme="majorHAnsi" w:hAnsiTheme="majorHAnsi" w:cs="Calibri"/>
                <w:bCs/>
                <w:lang w:eastAsia="en-IN"/>
              </w:rPr>
            </w:pPr>
            <w:r w:rsidRPr="00106843">
              <w:rPr>
                <w:rFonts w:asciiTheme="majorHAnsi" w:hAnsiTheme="majorHAnsi" w:cs="Calibri"/>
                <w:bCs/>
                <w:lang w:eastAsia="en-IN"/>
              </w:rPr>
              <w:t>4</w:t>
            </w:r>
          </w:p>
        </w:tc>
        <w:tc>
          <w:tcPr>
            <w:tcW w:w="2175" w:type="dxa"/>
            <w:tcBorders>
              <w:top w:val="nil"/>
              <w:left w:val="nil"/>
              <w:bottom w:val="single" w:sz="4" w:space="0" w:color="auto"/>
              <w:right w:val="single" w:sz="4" w:space="0" w:color="auto"/>
            </w:tcBorders>
            <w:vAlign w:val="center"/>
            <w:hideMark/>
          </w:tcPr>
          <w:p w14:paraId="08A69F08" w14:textId="77777777" w:rsidR="00106843" w:rsidRPr="00106843" w:rsidRDefault="00106843" w:rsidP="000F221E">
            <w:pPr>
              <w:spacing w:line="240" w:lineRule="atLeast"/>
              <w:rPr>
                <w:rFonts w:asciiTheme="majorHAnsi" w:hAnsiTheme="majorHAnsi" w:cs="Calibri"/>
                <w:bCs/>
                <w:lang w:eastAsia="en-IN"/>
              </w:rPr>
            </w:pPr>
            <w:r w:rsidRPr="00106843">
              <w:rPr>
                <w:rFonts w:asciiTheme="majorHAnsi" w:hAnsiTheme="majorHAnsi" w:cs="Calibri"/>
                <w:bCs/>
                <w:lang w:eastAsia="en-IN"/>
              </w:rPr>
              <w:t>Bolangir Circle</w:t>
            </w:r>
          </w:p>
        </w:tc>
        <w:tc>
          <w:tcPr>
            <w:tcW w:w="1522" w:type="dxa"/>
            <w:tcBorders>
              <w:top w:val="nil"/>
              <w:left w:val="nil"/>
              <w:bottom w:val="single" w:sz="4" w:space="0" w:color="auto"/>
              <w:right w:val="single" w:sz="4" w:space="0" w:color="auto"/>
            </w:tcBorders>
            <w:vAlign w:val="center"/>
          </w:tcPr>
          <w:p w14:paraId="7B2FB6CA" w14:textId="77777777" w:rsidR="00106843" w:rsidRPr="00106843" w:rsidRDefault="00106843" w:rsidP="000F221E">
            <w:pPr>
              <w:spacing w:line="240" w:lineRule="atLeast"/>
              <w:jc w:val="center"/>
              <w:rPr>
                <w:rFonts w:asciiTheme="majorHAnsi" w:hAnsiTheme="majorHAnsi" w:cs="Calibri"/>
                <w:bCs/>
                <w:lang w:eastAsia="en-IN"/>
              </w:rPr>
            </w:pPr>
            <w:r w:rsidRPr="00106843">
              <w:rPr>
                <w:rFonts w:asciiTheme="majorHAnsi" w:hAnsiTheme="majorHAnsi" w:cs="Calibri"/>
                <w:bCs/>
                <w:lang w:eastAsia="en-IN"/>
              </w:rPr>
              <w:t>40</w:t>
            </w:r>
          </w:p>
        </w:tc>
        <w:tc>
          <w:tcPr>
            <w:tcW w:w="2345" w:type="dxa"/>
            <w:tcBorders>
              <w:top w:val="nil"/>
              <w:left w:val="nil"/>
              <w:bottom w:val="single" w:sz="4" w:space="0" w:color="auto"/>
              <w:right w:val="single" w:sz="4" w:space="0" w:color="auto"/>
            </w:tcBorders>
            <w:vAlign w:val="center"/>
          </w:tcPr>
          <w:p w14:paraId="70846F1F" w14:textId="77777777" w:rsidR="00106843" w:rsidRPr="00106843" w:rsidRDefault="00106843" w:rsidP="000F221E">
            <w:pPr>
              <w:spacing w:line="240" w:lineRule="atLeast"/>
              <w:jc w:val="center"/>
              <w:rPr>
                <w:rFonts w:asciiTheme="majorHAnsi" w:hAnsiTheme="majorHAnsi" w:cs="Calibri"/>
                <w:bCs/>
                <w:lang w:eastAsia="en-IN"/>
              </w:rPr>
            </w:pPr>
            <w:r w:rsidRPr="00106843">
              <w:rPr>
                <w:rFonts w:asciiTheme="majorHAnsi" w:hAnsiTheme="majorHAnsi" w:cs="Calibri"/>
                <w:bCs/>
                <w:lang w:eastAsia="en-IN"/>
              </w:rPr>
              <w:t>40</w:t>
            </w:r>
          </w:p>
        </w:tc>
        <w:tc>
          <w:tcPr>
            <w:tcW w:w="2086" w:type="dxa"/>
            <w:tcBorders>
              <w:top w:val="nil"/>
              <w:left w:val="nil"/>
              <w:bottom w:val="single" w:sz="4" w:space="0" w:color="auto"/>
              <w:right w:val="single" w:sz="4" w:space="0" w:color="auto"/>
            </w:tcBorders>
            <w:vAlign w:val="center"/>
            <w:hideMark/>
          </w:tcPr>
          <w:p w14:paraId="23A7EF53" w14:textId="77777777" w:rsidR="00106843" w:rsidRPr="00106843" w:rsidRDefault="00106843" w:rsidP="000F221E">
            <w:pPr>
              <w:spacing w:line="240" w:lineRule="atLeast"/>
              <w:jc w:val="center"/>
              <w:rPr>
                <w:rFonts w:asciiTheme="majorHAnsi" w:hAnsiTheme="majorHAnsi" w:cs="Calibri"/>
                <w:bCs/>
                <w:lang w:eastAsia="en-IN"/>
              </w:rPr>
            </w:pPr>
            <w:r w:rsidRPr="00106843">
              <w:rPr>
                <w:rFonts w:asciiTheme="majorHAnsi" w:hAnsiTheme="majorHAnsi" w:cs="Calibri"/>
                <w:bCs/>
                <w:lang w:eastAsia="en-IN"/>
              </w:rPr>
              <w:t>0</w:t>
            </w:r>
          </w:p>
        </w:tc>
      </w:tr>
      <w:tr w:rsidR="00106843" w:rsidRPr="00106843" w14:paraId="0E1359CD" w14:textId="77777777" w:rsidTr="000F221E">
        <w:trPr>
          <w:trHeight w:val="213"/>
        </w:trPr>
        <w:tc>
          <w:tcPr>
            <w:tcW w:w="826" w:type="dxa"/>
            <w:tcBorders>
              <w:top w:val="nil"/>
              <w:left w:val="single" w:sz="4" w:space="0" w:color="auto"/>
              <w:bottom w:val="single" w:sz="4" w:space="0" w:color="auto"/>
              <w:right w:val="single" w:sz="4" w:space="0" w:color="auto"/>
            </w:tcBorders>
            <w:vAlign w:val="center"/>
            <w:hideMark/>
          </w:tcPr>
          <w:p w14:paraId="7D63E684" w14:textId="77777777" w:rsidR="00106843" w:rsidRPr="00106843" w:rsidRDefault="00106843" w:rsidP="000F221E">
            <w:pPr>
              <w:spacing w:line="240" w:lineRule="atLeast"/>
              <w:jc w:val="center"/>
              <w:rPr>
                <w:rFonts w:asciiTheme="majorHAnsi" w:hAnsiTheme="majorHAnsi" w:cs="Calibri"/>
                <w:bCs/>
                <w:lang w:eastAsia="en-IN"/>
              </w:rPr>
            </w:pPr>
            <w:r w:rsidRPr="00106843">
              <w:rPr>
                <w:rFonts w:asciiTheme="majorHAnsi" w:hAnsiTheme="majorHAnsi" w:cs="Calibri"/>
                <w:bCs/>
                <w:lang w:eastAsia="en-IN"/>
              </w:rPr>
              <w:t>5</w:t>
            </w:r>
          </w:p>
        </w:tc>
        <w:tc>
          <w:tcPr>
            <w:tcW w:w="2175" w:type="dxa"/>
            <w:tcBorders>
              <w:top w:val="nil"/>
              <w:left w:val="nil"/>
              <w:bottom w:val="single" w:sz="4" w:space="0" w:color="auto"/>
              <w:right w:val="single" w:sz="4" w:space="0" w:color="auto"/>
            </w:tcBorders>
            <w:vAlign w:val="center"/>
            <w:hideMark/>
          </w:tcPr>
          <w:p w14:paraId="7C8F3F13" w14:textId="77777777" w:rsidR="00106843" w:rsidRPr="00106843" w:rsidRDefault="00106843" w:rsidP="000F221E">
            <w:pPr>
              <w:spacing w:line="240" w:lineRule="atLeast"/>
              <w:rPr>
                <w:rFonts w:asciiTheme="majorHAnsi" w:hAnsiTheme="majorHAnsi" w:cs="Calibri"/>
                <w:bCs/>
                <w:lang w:eastAsia="en-IN"/>
              </w:rPr>
            </w:pPr>
            <w:r w:rsidRPr="00106843">
              <w:rPr>
                <w:rFonts w:asciiTheme="majorHAnsi" w:hAnsiTheme="majorHAnsi" w:cs="Calibri"/>
                <w:bCs/>
                <w:lang w:eastAsia="en-IN"/>
              </w:rPr>
              <w:t>Kalahandi Circle</w:t>
            </w:r>
          </w:p>
        </w:tc>
        <w:tc>
          <w:tcPr>
            <w:tcW w:w="1522" w:type="dxa"/>
            <w:tcBorders>
              <w:top w:val="nil"/>
              <w:left w:val="nil"/>
              <w:bottom w:val="single" w:sz="4" w:space="0" w:color="auto"/>
              <w:right w:val="single" w:sz="4" w:space="0" w:color="auto"/>
            </w:tcBorders>
            <w:vAlign w:val="center"/>
          </w:tcPr>
          <w:p w14:paraId="1E73B61D" w14:textId="77777777" w:rsidR="00106843" w:rsidRPr="00106843" w:rsidRDefault="00106843" w:rsidP="000F221E">
            <w:pPr>
              <w:spacing w:line="240" w:lineRule="atLeast"/>
              <w:jc w:val="center"/>
              <w:rPr>
                <w:rFonts w:asciiTheme="majorHAnsi" w:hAnsiTheme="majorHAnsi" w:cs="Calibri"/>
                <w:bCs/>
                <w:lang w:eastAsia="en-IN"/>
              </w:rPr>
            </w:pPr>
            <w:r w:rsidRPr="00106843">
              <w:rPr>
                <w:rFonts w:asciiTheme="majorHAnsi" w:hAnsiTheme="majorHAnsi" w:cs="Calibri"/>
                <w:bCs/>
                <w:lang w:eastAsia="en-IN"/>
              </w:rPr>
              <w:t>32</w:t>
            </w:r>
          </w:p>
        </w:tc>
        <w:tc>
          <w:tcPr>
            <w:tcW w:w="2345" w:type="dxa"/>
            <w:tcBorders>
              <w:top w:val="nil"/>
              <w:left w:val="nil"/>
              <w:bottom w:val="single" w:sz="4" w:space="0" w:color="auto"/>
              <w:right w:val="single" w:sz="4" w:space="0" w:color="auto"/>
            </w:tcBorders>
            <w:vAlign w:val="center"/>
          </w:tcPr>
          <w:p w14:paraId="581E33E6" w14:textId="77777777" w:rsidR="00106843" w:rsidRPr="00106843" w:rsidRDefault="00106843" w:rsidP="000F221E">
            <w:pPr>
              <w:spacing w:line="240" w:lineRule="atLeast"/>
              <w:jc w:val="center"/>
              <w:rPr>
                <w:rFonts w:asciiTheme="majorHAnsi" w:hAnsiTheme="majorHAnsi" w:cs="Calibri"/>
                <w:bCs/>
                <w:lang w:eastAsia="en-IN"/>
              </w:rPr>
            </w:pPr>
            <w:r w:rsidRPr="00106843">
              <w:rPr>
                <w:rFonts w:asciiTheme="majorHAnsi" w:hAnsiTheme="majorHAnsi" w:cs="Calibri"/>
                <w:bCs/>
                <w:lang w:eastAsia="en-IN"/>
              </w:rPr>
              <w:t>32</w:t>
            </w:r>
          </w:p>
        </w:tc>
        <w:tc>
          <w:tcPr>
            <w:tcW w:w="2086" w:type="dxa"/>
            <w:tcBorders>
              <w:top w:val="nil"/>
              <w:left w:val="nil"/>
              <w:bottom w:val="single" w:sz="4" w:space="0" w:color="auto"/>
              <w:right w:val="single" w:sz="4" w:space="0" w:color="auto"/>
            </w:tcBorders>
            <w:vAlign w:val="center"/>
            <w:hideMark/>
          </w:tcPr>
          <w:p w14:paraId="19B9F5B1" w14:textId="77777777" w:rsidR="00106843" w:rsidRPr="00106843" w:rsidRDefault="00106843" w:rsidP="000F221E">
            <w:pPr>
              <w:spacing w:line="240" w:lineRule="atLeast"/>
              <w:jc w:val="center"/>
              <w:rPr>
                <w:rFonts w:asciiTheme="majorHAnsi" w:hAnsiTheme="majorHAnsi" w:cs="Calibri"/>
                <w:bCs/>
                <w:lang w:eastAsia="en-IN"/>
              </w:rPr>
            </w:pPr>
            <w:r w:rsidRPr="00106843">
              <w:rPr>
                <w:rFonts w:asciiTheme="majorHAnsi" w:hAnsiTheme="majorHAnsi" w:cs="Calibri"/>
                <w:bCs/>
                <w:lang w:eastAsia="en-IN"/>
              </w:rPr>
              <w:t>0</w:t>
            </w:r>
          </w:p>
        </w:tc>
      </w:tr>
      <w:tr w:rsidR="00106843" w:rsidRPr="00106843" w14:paraId="546735A0" w14:textId="77777777" w:rsidTr="000F221E">
        <w:trPr>
          <w:trHeight w:val="61"/>
        </w:trPr>
        <w:tc>
          <w:tcPr>
            <w:tcW w:w="826" w:type="dxa"/>
            <w:tcBorders>
              <w:top w:val="nil"/>
              <w:left w:val="single" w:sz="4" w:space="0" w:color="auto"/>
              <w:bottom w:val="single" w:sz="4" w:space="0" w:color="auto"/>
              <w:right w:val="single" w:sz="4" w:space="0" w:color="auto"/>
            </w:tcBorders>
            <w:vAlign w:val="center"/>
            <w:hideMark/>
          </w:tcPr>
          <w:p w14:paraId="1768C06D" w14:textId="77777777" w:rsidR="00106843" w:rsidRPr="00106843" w:rsidRDefault="00106843" w:rsidP="000F221E">
            <w:pPr>
              <w:spacing w:line="240" w:lineRule="atLeast"/>
              <w:jc w:val="center"/>
              <w:rPr>
                <w:rFonts w:asciiTheme="majorHAnsi" w:hAnsiTheme="majorHAnsi" w:cs="Calibri"/>
                <w:b/>
                <w:lang w:eastAsia="en-IN"/>
              </w:rPr>
            </w:pPr>
          </w:p>
        </w:tc>
        <w:tc>
          <w:tcPr>
            <w:tcW w:w="2175" w:type="dxa"/>
            <w:tcBorders>
              <w:top w:val="nil"/>
              <w:left w:val="nil"/>
              <w:bottom w:val="single" w:sz="4" w:space="0" w:color="auto"/>
              <w:right w:val="single" w:sz="4" w:space="0" w:color="auto"/>
            </w:tcBorders>
            <w:vAlign w:val="center"/>
            <w:hideMark/>
          </w:tcPr>
          <w:p w14:paraId="28AADCDB" w14:textId="77777777" w:rsidR="00106843" w:rsidRPr="00106843" w:rsidRDefault="00106843" w:rsidP="000F221E">
            <w:pPr>
              <w:spacing w:line="240" w:lineRule="atLeast"/>
              <w:jc w:val="center"/>
              <w:rPr>
                <w:rFonts w:asciiTheme="majorHAnsi" w:hAnsiTheme="majorHAnsi" w:cs="Calibri"/>
                <w:b/>
                <w:lang w:eastAsia="en-IN"/>
              </w:rPr>
            </w:pPr>
            <w:r w:rsidRPr="00106843">
              <w:rPr>
                <w:rFonts w:asciiTheme="majorHAnsi" w:hAnsiTheme="majorHAnsi" w:cs="Calibri"/>
                <w:b/>
                <w:lang w:eastAsia="en-IN"/>
              </w:rPr>
              <w:t>TPWODL</w:t>
            </w:r>
          </w:p>
        </w:tc>
        <w:tc>
          <w:tcPr>
            <w:tcW w:w="1522" w:type="dxa"/>
            <w:tcBorders>
              <w:top w:val="nil"/>
              <w:left w:val="nil"/>
              <w:bottom w:val="single" w:sz="4" w:space="0" w:color="auto"/>
              <w:right w:val="single" w:sz="4" w:space="0" w:color="auto"/>
            </w:tcBorders>
            <w:vAlign w:val="center"/>
            <w:hideMark/>
          </w:tcPr>
          <w:p w14:paraId="3DE78D6F" w14:textId="77777777" w:rsidR="00106843" w:rsidRPr="00106843" w:rsidRDefault="00106843" w:rsidP="000F221E">
            <w:pPr>
              <w:spacing w:line="240" w:lineRule="atLeast"/>
              <w:jc w:val="center"/>
              <w:rPr>
                <w:rFonts w:asciiTheme="majorHAnsi" w:hAnsiTheme="majorHAnsi" w:cs="Calibri"/>
                <w:b/>
                <w:bCs/>
                <w:lang w:eastAsia="en-IN"/>
              </w:rPr>
            </w:pPr>
            <w:r w:rsidRPr="00106843">
              <w:rPr>
                <w:rFonts w:asciiTheme="majorHAnsi" w:hAnsiTheme="majorHAnsi" w:cs="Calibri"/>
                <w:b/>
                <w:bCs/>
                <w:lang w:eastAsia="en-IN"/>
              </w:rPr>
              <w:t>221</w:t>
            </w:r>
          </w:p>
        </w:tc>
        <w:tc>
          <w:tcPr>
            <w:tcW w:w="2345" w:type="dxa"/>
            <w:tcBorders>
              <w:top w:val="nil"/>
              <w:left w:val="nil"/>
              <w:bottom w:val="single" w:sz="4" w:space="0" w:color="auto"/>
              <w:right w:val="single" w:sz="4" w:space="0" w:color="auto"/>
            </w:tcBorders>
            <w:vAlign w:val="center"/>
            <w:hideMark/>
          </w:tcPr>
          <w:p w14:paraId="7729A6EC" w14:textId="77777777" w:rsidR="00106843" w:rsidRPr="00106843" w:rsidRDefault="00106843" w:rsidP="000F221E">
            <w:pPr>
              <w:spacing w:line="240" w:lineRule="atLeast"/>
              <w:jc w:val="center"/>
              <w:rPr>
                <w:rFonts w:asciiTheme="majorHAnsi" w:hAnsiTheme="majorHAnsi" w:cs="Calibri"/>
                <w:b/>
                <w:bCs/>
                <w:lang w:eastAsia="en-IN"/>
              </w:rPr>
            </w:pPr>
            <w:r w:rsidRPr="00106843">
              <w:rPr>
                <w:rFonts w:asciiTheme="majorHAnsi" w:hAnsiTheme="majorHAnsi" w:cs="Calibri"/>
                <w:b/>
                <w:bCs/>
                <w:lang w:eastAsia="en-IN"/>
              </w:rPr>
              <w:t>214</w:t>
            </w:r>
          </w:p>
        </w:tc>
        <w:tc>
          <w:tcPr>
            <w:tcW w:w="2086" w:type="dxa"/>
            <w:tcBorders>
              <w:top w:val="nil"/>
              <w:left w:val="nil"/>
              <w:bottom w:val="single" w:sz="4" w:space="0" w:color="auto"/>
              <w:right w:val="single" w:sz="4" w:space="0" w:color="auto"/>
            </w:tcBorders>
            <w:vAlign w:val="center"/>
            <w:hideMark/>
          </w:tcPr>
          <w:p w14:paraId="13F5B681" w14:textId="77777777" w:rsidR="00106843" w:rsidRPr="00106843" w:rsidRDefault="00106843" w:rsidP="000F221E">
            <w:pPr>
              <w:spacing w:line="240" w:lineRule="atLeast"/>
              <w:jc w:val="center"/>
              <w:rPr>
                <w:rFonts w:asciiTheme="majorHAnsi" w:hAnsiTheme="majorHAnsi" w:cs="Calibri"/>
                <w:b/>
                <w:lang w:eastAsia="en-IN"/>
              </w:rPr>
            </w:pPr>
            <w:r w:rsidRPr="00106843">
              <w:rPr>
                <w:rFonts w:asciiTheme="majorHAnsi" w:hAnsiTheme="majorHAnsi" w:cs="Calibri"/>
                <w:b/>
                <w:lang w:eastAsia="en-IN"/>
              </w:rPr>
              <w:t>7</w:t>
            </w:r>
          </w:p>
        </w:tc>
      </w:tr>
      <w:bookmarkEnd w:id="29"/>
    </w:tbl>
    <w:p w14:paraId="1B3B698A" w14:textId="77777777" w:rsidR="00106843" w:rsidRDefault="00106843" w:rsidP="00334DF4">
      <w:pPr>
        <w:spacing w:line="360" w:lineRule="auto"/>
        <w:jc w:val="both"/>
        <w:rPr>
          <w:rFonts w:ascii="Cambria" w:hAnsi="Cambria"/>
          <w:b/>
          <w:bCs/>
        </w:rPr>
      </w:pPr>
    </w:p>
    <w:p w14:paraId="24D6891B" w14:textId="77777777" w:rsidR="001C35B7" w:rsidRPr="001C35B7" w:rsidRDefault="001C35B7" w:rsidP="001C35B7">
      <w:pPr>
        <w:spacing w:line="360" w:lineRule="auto"/>
        <w:jc w:val="both"/>
        <w:rPr>
          <w:rFonts w:asciiTheme="majorHAnsi" w:hAnsiTheme="majorHAnsi"/>
          <w:b/>
          <w:bCs/>
          <w:sz w:val="22"/>
          <w:szCs w:val="22"/>
        </w:rPr>
      </w:pPr>
      <w:r w:rsidRPr="001C35B7">
        <w:rPr>
          <w:rFonts w:asciiTheme="majorHAnsi" w:hAnsiTheme="majorHAnsi"/>
          <w:b/>
          <w:bCs/>
          <w:sz w:val="22"/>
          <w:szCs w:val="22"/>
        </w:rPr>
        <w:t>EHT Consumption vs. BST Consumption Comparison:</w:t>
      </w:r>
    </w:p>
    <w:tbl>
      <w:tblPr>
        <w:tblW w:w="4993" w:type="pct"/>
        <w:jc w:val="center"/>
        <w:tblCellMar>
          <w:left w:w="0" w:type="dxa"/>
          <w:right w:w="0" w:type="dxa"/>
        </w:tblCellMar>
        <w:tblLook w:val="04A0" w:firstRow="1" w:lastRow="0" w:firstColumn="1" w:lastColumn="0" w:noHBand="0" w:noVBand="1"/>
      </w:tblPr>
      <w:tblGrid>
        <w:gridCol w:w="2769"/>
        <w:gridCol w:w="3061"/>
        <w:gridCol w:w="3357"/>
      </w:tblGrid>
      <w:tr w:rsidR="001C35B7" w:rsidRPr="001C35B7" w14:paraId="4E2CE47E" w14:textId="77777777" w:rsidTr="001C35B7">
        <w:trPr>
          <w:trHeight w:val="48"/>
          <w:jc w:val="center"/>
        </w:trPr>
        <w:tc>
          <w:tcPr>
            <w:tcW w:w="1507" w:type="pct"/>
            <w:tcBorders>
              <w:top w:val="single" w:sz="4" w:space="0" w:color="000000"/>
              <w:left w:val="single" w:sz="4" w:space="0" w:color="000000"/>
              <w:right w:val="single" w:sz="4" w:space="0" w:color="000000"/>
            </w:tcBorders>
            <w:tcMar>
              <w:top w:w="17" w:type="dxa"/>
              <w:left w:w="17" w:type="dxa"/>
              <w:bottom w:w="0" w:type="dxa"/>
              <w:right w:w="17" w:type="dxa"/>
            </w:tcMar>
            <w:vAlign w:val="center"/>
            <w:hideMark/>
          </w:tcPr>
          <w:p w14:paraId="55569451" w14:textId="77777777" w:rsidR="001C35B7" w:rsidRPr="001C35B7" w:rsidRDefault="001C35B7" w:rsidP="000F221E">
            <w:pPr>
              <w:spacing w:line="240" w:lineRule="atLeast"/>
              <w:jc w:val="center"/>
              <w:rPr>
                <w:rFonts w:asciiTheme="majorHAnsi" w:hAnsiTheme="majorHAnsi" w:cs="Calibri"/>
                <w:b/>
                <w:sz w:val="22"/>
                <w:szCs w:val="22"/>
                <w:lang w:eastAsia="en-IN"/>
              </w:rPr>
            </w:pPr>
            <w:r w:rsidRPr="001C35B7">
              <w:rPr>
                <w:rFonts w:asciiTheme="majorHAnsi" w:hAnsiTheme="majorHAnsi" w:cs="Calibri"/>
                <w:b/>
                <w:sz w:val="22"/>
                <w:szCs w:val="22"/>
                <w:lang w:eastAsia="en-IN"/>
              </w:rPr>
              <w:t>Name of Circle</w:t>
            </w:r>
          </w:p>
        </w:tc>
        <w:tc>
          <w:tcPr>
            <w:tcW w:w="1666" w:type="pct"/>
            <w:tcBorders>
              <w:top w:val="single" w:sz="4" w:space="0" w:color="000000"/>
              <w:left w:val="single" w:sz="4" w:space="0" w:color="000000"/>
              <w:right w:val="single" w:sz="4" w:space="0" w:color="000000"/>
            </w:tcBorders>
            <w:tcMar>
              <w:top w:w="17" w:type="dxa"/>
              <w:left w:w="17" w:type="dxa"/>
              <w:bottom w:w="0" w:type="dxa"/>
              <w:right w:w="17" w:type="dxa"/>
            </w:tcMar>
            <w:vAlign w:val="center"/>
            <w:hideMark/>
          </w:tcPr>
          <w:p w14:paraId="7584DA83" w14:textId="77777777" w:rsidR="001C35B7" w:rsidRPr="001C35B7" w:rsidRDefault="001C35B7" w:rsidP="000F221E">
            <w:pPr>
              <w:spacing w:line="240" w:lineRule="atLeast"/>
              <w:jc w:val="center"/>
              <w:rPr>
                <w:rFonts w:asciiTheme="majorHAnsi" w:hAnsiTheme="majorHAnsi" w:cs="Calibri"/>
                <w:b/>
                <w:sz w:val="22"/>
                <w:szCs w:val="22"/>
                <w:lang w:eastAsia="en-IN"/>
              </w:rPr>
            </w:pPr>
            <w:r w:rsidRPr="001C35B7">
              <w:rPr>
                <w:rFonts w:asciiTheme="majorHAnsi" w:hAnsiTheme="majorHAnsi" w:cs="Calibri"/>
                <w:b/>
                <w:sz w:val="22"/>
                <w:szCs w:val="22"/>
                <w:lang w:eastAsia="en-IN"/>
              </w:rPr>
              <w:t>No of EHT Consumers</w:t>
            </w:r>
          </w:p>
        </w:tc>
        <w:tc>
          <w:tcPr>
            <w:tcW w:w="1827" w:type="pct"/>
            <w:tcBorders>
              <w:top w:val="single" w:sz="4" w:space="0" w:color="000000"/>
              <w:left w:val="single" w:sz="4" w:space="0" w:color="000000"/>
              <w:right w:val="single" w:sz="4" w:space="0" w:color="000000"/>
            </w:tcBorders>
            <w:tcMar>
              <w:top w:w="17" w:type="dxa"/>
              <w:left w:w="17" w:type="dxa"/>
              <w:bottom w:w="0" w:type="dxa"/>
              <w:right w:w="17" w:type="dxa"/>
            </w:tcMar>
            <w:vAlign w:val="center"/>
            <w:hideMark/>
          </w:tcPr>
          <w:p w14:paraId="134C31EC" w14:textId="77777777" w:rsidR="001C35B7" w:rsidRPr="001C35B7" w:rsidRDefault="001C35B7" w:rsidP="000F221E">
            <w:pPr>
              <w:spacing w:line="240" w:lineRule="atLeast"/>
              <w:jc w:val="center"/>
              <w:rPr>
                <w:rFonts w:asciiTheme="majorHAnsi" w:hAnsiTheme="majorHAnsi" w:cs="Calibri"/>
                <w:b/>
                <w:sz w:val="22"/>
                <w:szCs w:val="22"/>
                <w:lang w:eastAsia="en-IN"/>
              </w:rPr>
            </w:pPr>
            <w:r w:rsidRPr="001C35B7">
              <w:rPr>
                <w:rFonts w:asciiTheme="majorHAnsi" w:hAnsiTheme="majorHAnsi" w:cs="Calibri"/>
                <w:b/>
                <w:sz w:val="22"/>
                <w:szCs w:val="22"/>
                <w:lang w:eastAsia="en-IN"/>
              </w:rPr>
              <w:t>Loss level</w:t>
            </w:r>
          </w:p>
          <w:p w14:paraId="04BFD3CC" w14:textId="6D23D43E" w:rsidR="001C35B7" w:rsidRPr="001C35B7" w:rsidRDefault="001C35B7" w:rsidP="000F221E">
            <w:pPr>
              <w:spacing w:line="240" w:lineRule="atLeast"/>
              <w:jc w:val="center"/>
              <w:rPr>
                <w:rFonts w:asciiTheme="majorHAnsi" w:hAnsiTheme="majorHAnsi" w:cs="Calibri"/>
                <w:b/>
                <w:sz w:val="22"/>
                <w:szCs w:val="22"/>
                <w:lang w:eastAsia="en-IN"/>
              </w:rPr>
            </w:pPr>
            <w:r w:rsidRPr="001C35B7">
              <w:rPr>
                <w:rFonts w:asciiTheme="majorHAnsi" w:hAnsiTheme="majorHAnsi" w:cs="Calibri"/>
                <w:b/>
                <w:sz w:val="22"/>
                <w:szCs w:val="22"/>
                <w:lang w:eastAsia="en-IN"/>
              </w:rPr>
              <w:t>&lt; 0.5 %</w:t>
            </w:r>
          </w:p>
        </w:tc>
      </w:tr>
      <w:tr w:rsidR="001C35B7" w:rsidRPr="001C35B7" w14:paraId="22DF2C99" w14:textId="77777777" w:rsidTr="000F221E">
        <w:trPr>
          <w:trHeight w:val="147"/>
          <w:jc w:val="center"/>
        </w:trPr>
        <w:tc>
          <w:tcPr>
            <w:tcW w:w="1507" w:type="pct"/>
            <w:tcBorders>
              <w:top w:val="single" w:sz="4" w:space="0" w:color="000000"/>
              <w:left w:val="single" w:sz="4" w:space="0" w:color="000000"/>
              <w:bottom w:val="single" w:sz="4" w:space="0" w:color="000000"/>
              <w:right w:val="single" w:sz="4" w:space="0" w:color="000000"/>
            </w:tcBorders>
            <w:tcMar>
              <w:top w:w="17" w:type="dxa"/>
              <w:left w:w="17" w:type="dxa"/>
              <w:bottom w:w="0" w:type="dxa"/>
              <w:right w:w="17" w:type="dxa"/>
            </w:tcMar>
            <w:vAlign w:val="center"/>
            <w:hideMark/>
          </w:tcPr>
          <w:p w14:paraId="1380E9FB" w14:textId="77777777" w:rsidR="001C35B7" w:rsidRPr="001C35B7" w:rsidRDefault="001C35B7" w:rsidP="009729CF">
            <w:pPr>
              <w:spacing w:line="240" w:lineRule="atLeast"/>
              <w:jc w:val="center"/>
              <w:rPr>
                <w:rFonts w:asciiTheme="majorHAnsi" w:hAnsiTheme="majorHAnsi" w:cs="Calibri"/>
                <w:bCs/>
                <w:sz w:val="22"/>
                <w:szCs w:val="22"/>
                <w:lang w:eastAsia="en-IN"/>
              </w:rPr>
            </w:pPr>
            <w:r w:rsidRPr="001C35B7">
              <w:rPr>
                <w:rFonts w:asciiTheme="majorHAnsi" w:hAnsiTheme="majorHAnsi" w:cs="Calibri"/>
                <w:bCs/>
                <w:sz w:val="22"/>
                <w:szCs w:val="22"/>
                <w:lang w:eastAsia="en-IN"/>
              </w:rPr>
              <w:t>Rourkela</w:t>
            </w:r>
          </w:p>
        </w:tc>
        <w:tc>
          <w:tcPr>
            <w:tcW w:w="1666" w:type="pct"/>
            <w:tcBorders>
              <w:top w:val="single" w:sz="4" w:space="0" w:color="000000"/>
              <w:left w:val="single" w:sz="4" w:space="0" w:color="000000"/>
              <w:bottom w:val="single" w:sz="4" w:space="0" w:color="000000"/>
              <w:right w:val="single" w:sz="4" w:space="0" w:color="000000"/>
            </w:tcBorders>
            <w:tcMar>
              <w:top w:w="17" w:type="dxa"/>
              <w:left w:w="17" w:type="dxa"/>
              <w:bottom w:w="0" w:type="dxa"/>
              <w:right w:w="17" w:type="dxa"/>
            </w:tcMar>
            <w:vAlign w:val="center"/>
            <w:hideMark/>
          </w:tcPr>
          <w:p w14:paraId="539CF236" w14:textId="77777777" w:rsidR="001C35B7" w:rsidRPr="001C35B7" w:rsidRDefault="001C35B7" w:rsidP="000F221E">
            <w:pPr>
              <w:spacing w:line="240" w:lineRule="atLeast"/>
              <w:jc w:val="center"/>
              <w:rPr>
                <w:rFonts w:asciiTheme="majorHAnsi" w:hAnsiTheme="majorHAnsi" w:cs="Calibri"/>
                <w:bCs/>
                <w:sz w:val="22"/>
                <w:szCs w:val="22"/>
                <w:lang w:eastAsia="en-IN"/>
              </w:rPr>
            </w:pPr>
            <w:r w:rsidRPr="001C35B7">
              <w:rPr>
                <w:rFonts w:asciiTheme="majorHAnsi" w:hAnsiTheme="majorHAnsi" w:cs="Calibri"/>
                <w:bCs/>
                <w:sz w:val="22"/>
                <w:szCs w:val="22"/>
                <w:lang w:eastAsia="en-IN"/>
              </w:rPr>
              <w:t>16</w:t>
            </w:r>
          </w:p>
        </w:tc>
        <w:tc>
          <w:tcPr>
            <w:tcW w:w="1827" w:type="pct"/>
            <w:tcBorders>
              <w:top w:val="single" w:sz="4" w:space="0" w:color="000000"/>
              <w:left w:val="single" w:sz="4" w:space="0" w:color="000000"/>
              <w:bottom w:val="single" w:sz="4" w:space="0" w:color="000000"/>
              <w:right w:val="single" w:sz="4" w:space="0" w:color="000000"/>
            </w:tcBorders>
            <w:tcMar>
              <w:top w:w="17" w:type="dxa"/>
              <w:left w:w="17" w:type="dxa"/>
              <w:bottom w:w="0" w:type="dxa"/>
              <w:right w:w="17" w:type="dxa"/>
            </w:tcMar>
            <w:vAlign w:val="center"/>
            <w:hideMark/>
          </w:tcPr>
          <w:p w14:paraId="4704EC04" w14:textId="77777777" w:rsidR="001C35B7" w:rsidRPr="001C35B7" w:rsidRDefault="001C35B7" w:rsidP="000F221E">
            <w:pPr>
              <w:spacing w:line="240" w:lineRule="atLeast"/>
              <w:jc w:val="center"/>
              <w:rPr>
                <w:rFonts w:asciiTheme="majorHAnsi" w:hAnsiTheme="majorHAnsi" w:cs="Calibri"/>
                <w:bCs/>
                <w:sz w:val="22"/>
                <w:szCs w:val="22"/>
                <w:lang w:eastAsia="en-IN"/>
              </w:rPr>
            </w:pPr>
            <w:r w:rsidRPr="001C35B7">
              <w:rPr>
                <w:rFonts w:asciiTheme="majorHAnsi" w:hAnsiTheme="majorHAnsi" w:cs="Calibri"/>
                <w:bCs/>
                <w:sz w:val="22"/>
                <w:szCs w:val="22"/>
                <w:lang w:eastAsia="en-IN"/>
              </w:rPr>
              <w:t>16</w:t>
            </w:r>
          </w:p>
        </w:tc>
      </w:tr>
      <w:tr w:rsidR="001C35B7" w:rsidRPr="001C35B7" w14:paraId="0CD2CEA6" w14:textId="77777777" w:rsidTr="000F221E">
        <w:trPr>
          <w:trHeight w:val="130"/>
          <w:jc w:val="center"/>
        </w:trPr>
        <w:tc>
          <w:tcPr>
            <w:tcW w:w="1507" w:type="pct"/>
            <w:tcBorders>
              <w:top w:val="single" w:sz="4" w:space="0" w:color="000000"/>
              <w:left w:val="single" w:sz="4" w:space="0" w:color="000000"/>
              <w:bottom w:val="single" w:sz="4" w:space="0" w:color="000000"/>
              <w:right w:val="single" w:sz="4" w:space="0" w:color="000000"/>
            </w:tcBorders>
            <w:tcMar>
              <w:top w:w="17" w:type="dxa"/>
              <w:left w:w="17" w:type="dxa"/>
              <w:bottom w:w="0" w:type="dxa"/>
              <w:right w:w="17" w:type="dxa"/>
            </w:tcMar>
            <w:vAlign w:val="center"/>
            <w:hideMark/>
          </w:tcPr>
          <w:p w14:paraId="66BEA692" w14:textId="77777777" w:rsidR="001C35B7" w:rsidRPr="001C35B7" w:rsidRDefault="001C35B7" w:rsidP="009729CF">
            <w:pPr>
              <w:spacing w:line="240" w:lineRule="atLeast"/>
              <w:jc w:val="center"/>
              <w:rPr>
                <w:rFonts w:asciiTheme="majorHAnsi" w:hAnsiTheme="majorHAnsi" w:cs="Calibri"/>
                <w:bCs/>
                <w:sz w:val="22"/>
                <w:szCs w:val="22"/>
                <w:lang w:eastAsia="en-IN"/>
              </w:rPr>
            </w:pPr>
            <w:r w:rsidRPr="001C35B7">
              <w:rPr>
                <w:rFonts w:asciiTheme="majorHAnsi" w:hAnsiTheme="majorHAnsi" w:cs="Calibri"/>
                <w:bCs/>
                <w:sz w:val="22"/>
                <w:szCs w:val="22"/>
                <w:lang w:eastAsia="en-IN"/>
              </w:rPr>
              <w:t>Sambalpur</w:t>
            </w:r>
          </w:p>
        </w:tc>
        <w:tc>
          <w:tcPr>
            <w:tcW w:w="1666" w:type="pct"/>
            <w:tcBorders>
              <w:top w:val="single" w:sz="4" w:space="0" w:color="000000"/>
              <w:left w:val="single" w:sz="4" w:space="0" w:color="000000"/>
              <w:bottom w:val="single" w:sz="4" w:space="0" w:color="000000"/>
              <w:right w:val="single" w:sz="4" w:space="0" w:color="000000"/>
            </w:tcBorders>
            <w:tcMar>
              <w:top w:w="17" w:type="dxa"/>
              <w:left w:w="17" w:type="dxa"/>
              <w:bottom w:w="0" w:type="dxa"/>
              <w:right w:w="17" w:type="dxa"/>
            </w:tcMar>
            <w:vAlign w:val="center"/>
            <w:hideMark/>
          </w:tcPr>
          <w:p w14:paraId="3B0929B3" w14:textId="77777777" w:rsidR="001C35B7" w:rsidRPr="001C35B7" w:rsidRDefault="001C35B7" w:rsidP="000F221E">
            <w:pPr>
              <w:spacing w:line="240" w:lineRule="atLeast"/>
              <w:jc w:val="center"/>
              <w:rPr>
                <w:rFonts w:asciiTheme="majorHAnsi" w:hAnsiTheme="majorHAnsi" w:cs="Calibri"/>
                <w:bCs/>
                <w:sz w:val="22"/>
                <w:szCs w:val="22"/>
                <w:lang w:eastAsia="en-IN"/>
              </w:rPr>
            </w:pPr>
            <w:r w:rsidRPr="001C35B7">
              <w:rPr>
                <w:rFonts w:asciiTheme="majorHAnsi" w:hAnsiTheme="majorHAnsi" w:cs="Calibri"/>
                <w:bCs/>
                <w:sz w:val="22"/>
                <w:szCs w:val="22"/>
                <w:lang w:eastAsia="en-IN"/>
              </w:rPr>
              <w:t>21</w:t>
            </w:r>
          </w:p>
        </w:tc>
        <w:tc>
          <w:tcPr>
            <w:tcW w:w="1827" w:type="pct"/>
            <w:tcBorders>
              <w:top w:val="single" w:sz="4" w:space="0" w:color="000000"/>
              <w:left w:val="single" w:sz="4" w:space="0" w:color="000000"/>
              <w:bottom w:val="single" w:sz="4" w:space="0" w:color="000000"/>
              <w:right w:val="single" w:sz="4" w:space="0" w:color="000000"/>
            </w:tcBorders>
            <w:tcMar>
              <w:top w:w="17" w:type="dxa"/>
              <w:left w:w="17" w:type="dxa"/>
              <w:bottom w:w="0" w:type="dxa"/>
              <w:right w:w="17" w:type="dxa"/>
            </w:tcMar>
            <w:vAlign w:val="center"/>
            <w:hideMark/>
          </w:tcPr>
          <w:p w14:paraId="699178C3" w14:textId="77777777" w:rsidR="001C35B7" w:rsidRPr="001C35B7" w:rsidRDefault="001C35B7" w:rsidP="000F221E">
            <w:pPr>
              <w:spacing w:line="240" w:lineRule="atLeast"/>
              <w:jc w:val="center"/>
              <w:rPr>
                <w:rFonts w:asciiTheme="majorHAnsi" w:hAnsiTheme="majorHAnsi" w:cs="Calibri"/>
                <w:bCs/>
                <w:sz w:val="22"/>
                <w:szCs w:val="22"/>
                <w:lang w:eastAsia="en-IN"/>
              </w:rPr>
            </w:pPr>
            <w:r w:rsidRPr="001C35B7">
              <w:rPr>
                <w:rFonts w:asciiTheme="majorHAnsi" w:hAnsiTheme="majorHAnsi" w:cs="Calibri"/>
                <w:bCs/>
                <w:sz w:val="22"/>
                <w:szCs w:val="22"/>
                <w:lang w:eastAsia="en-IN"/>
              </w:rPr>
              <w:t>21</w:t>
            </w:r>
          </w:p>
        </w:tc>
      </w:tr>
      <w:tr w:rsidR="001C35B7" w:rsidRPr="001C35B7" w14:paraId="455179DF" w14:textId="77777777" w:rsidTr="000F221E">
        <w:trPr>
          <w:trHeight w:val="132"/>
          <w:jc w:val="center"/>
        </w:trPr>
        <w:tc>
          <w:tcPr>
            <w:tcW w:w="1507" w:type="pct"/>
            <w:tcBorders>
              <w:top w:val="single" w:sz="4" w:space="0" w:color="000000"/>
              <w:left w:val="single" w:sz="4" w:space="0" w:color="000000"/>
              <w:bottom w:val="single" w:sz="4" w:space="0" w:color="000000"/>
              <w:right w:val="single" w:sz="4" w:space="0" w:color="000000"/>
            </w:tcBorders>
            <w:tcMar>
              <w:top w:w="17" w:type="dxa"/>
              <w:left w:w="17" w:type="dxa"/>
              <w:bottom w:w="0" w:type="dxa"/>
              <w:right w:w="17" w:type="dxa"/>
            </w:tcMar>
            <w:vAlign w:val="center"/>
            <w:hideMark/>
          </w:tcPr>
          <w:p w14:paraId="0E4E68CF" w14:textId="77777777" w:rsidR="001C35B7" w:rsidRPr="001C35B7" w:rsidRDefault="001C35B7" w:rsidP="009729CF">
            <w:pPr>
              <w:spacing w:line="240" w:lineRule="atLeast"/>
              <w:jc w:val="center"/>
              <w:rPr>
                <w:rFonts w:asciiTheme="majorHAnsi" w:hAnsiTheme="majorHAnsi" w:cs="Calibri"/>
                <w:bCs/>
                <w:sz w:val="22"/>
                <w:szCs w:val="22"/>
                <w:lang w:eastAsia="en-IN"/>
              </w:rPr>
            </w:pPr>
            <w:r w:rsidRPr="001C35B7">
              <w:rPr>
                <w:rFonts w:asciiTheme="majorHAnsi" w:hAnsiTheme="majorHAnsi" w:cs="Calibri"/>
                <w:bCs/>
                <w:sz w:val="22"/>
                <w:szCs w:val="22"/>
                <w:lang w:eastAsia="en-IN"/>
              </w:rPr>
              <w:t>Bargarh</w:t>
            </w:r>
          </w:p>
        </w:tc>
        <w:tc>
          <w:tcPr>
            <w:tcW w:w="1666" w:type="pct"/>
            <w:tcBorders>
              <w:top w:val="single" w:sz="4" w:space="0" w:color="000000"/>
              <w:left w:val="single" w:sz="4" w:space="0" w:color="000000"/>
              <w:bottom w:val="single" w:sz="4" w:space="0" w:color="000000"/>
              <w:right w:val="single" w:sz="4" w:space="0" w:color="000000"/>
            </w:tcBorders>
            <w:tcMar>
              <w:top w:w="17" w:type="dxa"/>
              <w:left w:w="17" w:type="dxa"/>
              <w:bottom w:w="0" w:type="dxa"/>
              <w:right w:w="17" w:type="dxa"/>
            </w:tcMar>
            <w:vAlign w:val="center"/>
            <w:hideMark/>
          </w:tcPr>
          <w:p w14:paraId="71179102" w14:textId="77777777" w:rsidR="001C35B7" w:rsidRPr="001C35B7" w:rsidRDefault="001C35B7" w:rsidP="000F221E">
            <w:pPr>
              <w:spacing w:line="240" w:lineRule="atLeast"/>
              <w:jc w:val="center"/>
              <w:rPr>
                <w:rFonts w:asciiTheme="majorHAnsi" w:hAnsiTheme="majorHAnsi" w:cs="Calibri"/>
                <w:bCs/>
                <w:sz w:val="22"/>
                <w:szCs w:val="22"/>
                <w:lang w:eastAsia="en-IN"/>
              </w:rPr>
            </w:pPr>
            <w:r w:rsidRPr="001C35B7">
              <w:rPr>
                <w:rFonts w:asciiTheme="majorHAnsi" w:hAnsiTheme="majorHAnsi" w:cs="Calibri"/>
                <w:bCs/>
                <w:sz w:val="22"/>
                <w:szCs w:val="22"/>
                <w:lang w:eastAsia="en-IN"/>
              </w:rPr>
              <w:t>3</w:t>
            </w:r>
          </w:p>
        </w:tc>
        <w:tc>
          <w:tcPr>
            <w:tcW w:w="1827" w:type="pct"/>
            <w:tcBorders>
              <w:top w:val="single" w:sz="4" w:space="0" w:color="000000"/>
              <w:left w:val="single" w:sz="4" w:space="0" w:color="000000"/>
              <w:bottom w:val="single" w:sz="4" w:space="0" w:color="000000"/>
              <w:right w:val="single" w:sz="4" w:space="0" w:color="000000"/>
            </w:tcBorders>
            <w:tcMar>
              <w:top w:w="17" w:type="dxa"/>
              <w:left w:w="17" w:type="dxa"/>
              <w:bottom w:w="0" w:type="dxa"/>
              <w:right w:w="17" w:type="dxa"/>
            </w:tcMar>
            <w:vAlign w:val="center"/>
            <w:hideMark/>
          </w:tcPr>
          <w:p w14:paraId="3022E254" w14:textId="77777777" w:rsidR="001C35B7" w:rsidRPr="001C35B7" w:rsidRDefault="001C35B7" w:rsidP="000F221E">
            <w:pPr>
              <w:spacing w:line="240" w:lineRule="atLeast"/>
              <w:jc w:val="center"/>
              <w:rPr>
                <w:rFonts w:asciiTheme="majorHAnsi" w:hAnsiTheme="majorHAnsi" w:cs="Calibri"/>
                <w:bCs/>
                <w:sz w:val="22"/>
                <w:szCs w:val="22"/>
                <w:lang w:eastAsia="en-IN"/>
              </w:rPr>
            </w:pPr>
            <w:r w:rsidRPr="001C35B7">
              <w:rPr>
                <w:rFonts w:asciiTheme="majorHAnsi" w:hAnsiTheme="majorHAnsi" w:cs="Calibri"/>
                <w:bCs/>
                <w:sz w:val="22"/>
                <w:szCs w:val="22"/>
                <w:lang w:eastAsia="en-IN"/>
              </w:rPr>
              <w:t>3</w:t>
            </w:r>
          </w:p>
        </w:tc>
      </w:tr>
      <w:tr w:rsidR="001C35B7" w:rsidRPr="001C35B7" w14:paraId="5537CAD0" w14:textId="77777777" w:rsidTr="000F221E">
        <w:trPr>
          <w:trHeight w:val="130"/>
          <w:jc w:val="center"/>
        </w:trPr>
        <w:tc>
          <w:tcPr>
            <w:tcW w:w="1507" w:type="pct"/>
            <w:tcBorders>
              <w:top w:val="single" w:sz="4" w:space="0" w:color="000000"/>
              <w:left w:val="single" w:sz="4" w:space="0" w:color="000000"/>
              <w:bottom w:val="single" w:sz="4" w:space="0" w:color="000000"/>
              <w:right w:val="single" w:sz="4" w:space="0" w:color="000000"/>
            </w:tcBorders>
            <w:tcMar>
              <w:top w:w="17" w:type="dxa"/>
              <w:left w:w="17" w:type="dxa"/>
              <w:bottom w:w="0" w:type="dxa"/>
              <w:right w:w="17" w:type="dxa"/>
            </w:tcMar>
            <w:vAlign w:val="center"/>
            <w:hideMark/>
          </w:tcPr>
          <w:p w14:paraId="61BD332E" w14:textId="77777777" w:rsidR="001C35B7" w:rsidRPr="001C35B7" w:rsidRDefault="001C35B7" w:rsidP="009729CF">
            <w:pPr>
              <w:spacing w:line="240" w:lineRule="atLeast"/>
              <w:jc w:val="center"/>
              <w:rPr>
                <w:rFonts w:asciiTheme="majorHAnsi" w:hAnsiTheme="majorHAnsi" w:cs="Calibri"/>
                <w:bCs/>
                <w:sz w:val="22"/>
                <w:szCs w:val="22"/>
                <w:lang w:eastAsia="en-IN"/>
              </w:rPr>
            </w:pPr>
            <w:r w:rsidRPr="001C35B7">
              <w:rPr>
                <w:rFonts w:asciiTheme="majorHAnsi" w:hAnsiTheme="majorHAnsi" w:cs="Calibri"/>
                <w:bCs/>
                <w:sz w:val="22"/>
                <w:szCs w:val="22"/>
                <w:lang w:eastAsia="en-IN"/>
              </w:rPr>
              <w:t>Bolangir</w:t>
            </w:r>
          </w:p>
        </w:tc>
        <w:tc>
          <w:tcPr>
            <w:tcW w:w="1666" w:type="pct"/>
            <w:tcBorders>
              <w:top w:val="single" w:sz="4" w:space="0" w:color="000000"/>
              <w:left w:val="single" w:sz="4" w:space="0" w:color="000000"/>
              <w:bottom w:val="single" w:sz="4" w:space="0" w:color="000000"/>
              <w:right w:val="single" w:sz="4" w:space="0" w:color="000000"/>
            </w:tcBorders>
            <w:tcMar>
              <w:top w:w="17" w:type="dxa"/>
              <w:left w:w="17" w:type="dxa"/>
              <w:bottom w:w="0" w:type="dxa"/>
              <w:right w:w="17" w:type="dxa"/>
            </w:tcMar>
            <w:vAlign w:val="center"/>
            <w:hideMark/>
          </w:tcPr>
          <w:p w14:paraId="32615D61" w14:textId="77777777" w:rsidR="001C35B7" w:rsidRPr="001C35B7" w:rsidRDefault="001C35B7" w:rsidP="000F221E">
            <w:pPr>
              <w:spacing w:line="240" w:lineRule="atLeast"/>
              <w:jc w:val="center"/>
              <w:rPr>
                <w:rFonts w:asciiTheme="majorHAnsi" w:hAnsiTheme="majorHAnsi" w:cs="Calibri"/>
                <w:bCs/>
                <w:sz w:val="22"/>
                <w:szCs w:val="22"/>
                <w:lang w:eastAsia="en-IN"/>
              </w:rPr>
            </w:pPr>
            <w:r w:rsidRPr="001C35B7">
              <w:rPr>
                <w:rFonts w:asciiTheme="majorHAnsi" w:hAnsiTheme="majorHAnsi" w:cs="Calibri"/>
                <w:bCs/>
                <w:sz w:val="22"/>
                <w:szCs w:val="22"/>
                <w:lang w:eastAsia="en-IN"/>
              </w:rPr>
              <w:t>12</w:t>
            </w:r>
          </w:p>
        </w:tc>
        <w:tc>
          <w:tcPr>
            <w:tcW w:w="1827" w:type="pct"/>
            <w:tcBorders>
              <w:top w:val="single" w:sz="4" w:space="0" w:color="000000"/>
              <w:left w:val="single" w:sz="4" w:space="0" w:color="000000"/>
              <w:bottom w:val="single" w:sz="4" w:space="0" w:color="000000"/>
              <w:right w:val="single" w:sz="4" w:space="0" w:color="000000"/>
            </w:tcBorders>
            <w:tcMar>
              <w:top w:w="17" w:type="dxa"/>
              <w:left w:w="17" w:type="dxa"/>
              <w:bottom w:w="0" w:type="dxa"/>
              <w:right w:w="17" w:type="dxa"/>
            </w:tcMar>
            <w:vAlign w:val="center"/>
            <w:hideMark/>
          </w:tcPr>
          <w:p w14:paraId="5C481AC4" w14:textId="77777777" w:rsidR="001C35B7" w:rsidRPr="001C35B7" w:rsidRDefault="001C35B7" w:rsidP="000F221E">
            <w:pPr>
              <w:spacing w:line="240" w:lineRule="atLeast"/>
              <w:jc w:val="center"/>
              <w:rPr>
                <w:rFonts w:asciiTheme="majorHAnsi" w:hAnsiTheme="majorHAnsi" w:cs="Calibri"/>
                <w:bCs/>
                <w:sz w:val="22"/>
                <w:szCs w:val="22"/>
                <w:lang w:eastAsia="en-IN"/>
              </w:rPr>
            </w:pPr>
            <w:r w:rsidRPr="001C35B7">
              <w:rPr>
                <w:rFonts w:asciiTheme="majorHAnsi" w:hAnsiTheme="majorHAnsi" w:cs="Calibri"/>
                <w:bCs/>
                <w:sz w:val="22"/>
                <w:szCs w:val="22"/>
                <w:lang w:eastAsia="en-IN"/>
              </w:rPr>
              <w:t>12</w:t>
            </w:r>
          </w:p>
        </w:tc>
      </w:tr>
      <w:tr w:rsidR="001C35B7" w:rsidRPr="001C35B7" w14:paraId="01DD1423" w14:textId="77777777" w:rsidTr="000F221E">
        <w:trPr>
          <w:trHeight w:val="84"/>
          <w:jc w:val="center"/>
        </w:trPr>
        <w:tc>
          <w:tcPr>
            <w:tcW w:w="1507" w:type="pct"/>
            <w:tcBorders>
              <w:top w:val="single" w:sz="4" w:space="0" w:color="000000"/>
              <w:left w:val="single" w:sz="4" w:space="0" w:color="000000"/>
              <w:bottom w:val="single" w:sz="4" w:space="0" w:color="000000"/>
              <w:right w:val="single" w:sz="4" w:space="0" w:color="000000"/>
            </w:tcBorders>
            <w:tcMar>
              <w:top w:w="17" w:type="dxa"/>
              <w:left w:w="17" w:type="dxa"/>
              <w:bottom w:w="0" w:type="dxa"/>
              <w:right w:w="17" w:type="dxa"/>
            </w:tcMar>
            <w:vAlign w:val="center"/>
            <w:hideMark/>
          </w:tcPr>
          <w:p w14:paraId="586C5FD5" w14:textId="77777777" w:rsidR="001C35B7" w:rsidRPr="001C35B7" w:rsidRDefault="001C35B7" w:rsidP="009729CF">
            <w:pPr>
              <w:spacing w:line="240" w:lineRule="atLeast"/>
              <w:jc w:val="center"/>
              <w:rPr>
                <w:rFonts w:asciiTheme="majorHAnsi" w:hAnsiTheme="majorHAnsi" w:cs="Calibri"/>
                <w:bCs/>
                <w:sz w:val="22"/>
                <w:szCs w:val="22"/>
                <w:lang w:eastAsia="en-IN"/>
              </w:rPr>
            </w:pPr>
            <w:r w:rsidRPr="001C35B7">
              <w:rPr>
                <w:rFonts w:asciiTheme="majorHAnsi" w:hAnsiTheme="majorHAnsi" w:cs="Calibri"/>
                <w:bCs/>
                <w:sz w:val="22"/>
                <w:szCs w:val="22"/>
                <w:lang w:eastAsia="en-IN"/>
              </w:rPr>
              <w:t>Kalahandi</w:t>
            </w:r>
          </w:p>
        </w:tc>
        <w:tc>
          <w:tcPr>
            <w:tcW w:w="1666" w:type="pct"/>
            <w:tcBorders>
              <w:top w:val="single" w:sz="4" w:space="0" w:color="000000"/>
              <w:left w:val="single" w:sz="4" w:space="0" w:color="000000"/>
              <w:bottom w:val="single" w:sz="4" w:space="0" w:color="000000"/>
              <w:right w:val="single" w:sz="4" w:space="0" w:color="000000"/>
            </w:tcBorders>
            <w:tcMar>
              <w:top w:w="17" w:type="dxa"/>
              <w:left w:w="17" w:type="dxa"/>
              <w:bottom w:w="0" w:type="dxa"/>
              <w:right w:w="17" w:type="dxa"/>
            </w:tcMar>
            <w:vAlign w:val="center"/>
            <w:hideMark/>
          </w:tcPr>
          <w:p w14:paraId="50A55927" w14:textId="77777777" w:rsidR="001C35B7" w:rsidRPr="001C35B7" w:rsidRDefault="001C35B7" w:rsidP="000F221E">
            <w:pPr>
              <w:spacing w:line="240" w:lineRule="atLeast"/>
              <w:jc w:val="center"/>
              <w:rPr>
                <w:rFonts w:asciiTheme="majorHAnsi" w:hAnsiTheme="majorHAnsi" w:cs="Calibri"/>
                <w:bCs/>
                <w:sz w:val="22"/>
                <w:szCs w:val="22"/>
                <w:lang w:eastAsia="en-IN"/>
              </w:rPr>
            </w:pPr>
            <w:r w:rsidRPr="001C35B7">
              <w:rPr>
                <w:rFonts w:asciiTheme="majorHAnsi" w:hAnsiTheme="majorHAnsi" w:cs="Calibri"/>
                <w:bCs/>
                <w:sz w:val="22"/>
                <w:szCs w:val="22"/>
                <w:lang w:eastAsia="en-IN"/>
              </w:rPr>
              <w:t>8</w:t>
            </w:r>
          </w:p>
        </w:tc>
        <w:tc>
          <w:tcPr>
            <w:tcW w:w="1827" w:type="pct"/>
            <w:tcBorders>
              <w:top w:val="single" w:sz="4" w:space="0" w:color="000000"/>
              <w:left w:val="single" w:sz="4" w:space="0" w:color="000000"/>
              <w:bottom w:val="single" w:sz="4" w:space="0" w:color="000000"/>
              <w:right w:val="single" w:sz="4" w:space="0" w:color="000000"/>
            </w:tcBorders>
            <w:tcMar>
              <w:top w:w="17" w:type="dxa"/>
              <w:left w:w="17" w:type="dxa"/>
              <w:bottom w:w="0" w:type="dxa"/>
              <w:right w:w="17" w:type="dxa"/>
            </w:tcMar>
            <w:vAlign w:val="center"/>
            <w:hideMark/>
          </w:tcPr>
          <w:p w14:paraId="725A00C9" w14:textId="77777777" w:rsidR="001C35B7" w:rsidRPr="001C35B7" w:rsidRDefault="001C35B7" w:rsidP="000F221E">
            <w:pPr>
              <w:spacing w:line="240" w:lineRule="atLeast"/>
              <w:jc w:val="center"/>
              <w:rPr>
                <w:rFonts w:asciiTheme="majorHAnsi" w:hAnsiTheme="majorHAnsi" w:cs="Calibri"/>
                <w:bCs/>
                <w:sz w:val="22"/>
                <w:szCs w:val="22"/>
                <w:lang w:eastAsia="en-IN"/>
              </w:rPr>
            </w:pPr>
            <w:r w:rsidRPr="001C35B7">
              <w:rPr>
                <w:rFonts w:asciiTheme="majorHAnsi" w:hAnsiTheme="majorHAnsi" w:cs="Calibri"/>
                <w:bCs/>
                <w:sz w:val="22"/>
                <w:szCs w:val="22"/>
                <w:lang w:eastAsia="en-IN"/>
              </w:rPr>
              <w:t>8</w:t>
            </w:r>
          </w:p>
        </w:tc>
      </w:tr>
      <w:tr w:rsidR="001C35B7" w:rsidRPr="001C35B7" w14:paraId="2ACD011F" w14:textId="77777777" w:rsidTr="000F221E">
        <w:trPr>
          <w:trHeight w:val="123"/>
          <w:jc w:val="center"/>
        </w:trPr>
        <w:tc>
          <w:tcPr>
            <w:tcW w:w="1507" w:type="pct"/>
            <w:tcBorders>
              <w:top w:val="single" w:sz="4" w:space="0" w:color="000000"/>
              <w:left w:val="single" w:sz="4" w:space="0" w:color="000000"/>
              <w:bottom w:val="single" w:sz="4" w:space="0" w:color="000000"/>
              <w:right w:val="single" w:sz="4" w:space="0" w:color="000000"/>
            </w:tcBorders>
            <w:tcMar>
              <w:top w:w="17" w:type="dxa"/>
              <w:left w:w="17" w:type="dxa"/>
              <w:bottom w:w="0" w:type="dxa"/>
              <w:right w:w="17" w:type="dxa"/>
            </w:tcMar>
            <w:vAlign w:val="center"/>
            <w:hideMark/>
          </w:tcPr>
          <w:p w14:paraId="195A3299" w14:textId="77777777" w:rsidR="001C35B7" w:rsidRPr="001C35B7" w:rsidRDefault="001C35B7" w:rsidP="000F221E">
            <w:pPr>
              <w:spacing w:line="240" w:lineRule="atLeast"/>
              <w:jc w:val="center"/>
              <w:rPr>
                <w:rFonts w:asciiTheme="majorHAnsi" w:hAnsiTheme="majorHAnsi" w:cs="Calibri"/>
                <w:b/>
                <w:sz w:val="22"/>
                <w:szCs w:val="22"/>
                <w:lang w:eastAsia="en-IN"/>
              </w:rPr>
            </w:pPr>
            <w:r w:rsidRPr="001C35B7">
              <w:rPr>
                <w:rFonts w:asciiTheme="majorHAnsi" w:hAnsiTheme="majorHAnsi" w:cs="Calibri"/>
                <w:b/>
                <w:sz w:val="22"/>
                <w:szCs w:val="22"/>
                <w:lang w:eastAsia="en-IN"/>
              </w:rPr>
              <w:t>TPWODL</w:t>
            </w:r>
          </w:p>
        </w:tc>
        <w:tc>
          <w:tcPr>
            <w:tcW w:w="1666" w:type="pct"/>
            <w:tcBorders>
              <w:top w:val="single" w:sz="4" w:space="0" w:color="000000"/>
              <w:left w:val="single" w:sz="4" w:space="0" w:color="000000"/>
              <w:bottom w:val="single" w:sz="4" w:space="0" w:color="000000"/>
              <w:right w:val="single" w:sz="4" w:space="0" w:color="000000"/>
            </w:tcBorders>
            <w:tcMar>
              <w:top w:w="17" w:type="dxa"/>
              <w:left w:w="17" w:type="dxa"/>
              <w:bottom w:w="0" w:type="dxa"/>
              <w:right w:w="17" w:type="dxa"/>
            </w:tcMar>
            <w:vAlign w:val="center"/>
            <w:hideMark/>
          </w:tcPr>
          <w:p w14:paraId="3453CDAF" w14:textId="77777777" w:rsidR="001C35B7" w:rsidRPr="001C35B7" w:rsidRDefault="001C35B7" w:rsidP="000F221E">
            <w:pPr>
              <w:spacing w:line="240" w:lineRule="atLeast"/>
              <w:jc w:val="center"/>
              <w:rPr>
                <w:rFonts w:asciiTheme="majorHAnsi" w:hAnsiTheme="majorHAnsi" w:cs="Calibri"/>
                <w:b/>
                <w:sz w:val="22"/>
                <w:szCs w:val="22"/>
                <w:lang w:eastAsia="en-IN"/>
              </w:rPr>
            </w:pPr>
            <w:r w:rsidRPr="001C35B7">
              <w:rPr>
                <w:rFonts w:asciiTheme="majorHAnsi" w:hAnsiTheme="majorHAnsi" w:cs="Calibri"/>
                <w:b/>
                <w:sz w:val="22"/>
                <w:szCs w:val="22"/>
                <w:lang w:eastAsia="en-IN"/>
              </w:rPr>
              <w:t>60</w:t>
            </w:r>
          </w:p>
        </w:tc>
        <w:tc>
          <w:tcPr>
            <w:tcW w:w="1827" w:type="pct"/>
            <w:tcBorders>
              <w:top w:val="single" w:sz="4" w:space="0" w:color="000000"/>
              <w:left w:val="single" w:sz="4" w:space="0" w:color="000000"/>
              <w:bottom w:val="single" w:sz="4" w:space="0" w:color="000000"/>
              <w:right w:val="single" w:sz="4" w:space="0" w:color="000000"/>
            </w:tcBorders>
            <w:tcMar>
              <w:top w:w="17" w:type="dxa"/>
              <w:left w:w="17" w:type="dxa"/>
              <w:bottom w:w="0" w:type="dxa"/>
              <w:right w:w="17" w:type="dxa"/>
            </w:tcMar>
            <w:vAlign w:val="center"/>
            <w:hideMark/>
          </w:tcPr>
          <w:p w14:paraId="0E06829A" w14:textId="77777777" w:rsidR="001C35B7" w:rsidRPr="001C35B7" w:rsidRDefault="001C35B7" w:rsidP="000F221E">
            <w:pPr>
              <w:spacing w:line="240" w:lineRule="atLeast"/>
              <w:jc w:val="center"/>
              <w:rPr>
                <w:rFonts w:asciiTheme="majorHAnsi" w:hAnsiTheme="majorHAnsi" w:cs="Calibri"/>
                <w:b/>
                <w:sz w:val="22"/>
                <w:szCs w:val="22"/>
                <w:lang w:eastAsia="en-IN"/>
              </w:rPr>
            </w:pPr>
            <w:r w:rsidRPr="001C35B7">
              <w:rPr>
                <w:rFonts w:asciiTheme="majorHAnsi" w:hAnsiTheme="majorHAnsi" w:cs="Calibri"/>
                <w:b/>
                <w:sz w:val="22"/>
                <w:szCs w:val="22"/>
                <w:lang w:eastAsia="en-IN"/>
              </w:rPr>
              <w:t>60</w:t>
            </w:r>
          </w:p>
        </w:tc>
      </w:tr>
    </w:tbl>
    <w:p w14:paraId="1B1F8FA6" w14:textId="77777777" w:rsidR="001C35B7" w:rsidRDefault="001C35B7" w:rsidP="004814ED">
      <w:pPr>
        <w:spacing w:line="360" w:lineRule="auto"/>
        <w:jc w:val="both"/>
        <w:rPr>
          <w:rFonts w:ascii="Cambria" w:hAnsi="Cambria"/>
        </w:rPr>
      </w:pPr>
    </w:p>
    <w:p w14:paraId="77C7EE9D" w14:textId="77777777" w:rsidR="00AA1771" w:rsidRPr="007F4F99" w:rsidRDefault="00AA1771" w:rsidP="00AA1771">
      <w:pPr>
        <w:spacing w:line="360" w:lineRule="auto"/>
        <w:jc w:val="both"/>
        <w:rPr>
          <w:rFonts w:asciiTheme="majorHAnsi" w:hAnsiTheme="majorHAnsi"/>
          <w:u w:val="single"/>
        </w:rPr>
      </w:pPr>
      <w:r w:rsidRPr="007F4F99">
        <w:rPr>
          <w:rFonts w:asciiTheme="majorHAnsi" w:hAnsiTheme="majorHAnsi"/>
          <w:b/>
          <w:bCs/>
          <w:u w:val="single"/>
        </w:rPr>
        <w:t>Energy Audit at 33KV Level:</w:t>
      </w:r>
    </w:p>
    <w:p w14:paraId="4C19FBD0" w14:textId="24576096" w:rsidR="00AA1771" w:rsidRPr="003F154B" w:rsidRDefault="00AA1771" w:rsidP="00AA1771">
      <w:pPr>
        <w:spacing w:line="360" w:lineRule="auto"/>
        <w:jc w:val="both"/>
        <w:rPr>
          <w:rFonts w:asciiTheme="majorHAnsi" w:hAnsiTheme="majorHAnsi"/>
        </w:rPr>
      </w:pPr>
      <w:r w:rsidRPr="003F154B">
        <w:rPr>
          <w:rFonts w:asciiTheme="majorHAnsi" w:hAnsiTheme="majorHAnsi"/>
        </w:rPr>
        <w:t xml:space="preserve">Modems are now installed in all 33 kV feeder </w:t>
      </w:r>
      <w:r w:rsidR="004C4333" w:rsidRPr="003F154B">
        <w:rPr>
          <w:rFonts w:asciiTheme="majorHAnsi" w:hAnsiTheme="majorHAnsi"/>
        </w:rPr>
        <w:t>meters</w:t>
      </w:r>
      <w:r w:rsidRPr="003F154B">
        <w:rPr>
          <w:rFonts w:asciiTheme="majorHAnsi" w:hAnsiTheme="majorHAnsi"/>
        </w:rPr>
        <w:t xml:space="preserve">, allowing for seamless data transfer to the HES. This integration enables daily monitoring of feeder energy and prompts alerts concerning meter-related issues as a precautionary measure, ensuring proactive maintenance and operational efficiency. </w:t>
      </w:r>
    </w:p>
    <w:tbl>
      <w:tblPr>
        <w:tblW w:w="4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425"/>
        <w:gridCol w:w="1418"/>
        <w:gridCol w:w="1417"/>
      </w:tblGrid>
      <w:tr w:rsidR="00637059" w:rsidRPr="00DF08E0" w14:paraId="368C34CB" w14:textId="77777777" w:rsidTr="00637059">
        <w:trPr>
          <w:trHeight w:val="300"/>
          <w:tblHeader/>
          <w:jc w:val="center"/>
        </w:trPr>
        <w:tc>
          <w:tcPr>
            <w:tcW w:w="4832" w:type="dxa"/>
            <w:gridSpan w:val="4"/>
            <w:vAlign w:val="center"/>
          </w:tcPr>
          <w:p w14:paraId="68419208" w14:textId="6774DD63" w:rsidR="00637059" w:rsidRPr="00DF08E0" w:rsidRDefault="00637059" w:rsidP="000F221E">
            <w:pPr>
              <w:spacing w:line="240" w:lineRule="atLeast"/>
              <w:jc w:val="center"/>
              <w:rPr>
                <w:rFonts w:asciiTheme="majorHAnsi" w:hAnsiTheme="majorHAnsi" w:cs="Calibri"/>
                <w:b/>
                <w:lang w:eastAsia="en-IN"/>
              </w:rPr>
            </w:pPr>
            <w:r w:rsidRPr="00DF08E0">
              <w:rPr>
                <w:rFonts w:asciiTheme="majorHAnsi" w:hAnsiTheme="majorHAnsi" w:cs="Calibri"/>
                <w:b/>
                <w:lang w:eastAsia="en-IN"/>
              </w:rPr>
              <w:t xml:space="preserve">Abstract of </w:t>
            </w:r>
            <w:r w:rsidR="00C137A4">
              <w:rPr>
                <w:rFonts w:asciiTheme="majorHAnsi" w:hAnsiTheme="majorHAnsi" w:cs="Calibri"/>
                <w:b/>
                <w:lang w:eastAsia="en-IN"/>
              </w:rPr>
              <w:t xml:space="preserve">Audited </w:t>
            </w:r>
            <w:r w:rsidRPr="00DF08E0">
              <w:rPr>
                <w:rFonts w:asciiTheme="majorHAnsi" w:hAnsiTheme="majorHAnsi" w:cs="Calibri"/>
                <w:b/>
                <w:lang w:eastAsia="en-IN"/>
              </w:rPr>
              <w:t>33 kV Feeders emanating directly from GRIDs</w:t>
            </w:r>
          </w:p>
        </w:tc>
      </w:tr>
      <w:tr w:rsidR="00637059" w:rsidRPr="00DF08E0" w14:paraId="4D1574BD" w14:textId="77777777" w:rsidTr="00637059">
        <w:trPr>
          <w:trHeight w:val="300"/>
          <w:tblHeader/>
          <w:jc w:val="center"/>
        </w:trPr>
        <w:tc>
          <w:tcPr>
            <w:tcW w:w="572" w:type="dxa"/>
            <w:vMerge w:val="restart"/>
            <w:vAlign w:val="center"/>
            <w:hideMark/>
          </w:tcPr>
          <w:p w14:paraId="24433B42" w14:textId="77777777" w:rsidR="00637059" w:rsidRPr="00DF08E0" w:rsidRDefault="00637059" w:rsidP="000F221E">
            <w:pPr>
              <w:spacing w:line="240" w:lineRule="atLeast"/>
              <w:jc w:val="center"/>
              <w:rPr>
                <w:rFonts w:asciiTheme="majorHAnsi" w:hAnsiTheme="majorHAnsi" w:cs="Calibri"/>
                <w:b/>
                <w:lang w:eastAsia="en-IN"/>
              </w:rPr>
            </w:pPr>
            <w:r w:rsidRPr="00DF08E0">
              <w:rPr>
                <w:rFonts w:asciiTheme="majorHAnsi" w:hAnsiTheme="majorHAnsi" w:cs="Calibri"/>
                <w:b/>
                <w:lang w:eastAsia="en-IN"/>
              </w:rPr>
              <w:t>Sl. No.</w:t>
            </w:r>
          </w:p>
        </w:tc>
        <w:tc>
          <w:tcPr>
            <w:tcW w:w="1425" w:type="dxa"/>
            <w:vMerge w:val="restart"/>
            <w:vAlign w:val="center"/>
            <w:hideMark/>
          </w:tcPr>
          <w:p w14:paraId="42451045" w14:textId="77777777" w:rsidR="00637059" w:rsidRPr="00DF08E0" w:rsidRDefault="00637059" w:rsidP="000F221E">
            <w:pPr>
              <w:spacing w:line="240" w:lineRule="atLeast"/>
              <w:jc w:val="center"/>
              <w:rPr>
                <w:rFonts w:asciiTheme="majorHAnsi" w:hAnsiTheme="majorHAnsi" w:cs="Calibri"/>
                <w:b/>
                <w:lang w:eastAsia="en-IN"/>
              </w:rPr>
            </w:pPr>
            <w:r w:rsidRPr="00DF08E0">
              <w:rPr>
                <w:rFonts w:asciiTheme="majorHAnsi" w:hAnsiTheme="majorHAnsi" w:cs="Calibri"/>
                <w:b/>
                <w:lang w:eastAsia="en-IN"/>
              </w:rPr>
              <w:t>Circle</w:t>
            </w:r>
          </w:p>
        </w:tc>
        <w:tc>
          <w:tcPr>
            <w:tcW w:w="1418" w:type="dxa"/>
            <w:vMerge w:val="restart"/>
            <w:vAlign w:val="center"/>
            <w:hideMark/>
          </w:tcPr>
          <w:p w14:paraId="6E8DF0DE" w14:textId="77777777" w:rsidR="00637059" w:rsidRPr="00DF08E0" w:rsidRDefault="00637059" w:rsidP="000F221E">
            <w:pPr>
              <w:spacing w:line="240" w:lineRule="atLeast"/>
              <w:jc w:val="center"/>
              <w:rPr>
                <w:rFonts w:asciiTheme="majorHAnsi" w:hAnsiTheme="majorHAnsi" w:cs="Calibri"/>
                <w:b/>
                <w:lang w:eastAsia="en-IN"/>
              </w:rPr>
            </w:pPr>
            <w:r w:rsidRPr="00DF08E0">
              <w:rPr>
                <w:rFonts w:asciiTheme="majorHAnsi" w:hAnsiTheme="majorHAnsi" w:cs="Calibri"/>
                <w:b/>
                <w:lang w:eastAsia="en-IN"/>
              </w:rPr>
              <w:t>Total No of 33 kV Feeders</w:t>
            </w:r>
          </w:p>
        </w:tc>
        <w:tc>
          <w:tcPr>
            <w:tcW w:w="1417" w:type="dxa"/>
            <w:vMerge w:val="restart"/>
            <w:vAlign w:val="center"/>
            <w:hideMark/>
          </w:tcPr>
          <w:p w14:paraId="565E71A1" w14:textId="77777777" w:rsidR="00637059" w:rsidRPr="00DF08E0" w:rsidRDefault="00637059" w:rsidP="000F221E">
            <w:pPr>
              <w:spacing w:line="240" w:lineRule="atLeast"/>
              <w:jc w:val="center"/>
              <w:rPr>
                <w:rFonts w:asciiTheme="majorHAnsi" w:hAnsiTheme="majorHAnsi" w:cs="Calibri"/>
                <w:b/>
                <w:lang w:eastAsia="en-IN"/>
              </w:rPr>
            </w:pPr>
            <w:r w:rsidRPr="00DF08E0">
              <w:rPr>
                <w:rFonts w:asciiTheme="majorHAnsi" w:hAnsiTheme="majorHAnsi" w:cs="Calibri"/>
                <w:b/>
                <w:lang w:eastAsia="en-IN"/>
              </w:rPr>
              <w:t>No of 33 kV Feeders Audited</w:t>
            </w:r>
          </w:p>
        </w:tc>
      </w:tr>
      <w:tr w:rsidR="00637059" w:rsidRPr="00DF08E0" w14:paraId="2D04D06F" w14:textId="77777777" w:rsidTr="00637059">
        <w:trPr>
          <w:trHeight w:val="276"/>
          <w:tblHeader/>
          <w:jc w:val="center"/>
        </w:trPr>
        <w:tc>
          <w:tcPr>
            <w:tcW w:w="572" w:type="dxa"/>
            <w:vMerge/>
            <w:vAlign w:val="center"/>
            <w:hideMark/>
          </w:tcPr>
          <w:p w14:paraId="4B2C5B24" w14:textId="77777777" w:rsidR="00637059" w:rsidRPr="00DF08E0" w:rsidRDefault="00637059" w:rsidP="000F221E">
            <w:pPr>
              <w:spacing w:line="240" w:lineRule="atLeast"/>
              <w:jc w:val="center"/>
              <w:rPr>
                <w:rFonts w:asciiTheme="majorHAnsi" w:hAnsiTheme="majorHAnsi" w:cs="Calibri"/>
                <w:b/>
                <w:lang w:eastAsia="en-IN"/>
              </w:rPr>
            </w:pPr>
          </w:p>
        </w:tc>
        <w:tc>
          <w:tcPr>
            <w:tcW w:w="1425" w:type="dxa"/>
            <w:vMerge/>
            <w:vAlign w:val="center"/>
            <w:hideMark/>
          </w:tcPr>
          <w:p w14:paraId="7FB14C31" w14:textId="77777777" w:rsidR="00637059" w:rsidRPr="00DF08E0" w:rsidRDefault="00637059" w:rsidP="000F221E">
            <w:pPr>
              <w:spacing w:line="240" w:lineRule="atLeast"/>
              <w:jc w:val="center"/>
              <w:rPr>
                <w:rFonts w:asciiTheme="majorHAnsi" w:hAnsiTheme="majorHAnsi" w:cs="Calibri"/>
                <w:b/>
                <w:lang w:eastAsia="en-IN"/>
              </w:rPr>
            </w:pPr>
          </w:p>
        </w:tc>
        <w:tc>
          <w:tcPr>
            <w:tcW w:w="1418" w:type="dxa"/>
            <w:vMerge/>
            <w:vAlign w:val="center"/>
            <w:hideMark/>
          </w:tcPr>
          <w:p w14:paraId="4FC4E504" w14:textId="77777777" w:rsidR="00637059" w:rsidRPr="00DF08E0" w:rsidRDefault="00637059" w:rsidP="000F221E">
            <w:pPr>
              <w:spacing w:line="240" w:lineRule="atLeast"/>
              <w:jc w:val="center"/>
              <w:rPr>
                <w:rFonts w:asciiTheme="majorHAnsi" w:hAnsiTheme="majorHAnsi" w:cs="Calibri"/>
                <w:b/>
                <w:lang w:eastAsia="en-IN"/>
              </w:rPr>
            </w:pPr>
          </w:p>
        </w:tc>
        <w:tc>
          <w:tcPr>
            <w:tcW w:w="1417" w:type="dxa"/>
            <w:vMerge/>
            <w:vAlign w:val="center"/>
            <w:hideMark/>
          </w:tcPr>
          <w:p w14:paraId="4F92B5F9" w14:textId="77777777" w:rsidR="00637059" w:rsidRPr="00DF08E0" w:rsidRDefault="00637059" w:rsidP="000F221E">
            <w:pPr>
              <w:spacing w:line="240" w:lineRule="atLeast"/>
              <w:jc w:val="center"/>
              <w:rPr>
                <w:rFonts w:asciiTheme="majorHAnsi" w:hAnsiTheme="majorHAnsi" w:cs="Calibri"/>
                <w:b/>
                <w:lang w:eastAsia="en-IN"/>
              </w:rPr>
            </w:pPr>
          </w:p>
        </w:tc>
      </w:tr>
      <w:tr w:rsidR="00637059" w:rsidRPr="00DF08E0" w14:paraId="771DB05C" w14:textId="77777777" w:rsidTr="00637059">
        <w:trPr>
          <w:trHeight w:val="300"/>
          <w:jc w:val="center"/>
        </w:trPr>
        <w:tc>
          <w:tcPr>
            <w:tcW w:w="572" w:type="dxa"/>
            <w:vAlign w:val="center"/>
            <w:hideMark/>
          </w:tcPr>
          <w:p w14:paraId="2CBD07E5" w14:textId="77777777" w:rsidR="00637059" w:rsidRPr="00DF08E0" w:rsidRDefault="00637059" w:rsidP="000F221E">
            <w:pPr>
              <w:spacing w:line="240" w:lineRule="atLeast"/>
              <w:jc w:val="center"/>
              <w:rPr>
                <w:rFonts w:asciiTheme="majorHAnsi" w:hAnsiTheme="majorHAnsi" w:cs="Calibri"/>
                <w:bCs/>
                <w:lang w:eastAsia="en-IN"/>
              </w:rPr>
            </w:pPr>
            <w:r w:rsidRPr="00DF08E0">
              <w:rPr>
                <w:rFonts w:asciiTheme="majorHAnsi" w:hAnsiTheme="majorHAnsi" w:cs="Calibri"/>
                <w:bCs/>
                <w:lang w:eastAsia="en-IN"/>
              </w:rPr>
              <w:t>1</w:t>
            </w:r>
          </w:p>
        </w:tc>
        <w:tc>
          <w:tcPr>
            <w:tcW w:w="1425" w:type="dxa"/>
            <w:vAlign w:val="center"/>
            <w:hideMark/>
          </w:tcPr>
          <w:p w14:paraId="6AE4A04D" w14:textId="77777777" w:rsidR="00637059" w:rsidRPr="00DF08E0" w:rsidRDefault="00637059" w:rsidP="000F221E">
            <w:pPr>
              <w:spacing w:line="240" w:lineRule="atLeast"/>
              <w:rPr>
                <w:rFonts w:asciiTheme="majorHAnsi" w:hAnsiTheme="majorHAnsi" w:cs="Calibri"/>
                <w:bCs/>
                <w:lang w:eastAsia="en-IN"/>
              </w:rPr>
            </w:pPr>
            <w:r w:rsidRPr="00DF08E0">
              <w:rPr>
                <w:rFonts w:asciiTheme="majorHAnsi" w:hAnsiTheme="majorHAnsi" w:cs="Calibri"/>
                <w:bCs/>
                <w:lang w:eastAsia="en-IN"/>
              </w:rPr>
              <w:t>Rourkela</w:t>
            </w:r>
          </w:p>
        </w:tc>
        <w:tc>
          <w:tcPr>
            <w:tcW w:w="1418" w:type="dxa"/>
            <w:vAlign w:val="center"/>
            <w:hideMark/>
          </w:tcPr>
          <w:p w14:paraId="5FE68815" w14:textId="77777777" w:rsidR="00637059" w:rsidRPr="00DF08E0" w:rsidRDefault="00637059" w:rsidP="000F221E">
            <w:pPr>
              <w:spacing w:line="240" w:lineRule="atLeast"/>
              <w:jc w:val="center"/>
              <w:rPr>
                <w:rFonts w:asciiTheme="majorHAnsi" w:hAnsiTheme="majorHAnsi" w:cs="Calibri"/>
                <w:bCs/>
                <w:lang w:eastAsia="en-IN"/>
              </w:rPr>
            </w:pPr>
            <w:r w:rsidRPr="00DF08E0">
              <w:rPr>
                <w:rFonts w:asciiTheme="majorHAnsi" w:hAnsiTheme="majorHAnsi" w:cs="Calibri"/>
                <w:bCs/>
                <w:lang w:eastAsia="en-IN"/>
              </w:rPr>
              <w:t>57</w:t>
            </w:r>
          </w:p>
        </w:tc>
        <w:tc>
          <w:tcPr>
            <w:tcW w:w="1417" w:type="dxa"/>
            <w:vAlign w:val="center"/>
            <w:hideMark/>
          </w:tcPr>
          <w:p w14:paraId="29FF6CDD" w14:textId="77777777" w:rsidR="00637059" w:rsidRPr="00DF08E0" w:rsidRDefault="00637059" w:rsidP="000F221E">
            <w:pPr>
              <w:spacing w:line="240" w:lineRule="atLeast"/>
              <w:jc w:val="center"/>
              <w:rPr>
                <w:rFonts w:asciiTheme="majorHAnsi" w:hAnsiTheme="majorHAnsi" w:cs="Calibri"/>
                <w:bCs/>
                <w:lang w:eastAsia="en-IN"/>
              </w:rPr>
            </w:pPr>
            <w:r w:rsidRPr="00DF08E0">
              <w:rPr>
                <w:rFonts w:asciiTheme="majorHAnsi" w:hAnsiTheme="majorHAnsi" w:cs="Calibri"/>
                <w:bCs/>
                <w:lang w:eastAsia="en-IN"/>
              </w:rPr>
              <w:t>57</w:t>
            </w:r>
          </w:p>
        </w:tc>
      </w:tr>
      <w:tr w:rsidR="00637059" w:rsidRPr="00DF08E0" w14:paraId="3A88BDC7" w14:textId="77777777" w:rsidTr="00637059">
        <w:trPr>
          <w:trHeight w:val="300"/>
          <w:jc w:val="center"/>
        </w:trPr>
        <w:tc>
          <w:tcPr>
            <w:tcW w:w="572" w:type="dxa"/>
            <w:vAlign w:val="center"/>
            <w:hideMark/>
          </w:tcPr>
          <w:p w14:paraId="4903AE3C" w14:textId="77777777" w:rsidR="00637059" w:rsidRPr="00DF08E0" w:rsidRDefault="00637059" w:rsidP="000F221E">
            <w:pPr>
              <w:spacing w:line="240" w:lineRule="atLeast"/>
              <w:jc w:val="center"/>
              <w:rPr>
                <w:rFonts w:asciiTheme="majorHAnsi" w:hAnsiTheme="majorHAnsi" w:cs="Calibri"/>
                <w:bCs/>
                <w:lang w:eastAsia="en-IN"/>
              </w:rPr>
            </w:pPr>
            <w:r w:rsidRPr="00DF08E0">
              <w:rPr>
                <w:rFonts w:asciiTheme="majorHAnsi" w:hAnsiTheme="majorHAnsi" w:cs="Calibri"/>
                <w:bCs/>
                <w:lang w:eastAsia="en-IN"/>
              </w:rPr>
              <w:t>2</w:t>
            </w:r>
          </w:p>
        </w:tc>
        <w:tc>
          <w:tcPr>
            <w:tcW w:w="1425" w:type="dxa"/>
            <w:vAlign w:val="center"/>
            <w:hideMark/>
          </w:tcPr>
          <w:p w14:paraId="2D401488" w14:textId="77777777" w:rsidR="00637059" w:rsidRPr="00DF08E0" w:rsidRDefault="00637059" w:rsidP="000F221E">
            <w:pPr>
              <w:spacing w:line="240" w:lineRule="atLeast"/>
              <w:rPr>
                <w:rFonts w:asciiTheme="majorHAnsi" w:hAnsiTheme="majorHAnsi" w:cs="Calibri"/>
                <w:bCs/>
                <w:lang w:eastAsia="en-IN"/>
              </w:rPr>
            </w:pPr>
            <w:r w:rsidRPr="00DF08E0">
              <w:rPr>
                <w:rFonts w:asciiTheme="majorHAnsi" w:hAnsiTheme="majorHAnsi" w:cs="Calibri"/>
                <w:bCs/>
                <w:lang w:eastAsia="en-IN"/>
              </w:rPr>
              <w:t>Sambalpur</w:t>
            </w:r>
          </w:p>
        </w:tc>
        <w:tc>
          <w:tcPr>
            <w:tcW w:w="1418" w:type="dxa"/>
            <w:vAlign w:val="center"/>
            <w:hideMark/>
          </w:tcPr>
          <w:p w14:paraId="0E606BFE" w14:textId="77777777" w:rsidR="00637059" w:rsidRPr="00DF08E0" w:rsidRDefault="00637059" w:rsidP="000F221E">
            <w:pPr>
              <w:spacing w:line="240" w:lineRule="atLeast"/>
              <w:jc w:val="center"/>
              <w:rPr>
                <w:rFonts w:asciiTheme="majorHAnsi" w:hAnsiTheme="majorHAnsi" w:cs="Calibri"/>
                <w:bCs/>
                <w:lang w:eastAsia="en-IN"/>
              </w:rPr>
            </w:pPr>
            <w:r w:rsidRPr="00DF08E0">
              <w:rPr>
                <w:rFonts w:asciiTheme="majorHAnsi" w:hAnsiTheme="majorHAnsi" w:cs="Calibri"/>
                <w:bCs/>
                <w:lang w:eastAsia="en-IN"/>
              </w:rPr>
              <w:t>58</w:t>
            </w:r>
          </w:p>
        </w:tc>
        <w:tc>
          <w:tcPr>
            <w:tcW w:w="1417" w:type="dxa"/>
            <w:vAlign w:val="center"/>
            <w:hideMark/>
          </w:tcPr>
          <w:p w14:paraId="241BA6CC" w14:textId="77777777" w:rsidR="00637059" w:rsidRPr="00DF08E0" w:rsidRDefault="00637059" w:rsidP="000F221E">
            <w:pPr>
              <w:spacing w:line="240" w:lineRule="atLeast"/>
              <w:jc w:val="center"/>
              <w:rPr>
                <w:rFonts w:asciiTheme="majorHAnsi" w:hAnsiTheme="majorHAnsi" w:cs="Calibri"/>
                <w:bCs/>
                <w:lang w:eastAsia="en-IN"/>
              </w:rPr>
            </w:pPr>
            <w:r w:rsidRPr="00DF08E0">
              <w:rPr>
                <w:rFonts w:asciiTheme="majorHAnsi" w:hAnsiTheme="majorHAnsi" w:cs="Calibri"/>
                <w:bCs/>
                <w:lang w:eastAsia="en-IN"/>
              </w:rPr>
              <w:t>58</w:t>
            </w:r>
          </w:p>
        </w:tc>
      </w:tr>
      <w:tr w:rsidR="00637059" w:rsidRPr="00DF08E0" w14:paraId="3DE9BC20" w14:textId="77777777" w:rsidTr="00637059">
        <w:trPr>
          <w:trHeight w:val="300"/>
          <w:jc w:val="center"/>
        </w:trPr>
        <w:tc>
          <w:tcPr>
            <w:tcW w:w="572" w:type="dxa"/>
            <w:vAlign w:val="center"/>
            <w:hideMark/>
          </w:tcPr>
          <w:p w14:paraId="2AE55535" w14:textId="77777777" w:rsidR="00637059" w:rsidRPr="00DF08E0" w:rsidRDefault="00637059" w:rsidP="000F221E">
            <w:pPr>
              <w:spacing w:line="240" w:lineRule="atLeast"/>
              <w:jc w:val="center"/>
              <w:rPr>
                <w:rFonts w:asciiTheme="majorHAnsi" w:hAnsiTheme="majorHAnsi" w:cs="Calibri"/>
                <w:bCs/>
                <w:lang w:eastAsia="en-IN"/>
              </w:rPr>
            </w:pPr>
            <w:r w:rsidRPr="00DF08E0">
              <w:rPr>
                <w:rFonts w:asciiTheme="majorHAnsi" w:hAnsiTheme="majorHAnsi" w:cs="Calibri"/>
                <w:bCs/>
                <w:lang w:eastAsia="en-IN"/>
              </w:rPr>
              <w:t>3</w:t>
            </w:r>
          </w:p>
        </w:tc>
        <w:tc>
          <w:tcPr>
            <w:tcW w:w="1425" w:type="dxa"/>
            <w:vAlign w:val="center"/>
            <w:hideMark/>
          </w:tcPr>
          <w:p w14:paraId="3B02AAE5" w14:textId="77777777" w:rsidR="00637059" w:rsidRPr="00DF08E0" w:rsidRDefault="00637059" w:rsidP="000F221E">
            <w:pPr>
              <w:spacing w:line="240" w:lineRule="atLeast"/>
              <w:rPr>
                <w:rFonts w:asciiTheme="majorHAnsi" w:hAnsiTheme="majorHAnsi" w:cs="Calibri"/>
                <w:bCs/>
                <w:lang w:eastAsia="en-IN"/>
              </w:rPr>
            </w:pPr>
            <w:r w:rsidRPr="00DF08E0">
              <w:rPr>
                <w:rFonts w:asciiTheme="majorHAnsi" w:hAnsiTheme="majorHAnsi" w:cs="Calibri"/>
                <w:bCs/>
                <w:lang w:eastAsia="en-IN"/>
              </w:rPr>
              <w:t>Bargarh</w:t>
            </w:r>
          </w:p>
        </w:tc>
        <w:tc>
          <w:tcPr>
            <w:tcW w:w="1418" w:type="dxa"/>
            <w:vAlign w:val="center"/>
            <w:hideMark/>
          </w:tcPr>
          <w:p w14:paraId="7062E875" w14:textId="77777777" w:rsidR="00637059" w:rsidRPr="00DF08E0" w:rsidRDefault="00637059" w:rsidP="000F221E">
            <w:pPr>
              <w:spacing w:line="240" w:lineRule="atLeast"/>
              <w:jc w:val="center"/>
              <w:rPr>
                <w:rFonts w:asciiTheme="majorHAnsi" w:hAnsiTheme="majorHAnsi" w:cs="Calibri"/>
                <w:bCs/>
                <w:lang w:eastAsia="en-IN"/>
              </w:rPr>
            </w:pPr>
            <w:r w:rsidRPr="00DF08E0">
              <w:rPr>
                <w:rFonts w:asciiTheme="majorHAnsi" w:hAnsiTheme="majorHAnsi" w:cs="Calibri"/>
                <w:bCs/>
                <w:lang w:eastAsia="en-IN"/>
              </w:rPr>
              <w:t>32</w:t>
            </w:r>
          </w:p>
        </w:tc>
        <w:tc>
          <w:tcPr>
            <w:tcW w:w="1417" w:type="dxa"/>
            <w:vAlign w:val="center"/>
            <w:hideMark/>
          </w:tcPr>
          <w:p w14:paraId="1D7CC578" w14:textId="77777777" w:rsidR="00637059" w:rsidRPr="00DF08E0" w:rsidRDefault="00637059" w:rsidP="000F221E">
            <w:pPr>
              <w:spacing w:line="240" w:lineRule="atLeast"/>
              <w:jc w:val="center"/>
              <w:rPr>
                <w:rFonts w:asciiTheme="majorHAnsi" w:hAnsiTheme="majorHAnsi" w:cs="Calibri"/>
                <w:bCs/>
                <w:lang w:eastAsia="en-IN"/>
              </w:rPr>
            </w:pPr>
            <w:r w:rsidRPr="00DF08E0">
              <w:rPr>
                <w:rFonts w:asciiTheme="majorHAnsi" w:hAnsiTheme="majorHAnsi" w:cs="Calibri"/>
                <w:bCs/>
                <w:lang w:eastAsia="en-IN"/>
              </w:rPr>
              <w:t>32</w:t>
            </w:r>
          </w:p>
        </w:tc>
      </w:tr>
      <w:tr w:rsidR="00637059" w:rsidRPr="00DF08E0" w14:paraId="6DEE77BB" w14:textId="77777777" w:rsidTr="00637059">
        <w:trPr>
          <w:trHeight w:val="300"/>
          <w:jc w:val="center"/>
        </w:trPr>
        <w:tc>
          <w:tcPr>
            <w:tcW w:w="572" w:type="dxa"/>
            <w:vAlign w:val="center"/>
            <w:hideMark/>
          </w:tcPr>
          <w:p w14:paraId="4AE2E57A" w14:textId="77777777" w:rsidR="00637059" w:rsidRPr="00DF08E0" w:rsidRDefault="00637059" w:rsidP="000F221E">
            <w:pPr>
              <w:spacing w:line="240" w:lineRule="atLeast"/>
              <w:jc w:val="center"/>
              <w:rPr>
                <w:rFonts w:asciiTheme="majorHAnsi" w:hAnsiTheme="majorHAnsi" w:cs="Calibri"/>
                <w:bCs/>
                <w:lang w:eastAsia="en-IN"/>
              </w:rPr>
            </w:pPr>
            <w:r w:rsidRPr="00DF08E0">
              <w:rPr>
                <w:rFonts w:asciiTheme="majorHAnsi" w:hAnsiTheme="majorHAnsi" w:cs="Calibri"/>
                <w:bCs/>
                <w:lang w:eastAsia="en-IN"/>
              </w:rPr>
              <w:t>4</w:t>
            </w:r>
          </w:p>
        </w:tc>
        <w:tc>
          <w:tcPr>
            <w:tcW w:w="1425" w:type="dxa"/>
            <w:vAlign w:val="center"/>
            <w:hideMark/>
          </w:tcPr>
          <w:p w14:paraId="7D8A4897" w14:textId="77777777" w:rsidR="00637059" w:rsidRPr="00DF08E0" w:rsidRDefault="00637059" w:rsidP="000F221E">
            <w:pPr>
              <w:spacing w:line="240" w:lineRule="atLeast"/>
              <w:rPr>
                <w:rFonts w:asciiTheme="majorHAnsi" w:hAnsiTheme="majorHAnsi" w:cs="Calibri"/>
                <w:bCs/>
                <w:lang w:eastAsia="en-IN"/>
              </w:rPr>
            </w:pPr>
            <w:r w:rsidRPr="00DF08E0">
              <w:rPr>
                <w:rFonts w:asciiTheme="majorHAnsi" w:hAnsiTheme="majorHAnsi" w:cs="Calibri"/>
                <w:bCs/>
                <w:lang w:eastAsia="en-IN"/>
              </w:rPr>
              <w:t>Bolangir</w:t>
            </w:r>
          </w:p>
        </w:tc>
        <w:tc>
          <w:tcPr>
            <w:tcW w:w="1418" w:type="dxa"/>
            <w:vAlign w:val="center"/>
            <w:hideMark/>
          </w:tcPr>
          <w:p w14:paraId="3D0FCFCD" w14:textId="77777777" w:rsidR="00637059" w:rsidRPr="00DF08E0" w:rsidRDefault="00637059" w:rsidP="000F221E">
            <w:pPr>
              <w:spacing w:line="240" w:lineRule="atLeast"/>
              <w:jc w:val="center"/>
              <w:rPr>
                <w:rFonts w:asciiTheme="majorHAnsi" w:hAnsiTheme="majorHAnsi" w:cs="Calibri"/>
                <w:bCs/>
                <w:lang w:eastAsia="en-IN"/>
              </w:rPr>
            </w:pPr>
            <w:r w:rsidRPr="00DF08E0">
              <w:rPr>
                <w:rFonts w:asciiTheme="majorHAnsi" w:hAnsiTheme="majorHAnsi" w:cs="Calibri"/>
                <w:bCs/>
                <w:lang w:eastAsia="en-IN"/>
              </w:rPr>
              <w:t>44</w:t>
            </w:r>
          </w:p>
        </w:tc>
        <w:tc>
          <w:tcPr>
            <w:tcW w:w="1417" w:type="dxa"/>
            <w:vAlign w:val="center"/>
            <w:hideMark/>
          </w:tcPr>
          <w:p w14:paraId="22A3CA8F" w14:textId="77777777" w:rsidR="00637059" w:rsidRPr="00DF08E0" w:rsidRDefault="00637059" w:rsidP="000F221E">
            <w:pPr>
              <w:spacing w:line="240" w:lineRule="atLeast"/>
              <w:jc w:val="center"/>
              <w:rPr>
                <w:rFonts w:asciiTheme="majorHAnsi" w:hAnsiTheme="majorHAnsi" w:cs="Calibri"/>
                <w:bCs/>
                <w:lang w:eastAsia="en-IN"/>
              </w:rPr>
            </w:pPr>
            <w:r w:rsidRPr="00DF08E0">
              <w:rPr>
                <w:rFonts w:asciiTheme="majorHAnsi" w:hAnsiTheme="majorHAnsi" w:cs="Calibri"/>
                <w:bCs/>
                <w:lang w:eastAsia="en-IN"/>
              </w:rPr>
              <w:t>44</w:t>
            </w:r>
          </w:p>
        </w:tc>
      </w:tr>
      <w:tr w:rsidR="00637059" w:rsidRPr="00DF08E0" w14:paraId="5BD64AA3" w14:textId="77777777" w:rsidTr="00637059">
        <w:trPr>
          <w:trHeight w:val="300"/>
          <w:jc w:val="center"/>
        </w:trPr>
        <w:tc>
          <w:tcPr>
            <w:tcW w:w="572" w:type="dxa"/>
            <w:vAlign w:val="center"/>
            <w:hideMark/>
          </w:tcPr>
          <w:p w14:paraId="70742137" w14:textId="77777777" w:rsidR="00637059" w:rsidRPr="00DF08E0" w:rsidRDefault="00637059" w:rsidP="000F221E">
            <w:pPr>
              <w:spacing w:line="240" w:lineRule="atLeast"/>
              <w:jc w:val="center"/>
              <w:rPr>
                <w:rFonts w:asciiTheme="majorHAnsi" w:hAnsiTheme="majorHAnsi" w:cs="Calibri"/>
                <w:bCs/>
                <w:lang w:eastAsia="en-IN"/>
              </w:rPr>
            </w:pPr>
            <w:r w:rsidRPr="00DF08E0">
              <w:rPr>
                <w:rFonts w:asciiTheme="majorHAnsi" w:hAnsiTheme="majorHAnsi" w:cs="Calibri"/>
                <w:bCs/>
                <w:lang w:eastAsia="en-IN"/>
              </w:rPr>
              <w:t>5</w:t>
            </w:r>
          </w:p>
        </w:tc>
        <w:tc>
          <w:tcPr>
            <w:tcW w:w="1425" w:type="dxa"/>
            <w:vAlign w:val="center"/>
            <w:hideMark/>
          </w:tcPr>
          <w:p w14:paraId="322B248E" w14:textId="77777777" w:rsidR="00637059" w:rsidRPr="00DF08E0" w:rsidRDefault="00637059" w:rsidP="000F221E">
            <w:pPr>
              <w:spacing w:line="240" w:lineRule="atLeast"/>
              <w:rPr>
                <w:rFonts w:asciiTheme="majorHAnsi" w:hAnsiTheme="majorHAnsi" w:cs="Calibri"/>
                <w:bCs/>
                <w:lang w:eastAsia="en-IN"/>
              </w:rPr>
            </w:pPr>
            <w:r w:rsidRPr="00DF08E0">
              <w:rPr>
                <w:rFonts w:asciiTheme="majorHAnsi" w:hAnsiTheme="majorHAnsi" w:cs="Calibri"/>
                <w:bCs/>
                <w:lang w:eastAsia="en-IN"/>
              </w:rPr>
              <w:t>Kalahandi</w:t>
            </w:r>
          </w:p>
        </w:tc>
        <w:tc>
          <w:tcPr>
            <w:tcW w:w="1418" w:type="dxa"/>
            <w:vAlign w:val="center"/>
            <w:hideMark/>
          </w:tcPr>
          <w:p w14:paraId="3C2632E1" w14:textId="77777777" w:rsidR="00637059" w:rsidRPr="00DF08E0" w:rsidRDefault="00637059" w:rsidP="000F221E">
            <w:pPr>
              <w:spacing w:line="240" w:lineRule="atLeast"/>
              <w:jc w:val="center"/>
              <w:rPr>
                <w:rFonts w:asciiTheme="majorHAnsi" w:hAnsiTheme="majorHAnsi" w:cs="Calibri"/>
                <w:bCs/>
                <w:lang w:eastAsia="en-IN"/>
              </w:rPr>
            </w:pPr>
            <w:r w:rsidRPr="00DF08E0">
              <w:rPr>
                <w:rFonts w:asciiTheme="majorHAnsi" w:hAnsiTheme="majorHAnsi" w:cs="Calibri"/>
                <w:bCs/>
                <w:lang w:eastAsia="en-IN"/>
              </w:rPr>
              <w:t>33</w:t>
            </w:r>
          </w:p>
        </w:tc>
        <w:tc>
          <w:tcPr>
            <w:tcW w:w="1417" w:type="dxa"/>
            <w:vAlign w:val="center"/>
            <w:hideMark/>
          </w:tcPr>
          <w:p w14:paraId="207AACAB" w14:textId="77777777" w:rsidR="00637059" w:rsidRPr="00DF08E0" w:rsidRDefault="00637059" w:rsidP="000F221E">
            <w:pPr>
              <w:spacing w:line="240" w:lineRule="atLeast"/>
              <w:jc w:val="center"/>
              <w:rPr>
                <w:rFonts w:asciiTheme="majorHAnsi" w:hAnsiTheme="majorHAnsi" w:cs="Calibri"/>
                <w:bCs/>
                <w:lang w:eastAsia="en-IN"/>
              </w:rPr>
            </w:pPr>
            <w:r w:rsidRPr="00DF08E0">
              <w:rPr>
                <w:rFonts w:asciiTheme="majorHAnsi" w:hAnsiTheme="majorHAnsi" w:cs="Calibri"/>
                <w:bCs/>
                <w:lang w:eastAsia="en-IN"/>
              </w:rPr>
              <w:t>33</w:t>
            </w:r>
          </w:p>
        </w:tc>
      </w:tr>
      <w:tr w:rsidR="00637059" w:rsidRPr="00DF08E0" w14:paraId="02D2FB1A" w14:textId="77777777" w:rsidTr="00637059">
        <w:trPr>
          <w:trHeight w:val="300"/>
          <w:jc w:val="center"/>
        </w:trPr>
        <w:tc>
          <w:tcPr>
            <w:tcW w:w="1997" w:type="dxa"/>
            <w:gridSpan w:val="2"/>
            <w:vAlign w:val="center"/>
            <w:hideMark/>
          </w:tcPr>
          <w:p w14:paraId="46FA3B09" w14:textId="77777777" w:rsidR="00637059" w:rsidRPr="00DF08E0" w:rsidRDefault="00637059" w:rsidP="000F221E">
            <w:pPr>
              <w:spacing w:line="240" w:lineRule="atLeast"/>
              <w:jc w:val="center"/>
              <w:rPr>
                <w:rFonts w:asciiTheme="majorHAnsi" w:hAnsiTheme="majorHAnsi" w:cs="Calibri"/>
                <w:b/>
                <w:lang w:eastAsia="en-IN"/>
              </w:rPr>
            </w:pPr>
            <w:r w:rsidRPr="00DF08E0">
              <w:rPr>
                <w:rFonts w:asciiTheme="majorHAnsi" w:hAnsiTheme="majorHAnsi" w:cs="Calibri"/>
                <w:b/>
                <w:lang w:eastAsia="en-IN"/>
              </w:rPr>
              <w:t>TPWODL</w:t>
            </w:r>
          </w:p>
        </w:tc>
        <w:tc>
          <w:tcPr>
            <w:tcW w:w="1418" w:type="dxa"/>
            <w:vAlign w:val="center"/>
            <w:hideMark/>
          </w:tcPr>
          <w:p w14:paraId="08B7B0B9" w14:textId="77777777" w:rsidR="00637059" w:rsidRPr="00DF08E0" w:rsidRDefault="00637059" w:rsidP="000F221E">
            <w:pPr>
              <w:spacing w:line="240" w:lineRule="atLeast"/>
              <w:jc w:val="center"/>
              <w:rPr>
                <w:rFonts w:asciiTheme="majorHAnsi" w:hAnsiTheme="majorHAnsi" w:cs="Calibri"/>
                <w:b/>
                <w:lang w:eastAsia="en-IN"/>
              </w:rPr>
            </w:pPr>
            <w:r w:rsidRPr="00DF08E0">
              <w:rPr>
                <w:rFonts w:asciiTheme="majorHAnsi" w:hAnsiTheme="majorHAnsi" w:cs="Calibri"/>
                <w:b/>
                <w:lang w:eastAsia="en-IN"/>
              </w:rPr>
              <w:t>224</w:t>
            </w:r>
          </w:p>
        </w:tc>
        <w:tc>
          <w:tcPr>
            <w:tcW w:w="1417" w:type="dxa"/>
            <w:vAlign w:val="center"/>
            <w:hideMark/>
          </w:tcPr>
          <w:p w14:paraId="0A0364A1" w14:textId="77777777" w:rsidR="00637059" w:rsidRPr="00DF08E0" w:rsidRDefault="00637059" w:rsidP="000F221E">
            <w:pPr>
              <w:spacing w:line="240" w:lineRule="atLeast"/>
              <w:jc w:val="center"/>
              <w:rPr>
                <w:rFonts w:asciiTheme="majorHAnsi" w:hAnsiTheme="majorHAnsi" w:cs="Calibri"/>
                <w:b/>
                <w:lang w:eastAsia="en-IN"/>
              </w:rPr>
            </w:pPr>
            <w:r w:rsidRPr="00DF08E0">
              <w:rPr>
                <w:rFonts w:asciiTheme="majorHAnsi" w:hAnsiTheme="majorHAnsi" w:cs="Calibri"/>
                <w:b/>
                <w:lang w:eastAsia="en-IN"/>
              </w:rPr>
              <w:t>224</w:t>
            </w:r>
          </w:p>
        </w:tc>
      </w:tr>
    </w:tbl>
    <w:p w14:paraId="4D8B6FD6" w14:textId="77777777" w:rsidR="00DE777D" w:rsidRDefault="00DE777D" w:rsidP="00AA1771">
      <w:pPr>
        <w:spacing w:line="360" w:lineRule="auto"/>
        <w:jc w:val="both"/>
        <w:rPr>
          <w:rFonts w:asciiTheme="majorHAnsi" w:hAnsiTheme="majorHAnsi"/>
          <w:b/>
          <w:bCs/>
        </w:rPr>
      </w:pPr>
    </w:p>
    <w:p w14:paraId="781D7C47" w14:textId="095E12F5" w:rsidR="00E666D9" w:rsidRDefault="00E666D9" w:rsidP="00E666D9">
      <w:pPr>
        <w:spacing w:line="360" w:lineRule="auto"/>
        <w:jc w:val="both"/>
        <w:rPr>
          <w:rFonts w:asciiTheme="majorHAnsi" w:hAnsiTheme="majorHAnsi"/>
        </w:rPr>
      </w:pPr>
      <w:r w:rsidRPr="00F83490">
        <w:rPr>
          <w:rFonts w:asciiTheme="majorHAnsi" w:hAnsiTheme="majorHAnsi"/>
        </w:rPr>
        <w:t>The 33 kV industry audit report of TPWODL is attached herewith for reference:</w:t>
      </w:r>
    </w:p>
    <w:tbl>
      <w:tblPr>
        <w:tblW w:w="6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1276"/>
        <w:gridCol w:w="1134"/>
        <w:gridCol w:w="1341"/>
        <w:gridCol w:w="1193"/>
      </w:tblGrid>
      <w:tr w:rsidR="00410F12" w:rsidRPr="00E666D9" w14:paraId="46D76C73" w14:textId="77777777" w:rsidTr="00410F12">
        <w:trPr>
          <w:trHeight w:val="396"/>
          <w:jc w:val="center"/>
        </w:trPr>
        <w:tc>
          <w:tcPr>
            <w:tcW w:w="1153" w:type="dxa"/>
            <w:vMerge w:val="restart"/>
            <w:vAlign w:val="center"/>
            <w:hideMark/>
          </w:tcPr>
          <w:p w14:paraId="1E359AF1" w14:textId="77777777" w:rsidR="00410F12" w:rsidRPr="00E666D9" w:rsidRDefault="00410F12" w:rsidP="000F221E">
            <w:pPr>
              <w:spacing w:line="240" w:lineRule="atLeast"/>
              <w:jc w:val="center"/>
              <w:rPr>
                <w:rFonts w:asciiTheme="majorHAnsi" w:hAnsiTheme="majorHAnsi" w:cs="Calibri"/>
                <w:b/>
                <w:lang w:eastAsia="en-IN"/>
              </w:rPr>
            </w:pPr>
            <w:r w:rsidRPr="00E666D9">
              <w:rPr>
                <w:rFonts w:asciiTheme="majorHAnsi" w:hAnsiTheme="majorHAnsi" w:cs="Calibri"/>
                <w:b/>
                <w:lang w:eastAsia="en-IN"/>
              </w:rPr>
              <w:t>Voltage Level</w:t>
            </w:r>
          </w:p>
        </w:tc>
        <w:tc>
          <w:tcPr>
            <w:tcW w:w="1276" w:type="dxa"/>
            <w:vMerge w:val="restart"/>
            <w:vAlign w:val="center"/>
            <w:hideMark/>
          </w:tcPr>
          <w:p w14:paraId="0985DFCD" w14:textId="77777777" w:rsidR="00410F12" w:rsidRPr="00E666D9" w:rsidRDefault="00410F12" w:rsidP="000F221E">
            <w:pPr>
              <w:spacing w:line="240" w:lineRule="atLeast"/>
              <w:jc w:val="center"/>
              <w:rPr>
                <w:rFonts w:asciiTheme="majorHAnsi" w:hAnsiTheme="majorHAnsi" w:cs="Calibri"/>
                <w:b/>
                <w:lang w:eastAsia="en-IN"/>
              </w:rPr>
            </w:pPr>
            <w:r w:rsidRPr="00E666D9">
              <w:rPr>
                <w:rFonts w:asciiTheme="majorHAnsi" w:hAnsiTheme="majorHAnsi" w:cs="Calibri"/>
                <w:b/>
                <w:lang w:eastAsia="en-IN"/>
              </w:rPr>
              <w:t>Type Of Audit</w:t>
            </w:r>
          </w:p>
        </w:tc>
        <w:tc>
          <w:tcPr>
            <w:tcW w:w="1134" w:type="dxa"/>
            <w:vMerge w:val="restart"/>
            <w:vAlign w:val="center"/>
            <w:hideMark/>
          </w:tcPr>
          <w:p w14:paraId="6FE7838D" w14:textId="77777777" w:rsidR="00410F12" w:rsidRPr="00E666D9" w:rsidRDefault="00410F12" w:rsidP="000F221E">
            <w:pPr>
              <w:spacing w:line="240" w:lineRule="atLeast"/>
              <w:jc w:val="center"/>
              <w:rPr>
                <w:rFonts w:asciiTheme="majorHAnsi" w:hAnsiTheme="majorHAnsi" w:cs="Calibri"/>
                <w:b/>
                <w:lang w:eastAsia="en-IN"/>
              </w:rPr>
            </w:pPr>
            <w:r w:rsidRPr="00E666D9">
              <w:rPr>
                <w:rFonts w:asciiTheme="majorHAnsi" w:hAnsiTheme="majorHAnsi" w:cs="Calibri"/>
                <w:b/>
                <w:lang w:eastAsia="en-IN"/>
              </w:rPr>
              <w:t xml:space="preserve">No Of Audit Points </w:t>
            </w:r>
          </w:p>
        </w:tc>
        <w:tc>
          <w:tcPr>
            <w:tcW w:w="1341" w:type="dxa"/>
            <w:vMerge w:val="restart"/>
            <w:vAlign w:val="center"/>
            <w:hideMark/>
          </w:tcPr>
          <w:p w14:paraId="1FAEAE63" w14:textId="77777777" w:rsidR="00410F12" w:rsidRPr="00E666D9" w:rsidRDefault="00410F12" w:rsidP="000F221E">
            <w:pPr>
              <w:spacing w:line="240" w:lineRule="atLeast"/>
              <w:jc w:val="center"/>
              <w:rPr>
                <w:rFonts w:asciiTheme="majorHAnsi" w:hAnsiTheme="majorHAnsi" w:cs="Calibri"/>
                <w:b/>
                <w:lang w:eastAsia="en-IN"/>
              </w:rPr>
            </w:pPr>
            <w:r w:rsidRPr="00E666D9">
              <w:rPr>
                <w:rFonts w:asciiTheme="majorHAnsi" w:hAnsiTheme="majorHAnsi" w:cs="Calibri"/>
                <w:b/>
                <w:lang w:eastAsia="en-IN"/>
              </w:rPr>
              <w:t>No Of Consumer Covered</w:t>
            </w:r>
          </w:p>
        </w:tc>
        <w:tc>
          <w:tcPr>
            <w:tcW w:w="1193" w:type="dxa"/>
            <w:vMerge w:val="restart"/>
            <w:vAlign w:val="center"/>
            <w:hideMark/>
          </w:tcPr>
          <w:p w14:paraId="0B64D0AD" w14:textId="77777777" w:rsidR="00410F12" w:rsidRPr="00E666D9" w:rsidRDefault="00410F12" w:rsidP="000F221E">
            <w:pPr>
              <w:spacing w:line="240" w:lineRule="atLeast"/>
              <w:jc w:val="center"/>
              <w:rPr>
                <w:rFonts w:asciiTheme="majorHAnsi" w:hAnsiTheme="majorHAnsi" w:cs="Calibri"/>
                <w:b/>
                <w:lang w:eastAsia="en-IN"/>
              </w:rPr>
            </w:pPr>
            <w:r w:rsidRPr="00E666D9">
              <w:rPr>
                <w:rFonts w:asciiTheme="majorHAnsi" w:hAnsiTheme="majorHAnsi" w:cs="Calibri"/>
                <w:b/>
                <w:lang w:eastAsia="en-IN"/>
              </w:rPr>
              <w:t>Units Audited (MU)</w:t>
            </w:r>
          </w:p>
        </w:tc>
      </w:tr>
      <w:tr w:rsidR="00410F12" w:rsidRPr="00E666D9" w14:paraId="64EB60A7" w14:textId="77777777" w:rsidTr="00410F12">
        <w:trPr>
          <w:trHeight w:val="276"/>
          <w:jc w:val="center"/>
        </w:trPr>
        <w:tc>
          <w:tcPr>
            <w:tcW w:w="1153" w:type="dxa"/>
            <w:vMerge/>
            <w:vAlign w:val="center"/>
            <w:hideMark/>
          </w:tcPr>
          <w:p w14:paraId="51684F71" w14:textId="77777777" w:rsidR="00410F12" w:rsidRPr="00E666D9" w:rsidRDefault="00410F12" w:rsidP="000F221E">
            <w:pPr>
              <w:spacing w:line="240" w:lineRule="atLeast"/>
              <w:jc w:val="center"/>
              <w:rPr>
                <w:rFonts w:asciiTheme="majorHAnsi" w:hAnsiTheme="majorHAnsi" w:cs="Calibri"/>
                <w:b/>
                <w:lang w:eastAsia="en-IN"/>
              </w:rPr>
            </w:pPr>
          </w:p>
        </w:tc>
        <w:tc>
          <w:tcPr>
            <w:tcW w:w="1276" w:type="dxa"/>
            <w:vMerge/>
            <w:vAlign w:val="center"/>
            <w:hideMark/>
          </w:tcPr>
          <w:p w14:paraId="29BC8FD3" w14:textId="77777777" w:rsidR="00410F12" w:rsidRPr="00E666D9" w:rsidRDefault="00410F12" w:rsidP="000F221E">
            <w:pPr>
              <w:spacing w:line="240" w:lineRule="atLeast"/>
              <w:jc w:val="center"/>
              <w:rPr>
                <w:rFonts w:asciiTheme="majorHAnsi" w:hAnsiTheme="majorHAnsi" w:cs="Calibri"/>
                <w:b/>
                <w:lang w:eastAsia="en-IN"/>
              </w:rPr>
            </w:pPr>
          </w:p>
        </w:tc>
        <w:tc>
          <w:tcPr>
            <w:tcW w:w="1134" w:type="dxa"/>
            <w:vMerge/>
            <w:vAlign w:val="center"/>
            <w:hideMark/>
          </w:tcPr>
          <w:p w14:paraId="41E64919" w14:textId="77777777" w:rsidR="00410F12" w:rsidRPr="00E666D9" w:rsidRDefault="00410F12" w:rsidP="000F221E">
            <w:pPr>
              <w:spacing w:line="240" w:lineRule="atLeast"/>
              <w:jc w:val="center"/>
              <w:rPr>
                <w:rFonts w:asciiTheme="majorHAnsi" w:hAnsiTheme="majorHAnsi" w:cs="Calibri"/>
                <w:b/>
                <w:lang w:eastAsia="en-IN"/>
              </w:rPr>
            </w:pPr>
          </w:p>
        </w:tc>
        <w:tc>
          <w:tcPr>
            <w:tcW w:w="1341" w:type="dxa"/>
            <w:vMerge/>
            <w:vAlign w:val="center"/>
            <w:hideMark/>
          </w:tcPr>
          <w:p w14:paraId="3A8F2DCE" w14:textId="77777777" w:rsidR="00410F12" w:rsidRPr="00E666D9" w:rsidRDefault="00410F12" w:rsidP="000F221E">
            <w:pPr>
              <w:spacing w:line="240" w:lineRule="atLeast"/>
              <w:jc w:val="center"/>
              <w:rPr>
                <w:rFonts w:asciiTheme="majorHAnsi" w:hAnsiTheme="majorHAnsi" w:cs="Calibri"/>
                <w:b/>
                <w:lang w:eastAsia="en-IN"/>
              </w:rPr>
            </w:pPr>
          </w:p>
        </w:tc>
        <w:tc>
          <w:tcPr>
            <w:tcW w:w="1193" w:type="dxa"/>
            <w:vMerge/>
            <w:vAlign w:val="center"/>
            <w:hideMark/>
          </w:tcPr>
          <w:p w14:paraId="21DD1CFE" w14:textId="77777777" w:rsidR="00410F12" w:rsidRPr="00E666D9" w:rsidRDefault="00410F12" w:rsidP="000F221E">
            <w:pPr>
              <w:spacing w:line="240" w:lineRule="atLeast"/>
              <w:jc w:val="center"/>
              <w:rPr>
                <w:rFonts w:asciiTheme="majorHAnsi" w:hAnsiTheme="majorHAnsi" w:cs="Calibri"/>
                <w:b/>
                <w:lang w:eastAsia="en-IN"/>
              </w:rPr>
            </w:pPr>
          </w:p>
        </w:tc>
      </w:tr>
      <w:tr w:rsidR="00410F12" w:rsidRPr="00E666D9" w14:paraId="7CD87AEF" w14:textId="77777777" w:rsidTr="00410F12">
        <w:trPr>
          <w:trHeight w:val="321"/>
          <w:jc w:val="center"/>
        </w:trPr>
        <w:tc>
          <w:tcPr>
            <w:tcW w:w="1153" w:type="dxa"/>
            <w:vMerge w:val="restart"/>
            <w:noWrap/>
            <w:vAlign w:val="center"/>
            <w:hideMark/>
          </w:tcPr>
          <w:p w14:paraId="34E7D50A" w14:textId="77777777" w:rsidR="00410F12" w:rsidRPr="00E666D9" w:rsidRDefault="00410F12" w:rsidP="000F221E">
            <w:pPr>
              <w:spacing w:line="240" w:lineRule="atLeast"/>
              <w:rPr>
                <w:rFonts w:asciiTheme="majorHAnsi" w:hAnsiTheme="majorHAnsi" w:cs="Calibri"/>
                <w:bCs/>
                <w:lang w:eastAsia="en-IN"/>
              </w:rPr>
            </w:pPr>
            <w:r w:rsidRPr="00E666D9">
              <w:rPr>
                <w:rFonts w:asciiTheme="majorHAnsi" w:hAnsiTheme="majorHAnsi" w:cs="Calibri"/>
                <w:bCs/>
                <w:lang w:eastAsia="en-IN"/>
              </w:rPr>
              <w:t xml:space="preserve">     33 kV</w:t>
            </w:r>
          </w:p>
        </w:tc>
        <w:tc>
          <w:tcPr>
            <w:tcW w:w="1276" w:type="dxa"/>
            <w:noWrap/>
            <w:vAlign w:val="center"/>
            <w:hideMark/>
          </w:tcPr>
          <w:p w14:paraId="3CE4A977" w14:textId="77777777" w:rsidR="00410F12" w:rsidRPr="00E666D9" w:rsidRDefault="00410F12" w:rsidP="000F221E">
            <w:pPr>
              <w:spacing w:line="240" w:lineRule="atLeast"/>
              <w:jc w:val="center"/>
              <w:rPr>
                <w:rFonts w:asciiTheme="majorHAnsi" w:hAnsiTheme="majorHAnsi" w:cs="Calibri"/>
                <w:bCs/>
                <w:lang w:eastAsia="en-IN"/>
              </w:rPr>
            </w:pPr>
            <w:r w:rsidRPr="00E666D9">
              <w:rPr>
                <w:rFonts w:asciiTheme="majorHAnsi" w:hAnsiTheme="majorHAnsi" w:cs="Calibri"/>
                <w:bCs/>
                <w:lang w:eastAsia="en-IN"/>
              </w:rPr>
              <w:t>Dedicated</w:t>
            </w:r>
          </w:p>
        </w:tc>
        <w:tc>
          <w:tcPr>
            <w:tcW w:w="1134" w:type="dxa"/>
            <w:noWrap/>
            <w:vAlign w:val="center"/>
            <w:hideMark/>
          </w:tcPr>
          <w:p w14:paraId="2B4602FD" w14:textId="77777777" w:rsidR="00410F12" w:rsidRPr="00E666D9" w:rsidRDefault="00410F12" w:rsidP="000F221E">
            <w:pPr>
              <w:spacing w:line="240" w:lineRule="atLeast"/>
              <w:jc w:val="center"/>
              <w:rPr>
                <w:rFonts w:asciiTheme="majorHAnsi" w:hAnsiTheme="majorHAnsi" w:cs="Calibri"/>
                <w:bCs/>
                <w:lang w:eastAsia="en-IN"/>
              </w:rPr>
            </w:pPr>
            <w:r w:rsidRPr="00E666D9">
              <w:rPr>
                <w:rFonts w:asciiTheme="majorHAnsi" w:hAnsiTheme="majorHAnsi" w:cs="Calibri"/>
                <w:bCs/>
                <w:lang w:eastAsia="en-IN"/>
              </w:rPr>
              <w:t>42</w:t>
            </w:r>
          </w:p>
        </w:tc>
        <w:tc>
          <w:tcPr>
            <w:tcW w:w="1341" w:type="dxa"/>
            <w:noWrap/>
            <w:vAlign w:val="center"/>
          </w:tcPr>
          <w:p w14:paraId="37ED65B3" w14:textId="77777777" w:rsidR="00410F12" w:rsidRPr="00E666D9" w:rsidRDefault="00410F12" w:rsidP="000F221E">
            <w:pPr>
              <w:spacing w:line="240" w:lineRule="atLeast"/>
              <w:jc w:val="center"/>
              <w:rPr>
                <w:rFonts w:asciiTheme="majorHAnsi" w:hAnsiTheme="majorHAnsi" w:cs="Calibri"/>
                <w:bCs/>
                <w:lang w:eastAsia="en-IN"/>
              </w:rPr>
            </w:pPr>
            <w:r w:rsidRPr="00E666D9">
              <w:rPr>
                <w:rFonts w:asciiTheme="majorHAnsi" w:hAnsiTheme="majorHAnsi" w:cs="Calibri"/>
                <w:bCs/>
                <w:lang w:eastAsia="en-IN"/>
              </w:rPr>
              <w:t>43</w:t>
            </w:r>
          </w:p>
        </w:tc>
        <w:tc>
          <w:tcPr>
            <w:tcW w:w="1193" w:type="dxa"/>
            <w:noWrap/>
            <w:vAlign w:val="center"/>
          </w:tcPr>
          <w:p w14:paraId="296349F0" w14:textId="77777777" w:rsidR="00410F12" w:rsidRPr="00E666D9" w:rsidRDefault="00410F12" w:rsidP="000F221E">
            <w:pPr>
              <w:spacing w:line="240" w:lineRule="atLeast"/>
              <w:jc w:val="center"/>
              <w:rPr>
                <w:rFonts w:asciiTheme="majorHAnsi" w:hAnsiTheme="majorHAnsi" w:cs="Calibri"/>
                <w:bCs/>
                <w:lang w:eastAsia="en-IN"/>
              </w:rPr>
            </w:pPr>
            <w:r w:rsidRPr="00E666D9">
              <w:rPr>
                <w:rFonts w:asciiTheme="majorHAnsi" w:hAnsiTheme="majorHAnsi" w:cs="Calibri"/>
                <w:bCs/>
                <w:lang w:eastAsia="en-IN"/>
              </w:rPr>
              <w:t>46.17</w:t>
            </w:r>
          </w:p>
        </w:tc>
      </w:tr>
      <w:tr w:rsidR="00410F12" w:rsidRPr="00E666D9" w14:paraId="65D88C55" w14:textId="77777777" w:rsidTr="00410F12">
        <w:trPr>
          <w:trHeight w:val="301"/>
          <w:jc w:val="center"/>
        </w:trPr>
        <w:tc>
          <w:tcPr>
            <w:tcW w:w="1153" w:type="dxa"/>
            <w:vMerge/>
            <w:vAlign w:val="center"/>
            <w:hideMark/>
          </w:tcPr>
          <w:p w14:paraId="17F11E29" w14:textId="77777777" w:rsidR="00410F12" w:rsidRPr="00E666D9" w:rsidRDefault="00410F12" w:rsidP="000F221E">
            <w:pPr>
              <w:spacing w:line="240" w:lineRule="atLeast"/>
              <w:jc w:val="center"/>
              <w:rPr>
                <w:rFonts w:asciiTheme="majorHAnsi" w:hAnsiTheme="majorHAnsi" w:cs="Calibri"/>
                <w:bCs/>
                <w:lang w:eastAsia="en-IN"/>
              </w:rPr>
            </w:pPr>
          </w:p>
        </w:tc>
        <w:tc>
          <w:tcPr>
            <w:tcW w:w="1276" w:type="dxa"/>
            <w:noWrap/>
            <w:vAlign w:val="center"/>
            <w:hideMark/>
          </w:tcPr>
          <w:p w14:paraId="181EBDC6" w14:textId="77777777" w:rsidR="00410F12" w:rsidRPr="00E666D9" w:rsidRDefault="00410F12" w:rsidP="000F221E">
            <w:pPr>
              <w:spacing w:line="240" w:lineRule="atLeast"/>
              <w:jc w:val="center"/>
              <w:rPr>
                <w:rFonts w:asciiTheme="majorHAnsi" w:hAnsiTheme="majorHAnsi" w:cs="Calibri"/>
                <w:bCs/>
                <w:lang w:eastAsia="en-IN"/>
              </w:rPr>
            </w:pPr>
            <w:r w:rsidRPr="00E666D9">
              <w:rPr>
                <w:rFonts w:asciiTheme="majorHAnsi" w:hAnsiTheme="majorHAnsi" w:cs="Calibri"/>
                <w:bCs/>
                <w:lang w:eastAsia="en-IN"/>
              </w:rPr>
              <w:t>Individual</w:t>
            </w:r>
          </w:p>
        </w:tc>
        <w:tc>
          <w:tcPr>
            <w:tcW w:w="1134" w:type="dxa"/>
            <w:noWrap/>
            <w:vAlign w:val="center"/>
            <w:hideMark/>
          </w:tcPr>
          <w:p w14:paraId="6E631537" w14:textId="77777777" w:rsidR="00410F12" w:rsidRPr="00E666D9" w:rsidRDefault="00410F12" w:rsidP="000F221E">
            <w:pPr>
              <w:spacing w:line="240" w:lineRule="atLeast"/>
              <w:jc w:val="center"/>
              <w:rPr>
                <w:rFonts w:asciiTheme="majorHAnsi" w:hAnsiTheme="majorHAnsi" w:cs="Calibri"/>
                <w:bCs/>
                <w:lang w:eastAsia="en-IN"/>
              </w:rPr>
            </w:pPr>
            <w:r w:rsidRPr="00E666D9">
              <w:rPr>
                <w:rFonts w:asciiTheme="majorHAnsi" w:hAnsiTheme="majorHAnsi" w:cs="Calibri"/>
                <w:bCs/>
                <w:lang w:eastAsia="en-IN"/>
              </w:rPr>
              <w:t>62</w:t>
            </w:r>
          </w:p>
        </w:tc>
        <w:tc>
          <w:tcPr>
            <w:tcW w:w="1341" w:type="dxa"/>
            <w:noWrap/>
            <w:vAlign w:val="center"/>
          </w:tcPr>
          <w:p w14:paraId="6A31D956" w14:textId="77777777" w:rsidR="00410F12" w:rsidRPr="00E666D9" w:rsidRDefault="00410F12" w:rsidP="000F221E">
            <w:pPr>
              <w:spacing w:line="240" w:lineRule="atLeast"/>
              <w:jc w:val="center"/>
              <w:rPr>
                <w:rFonts w:asciiTheme="majorHAnsi" w:hAnsiTheme="majorHAnsi" w:cs="Calibri"/>
                <w:bCs/>
                <w:lang w:eastAsia="en-IN"/>
              </w:rPr>
            </w:pPr>
            <w:r w:rsidRPr="00E666D9">
              <w:rPr>
                <w:rFonts w:asciiTheme="majorHAnsi" w:hAnsiTheme="majorHAnsi" w:cs="Calibri"/>
                <w:bCs/>
                <w:lang w:eastAsia="en-IN"/>
              </w:rPr>
              <w:t>62</w:t>
            </w:r>
          </w:p>
        </w:tc>
        <w:tc>
          <w:tcPr>
            <w:tcW w:w="1193" w:type="dxa"/>
            <w:noWrap/>
            <w:vAlign w:val="center"/>
          </w:tcPr>
          <w:p w14:paraId="156BA9E9" w14:textId="77777777" w:rsidR="00410F12" w:rsidRPr="00E666D9" w:rsidRDefault="00410F12" w:rsidP="000F221E">
            <w:pPr>
              <w:spacing w:line="240" w:lineRule="atLeast"/>
              <w:jc w:val="center"/>
              <w:rPr>
                <w:rFonts w:asciiTheme="majorHAnsi" w:hAnsiTheme="majorHAnsi" w:cs="Calibri"/>
                <w:bCs/>
                <w:lang w:eastAsia="en-IN"/>
              </w:rPr>
            </w:pPr>
            <w:r w:rsidRPr="00E666D9">
              <w:rPr>
                <w:rFonts w:asciiTheme="majorHAnsi" w:hAnsiTheme="majorHAnsi" w:cs="Calibri"/>
                <w:bCs/>
                <w:lang w:eastAsia="en-IN"/>
              </w:rPr>
              <w:t>44.42</w:t>
            </w:r>
          </w:p>
        </w:tc>
      </w:tr>
      <w:tr w:rsidR="00410F12" w:rsidRPr="00E666D9" w14:paraId="642376B0" w14:textId="77777777" w:rsidTr="00410F12">
        <w:trPr>
          <w:trHeight w:val="301"/>
          <w:jc w:val="center"/>
        </w:trPr>
        <w:tc>
          <w:tcPr>
            <w:tcW w:w="1153" w:type="dxa"/>
            <w:vMerge/>
            <w:vAlign w:val="center"/>
            <w:hideMark/>
          </w:tcPr>
          <w:p w14:paraId="3F8C7A70" w14:textId="77777777" w:rsidR="00410F12" w:rsidRPr="00E666D9" w:rsidRDefault="00410F12" w:rsidP="000F221E">
            <w:pPr>
              <w:spacing w:line="240" w:lineRule="atLeast"/>
              <w:jc w:val="center"/>
              <w:rPr>
                <w:rFonts w:asciiTheme="majorHAnsi" w:hAnsiTheme="majorHAnsi" w:cs="Calibri"/>
                <w:bCs/>
                <w:lang w:eastAsia="en-IN"/>
              </w:rPr>
            </w:pPr>
          </w:p>
        </w:tc>
        <w:tc>
          <w:tcPr>
            <w:tcW w:w="1276" w:type="dxa"/>
            <w:noWrap/>
            <w:vAlign w:val="center"/>
            <w:hideMark/>
          </w:tcPr>
          <w:p w14:paraId="0B41E133" w14:textId="77777777" w:rsidR="00410F12" w:rsidRPr="00E666D9" w:rsidRDefault="00410F12" w:rsidP="000F221E">
            <w:pPr>
              <w:spacing w:line="240" w:lineRule="atLeast"/>
              <w:jc w:val="center"/>
              <w:rPr>
                <w:rFonts w:asciiTheme="majorHAnsi" w:hAnsiTheme="majorHAnsi" w:cs="Calibri"/>
                <w:bCs/>
                <w:lang w:eastAsia="en-IN"/>
              </w:rPr>
            </w:pPr>
            <w:r w:rsidRPr="00E666D9">
              <w:rPr>
                <w:rFonts w:asciiTheme="majorHAnsi" w:hAnsiTheme="majorHAnsi" w:cs="Calibri"/>
                <w:bCs/>
                <w:lang w:eastAsia="en-IN"/>
              </w:rPr>
              <w:t>Group</w:t>
            </w:r>
          </w:p>
        </w:tc>
        <w:tc>
          <w:tcPr>
            <w:tcW w:w="1134" w:type="dxa"/>
            <w:noWrap/>
            <w:vAlign w:val="center"/>
            <w:hideMark/>
          </w:tcPr>
          <w:p w14:paraId="79691214" w14:textId="77777777" w:rsidR="00410F12" w:rsidRPr="00E666D9" w:rsidRDefault="00410F12" w:rsidP="000F221E">
            <w:pPr>
              <w:spacing w:line="240" w:lineRule="atLeast"/>
              <w:jc w:val="center"/>
              <w:rPr>
                <w:rFonts w:asciiTheme="majorHAnsi" w:hAnsiTheme="majorHAnsi" w:cs="Calibri"/>
                <w:bCs/>
                <w:lang w:eastAsia="en-IN"/>
              </w:rPr>
            </w:pPr>
            <w:r w:rsidRPr="00E666D9">
              <w:rPr>
                <w:rFonts w:asciiTheme="majorHAnsi" w:hAnsiTheme="majorHAnsi" w:cs="Calibri"/>
                <w:bCs/>
                <w:lang w:eastAsia="en-IN"/>
              </w:rPr>
              <w:t>34</w:t>
            </w:r>
          </w:p>
        </w:tc>
        <w:tc>
          <w:tcPr>
            <w:tcW w:w="1341" w:type="dxa"/>
            <w:noWrap/>
            <w:vAlign w:val="center"/>
          </w:tcPr>
          <w:p w14:paraId="4EE77E14" w14:textId="77777777" w:rsidR="00410F12" w:rsidRPr="00E666D9" w:rsidRDefault="00410F12" w:rsidP="000F221E">
            <w:pPr>
              <w:spacing w:line="240" w:lineRule="atLeast"/>
              <w:jc w:val="center"/>
              <w:rPr>
                <w:rFonts w:asciiTheme="majorHAnsi" w:hAnsiTheme="majorHAnsi" w:cs="Calibri"/>
                <w:bCs/>
                <w:lang w:eastAsia="en-IN"/>
              </w:rPr>
            </w:pPr>
            <w:r w:rsidRPr="00E666D9">
              <w:rPr>
                <w:rFonts w:asciiTheme="majorHAnsi" w:hAnsiTheme="majorHAnsi" w:cs="Calibri"/>
                <w:bCs/>
                <w:lang w:eastAsia="en-IN"/>
              </w:rPr>
              <w:t>91</w:t>
            </w:r>
          </w:p>
        </w:tc>
        <w:tc>
          <w:tcPr>
            <w:tcW w:w="1193" w:type="dxa"/>
            <w:noWrap/>
            <w:vAlign w:val="center"/>
          </w:tcPr>
          <w:p w14:paraId="21DCA600" w14:textId="77777777" w:rsidR="00410F12" w:rsidRPr="00E666D9" w:rsidRDefault="00410F12" w:rsidP="000F221E">
            <w:pPr>
              <w:spacing w:line="240" w:lineRule="atLeast"/>
              <w:jc w:val="center"/>
              <w:rPr>
                <w:rFonts w:asciiTheme="majorHAnsi" w:hAnsiTheme="majorHAnsi" w:cs="Calibri"/>
                <w:bCs/>
                <w:lang w:eastAsia="en-IN"/>
              </w:rPr>
            </w:pPr>
            <w:r w:rsidRPr="00E666D9">
              <w:rPr>
                <w:rFonts w:asciiTheme="majorHAnsi" w:hAnsiTheme="majorHAnsi" w:cs="Calibri"/>
                <w:bCs/>
                <w:lang w:eastAsia="en-IN"/>
              </w:rPr>
              <w:t>46.47</w:t>
            </w:r>
          </w:p>
        </w:tc>
      </w:tr>
      <w:tr w:rsidR="00410F12" w:rsidRPr="00E666D9" w14:paraId="6073E4CF" w14:textId="77777777" w:rsidTr="00410F12">
        <w:trPr>
          <w:trHeight w:val="301"/>
          <w:jc w:val="center"/>
        </w:trPr>
        <w:tc>
          <w:tcPr>
            <w:tcW w:w="2429" w:type="dxa"/>
            <w:gridSpan w:val="2"/>
            <w:noWrap/>
            <w:vAlign w:val="center"/>
            <w:hideMark/>
          </w:tcPr>
          <w:p w14:paraId="3F8D2078" w14:textId="77777777" w:rsidR="00410F12" w:rsidRPr="00E666D9" w:rsidRDefault="00410F12" w:rsidP="000F221E">
            <w:pPr>
              <w:spacing w:line="240" w:lineRule="atLeast"/>
              <w:jc w:val="center"/>
              <w:rPr>
                <w:rFonts w:asciiTheme="majorHAnsi" w:hAnsiTheme="majorHAnsi" w:cs="Calibri"/>
                <w:b/>
                <w:lang w:eastAsia="en-IN"/>
              </w:rPr>
            </w:pPr>
            <w:r w:rsidRPr="00E666D9">
              <w:rPr>
                <w:rFonts w:asciiTheme="majorHAnsi" w:hAnsiTheme="majorHAnsi" w:cs="Calibri"/>
                <w:b/>
                <w:lang w:eastAsia="en-IN"/>
              </w:rPr>
              <w:t>TOTAL</w:t>
            </w:r>
          </w:p>
        </w:tc>
        <w:tc>
          <w:tcPr>
            <w:tcW w:w="1134" w:type="dxa"/>
            <w:noWrap/>
            <w:vAlign w:val="center"/>
            <w:hideMark/>
          </w:tcPr>
          <w:p w14:paraId="24236FF7" w14:textId="77777777" w:rsidR="00410F12" w:rsidRPr="00E666D9" w:rsidRDefault="00410F12" w:rsidP="000F221E">
            <w:pPr>
              <w:spacing w:line="240" w:lineRule="atLeast"/>
              <w:jc w:val="center"/>
              <w:rPr>
                <w:rFonts w:asciiTheme="majorHAnsi" w:hAnsiTheme="majorHAnsi" w:cs="Calibri"/>
                <w:b/>
                <w:lang w:eastAsia="en-IN"/>
              </w:rPr>
            </w:pPr>
            <w:r w:rsidRPr="00E666D9">
              <w:rPr>
                <w:rFonts w:asciiTheme="majorHAnsi" w:hAnsiTheme="majorHAnsi" w:cs="Calibri"/>
                <w:b/>
                <w:lang w:eastAsia="en-IN"/>
              </w:rPr>
              <w:t>138</w:t>
            </w:r>
          </w:p>
        </w:tc>
        <w:tc>
          <w:tcPr>
            <w:tcW w:w="1341" w:type="dxa"/>
            <w:noWrap/>
            <w:vAlign w:val="center"/>
            <w:hideMark/>
          </w:tcPr>
          <w:p w14:paraId="7E8B1E6F" w14:textId="77777777" w:rsidR="00410F12" w:rsidRPr="00E666D9" w:rsidRDefault="00410F12" w:rsidP="000F221E">
            <w:pPr>
              <w:spacing w:line="240" w:lineRule="atLeast"/>
              <w:jc w:val="center"/>
              <w:rPr>
                <w:rFonts w:asciiTheme="majorHAnsi" w:hAnsiTheme="majorHAnsi" w:cs="Calibri"/>
                <w:b/>
                <w:lang w:eastAsia="en-IN"/>
              </w:rPr>
            </w:pPr>
            <w:r w:rsidRPr="00E666D9">
              <w:rPr>
                <w:rFonts w:asciiTheme="majorHAnsi" w:hAnsiTheme="majorHAnsi" w:cs="Calibri"/>
                <w:b/>
                <w:lang w:eastAsia="en-IN"/>
              </w:rPr>
              <w:t>196</w:t>
            </w:r>
          </w:p>
        </w:tc>
        <w:tc>
          <w:tcPr>
            <w:tcW w:w="1193" w:type="dxa"/>
            <w:noWrap/>
            <w:vAlign w:val="center"/>
            <w:hideMark/>
          </w:tcPr>
          <w:p w14:paraId="3A1B8202" w14:textId="77777777" w:rsidR="00410F12" w:rsidRPr="00E666D9" w:rsidRDefault="00410F12" w:rsidP="000F221E">
            <w:pPr>
              <w:spacing w:line="240" w:lineRule="atLeast"/>
              <w:jc w:val="center"/>
              <w:rPr>
                <w:rFonts w:asciiTheme="majorHAnsi" w:hAnsiTheme="majorHAnsi" w:cs="Calibri"/>
                <w:b/>
                <w:lang w:eastAsia="en-IN"/>
              </w:rPr>
            </w:pPr>
            <w:r w:rsidRPr="00E666D9">
              <w:rPr>
                <w:rFonts w:asciiTheme="majorHAnsi" w:hAnsiTheme="majorHAnsi" w:cs="Calibri"/>
                <w:b/>
                <w:lang w:eastAsia="en-IN"/>
              </w:rPr>
              <w:t>137.06</w:t>
            </w:r>
          </w:p>
        </w:tc>
      </w:tr>
    </w:tbl>
    <w:p w14:paraId="75937706" w14:textId="77777777" w:rsidR="00E666D9" w:rsidRPr="004814ED" w:rsidRDefault="00E666D9" w:rsidP="00AA1771">
      <w:pPr>
        <w:spacing w:line="360" w:lineRule="auto"/>
        <w:jc w:val="both"/>
        <w:rPr>
          <w:rFonts w:ascii="Cambria" w:hAnsi="Cambria"/>
        </w:rPr>
      </w:pPr>
    </w:p>
    <w:p w14:paraId="41E8B17D" w14:textId="77777777" w:rsidR="001832BD" w:rsidRPr="001832BD" w:rsidRDefault="001832BD" w:rsidP="001832BD">
      <w:pPr>
        <w:spacing w:line="360" w:lineRule="auto"/>
        <w:jc w:val="both"/>
        <w:rPr>
          <w:rFonts w:asciiTheme="majorHAnsi" w:hAnsiTheme="majorHAnsi"/>
          <w:b/>
          <w:bCs/>
          <w:u w:val="single"/>
        </w:rPr>
      </w:pPr>
      <w:r w:rsidRPr="001832BD">
        <w:rPr>
          <w:rFonts w:asciiTheme="majorHAnsi" w:hAnsiTheme="majorHAnsi"/>
          <w:b/>
          <w:bCs/>
          <w:u w:val="single"/>
        </w:rPr>
        <w:t>HT-LT Comparison Analysis Report:</w:t>
      </w:r>
    </w:p>
    <w:p w14:paraId="408611FB" w14:textId="07D4DE5A" w:rsidR="001832BD" w:rsidRPr="001832BD" w:rsidRDefault="001832BD" w:rsidP="001832BD">
      <w:pPr>
        <w:spacing w:line="360" w:lineRule="auto"/>
        <w:jc w:val="both"/>
        <w:rPr>
          <w:rFonts w:asciiTheme="majorHAnsi" w:hAnsiTheme="majorHAnsi"/>
        </w:rPr>
      </w:pPr>
      <w:r w:rsidRPr="001832BD">
        <w:rPr>
          <w:rFonts w:asciiTheme="majorHAnsi" w:hAnsiTheme="majorHAnsi"/>
        </w:rPr>
        <w:t xml:space="preserve">In Large &amp; Medium category of HT supply consumers, </w:t>
      </w:r>
      <w:r w:rsidRPr="0010734C">
        <w:rPr>
          <w:rFonts w:asciiTheme="majorHAnsi" w:hAnsiTheme="majorHAnsi"/>
        </w:rPr>
        <w:t>2247</w:t>
      </w:r>
      <w:r w:rsidRPr="001832BD">
        <w:rPr>
          <w:rFonts w:asciiTheme="majorHAnsi" w:hAnsiTheme="majorHAnsi"/>
        </w:rPr>
        <w:t xml:space="preserve"> no. of Smart Meters are installed on LT side in addition to HT Meters for energy auditing purposes. HT -LT comparison statements are generated every month through the Energy Audit Application Module. If the loss level is high, checking and testing are carried out by the MMG/Enforcement</w:t>
      </w:r>
      <w:r w:rsidR="00DE77AC">
        <w:rPr>
          <w:rFonts w:asciiTheme="majorHAnsi" w:hAnsiTheme="majorHAnsi"/>
        </w:rPr>
        <w:t xml:space="preserve"> team</w:t>
      </w:r>
      <w:r w:rsidRPr="001832BD">
        <w:rPr>
          <w:rFonts w:asciiTheme="majorHAnsi" w:hAnsiTheme="majorHAnsi"/>
        </w:rPr>
        <w:t xml:space="preserve">. This systematic approach helps in maintaining accurate billing, reducing energy losses, and ensuring financial stability for TPWODL. </w:t>
      </w:r>
    </w:p>
    <w:p w14:paraId="566B9652" w14:textId="77777777" w:rsidR="0034383C" w:rsidRDefault="0034383C" w:rsidP="00334DF4">
      <w:pPr>
        <w:spacing w:line="360" w:lineRule="auto"/>
        <w:jc w:val="both"/>
        <w:rPr>
          <w:rFonts w:ascii="Cambria" w:hAnsi="Cambria"/>
          <w:b/>
          <w:bCs/>
        </w:rPr>
      </w:pPr>
    </w:p>
    <w:p w14:paraId="1E4CFE58" w14:textId="77777777" w:rsidR="00002BB5" w:rsidRPr="00354320" w:rsidRDefault="00002BB5" w:rsidP="00002BB5">
      <w:pPr>
        <w:spacing w:line="360" w:lineRule="auto"/>
        <w:jc w:val="both"/>
        <w:rPr>
          <w:rFonts w:asciiTheme="majorHAnsi" w:hAnsiTheme="majorHAnsi"/>
          <w:b/>
          <w:bCs/>
          <w:u w:val="single"/>
        </w:rPr>
      </w:pPr>
      <w:r w:rsidRPr="00354320">
        <w:rPr>
          <w:rFonts w:asciiTheme="majorHAnsi" w:hAnsiTheme="majorHAnsi"/>
          <w:b/>
          <w:bCs/>
          <w:u w:val="single"/>
        </w:rPr>
        <w:t>11 kV Feeder Audit:</w:t>
      </w:r>
    </w:p>
    <w:p w14:paraId="0AC63DE7" w14:textId="77777777" w:rsidR="00002BB5" w:rsidRPr="00002BB5" w:rsidRDefault="00002BB5" w:rsidP="00002BB5">
      <w:pPr>
        <w:spacing w:line="360" w:lineRule="auto"/>
        <w:jc w:val="both"/>
        <w:rPr>
          <w:rFonts w:asciiTheme="majorHAnsi" w:hAnsiTheme="majorHAnsi"/>
        </w:rPr>
      </w:pPr>
      <w:r w:rsidRPr="00002BB5">
        <w:rPr>
          <w:rFonts w:asciiTheme="majorHAnsi" w:hAnsiTheme="majorHAnsi"/>
        </w:rPr>
        <w:t>For 11 kV feeder auditing, 1184 nos. of feeders are being audited out of</w:t>
      </w:r>
      <w:r w:rsidRPr="00002BB5">
        <w:rPr>
          <w:rFonts w:asciiTheme="majorHAnsi" w:hAnsiTheme="majorHAnsi"/>
          <w:color w:val="EE0000"/>
        </w:rPr>
        <w:t xml:space="preserve"> </w:t>
      </w:r>
      <w:r w:rsidRPr="00002BB5">
        <w:rPr>
          <w:rFonts w:asciiTheme="majorHAnsi" w:hAnsiTheme="majorHAnsi"/>
        </w:rPr>
        <w:t>1250</w:t>
      </w:r>
      <w:r w:rsidRPr="00002BB5">
        <w:rPr>
          <w:rFonts w:asciiTheme="majorHAnsi" w:hAnsiTheme="majorHAnsi"/>
          <w:color w:val="EE0000"/>
        </w:rPr>
        <w:t xml:space="preserve"> </w:t>
      </w:r>
      <w:r w:rsidRPr="00002BB5">
        <w:rPr>
          <w:rFonts w:asciiTheme="majorHAnsi" w:hAnsiTheme="majorHAnsi"/>
        </w:rPr>
        <w:t>nos. of feeders. As consumer indexing by GIS team is in progress and as per indexing available 11kV feeder loss has been generated. Based on loss ranges, loss reduction activities carried out by field team</w:t>
      </w:r>
      <w:r w:rsidRPr="00002BB5">
        <w:rPr>
          <w:rFonts w:asciiTheme="majorHAnsi" w:hAnsiTheme="majorHAnsi"/>
          <w:color w:val="FF0000"/>
        </w:rPr>
        <w:t xml:space="preserve">. </w:t>
      </w:r>
      <w:r w:rsidRPr="00002BB5">
        <w:rPr>
          <w:rFonts w:asciiTheme="majorHAnsi" w:hAnsiTheme="majorHAnsi"/>
        </w:rPr>
        <w:t>The loss ranges are depicted as below:</w:t>
      </w:r>
    </w:p>
    <w:tbl>
      <w:tblPr>
        <w:tblW w:w="8912" w:type="dxa"/>
        <w:tblInd w:w="-5" w:type="dxa"/>
        <w:tblLook w:val="04A0" w:firstRow="1" w:lastRow="0" w:firstColumn="1" w:lastColumn="0" w:noHBand="0" w:noVBand="1"/>
      </w:tblPr>
      <w:tblGrid>
        <w:gridCol w:w="1560"/>
        <w:gridCol w:w="1701"/>
        <w:gridCol w:w="1559"/>
        <w:gridCol w:w="1559"/>
        <w:gridCol w:w="1266"/>
        <w:gridCol w:w="1267"/>
      </w:tblGrid>
      <w:tr w:rsidR="00002BB5" w:rsidRPr="00002BB5" w14:paraId="61C4A254" w14:textId="77777777" w:rsidTr="000F221E">
        <w:trPr>
          <w:trHeight w:val="67"/>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724188C7" w14:textId="77777777" w:rsidR="00002BB5" w:rsidRPr="00002BB5" w:rsidRDefault="00002BB5" w:rsidP="000F221E">
            <w:pPr>
              <w:spacing w:line="240" w:lineRule="atLeast"/>
              <w:jc w:val="center"/>
              <w:rPr>
                <w:rFonts w:asciiTheme="majorHAnsi" w:hAnsiTheme="majorHAnsi" w:cs="Calibri"/>
                <w:b/>
                <w:lang w:eastAsia="en-IN"/>
              </w:rPr>
            </w:pPr>
            <w:r w:rsidRPr="00002BB5">
              <w:rPr>
                <w:rFonts w:asciiTheme="majorHAnsi" w:hAnsiTheme="majorHAnsi" w:cs="Calibri"/>
                <w:b/>
                <w:lang w:eastAsia="en-IN"/>
              </w:rPr>
              <w:t>11 kV feeder</w:t>
            </w:r>
          </w:p>
        </w:tc>
        <w:tc>
          <w:tcPr>
            <w:tcW w:w="7352" w:type="dxa"/>
            <w:gridSpan w:val="5"/>
            <w:tcBorders>
              <w:top w:val="single" w:sz="4" w:space="0" w:color="auto"/>
              <w:left w:val="nil"/>
              <w:bottom w:val="single" w:sz="4" w:space="0" w:color="auto"/>
              <w:right w:val="single" w:sz="4" w:space="0" w:color="auto"/>
            </w:tcBorders>
            <w:vAlign w:val="center"/>
            <w:hideMark/>
          </w:tcPr>
          <w:p w14:paraId="57292D88" w14:textId="77777777" w:rsidR="00002BB5" w:rsidRPr="00002BB5" w:rsidRDefault="00002BB5" w:rsidP="000F221E">
            <w:pPr>
              <w:spacing w:line="240" w:lineRule="atLeast"/>
              <w:jc w:val="center"/>
              <w:rPr>
                <w:rFonts w:asciiTheme="majorHAnsi" w:hAnsiTheme="majorHAnsi" w:cs="Calibri"/>
                <w:b/>
                <w:lang w:eastAsia="en-IN"/>
              </w:rPr>
            </w:pPr>
            <w:r w:rsidRPr="00002BB5">
              <w:rPr>
                <w:rFonts w:asciiTheme="majorHAnsi" w:hAnsiTheme="majorHAnsi" w:cs="Calibri"/>
                <w:b/>
                <w:lang w:eastAsia="en-IN"/>
              </w:rPr>
              <w:t>Loss Range</w:t>
            </w:r>
          </w:p>
        </w:tc>
      </w:tr>
      <w:tr w:rsidR="00002BB5" w:rsidRPr="00002BB5" w14:paraId="5ED884DB" w14:textId="77777777" w:rsidTr="000F221E">
        <w:trPr>
          <w:trHeight w:val="432"/>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F946E3F" w14:textId="77777777" w:rsidR="00002BB5" w:rsidRPr="00002BB5" w:rsidRDefault="00002BB5" w:rsidP="000F221E">
            <w:pPr>
              <w:spacing w:line="240" w:lineRule="atLeast"/>
              <w:jc w:val="center"/>
              <w:rPr>
                <w:rFonts w:asciiTheme="majorHAnsi" w:hAnsiTheme="majorHAnsi" w:cs="Calibri"/>
                <w:b/>
                <w:lang w:eastAsia="en-IN"/>
              </w:rPr>
            </w:pPr>
          </w:p>
        </w:tc>
        <w:tc>
          <w:tcPr>
            <w:tcW w:w="1701" w:type="dxa"/>
            <w:tcBorders>
              <w:top w:val="nil"/>
              <w:left w:val="nil"/>
              <w:bottom w:val="single" w:sz="4" w:space="0" w:color="auto"/>
              <w:right w:val="single" w:sz="4" w:space="0" w:color="auto"/>
            </w:tcBorders>
            <w:vAlign w:val="center"/>
            <w:hideMark/>
          </w:tcPr>
          <w:p w14:paraId="0C5638C9" w14:textId="77777777" w:rsidR="00002BB5" w:rsidRPr="00002BB5" w:rsidRDefault="00002BB5" w:rsidP="000F221E">
            <w:pPr>
              <w:spacing w:line="240" w:lineRule="atLeast"/>
              <w:jc w:val="center"/>
              <w:rPr>
                <w:rFonts w:asciiTheme="majorHAnsi" w:hAnsiTheme="majorHAnsi" w:cs="Calibri"/>
                <w:b/>
                <w:lang w:eastAsia="en-IN"/>
              </w:rPr>
            </w:pPr>
            <w:r w:rsidRPr="00002BB5">
              <w:rPr>
                <w:rFonts w:asciiTheme="majorHAnsi" w:hAnsiTheme="majorHAnsi" w:cs="Calibri"/>
                <w:b/>
                <w:lang w:eastAsia="en-IN"/>
              </w:rPr>
              <w:t>&lt; 10%</w:t>
            </w:r>
          </w:p>
        </w:tc>
        <w:tc>
          <w:tcPr>
            <w:tcW w:w="1559" w:type="dxa"/>
            <w:tcBorders>
              <w:top w:val="nil"/>
              <w:left w:val="nil"/>
              <w:bottom w:val="single" w:sz="4" w:space="0" w:color="auto"/>
              <w:right w:val="single" w:sz="4" w:space="0" w:color="auto"/>
            </w:tcBorders>
            <w:vAlign w:val="center"/>
            <w:hideMark/>
          </w:tcPr>
          <w:p w14:paraId="62CD3EF3" w14:textId="77777777" w:rsidR="00002BB5" w:rsidRPr="00002BB5" w:rsidRDefault="00002BB5" w:rsidP="000F221E">
            <w:pPr>
              <w:spacing w:line="240" w:lineRule="atLeast"/>
              <w:jc w:val="center"/>
              <w:rPr>
                <w:rFonts w:asciiTheme="majorHAnsi" w:hAnsiTheme="majorHAnsi" w:cs="Calibri"/>
                <w:b/>
                <w:lang w:eastAsia="en-IN"/>
              </w:rPr>
            </w:pPr>
            <w:r w:rsidRPr="00002BB5">
              <w:rPr>
                <w:rFonts w:asciiTheme="majorHAnsi" w:hAnsiTheme="majorHAnsi" w:cs="Calibri"/>
                <w:b/>
                <w:lang w:eastAsia="en-IN"/>
              </w:rPr>
              <w:t>10% -20%</w:t>
            </w:r>
          </w:p>
        </w:tc>
        <w:tc>
          <w:tcPr>
            <w:tcW w:w="1559" w:type="dxa"/>
            <w:tcBorders>
              <w:top w:val="nil"/>
              <w:left w:val="nil"/>
              <w:bottom w:val="single" w:sz="4" w:space="0" w:color="auto"/>
              <w:right w:val="single" w:sz="4" w:space="0" w:color="auto"/>
            </w:tcBorders>
            <w:vAlign w:val="center"/>
            <w:hideMark/>
          </w:tcPr>
          <w:p w14:paraId="76F4D880" w14:textId="77777777" w:rsidR="00002BB5" w:rsidRPr="00002BB5" w:rsidRDefault="00002BB5" w:rsidP="000F221E">
            <w:pPr>
              <w:spacing w:line="240" w:lineRule="atLeast"/>
              <w:jc w:val="center"/>
              <w:rPr>
                <w:rFonts w:asciiTheme="majorHAnsi" w:hAnsiTheme="majorHAnsi" w:cs="Calibri"/>
                <w:b/>
                <w:lang w:eastAsia="en-IN"/>
              </w:rPr>
            </w:pPr>
            <w:r w:rsidRPr="00002BB5">
              <w:rPr>
                <w:rFonts w:asciiTheme="majorHAnsi" w:hAnsiTheme="majorHAnsi" w:cs="Calibri"/>
                <w:b/>
                <w:lang w:eastAsia="en-IN"/>
              </w:rPr>
              <w:t>20% - 40%</w:t>
            </w:r>
          </w:p>
        </w:tc>
        <w:tc>
          <w:tcPr>
            <w:tcW w:w="1266" w:type="dxa"/>
            <w:tcBorders>
              <w:top w:val="nil"/>
              <w:left w:val="nil"/>
              <w:bottom w:val="single" w:sz="4" w:space="0" w:color="auto"/>
              <w:right w:val="single" w:sz="4" w:space="0" w:color="auto"/>
            </w:tcBorders>
            <w:vAlign w:val="center"/>
          </w:tcPr>
          <w:p w14:paraId="2A2299BE" w14:textId="77777777" w:rsidR="00002BB5" w:rsidRPr="00002BB5" w:rsidRDefault="00002BB5" w:rsidP="000F221E">
            <w:pPr>
              <w:spacing w:line="240" w:lineRule="atLeast"/>
              <w:jc w:val="center"/>
              <w:rPr>
                <w:rFonts w:asciiTheme="majorHAnsi" w:hAnsiTheme="majorHAnsi" w:cs="Calibri"/>
                <w:b/>
                <w:lang w:eastAsia="en-IN"/>
              </w:rPr>
            </w:pPr>
            <w:r w:rsidRPr="00002BB5">
              <w:rPr>
                <w:rFonts w:asciiTheme="majorHAnsi" w:hAnsiTheme="majorHAnsi" w:cs="Calibri"/>
                <w:b/>
                <w:lang w:eastAsia="en-IN"/>
              </w:rPr>
              <w:t>&gt;40%</w:t>
            </w:r>
          </w:p>
        </w:tc>
        <w:tc>
          <w:tcPr>
            <w:tcW w:w="1267" w:type="dxa"/>
            <w:tcBorders>
              <w:top w:val="nil"/>
              <w:left w:val="nil"/>
              <w:bottom w:val="single" w:sz="4" w:space="0" w:color="auto"/>
              <w:right w:val="single" w:sz="4" w:space="0" w:color="auto"/>
            </w:tcBorders>
            <w:vAlign w:val="center"/>
          </w:tcPr>
          <w:p w14:paraId="0C70CF97" w14:textId="77777777" w:rsidR="00002BB5" w:rsidRPr="00002BB5" w:rsidRDefault="00002BB5" w:rsidP="000F221E">
            <w:pPr>
              <w:spacing w:line="240" w:lineRule="atLeast"/>
              <w:jc w:val="center"/>
              <w:rPr>
                <w:rFonts w:asciiTheme="majorHAnsi" w:hAnsiTheme="majorHAnsi" w:cs="Calibri"/>
                <w:b/>
                <w:lang w:eastAsia="en-IN"/>
              </w:rPr>
            </w:pPr>
            <w:r w:rsidRPr="00002BB5">
              <w:rPr>
                <w:rFonts w:asciiTheme="majorHAnsi" w:hAnsiTheme="majorHAnsi" w:cs="Calibri"/>
                <w:b/>
                <w:lang w:eastAsia="en-IN"/>
              </w:rPr>
              <w:t>Grand Total</w:t>
            </w:r>
          </w:p>
        </w:tc>
      </w:tr>
      <w:tr w:rsidR="00002BB5" w:rsidRPr="00002BB5" w14:paraId="6A7E0BD8" w14:textId="77777777" w:rsidTr="000F221E">
        <w:trPr>
          <w:trHeight w:val="67"/>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36DBDD2" w14:textId="77777777" w:rsidR="00002BB5" w:rsidRPr="00002BB5" w:rsidRDefault="00002BB5" w:rsidP="000F221E">
            <w:pPr>
              <w:spacing w:line="240" w:lineRule="atLeast"/>
              <w:jc w:val="center"/>
              <w:rPr>
                <w:rFonts w:asciiTheme="majorHAnsi" w:hAnsiTheme="majorHAnsi" w:cs="Calibri"/>
                <w:b/>
                <w:lang w:eastAsia="en-IN"/>
              </w:rPr>
            </w:pPr>
          </w:p>
        </w:tc>
        <w:tc>
          <w:tcPr>
            <w:tcW w:w="1701" w:type="dxa"/>
            <w:tcBorders>
              <w:top w:val="nil"/>
              <w:left w:val="nil"/>
              <w:bottom w:val="single" w:sz="4" w:space="0" w:color="auto"/>
              <w:right w:val="single" w:sz="4" w:space="0" w:color="auto"/>
            </w:tcBorders>
            <w:vAlign w:val="center"/>
          </w:tcPr>
          <w:p w14:paraId="1417E939" w14:textId="77777777" w:rsidR="00002BB5" w:rsidRPr="00002BB5" w:rsidRDefault="00002BB5" w:rsidP="000F221E">
            <w:pPr>
              <w:spacing w:line="240" w:lineRule="atLeast"/>
              <w:jc w:val="center"/>
              <w:rPr>
                <w:rFonts w:asciiTheme="majorHAnsi" w:hAnsiTheme="majorHAnsi" w:cs="Calibri"/>
                <w:b/>
                <w:lang w:eastAsia="en-IN"/>
              </w:rPr>
            </w:pPr>
            <w:r w:rsidRPr="00002BB5">
              <w:rPr>
                <w:rFonts w:asciiTheme="majorHAnsi" w:hAnsiTheme="majorHAnsi" w:cs="Calibri"/>
                <w:b/>
                <w:lang w:eastAsia="en-IN"/>
              </w:rPr>
              <w:t>332</w:t>
            </w:r>
          </w:p>
        </w:tc>
        <w:tc>
          <w:tcPr>
            <w:tcW w:w="1559" w:type="dxa"/>
            <w:tcBorders>
              <w:top w:val="nil"/>
              <w:left w:val="nil"/>
              <w:bottom w:val="single" w:sz="4" w:space="0" w:color="auto"/>
              <w:right w:val="single" w:sz="4" w:space="0" w:color="auto"/>
            </w:tcBorders>
            <w:vAlign w:val="center"/>
          </w:tcPr>
          <w:p w14:paraId="745AF191" w14:textId="77777777" w:rsidR="00002BB5" w:rsidRPr="00002BB5" w:rsidRDefault="00002BB5" w:rsidP="000F221E">
            <w:pPr>
              <w:spacing w:line="240" w:lineRule="atLeast"/>
              <w:jc w:val="center"/>
              <w:rPr>
                <w:rFonts w:asciiTheme="majorHAnsi" w:hAnsiTheme="majorHAnsi" w:cs="Calibri"/>
                <w:b/>
                <w:lang w:eastAsia="en-IN"/>
              </w:rPr>
            </w:pPr>
            <w:r w:rsidRPr="00002BB5">
              <w:rPr>
                <w:rFonts w:asciiTheme="majorHAnsi" w:hAnsiTheme="majorHAnsi" w:cs="Calibri"/>
                <w:b/>
                <w:lang w:eastAsia="en-IN"/>
              </w:rPr>
              <w:t>157</w:t>
            </w:r>
          </w:p>
        </w:tc>
        <w:tc>
          <w:tcPr>
            <w:tcW w:w="1559" w:type="dxa"/>
            <w:tcBorders>
              <w:top w:val="nil"/>
              <w:left w:val="nil"/>
              <w:bottom w:val="single" w:sz="4" w:space="0" w:color="auto"/>
              <w:right w:val="single" w:sz="4" w:space="0" w:color="auto"/>
            </w:tcBorders>
            <w:vAlign w:val="center"/>
          </w:tcPr>
          <w:p w14:paraId="5FF23AEA" w14:textId="77777777" w:rsidR="00002BB5" w:rsidRPr="00002BB5" w:rsidRDefault="00002BB5" w:rsidP="000F221E">
            <w:pPr>
              <w:spacing w:line="240" w:lineRule="atLeast"/>
              <w:jc w:val="center"/>
              <w:rPr>
                <w:rFonts w:asciiTheme="majorHAnsi" w:hAnsiTheme="majorHAnsi" w:cs="Calibri"/>
                <w:b/>
                <w:lang w:eastAsia="en-IN"/>
              </w:rPr>
            </w:pPr>
            <w:r w:rsidRPr="00002BB5">
              <w:rPr>
                <w:rFonts w:asciiTheme="majorHAnsi" w:hAnsiTheme="majorHAnsi" w:cs="Calibri"/>
                <w:b/>
                <w:lang w:eastAsia="en-IN"/>
              </w:rPr>
              <w:t>344</w:t>
            </w:r>
          </w:p>
        </w:tc>
        <w:tc>
          <w:tcPr>
            <w:tcW w:w="1266" w:type="dxa"/>
            <w:tcBorders>
              <w:top w:val="nil"/>
              <w:left w:val="nil"/>
              <w:bottom w:val="single" w:sz="4" w:space="0" w:color="auto"/>
              <w:right w:val="single" w:sz="4" w:space="0" w:color="auto"/>
            </w:tcBorders>
            <w:vAlign w:val="center"/>
          </w:tcPr>
          <w:p w14:paraId="6ACB0AEE" w14:textId="77777777" w:rsidR="00002BB5" w:rsidRPr="00002BB5" w:rsidRDefault="00002BB5" w:rsidP="000F221E">
            <w:pPr>
              <w:spacing w:line="240" w:lineRule="atLeast"/>
              <w:jc w:val="center"/>
              <w:rPr>
                <w:rFonts w:asciiTheme="majorHAnsi" w:hAnsiTheme="majorHAnsi" w:cs="Calibri"/>
                <w:b/>
                <w:lang w:eastAsia="en-IN"/>
              </w:rPr>
            </w:pPr>
            <w:r w:rsidRPr="00002BB5">
              <w:rPr>
                <w:rFonts w:asciiTheme="majorHAnsi" w:hAnsiTheme="majorHAnsi" w:cs="Calibri"/>
                <w:b/>
                <w:lang w:eastAsia="en-IN"/>
              </w:rPr>
              <w:t>351</w:t>
            </w:r>
          </w:p>
        </w:tc>
        <w:tc>
          <w:tcPr>
            <w:tcW w:w="1267" w:type="dxa"/>
            <w:tcBorders>
              <w:top w:val="nil"/>
              <w:left w:val="nil"/>
              <w:bottom w:val="single" w:sz="4" w:space="0" w:color="auto"/>
              <w:right w:val="single" w:sz="4" w:space="0" w:color="auto"/>
            </w:tcBorders>
            <w:vAlign w:val="center"/>
          </w:tcPr>
          <w:p w14:paraId="0A6F4A32" w14:textId="77777777" w:rsidR="00002BB5" w:rsidRPr="00002BB5" w:rsidRDefault="00002BB5" w:rsidP="000F221E">
            <w:pPr>
              <w:spacing w:line="240" w:lineRule="atLeast"/>
              <w:jc w:val="center"/>
              <w:rPr>
                <w:rFonts w:asciiTheme="majorHAnsi" w:hAnsiTheme="majorHAnsi" w:cs="Calibri"/>
                <w:b/>
                <w:lang w:eastAsia="en-IN"/>
              </w:rPr>
            </w:pPr>
            <w:r w:rsidRPr="00002BB5">
              <w:rPr>
                <w:rFonts w:asciiTheme="majorHAnsi" w:hAnsiTheme="majorHAnsi" w:cs="Calibri"/>
                <w:b/>
                <w:lang w:eastAsia="en-IN"/>
              </w:rPr>
              <w:t>1184</w:t>
            </w:r>
          </w:p>
        </w:tc>
      </w:tr>
    </w:tbl>
    <w:p w14:paraId="0DAD1137" w14:textId="77777777" w:rsidR="00A80D2E" w:rsidRDefault="00A80D2E" w:rsidP="00334DF4">
      <w:pPr>
        <w:spacing w:line="360" w:lineRule="auto"/>
        <w:jc w:val="both"/>
        <w:rPr>
          <w:rFonts w:ascii="Cambria" w:hAnsi="Cambria"/>
          <w:b/>
          <w:bCs/>
        </w:rPr>
      </w:pPr>
    </w:p>
    <w:p w14:paraId="53FDE948" w14:textId="77777777" w:rsidR="00E239B7" w:rsidRPr="00E239B7" w:rsidRDefault="00E239B7" w:rsidP="00E239B7">
      <w:pPr>
        <w:spacing w:line="360" w:lineRule="auto"/>
        <w:jc w:val="both"/>
        <w:rPr>
          <w:rFonts w:asciiTheme="majorHAnsi" w:hAnsiTheme="majorHAnsi"/>
          <w:b/>
          <w:bCs/>
          <w:u w:val="single"/>
        </w:rPr>
      </w:pPr>
      <w:r w:rsidRPr="00E239B7">
        <w:rPr>
          <w:rFonts w:asciiTheme="majorHAnsi" w:hAnsiTheme="majorHAnsi"/>
          <w:b/>
          <w:bCs/>
          <w:u w:val="single"/>
        </w:rPr>
        <w:t>DTR Energy Audit Status:</w:t>
      </w:r>
    </w:p>
    <w:p w14:paraId="372204DB" w14:textId="760BC5CB" w:rsidR="00E239B7" w:rsidRPr="00E239B7" w:rsidRDefault="00E239B7" w:rsidP="00E239B7">
      <w:pPr>
        <w:spacing w:line="360" w:lineRule="auto"/>
        <w:jc w:val="both"/>
        <w:rPr>
          <w:rFonts w:asciiTheme="majorHAnsi" w:hAnsiTheme="majorHAnsi"/>
        </w:rPr>
      </w:pPr>
      <w:r w:rsidRPr="00E239B7">
        <w:rPr>
          <w:rFonts w:asciiTheme="majorHAnsi" w:hAnsiTheme="majorHAnsi"/>
        </w:rPr>
        <w:t xml:space="preserve">There are </w:t>
      </w:r>
      <w:r w:rsidRPr="00E239B7">
        <w:rPr>
          <w:rFonts w:asciiTheme="majorHAnsi" w:hAnsiTheme="majorHAnsi" w:cs="Calibri"/>
          <w:lang w:eastAsia="en-IN"/>
        </w:rPr>
        <w:t>84542</w:t>
      </w:r>
      <w:r w:rsidRPr="00E239B7">
        <w:rPr>
          <w:rFonts w:asciiTheme="majorHAnsi" w:hAnsiTheme="majorHAnsi"/>
        </w:rPr>
        <w:t xml:space="preserve"> no. DTRs in TPWODL as of September’25. Out of total installed DTR, 13447 nos. DTR of 100 kVA &amp; above are considered for Audit purpose. As on September’25, 8897</w:t>
      </w:r>
      <w:r w:rsidRPr="00E239B7">
        <w:rPr>
          <w:rFonts w:asciiTheme="majorHAnsi" w:hAnsiTheme="majorHAnsi"/>
          <w:color w:val="EE0000"/>
        </w:rPr>
        <w:t xml:space="preserve"> </w:t>
      </w:r>
      <w:r w:rsidRPr="00E239B7">
        <w:rPr>
          <w:rFonts w:asciiTheme="majorHAnsi" w:hAnsiTheme="majorHAnsi"/>
        </w:rPr>
        <w:t>nos. DTR Smart metering was completed. As of now, Energy Accounting of 5400 nos. DTR is being carried out based on GIS tagging. The Loss ranges are depicted as follows:</w:t>
      </w:r>
    </w:p>
    <w:tbl>
      <w:tblPr>
        <w:tblW w:w="9214" w:type="dxa"/>
        <w:tblInd w:w="-5" w:type="dxa"/>
        <w:tblLook w:val="04A0" w:firstRow="1" w:lastRow="0" w:firstColumn="1" w:lastColumn="0" w:noHBand="0" w:noVBand="1"/>
      </w:tblPr>
      <w:tblGrid>
        <w:gridCol w:w="1240"/>
        <w:gridCol w:w="1231"/>
        <w:gridCol w:w="1498"/>
        <w:gridCol w:w="1843"/>
        <w:gridCol w:w="1843"/>
        <w:gridCol w:w="1559"/>
      </w:tblGrid>
      <w:tr w:rsidR="00E239B7" w:rsidRPr="00E239B7" w14:paraId="73442BDC" w14:textId="77777777" w:rsidTr="000F221E">
        <w:trPr>
          <w:trHeight w:val="314"/>
        </w:trPr>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2F211B5A" w14:textId="77777777" w:rsidR="00E239B7" w:rsidRPr="00E239B7" w:rsidRDefault="00E239B7" w:rsidP="000F221E">
            <w:pPr>
              <w:spacing w:line="240" w:lineRule="atLeast"/>
              <w:jc w:val="center"/>
              <w:rPr>
                <w:rFonts w:asciiTheme="majorHAnsi" w:hAnsiTheme="majorHAnsi" w:cs="Calibri"/>
                <w:b/>
                <w:lang w:eastAsia="en-IN"/>
              </w:rPr>
            </w:pPr>
            <w:r w:rsidRPr="00E239B7">
              <w:rPr>
                <w:rFonts w:asciiTheme="majorHAnsi" w:hAnsiTheme="majorHAnsi" w:cs="Calibri"/>
                <w:b/>
                <w:lang w:eastAsia="en-IN"/>
              </w:rPr>
              <w:t>DTR</w:t>
            </w:r>
          </w:p>
        </w:tc>
        <w:tc>
          <w:tcPr>
            <w:tcW w:w="7974" w:type="dxa"/>
            <w:gridSpan w:val="5"/>
            <w:tcBorders>
              <w:top w:val="single" w:sz="4" w:space="0" w:color="auto"/>
              <w:left w:val="nil"/>
              <w:bottom w:val="single" w:sz="4" w:space="0" w:color="auto"/>
              <w:right w:val="single" w:sz="4" w:space="0" w:color="auto"/>
            </w:tcBorders>
            <w:vAlign w:val="center"/>
            <w:hideMark/>
          </w:tcPr>
          <w:p w14:paraId="242324B6" w14:textId="77777777" w:rsidR="00E239B7" w:rsidRPr="00E239B7" w:rsidRDefault="00E239B7" w:rsidP="000F221E">
            <w:pPr>
              <w:spacing w:line="240" w:lineRule="atLeast"/>
              <w:jc w:val="center"/>
              <w:rPr>
                <w:rFonts w:asciiTheme="majorHAnsi" w:hAnsiTheme="majorHAnsi" w:cs="Calibri"/>
                <w:b/>
                <w:lang w:eastAsia="en-IN"/>
              </w:rPr>
            </w:pPr>
            <w:r w:rsidRPr="00E239B7">
              <w:rPr>
                <w:rFonts w:asciiTheme="majorHAnsi" w:hAnsiTheme="majorHAnsi" w:cs="Calibri"/>
                <w:b/>
                <w:lang w:eastAsia="en-IN"/>
              </w:rPr>
              <w:t>Loss Range</w:t>
            </w:r>
          </w:p>
        </w:tc>
      </w:tr>
      <w:tr w:rsidR="00E239B7" w:rsidRPr="00E239B7" w14:paraId="78409D9E" w14:textId="77777777" w:rsidTr="00B60765">
        <w:trPr>
          <w:trHeight w:val="67"/>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19539DA5" w14:textId="77777777" w:rsidR="00E239B7" w:rsidRPr="00E239B7" w:rsidRDefault="00E239B7" w:rsidP="000F221E">
            <w:pPr>
              <w:spacing w:line="240" w:lineRule="atLeast"/>
              <w:jc w:val="center"/>
              <w:rPr>
                <w:rFonts w:asciiTheme="majorHAnsi" w:hAnsiTheme="majorHAnsi" w:cs="Calibri"/>
                <w:b/>
                <w:lang w:eastAsia="en-IN"/>
              </w:rPr>
            </w:pPr>
          </w:p>
        </w:tc>
        <w:tc>
          <w:tcPr>
            <w:tcW w:w="1231" w:type="dxa"/>
            <w:tcBorders>
              <w:top w:val="nil"/>
              <w:left w:val="nil"/>
              <w:bottom w:val="single" w:sz="4" w:space="0" w:color="auto"/>
              <w:right w:val="single" w:sz="4" w:space="0" w:color="auto"/>
            </w:tcBorders>
            <w:vAlign w:val="center"/>
            <w:hideMark/>
          </w:tcPr>
          <w:p w14:paraId="37D38D32" w14:textId="77777777" w:rsidR="00E239B7" w:rsidRPr="00E239B7" w:rsidRDefault="00E239B7" w:rsidP="000F221E">
            <w:pPr>
              <w:spacing w:line="240" w:lineRule="atLeast"/>
              <w:jc w:val="center"/>
              <w:rPr>
                <w:rFonts w:asciiTheme="majorHAnsi" w:hAnsiTheme="majorHAnsi" w:cs="Calibri"/>
                <w:b/>
                <w:lang w:eastAsia="en-IN"/>
              </w:rPr>
            </w:pPr>
            <w:r w:rsidRPr="00E239B7">
              <w:rPr>
                <w:rFonts w:asciiTheme="majorHAnsi" w:hAnsiTheme="majorHAnsi" w:cs="Calibri"/>
                <w:b/>
                <w:lang w:eastAsia="en-IN"/>
              </w:rPr>
              <w:t>&lt; 10%</w:t>
            </w:r>
          </w:p>
        </w:tc>
        <w:tc>
          <w:tcPr>
            <w:tcW w:w="1498" w:type="dxa"/>
            <w:tcBorders>
              <w:top w:val="nil"/>
              <w:left w:val="nil"/>
              <w:bottom w:val="single" w:sz="4" w:space="0" w:color="auto"/>
              <w:right w:val="single" w:sz="4" w:space="0" w:color="auto"/>
            </w:tcBorders>
            <w:vAlign w:val="center"/>
            <w:hideMark/>
          </w:tcPr>
          <w:p w14:paraId="49DC913A" w14:textId="77777777" w:rsidR="00E239B7" w:rsidRPr="00E239B7" w:rsidRDefault="00E239B7" w:rsidP="000F221E">
            <w:pPr>
              <w:spacing w:line="240" w:lineRule="atLeast"/>
              <w:rPr>
                <w:rFonts w:asciiTheme="majorHAnsi" w:hAnsiTheme="majorHAnsi" w:cs="Calibri"/>
                <w:b/>
                <w:lang w:eastAsia="en-IN"/>
              </w:rPr>
            </w:pPr>
            <w:r w:rsidRPr="00E239B7">
              <w:rPr>
                <w:rFonts w:asciiTheme="majorHAnsi" w:hAnsiTheme="majorHAnsi" w:cs="Calibri"/>
                <w:b/>
                <w:lang w:eastAsia="en-IN"/>
              </w:rPr>
              <w:t>10% -20%</w:t>
            </w:r>
          </w:p>
        </w:tc>
        <w:tc>
          <w:tcPr>
            <w:tcW w:w="1843" w:type="dxa"/>
            <w:tcBorders>
              <w:top w:val="nil"/>
              <w:left w:val="nil"/>
              <w:bottom w:val="single" w:sz="4" w:space="0" w:color="auto"/>
              <w:right w:val="single" w:sz="4" w:space="0" w:color="auto"/>
            </w:tcBorders>
            <w:vAlign w:val="center"/>
            <w:hideMark/>
          </w:tcPr>
          <w:p w14:paraId="2DBC44A6" w14:textId="77777777" w:rsidR="00E239B7" w:rsidRPr="00E239B7" w:rsidRDefault="00E239B7" w:rsidP="000F221E">
            <w:pPr>
              <w:spacing w:line="240" w:lineRule="atLeast"/>
              <w:jc w:val="center"/>
              <w:rPr>
                <w:rFonts w:asciiTheme="majorHAnsi" w:hAnsiTheme="majorHAnsi" w:cs="Calibri"/>
                <w:b/>
                <w:lang w:eastAsia="en-IN"/>
              </w:rPr>
            </w:pPr>
            <w:r w:rsidRPr="00E239B7">
              <w:rPr>
                <w:rFonts w:asciiTheme="majorHAnsi" w:hAnsiTheme="majorHAnsi" w:cs="Calibri"/>
                <w:b/>
                <w:lang w:eastAsia="en-IN"/>
              </w:rPr>
              <w:t>20% - 40%</w:t>
            </w:r>
          </w:p>
        </w:tc>
        <w:tc>
          <w:tcPr>
            <w:tcW w:w="1843" w:type="dxa"/>
            <w:tcBorders>
              <w:top w:val="single" w:sz="4" w:space="0" w:color="auto"/>
              <w:left w:val="nil"/>
              <w:bottom w:val="single" w:sz="4" w:space="0" w:color="auto"/>
              <w:right w:val="single" w:sz="4" w:space="0" w:color="auto"/>
            </w:tcBorders>
            <w:vAlign w:val="center"/>
            <w:hideMark/>
          </w:tcPr>
          <w:p w14:paraId="2AA26155" w14:textId="77777777" w:rsidR="00E239B7" w:rsidRPr="00E239B7" w:rsidRDefault="00E239B7" w:rsidP="000F221E">
            <w:pPr>
              <w:spacing w:line="240" w:lineRule="atLeast"/>
              <w:jc w:val="center"/>
              <w:rPr>
                <w:rFonts w:asciiTheme="majorHAnsi" w:hAnsiTheme="majorHAnsi" w:cs="Calibri"/>
                <w:b/>
                <w:lang w:eastAsia="en-IN"/>
              </w:rPr>
            </w:pPr>
            <w:r w:rsidRPr="00E239B7">
              <w:rPr>
                <w:rFonts w:asciiTheme="majorHAnsi" w:hAnsiTheme="majorHAnsi" w:cs="Calibri"/>
                <w:b/>
                <w:lang w:eastAsia="en-IN"/>
              </w:rPr>
              <w:t>Above 40%</w:t>
            </w:r>
          </w:p>
        </w:tc>
        <w:tc>
          <w:tcPr>
            <w:tcW w:w="1559" w:type="dxa"/>
            <w:tcBorders>
              <w:top w:val="single" w:sz="4" w:space="0" w:color="auto"/>
              <w:left w:val="nil"/>
              <w:bottom w:val="single" w:sz="4" w:space="0" w:color="auto"/>
              <w:right w:val="single" w:sz="4" w:space="0" w:color="auto"/>
            </w:tcBorders>
            <w:vAlign w:val="center"/>
            <w:hideMark/>
          </w:tcPr>
          <w:p w14:paraId="327CC93B" w14:textId="77777777" w:rsidR="00E239B7" w:rsidRPr="00E239B7" w:rsidRDefault="00E239B7" w:rsidP="000F221E">
            <w:pPr>
              <w:spacing w:line="240" w:lineRule="atLeast"/>
              <w:jc w:val="center"/>
              <w:rPr>
                <w:rFonts w:asciiTheme="majorHAnsi" w:hAnsiTheme="majorHAnsi" w:cs="Calibri"/>
                <w:b/>
                <w:lang w:eastAsia="en-IN"/>
              </w:rPr>
            </w:pPr>
            <w:r w:rsidRPr="00E239B7">
              <w:rPr>
                <w:rFonts w:asciiTheme="majorHAnsi" w:hAnsiTheme="majorHAnsi" w:cs="Calibri"/>
                <w:b/>
                <w:lang w:eastAsia="en-IN"/>
              </w:rPr>
              <w:t>Grand Total</w:t>
            </w:r>
          </w:p>
        </w:tc>
      </w:tr>
      <w:tr w:rsidR="00E239B7" w:rsidRPr="00E239B7" w14:paraId="59BFC25A" w14:textId="77777777" w:rsidTr="00B60765">
        <w:trPr>
          <w:trHeight w:val="314"/>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61EBB7A6" w14:textId="77777777" w:rsidR="00E239B7" w:rsidRPr="00E239B7" w:rsidRDefault="00E239B7" w:rsidP="000F221E">
            <w:pPr>
              <w:spacing w:line="240" w:lineRule="atLeast"/>
              <w:jc w:val="center"/>
              <w:rPr>
                <w:rFonts w:asciiTheme="majorHAnsi" w:hAnsiTheme="majorHAnsi" w:cs="Calibri"/>
                <w:b/>
                <w:lang w:eastAsia="en-IN"/>
              </w:rPr>
            </w:pPr>
          </w:p>
        </w:tc>
        <w:tc>
          <w:tcPr>
            <w:tcW w:w="1231" w:type="dxa"/>
            <w:tcBorders>
              <w:top w:val="nil"/>
              <w:left w:val="nil"/>
              <w:bottom w:val="single" w:sz="4" w:space="0" w:color="auto"/>
              <w:right w:val="single" w:sz="4" w:space="0" w:color="auto"/>
            </w:tcBorders>
            <w:vAlign w:val="center"/>
          </w:tcPr>
          <w:p w14:paraId="2AF141E2" w14:textId="77777777" w:rsidR="00E239B7" w:rsidRPr="00E239B7" w:rsidRDefault="00E239B7" w:rsidP="000F221E">
            <w:pPr>
              <w:spacing w:line="240" w:lineRule="atLeast"/>
              <w:jc w:val="center"/>
              <w:rPr>
                <w:rFonts w:asciiTheme="majorHAnsi" w:hAnsiTheme="majorHAnsi" w:cs="Calibri"/>
                <w:b/>
                <w:lang w:eastAsia="en-IN"/>
              </w:rPr>
            </w:pPr>
            <w:r w:rsidRPr="00E239B7">
              <w:rPr>
                <w:rFonts w:asciiTheme="majorHAnsi" w:hAnsiTheme="majorHAnsi" w:cs="Calibri"/>
                <w:b/>
                <w:lang w:eastAsia="en-IN"/>
              </w:rPr>
              <w:t>1866</w:t>
            </w:r>
          </w:p>
        </w:tc>
        <w:tc>
          <w:tcPr>
            <w:tcW w:w="1498" w:type="dxa"/>
            <w:tcBorders>
              <w:top w:val="nil"/>
              <w:left w:val="nil"/>
              <w:bottom w:val="single" w:sz="4" w:space="0" w:color="auto"/>
              <w:right w:val="single" w:sz="4" w:space="0" w:color="auto"/>
            </w:tcBorders>
            <w:vAlign w:val="center"/>
          </w:tcPr>
          <w:p w14:paraId="04794822" w14:textId="77777777" w:rsidR="00E239B7" w:rsidRPr="00E239B7" w:rsidRDefault="00E239B7" w:rsidP="000F221E">
            <w:pPr>
              <w:spacing w:line="240" w:lineRule="atLeast"/>
              <w:jc w:val="center"/>
              <w:rPr>
                <w:rFonts w:asciiTheme="majorHAnsi" w:hAnsiTheme="majorHAnsi" w:cs="Calibri"/>
                <w:b/>
                <w:lang w:eastAsia="en-IN"/>
              </w:rPr>
            </w:pPr>
            <w:r w:rsidRPr="00E239B7">
              <w:rPr>
                <w:rFonts w:asciiTheme="majorHAnsi" w:hAnsiTheme="majorHAnsi" w:cs="Calibri"/>
                <w:b/>
                <w:lang w:eastAsia="en-IN"/>
              </w:rPr>
              <w:t>556</w:t>
            </w:r>
          </w:p>
        </w:tc>
        <w:tc>
          <w:tcPr>
            <w:tcW w:w="1843" w:type="dxa"/>
            <w:tcBorders>
              <w:top w:val="nil"/>
              <w:left w:val="nil"/>
              <w:bottom w:val="single" w:sz="4" w:space="0" w:color="auto"/>
              <w:right w:val="single" w:sz="4" w:space="0" w:color="auto"/>
            </w:tcBorders>
            <w:vAlign w:val="center"/>
          </w:tcPr>
          <w:p w14:paraId="3BD0E957" w14:textId="77777777" w:rsidR="00E239B7" w:rsidRPr="00E239B7" w:rsidRDefault="00E239B7" w:rsidP="000F221E">
            <w:pPr>
              <w:spacing w:line="240" w:lineRule="atLeast"/>
              <w:jc w:val="center"/>
              <w:rPr>
                <w:rFonts w:asciiTheme="majorHAnsi" w:hAnsiTheme="majorHAnsi" w:cs="Calibri"/>
                <w:b/>
                <w:lang w:eastAsia="en-IN"/>
              </w:rPr>
            </w:pPr>
            <w:r w:rsidRPr="00E239B7">
              <w:rPr>
                <w:rFonts w:asciiTheme="majorHAnsi" w:hAnsiTheme="majorHAnsi" w:cs="Calibri"/>
                <w:b/>
                <w:lang w:eastAsia="en-IN"/>
              </w:rPr>
              <w:t>1007</w:t>
            </w:r>
          </w:p>
        </w:tc>
        <w:tc>
          <w:tcPr>
            <w:tcW w:w="1843" w:type="dxa"/>
            <w:tcBorders>
              <w:top w:val="single" w:sz="4" w:space="0" w:color="auto"/>
              <w:left w:val="nil"/>
              <w:bottom w:val="single" w:sz="4" w:space="0" w:color="auto"/>
              <w:right w:val="single" w:sz="4" w:space="0" w:color="auto"/>
            </w:tcBorders>
            <w:vAlign w:val="center"/>
          </w:tcPr>
          <w:p w14:paraId="58946FCB" w14:textId="77777777" w:rsidR="00E239B7" w:rsidRPr="00E239B7" w:rsidRDefault="00E239B7" w:rsidP="000F221E">
            <w:pPr>
              <w:spacing w:line="240" w:lineRule="atLeast"/>
              <w:jc w:val="center"/>
              <w:rPr>
                <w:rFonts w:asciiTheme="majorHAnsi" w:hAnsiTheme="majorHAnsi" w:cs="Calibri"/>
                <w:b/>
                <w:lang w:eastAsia="en-IN"/>
              </w:rPr>
            </w:pPr>
            <w:r w:rsidRPr="00E239B7">
              <w:rPr>
                <w:rFonts w:asciiTheme="majorHAnsi" w:hAnsiTheme="majorHAnsi" w:cs="Calibri"/>
                <w:b/>
                <w:lang w:eastAsia="en-IN"/>
              </w:rPr>
              <w:t>1971</w:t>
            </w:r>
          </w:p>
        </w:tc>
        <w:tc>
          <w:tcPr>
            <w:tcW w:w="1559" w:type="dxa"/>
            <w:tcBorders>
              <w:top w:val="single" w:sz="4" w:space="0" w:color="auto"/>
              <w:left w:val="nil"/>
              <w:bottom w:val="single" w:sz="4" w:space="0" w:color="auto"/>
              <w:right w:val="single" w:sz="4" w:space="0" w:color="auto"/>
            </w:tcBorders>
            <w:vAlign w:val="center"/>
            <w:hideMark/>
          </w:tcPr>
          <w:p w14:paraId="519199A2" w14:textId="77777777" w:rsidR="00E239B7" w:rsidRPr="00E239B7" w:rsidRDefault="00E239B7" w:rsidP="000F221E">
            <w:pPr>
              <w:spacing w:line="240" w:lineRule="atLeast"/>
              <w:jc w:val="center"/>
              <w:rPr>
                <w:rFonts w:asciiTheme="majorHAnsi" w:hAnsiTheme="majorHAnsi" w:cs="Calibri"/>
                <w:b/>
                <w:lang w:eastAsia="en-IN"/>
              </w:rPr>
            </w:pPr>
            <w:r w:rsidRPr="00E239B7">
              <w:rPr>
                <w:rFonts w:asciiTheme="majorHAnsi" w:hAnsiTheme="majorHAnsi" w:cs="Calibri"/>
                <w:b/>
                <w:lang w:eastAsia="en-IN"/>
              </w:rPr>
              <w:t>5400</w:t>
            </w:r>
          </w:p>
        </w:tc>
      </w:tr>
    </w:tbl>
    <w:p w14:paraId="28375E8A" w14:textId="77777777" w:rsidR="009729CF" w:rsidRDefault="009729CF" w:rsidP="005E4816">
      <w:pPr>
        <w:spacing w:line="360" w:lineRule="auto"/>
        <w:jc w:val="both"/>
        <w:rPr>
          <w:rFonts w:asciiTheme="majorHAnsi" w:hAnsiTheme="majorHAnsi"/>
          <w:b/>
          <w:bCs/>
        </w:rPr>
      </w:pPr>
    </w:p>
    <w:p w14:paraId="33D02FFC" w14:textId="1EF944B1" w:rsidR="005E4816" w:rsidRPr="00766279" w:rsidRDefault="005E4816" w:rsidP="005E4816">
      <w:pPr>
        <w:spacing w:line="360" w:lineRule="auto"/>
        <w:jc w:val="both"/>
        <w:rPr>
          <w:rFonts w:asciiTheme="majorHAnsi" w:hAnsiTheme="majorHAnsi"/>
          <w:b/>
          <w:bCs/>
        </w:rPr>
      </w:pPr>
      <w:r w:rsidRPr="009729CF">
        <w:rPr>
          <w:rFonts w:asciiTheme="majorHAnsi" w:hAnsiTheme="majorHAnsi"/>
          <w:b/>
          <w:bCs/>
          <w:u w:val="single"/>
        </w:rPr>
        <w:t>Perform Achieve Trade (PAT) Scheme</w:t>
      </w:r>
      <w:r w:rsidRPr="00766279">
        <w:rPr>
          <w:rFonts w:asciiTheme="majorHAnsi" w:hAnsiTheme="majorHAnsi"/>
          <w:b/>
          <w:bCs/>
        </w:rPr>
        <w:t>:</w:t>
      </w:r>
    </w:p>
    <w:p w14:paraId="230C8ED4" w14:textId="54CDAFA3" w:rsidR="005E4816" w:rsidRDefault="005E4816" w:rsidP="005E4816">
      <w:pPr>
        <w:spacing w:line="360" w:lineRule="auto"/>
        <w:jc w:val="both"/>
        <w:rPr>
          <w:rFonts w:asciiTheme="majorHAnsi" w:hAnsiTheme="majorHAnsi"/>
        </w:rPr>
      </w:pPr>
      <w:r w:rsidRPr="00766279">
        <w:rPr>
          <w:rFonts w:asciiTheme="majorHAnsi" w:hAnsiTheme="majorHAnsi"/>
        </w:rPr>
        <w:t>National Mission of Enhanced Energy Efficiency (NMEEE) is one of the eight national missions of the NAPCC released by the Prime Minister on 30th June 2008. BEE has been entrusted with the task of preparing the implementation plan for NMEEE. The PAT scheme is formulated under the National Mission for Enhanced Energy Efficiency (NMEEE) which is one of eight plans in the National Action Plan on Climate Change (NAPCC). PAT is a regulatory instrument framed by BEE and the Ministry of Power to reduce specific energy consumption in energy-intensive industries and to reduce T &amp; D losses in DISCOMs with an associated market-based mechanism to enhance the cost-effectiveness through certification of excess energy saving &amp; which can be traded in power exchange.</w:t>
      </w:r>
    </w:p>
    <w:p w14:paraId="65107513" w14:textId="77777777" w:rsidR="009729CF" w:rsidRPr="009729CF" w:rsidRDefault="009729CF" w:rsidP="00360467">
      <w:pPr>
        <w:spacing w:line="360" w:lineRule="auto"/>
        <w:jc w:val="both"/>
        <w:rPr>
          <w:rFonts w:asciiTheme="majorHAnsi" w:hAnsiTheme="majorHAnsi"/>
          <w:b/>
          <w:bCs/>
          <w:sz w:val="12"/>
          <w:u w:val="single"/>
        </w:rPr>
      </w:pPr>
    </w:p>
    <w:p w14:paraId="1581854C" w14:textId="2D104AC0" w:rsidR="00360467" w:rsidRPr="009E32B6" w:rsidRDefault="00360467" w:rsidP="00360467">
      <w:pPr>
        <w:spacing w:line="360" w:lineRule="auto"/>
        <w:jc w:val="both"/>
        <w:rPr>
          <w:rFonts w:asciiTheme="majorHAnsi" w:hAnsiTheme="majorHAnsi"/>
          <w:b/>
          <w:bCs/>
          <w:u w:val="single"/>
        </w:rPr>
      </w:pPr>
      <w:r w:rsidRPr="009E32B6">
        <w:rPr>
          <w:rFonts w:asciiTheme="majorHAnsi" w:hAnsiTheme="majorHAnsi"/>
          <w:b/>
          <w:bCs/>
          <w:u w:val="single"/>
        </w:rPr>
        <w:t>PAT Cycle-VII activity in TPWODL:</w:t>
      </w:r>
    </w:p>
    <w:p w14:paraId="0AF0EFB0" w14:textId="06677835" w:rsidR="00F607BF" w:rsidRDefault="00360467" w:rsidP="00360467">
      <w:pPr>
        <w:spacing w:line="360" w:lineRule="auto"/>
        <w:jc w:val="both"/>
        <w:rPr>
          <w:rFonts w:asciiTheme="majorHAnsi" w:hAnsiTheme="majorHAnsi"/>
        </w:rPr>
      </w:pPr>
      <w:r w:rsidRPr="00360467">
        <w:rPr>
          <w:rFonts w:asciiTheme="majorHAnsi" w:hAnsiTheme="majorHAnsi"/>
        </w:rPr>
        <w:t>In line with Section 14(g) of the Energy Conservation (EC) Act, the Central Government has notified targets (in the form of Specific Energy Consumption) for Designated Consumers (DCs) on 26th October 2021 under the PAT cycle-VII. The baseline Distribution loss of TPWODL has been fixed as 21.14% for the baseline year 2018-19 with a baseline net input energy of 7573.37MU. TPWODL has been directed to reduce its T&amp;D Loss to 19.70% in the Target Year 2024-25. If we achieve the target, an E-Certificate will be issued and if we fail to submit the Mandatory Energy Audit (MEA) within the stipulated period, as per the Energy Conservation Act, penalty may be imposed.</w:t>
      </w:r>
      <w:r>
        <w:rPr>
          <w:rFonts w:asciiTheme="majorHAnsi" w:hAnsiTheme="majorHAnsi"/>
        </w:rPr>
        <w:t xml:space="preserve"> </w:t>
      </w:r>
      <w:r w:rsidRPr="00360467">
        <w:rPr>
          <w:rFonts w:asciiTheme="majorHAnsi" w:hAnsiTheme="majorHAnsi"/>
        </w:rPr>
        <w:t>Accordingly, the following activities are carried out:</w:t>
      </w:r>
    </w:p>
    <w:p w14:paraId="071F3598" w14:textId="6C0314D4" w:rsidR="00E31A3B" w:rsidRPr="00E22FD8" w:rsidRDefault="00E31A3B" w:rsidP="001972DE">
      <w:pPr>
        <w:pStyle w:val="ListParagraph"/>
        <w:numPr>
          <w:ilvl w:val="0"/>
          <w:numId w:val="47"/>
        </w:numPr>
        <w:spacing w:line="360" w:lineRule="auto"/>
        <w:jc w:val="both"/>
        <w:rPr>
          <w:rFonts w:asciiTheme="majorHAnsi" w:hAnsiTheme="majorHAnsi"/>
          <w:sz w:val="24"/>
          <w:szCs w:val="24"/>
        </w:rPr>
      </w:pPr>
      <w:r w:rsidRPr="00E22FD8">
        <w:rPr>
          <w:rFonts w:asciiTheme="majorHAnsi" w:hAnsiTheme="majorHAnsi"/>
          <w:sz w:val="24"/>
          <w:szCs w:val="24"/>
        </w:rPr>
        <w:t>MEA and Measurement &amp; Verification audit was carried out by M/s Energy Consultancy Services, Bhubaneswar &amp; M/s. Federation of Indian Chambers of Commerce, and Industry (FICCI), respectively for PAT Cycle-II.</w:t>
      </w:r>
    </w:p>
    <w:p w14:paraId="5357CA3B" w14:textId="2591CC1A" w:rsidR="00E31A3B" w:rsidRPr="00104986" w:rsidRDefault="00E31A3B" w:rsidP="001972DE">
      <w:pPr>
        <w:pStyle w:val="ListParagraph"/>
        <w:numPr>
          <w:ilvl w:val="0"/>
          <w:numId w:val="47"/>
        </w:numPr>
        <w:spacing w:line="360" w:lineRule="auto"/>
        <w:jc w:val="both"/>
        <w:rPr>
          <w:rFonts w:asciiTheme="majorHAnsi" w:hAnsiTheme="majorHAnsi"/>
          <w:sz w:val="24"/>
          <w:szCs w:val="24"/>
        </w:rPr>
      </w:pPr>
      <w:r w:rsidRPr="00104986">
        <w:rPr>
          <w:rFonts w:asciiTheme="majorHAnsi" w:hAnsiTheme="majorHAnsi"/>
          <w:sz w:val="24"/>
          <w:szCs w:val="24"/>
        </w:rPr>
        <w:t>After verification of MEA audit through M&amp;V audit, TPWODL saved 1876.32 TOE by reducing T&amp;D Loss to 21.14% (In FY 2018-19) against the target of 23.80% from 35.5% (FY 2014-15-baseline year). Accordingly, 16136 Energy Saving Certificates were issued by BEE to TPWODL.</w:t>
      </w:r>
    </w:p>
    <w:p w14:paraId="69F6143F" w14:textId="4D3741B1" w:rsidR="00E31A3B" w:rsidRPr="00AC5674" w:rsidRDefault="00E31A3B" w:rsidP="001972DE">
      <w:pPr>
        <w:pStyle w:val="ListParagraph"/>
        <w:numPr>
          <w:ilvl w:val="0"/>
          <w:numId w:val="47"/>
        </w:numPr>
        <w:spacing w:line="360" w:lineRule="auto"/>
        <w:jc w:val="both"/>
        <w:rPr>
          <w:rFonts w:asciiTheme="majorHAnsi" w:hAnsiTheme="majorHAnsi"/>
          <w:sz w:val="24"/>
          <w:szCs w:val="24"/>
        </w:rPr>
      </w:pPr>
      <w:r w:rsidRPr="00AC5674">
        <w:rPr>
          <w:rFonts w:asciiTheme="majorHAnsi" w:hAnsiTheme="majorHAnsi"/>
          <w:sz w:val="24"/>
          <w:szCs w:val="24"/>
        </w:rPr>
        <w:t xml:space="preserve">The T&amp;D loss target for TPWODL under PAT Cycle-VII as of FY 2024-25 is 19.70%. However, as of FY 2024-25, T&amp;D Loss of TPWODL was 16.23%. MEA and Measurement &amp; Verification audit was carried out by M/S East Coast Sustainable Pvt. </w:t>
      </w:r>
      <w:r w:rsidR="00ED0F3B" w:rsidRPr="00AC5674">
        <w:rPr>
          <w:rFonts w:asciiTheme="majorHAnsi" w:hAnsiTheme="majorHAnsi"/>
          <w:sz w:val="24"/>
          <w:szCs w:val="24"/>
        </w:rPr>
        <w:t>Ltd.; Accordingly,</w:t>
      </w:r>
      <w:r w:rsidRPr="00AC5674">
        <w:rPr>
          <w:rFonts w:asciiTheme="majorHAnsi" w:hAnsiTheme="majorHAnsi"/>
          <w:sz w:val="24"/>
          <w:szCs w:val="24"/>
        </w:rPr>
        <w:t xml:space="preserve"> 22600 Energy Saving Certificates may be issued by BEE to TPWODL as verified by AEA.</w:t>
      </w:r>
    </w:p>
    <w:tbl>
      <w:tblPr>
        <w:tblW w:w="9214" w:type="dxa"/>
        <w:tblInd w:w="-5" w:type="dxa"/>
        <w:tblLayout w:type="fixed"/>
        <w:tblLook w:val="0600" w:firstRow="0" w:lastRow="0" w:firstColumn="0" w:lastColumn="0" w:noHBand="1" w:noVBand="1"/>
      </w:tblPr>
      <w:tblGrid>
        <w:gridCol w:w="511"/>
        <w:gridCol w:w="753"/>
        <w:gridCol w:w="1004"/>
        <w:gridCol w:w="851"/>
        <w:gridCol w:w="1134"/>
        <w:gridCol w:w="992"/>
        <w:gridCol w:w="992"/>
        <w:gridCol w:w="1418"/>
        <w:gridCol w:w="1559"/>
      </w:tblGrid>
      <w:tr w:rsidR="008F690C" w:rsidRPr="008F690C" w14:paraId="4E4E9384" w14:textId="77777777" w:rsidTr="00917471">
        <w:trPr>
          <w:trHeight w:val="436"/>
          <w:tblHeader/>
        </w:trPr>
        <w:tc>
          <w:tcPr>
            <w:tcW w:w="511" w:type="dxa"/>
            <w:tcBorders>
              <w:top w:val="single" w:sz="4" w:space="0" w:color="auto"/>
              <w:left w:val="single" w:sz="4" w:space="0" w:color="auto"/>
              <w:bottom w:val="single" w:sz="4" w:space="0" w:color="auto"/>
              <w:right w:val="single" w:sz="4" w:space="0" w:color="auto"/>
            </w:tcBorders>
            <w:vAlign w:val="center"/>
            <w:hideMark/>
          </w:tcPr>
          <w:p w14:paraId="2073946C" w14:textId="77777777" w:rsidR="00E31A3B" w:rsidRPr="008F690C" w:rsidRDefault="00E31A3B" w:rsidP="000F221E">
            <w:pPr>
              <w:spacing w:line="240" w:lineRule="atLeast"/>
              <w:jc w:val="center"/>
              <w:rPr>
                <w:rFonts w:asciiTheme="majorHAnsi" w:hAnsiTheme="majorHAnsi" w:cs="Calibri"/>
                <w:b/>
                <w:sz w:val="22"/>
                <w:szCs w:val="22"/>
                <w:lang w:eastAsia="en-IN"/>
              </w:rPr>
            </w:pPr>
            <w:proofErr w:type="spellStart"/>
            <w:r w:rsidRPr="008F690C">
              <w:rPr>
                <w:rFonts w:asciiTheme="majorHAnsi" w:hAnsiTheme="majorHAnsi" w:cs="Calibri"/>
                <w:b/>
                <w:sz w:val="22"/>
                <w:szCs w:val="22"/>
                <w:lang w:eastAsia="en-IN"/>
              </w:rPr>
              <w:t>Sl</w:t>
            </w:r>
            <w:proofErr w:type="spellEnd"/>
            <w:r w:rsidRPr="008F690C">
              <w:rPr>
                <w:rFonts w:asciiTheme="majorHAnsi" w:hAnsiTheme="majorHAnsi" w:cs="Calibri"/>
                <w:b/>
                <w:sz w:val="22"/>
                <w:szCs w:val="22"/>
                <w:lang w:eastAsia="en-IN"/>
              </w:rPr>
              <w:t xml:space="preserve"> No</w:t>
            </w:r>
          </w:p>
        </w:tc>
        <w:tc>
          <w:tcPr>
            <w:tcW w:w="753" w:type="dxa"/>
            <w:tcBorders>
              <w:top w:val="single" w:sz="4" w:space="0" w:color="auto"/>
              <w:left w:val="nil"/>
              <w:bottom w:val="single" w:sz="4" w:space="0" w:color="auto"/>
              <w:right w:val="single" w:sz="4" w:space="0" w:color="auto"/>
            </w:tcBorders>
            <w:vAlign w:val="center"/>
            <w:hideMark/>
          </w:tcPr>
          <w:p w14:paraId="0D11BD6B" w14:textId="77777777" w:rsidR="00E31A3B" w:rsidRPr="008F690C" w:rsidRDefault="00E31A3B" w:rsidP="000F221E">
            <w:pPr>
              <w:spacing w:line="240" w:lineRule="atLeast"/>
              <w:jc w:val="center"/>
              <w:rPr>
                <w:rFonts w:asciiTheme="majorHAnsi" w:hAnsiTheme="majorHAnsi" w:cs="Calibri"/>
                <w:b/>
                <w:sz w:val="22"/>
                <w:szCs w:val="22"/>
                <w:lang w:eastAsia="en-IN"/>
              </w:rPr>
            </w:pPr>
            <w:r w:rsidRPr="008F690C">
              <w:rPr>
                <w:rFonts w:asciiTheme="majorHAnsi" w:hAnsiTheme="majorHAnsi" w:cs="Calibri"/>
                <w:b/>
                <w:sz w:val="22"/>
                <w:szCs w:val="22"/>
                <w:lang w:eastAsia="en-IN"/>
              </w:rPr>
              <w:t>PAT Cycle</w:t>
            </w:r>
          </w:p>
        </w:tc>
        <w:tc>
          <w:tcPr>
            <w:tcW w:w="1004" w:type="dxa"/>
            <w:tcBorders>
              <w:top w:val="single" w:sz="4" w:space="0" w:color="auto"/>
              <w:left w:val="nil"/>
              <w:bottom w:val="single" w:sz="4" w:space="0" w:color="auto"/>
              <w:right w:val="single" w:sz="4" w:space="0" w:color="auto"/>
            </w:tcBorders>
            <w:vAlign w:val="center"/>
            <w:hideMark/>
          </w:tcPr>
          <w:p w14:paraId="7C9C5E9A" w14:textId="77777777" w:rsidR="00E31A3B" w:rsidRPr="008F690C" w:rsidRDefault="00E31A3B" w:rsidP="000F221E">
            <w:pPr>
              <w:spacing w:line="240" w:lineRule="atLeast"/>
              <w:jc w:val="center"/>
              <w:rPr>
                <w:rFonts w:asciiTheme="majorHAnsi" w:hAnsiTheme="majorHAnsi" w:cs="Calibri"/>
                <w:b/>
                <w:sz w:val="22"/>
                <w:szCs w:val="22"/>
                <w:lang w:eastAsia="en-IN"/>
              </w:rPr>
            </w:pPr>
            <w:r w:rsidRPr="008F690C">
              <w:rPr>
                <w:rFonts w:asciiTheme="majorHAnsi" w:hAnsiTheme="majorHAnsi" w:cs="Calibri"/>
                <w:b/>
                <w:sz w:val="22"/>
                <w:szCs w:val="22"/>
                <w:lang w:eastAsia="en-IN"/>
              </w:rPr>
              <w:t>FY</w:t>
            </w:r>
          </w:p>
        </w:tc>
        <w:tc>
          <w:tcPr>
            <w:tcW w:w="851" w:type="dxa"/>
            <w:tcBorders>
              <w:top w:val="single" w:sz="4" w:space="0" w:color="auto"/>
              <w:left w:val="nil"/>
              <w:bottom w:val="single" w:sz="4" w:space="0" w:color="auto"/>
              <w:right w:val="single" w:sz="4" w:space="0" w:color="auto"/>
            </w:tcBorders>
            <w:vAlign w:val="center"/>
            <w:hideMark/>
          </w:tcPr>
          <w:p w14:paraId="15E624A5" w14:textId="77777777" w:rsidR="00E31A3B" w:rsidRPr="008F690C" w:rsidRDefault="00E31A3B" w:rsidP="000F221E">
            <w:pPr>
              <w:spacing w:line="240" w:lineRule="atLeast"/>
              <w:jc w:val="center"/>
              <w:rPr>
                <w:rFonts w:asciiTheme="majorHAnsi" w:hAnsiTheme="majorHAnsi" w:cs="Calibri"/>
                <w:b/>
                <w:sz w:val="22"/>
                <w:szCs w:val="22"/>
                <w:lang w:eastAsia="en-IN"/>
              </w:rPr>
            </w:pPr>
            <w:r w:rsidRPr="008F690C">
              <w:rPr>
                <w:rFonts w:asciiTheme="majorHAnsi" w:hAnsiTheme="majorHAnsi" w:cs="Calibri"/>
                <w:b/>
                <w:sz w:val="22"/>
                <w:szCs w:val="22"/>
                <w:lang w:eastAsia="en-IN"/>
              </w:rPr>
              <w:t>No of Years</w:t>
            </w:r>
          </w:p>
        </w:tc>
        <w:tc>
          <w:tcPr>
            <w:tcW w:w="1134" w:type="dxa"/>
            <w:tcBorders>
              <w:top w:val="single" w:sz="4" w:space="0" w:color="auto"/>
              <w:left w:val="nil"/>
              <w:bottom w:val="single" w:sz="4" w:space="0" w:color="auto"/>
              <w:right w:val="single" w:sz="4" w:space="0" w:color="auto"/>
            </w:tcBorders>
            <w:vAlign w:val="center"/>
            <w:hideMark/>
          </w:tcPr>
          <w:p w14:paraId="39189A98" w14:textId="77777777" w:rsidR="00E31A3B" w:rsidRPr="008F690C" w:rsidRDefault="00E31A3B" w:rsidP="000F221E">
            <w:pPr>
              <w:spacing w:line="240" w:lineRule="atLeast"/>
              <w:jc w:val="center"/>
              <w:rPr>
                <w:rFonts w:asciiTheme="majorHAnsi" w:hAnsiTheme="majorHAnsi" w:cs="Calibri"/>
                <w:b/>
                <w:sz w:val="22"/>
                <w:szCs w:val="22"/>
                <w:lang w:eastAsia="en-IN"/>
              </w:rPr>
            </w:pPr>
            <w:r w:rsidRPr="008F690C">
              <w:rPr>
                <w:rFonts w:asciiTheme="majorHAnsi" w:hAnsiTheme="majorHAnsi" w:cs="Calibri"/>
                <w:b/>
                <w:sz w:val="22"/>
                <w:szCs w:val="22"/>
                <w:lang w:eastAsia="en-IN"/>
              </w:rPr>
              <w:t>Baseline Year</w:t>
            </w:r>
          </w:p>
        </w:tc>
        <w:tc>
          <w:tcPr>
            <w:tcW w:w="992" w:type="dxa"/>
            <w:tcBorders>
              <w:top w:val="single" w:sz="4" w:space="0" w:color="auto"/>
              <w:left w:val="nil"/>
              <w:bottom w:val="single" w:sz="4" w:space="0" w:color="auto"/>
              <w:right w:val="single" w:sz="4" w:space="0" w:color="auto"/>
            </w:tcBorders>
            <w:vAlign w:val="center"/>
            <w:hideMark/>
          </w:tcPr>
          <w:p w14:paraId="7FEF8C16" w14:textId="77777777" w:rsidR="00E31A3B" w:rsidRPr="008F690C" w:rsidRDefault="00E31A3B" w:rsidP="000F221E">
            <w:pPr>
              <w:spacing w:line="240" w:lineRule="atLeast"/>
              <w:jc w:val="center"/>
              <w:rPr>
                <w:rFonts w:asciiTheme="majorHAnsi" w:hAnsiTheme="majorHAnsi" w:cs="Calibri"/>
                <w:b/>
                <w:sz w:val="22"/>
                <w:szCs w:val="22"/>
                <w:lang w:eastAsia="en-IN"/>
              </w:rPr>
            </w:pPr>
            <w:r w:rsidRPr="008F690C">
              <w:rPr>
                <w:rFonts w:asciiTheme="majorHAnsi" w:hAnsiTheme="majorHAnsi" w:cs="Calibri"/>
                <w:b/>
                <w:sz w:val="22"/>
                <w:szCs w:val="22"/>
                <w:lang w:eastAsia="en-IN"/>
              </w:rPr>
              <w:t>Opening T&amp;D loss%</w:t>
            </w:r>
          </w:p>
        </w:tc>
        <w:tc>
          <w:tcPr>
            <w:tcW w:w="992" w:type="dxa"/>
            <w:tcBorders>
              <w:top w:val="single" w:sz="4" w:space="0" w:color="auto"/>
              <w:left w:val="nil"/>
              <w:bottom w:val="single" w:sz="4" w:space="0" w:color="auto"/>
              <w:right w:val="single" w:sz="4" w:space="0" w:color="auto"/>
            </w:tcBorders>
            <w:vAlign w:val="center"/>
            <w:hideMark/>
          </w:tcPr>
          <w:p w14:paraId="23DE2427" w14:textId="77777777" w:rsidR="00E31A3B" w:rsidRPr="008F690C" w:rsidRDefault="00E31A3B" w:rsidP="000F221E">
            <w:pPr>
              <w:spacing w:line="240" w:lineRule="atLeast"/>
              <w:jc w:val="center"/>
              <w:rPr>
                <w:rFonts w:asciiTheme="majorHAnsi" w:hAnsiTheme="majorHAnsi" w:cs="Calibri"/>
                <w:b/>
                <w:sz w:val="22"/>
                <w:szCs w:val="22"/>
                <w:lang w:eastAsia="en-IN"/>
              </w:rPr>
            </w:pPr>
            <w:r w:rsidRPr="008F690C">
              <w:rPr>
                <w:rFonts w:asciiTheme="majorHAnsi" w:hAnsiTheme="majorHAnsi" w:cs="Calibri"/>
                <w:b/>
                <w:sz w:val="22"/>
                <w:szCs w:val="22"/>
                <w:lang w:eastAsia="en-IN"/>
              </w:rPr>
              <w:t>Target T&amp;D Loss%</w:t>
            </w:r>
          </w:p>
        </w:tc>
        <w:tc>
          <w:tcPr>
            <w:tcW w:w="1418" w:type="dxa"/>
            <w:tcBorders>
              <w:top w:val="single" w:sz="4" w:space="0" w:color="auto"/>
              <w:left w:val="nil"/>
              <w:bottom w:val="single" w:sz="4" w:space="0" w:color="auto"/>
              <w:right w:val="single" w:sz="4" w:space="0" w:color="auto"/>
            </w:tcBorders>
            <w:vAlign w:val="center"/>
            <w:hideMark/>
          </w:tcPr>
          <w:p w14:paraId="1C1D9EE6" w14:textId="77777777" w:rsidR="00E31A3B" w:rsidRPr="008F690C" w:rsidRDefault="00E31A3B" w:rsidP="000F221E">
            <w:pPr>
              <w:spacing w:line="240" w:lineRule="atLeast"/>
              <w:jc w:val="center"/>
              <w:rPr>
                <w:rFonts w:asciiTheme="majorHAnsi" w:hAnsiTheme="majorHAnsi" w:cs="Calibri"/>
                <w:b/>
                <w:sz w:val="22"/>
                <w:szCs w:val="22"/>
                <w:lang w:eastAsia="en-IN"/>
              </w:rPr>
            </w:pPr>
            <w:r w:rsidRPr="008F690C">
              <w:rPr>
                <w:rFonts w:asciiTheme="majorHAnsi" w:hAnsiTheme="majorHAnsi" w:cs="Calibri"/>
                <w:b/>
                <w:sz w:val="22"/>
                <w:szCs w:val="22"/>
                <w:lang w:eastAsia="en-IN"/>
              </w:rPr>
              <w:t>Achieved T&amp;D Loss%</w:t>
            </w:r>
          </w:p>
        </w:tc>
        <w:tc>
          <w:tcPr>
            <w:tcW w:w="1559" w:type="dxa"/>
            <w:tcBorders>
              <w:top w:val="single" w:sz="4" w:space="0" w:color="auto"/>
              <w:left w:val="nil"/>
              <w:bottom w:val="single" w:sz="4" w:space="0" w:color="auto"/>
              <w:right w:val="single" w:sz="4" w:space="0" w:color="auto"/>
            </w:tcBorders>
            <w:vAlign w:val="center"/>
            <w:hideMark/>
          </w:tcPr>
          <w:p w14:paraId="37658FE8" w14:textId="77777777" w:rsidR="00E31A3B" w:rsidRPr="008F690C" w:rsidRDefault="00E31A3B" w:rsidP="000F221E">
            <w:pPr>
              <w:spacing w:line="240" w:lineRule="atLeast"/>
              <w:jc w:val="center"/>
              <w:rPr>
                <w:rFonts w:asciiTheme="majorHAnsi" w:hAnsiTheme="majorHAnsi" w:cs="Calibri"/>
                <w:b/>
                <w:sz w:val="22"/>
                <w:szCs w:val="22"/>
                <w:lang w:eastAsia="en-IN"/>
              </w:rPr>
            </w:pPr>
            <w:r w:rsidRPr="008F690C">
              <w:rPr>
                <w:rFonts w:asciiTheme="majorHAnsi" w:hAnsiTheme="majorHAnsi" w:cs="Calibri"/>
                <w:b/>
                <w:sz w:val="22"/>
                <w:szCs w:val="22"/>
                <w:lang w:eastAsia="en-IN"/>
              </w:rPr>
              <w:t>Energy Saving Certification</w:t>
            </w:r>
          </w:p>
        </w:tc>
      </w:tr>
      <w:tr w:rsidR="008F690C" w:rsidRPr="008F690C" w14:paraId="48733D9E" w14:textId="77777777" w:rsidTr="008F690C">
        <w:trPr>
          <w:trHeight w:val="291"/>
        </w:trPr>
        <w:tc>
          <w:tcPr>
            <w:tcW w:w="511" w:type="dxa"/>
            <w:tcBorders>
              <w:top w:val="nil"/>
              <w:left w:val="single" w:sz="4" w:space="0" w:color="auto"/>
              <w:bottom w:val="single" w:sz="4" w:space="0" w:color="auto"/>
              <w:right w:val="single" w:sz="4" w:space="0" w:color="auto"/>
            </w:tcBorders>
            <w:vAlign w:val="center"/>
            <w:hideMark/>
          </w:tcPr>
          <w:p w14:paraId="377E1FCC" w14:textId="77777777" w:rsidR="00E31A3B" w:rsidRPr="008F690C" w:rsidRDefault="00E31A3B" w:rsidP="000F221E">
            <w:pPr>
              <w:spacing w:line="240" w:lineRule="atLeast"/>
              <w:jc w:val="center"/>
              <w:rPr>
                <w:rFonts w:asciiTheme="majorHAnsi" w:hAnsiTheme="majorHAnsi" w:cs="Calibri"/>
                <w:bCs/>
                <w:sz w:val="22"/>
                <w:szCs w:val="22"/>
                <w:lang w:eastAsia="en-IN"/>
              </w:rPr>
            </w:pPr>
            <w:r w:rsidRPr="008F690C">
              <w:rPr>
                <w:rFonts w:asciiTheme="majorHAnsi" w:hAnsiTheme="majorHAnsi" w:cs="Calibri"/>
                <w:bCs/>
                <w:sz w:val="22"/>
                <w:szCs w:val="22"/>
                <w:lang w:eastAsia="en-IN"/>
              </w:rPr>
              <w:t>1</w:t>
            </w:r>
          </w:p>
        </w:tc>
        <w:tc>
          <w:tcPr>
            <w:tcW w:w="753" w:type="dxa"/>
            <w:tcBorders>
              <w:top w:val="nil"/>
              <w:left w:val="nil"/>
              <w:bottom w:val="single" w:sz="4" w:space="0" w:color="auto"/>
              <w:right w:val="single" w:sz="4" w:space="0" w:color="auto"/>
            </w:tcBorders>
            <w:vAlign w:val="center"/>
            <w:hideMark/>
          </w:tcPr>
          <w:p w14:paraId="7C969DB6" w14:textId="77777777" w:rsidR="00E31A3B" w:rsidRPr="008F690C" w:rsidRDefault="00E31A3B" w:rsidP="000F221E">
            <w:pPr>
              <w:spacing w:line="240" w:lineRule="atLeast"/>
              <w:jc w:val="center"/>
              <w:rPr>
                <w:rFonts w:asciiTheme="majorHAnsi" w:hAnsiTheme="majorHAnsi" w:cs="Calibri"/>
                <w:bCs/>
                <w:sz w:val="22"/>
                <w:szCs w:val="22"/>
                <w:lang w:eastAsia="en-IN"/>
              </w:rPr>
            </w:pPr>
            <w:r w:rsidRPr="008F690C">
              <w:rPr>
                <w:rFonts w:asciiTheme="majorHAnsi" w:hAnsiTheme="majorHAnsi" w:cs="Calibri"/>
                <w:bCs/>
                <w:sz w:val="22"/>
                <w:szCs w:val="22"/>
                <w:lang w:eastAsia="en-IN"/>
              </w:rPr>
              <w:t>PAT-II</w:t>
            </w:r>
          </w:p>
        </w:tc>
        <w:tc>
          <w:tcPr>
            <w:tcW w:w="1004" w:type="dxa"/>
            <w:tcBorders>
              <w:top w:val="nil"/>
              <w:left w:val="nil"/>
              <w:bottom w:val="single" w:sz="4" w:space="0" w:color="auto"/>
              <w:right w:val="single" w:sz="4" w:space="0" w:color="auto"/>
            </w:tcBorders>
            <w:vAlign w:val="center"/>
            <w:hideMark/>
          </w:tcPr>
          <w:p w14:paraId="392D4FB2" w14:textId="77777777" w:rsidR="00E31A3B" w:rsidRPr="008F690C" w:rsidRDefault="00E31A3B" w:rsidP="000F221E">
            <w:pPr>
              <w:spacing w:line="240" w:lineRule="atLeast"/>
              <w:jc w:val="center"/>
              <w:rPr>
                <w:rFonts w:asciiTheme="majorHAnsi" w:hAnsiTheme="majorHAnsi" w:cs="Calibri"/>
                <w:bCs/>
                <w:sz w:val="22"/>
                <w:szCs w:val="22"/>
                <w:lang w:eastAsia="en-IN"/>
              </w:rPr>
            </w:pPr>
            <w:r w:rsidRPr="008F690C">
              <w:rPr>
                <w:rFonts w:asciiTheme="majorHAnsi" w:hAnsiTheme="majorHAnsi" w:cs="Calibri"/>
                <w:bCs/>
                <w:sz w:val="22"/>
                <w:szCs w:val="22"/>
                <w:lang w:eastAsia="en-IN"/>
              </w:rPr>
              <w:t>FY 16-17 to FY 18-19</w:t>
            </w:r>
          </w:p>
        </w:tc>
        <w:tc>
          <w:tcPr>
            <w:tcW w:w="851" w:type="dxa"/>
            <w:tcBorders>
              <w:top w:val="nil"/>
              <w:left w:val="nil"/>
              <w:bottom w:val="single" w:sz="4" w:space="0" w:color="auto"/>
              <w:right w:val="single" w:sz="4" w:space="0" w:color="auto"/>
            </w:tcBorders>
            <w:vAlign w:val="center"/>
            <w:hideMark/>
          </w:tcPr>
          <w:p w14:paraId="1A572DD1" w14:textId="77777777" w:rsidR="00E31A3B" w:rsidRPr="008F690C" w:rsidRDefault="00E31A3B" w:rsidP="000F221E">
            <w:pPr>
              <w:spacing w:line="240" w:lineRule="atLeast"/>
              <w:jc w:val="center"/>
              <w:rPr>
                <w:rFonts w:asciiTheme="majorHAnsi" w:hAnsiTheme="majorHAnsi" w:cs="Calibri"/>
                <w:bCs/>
                <w:sz w:val="22"/>
                <w:szCs w:val="22"/>
                <w:lang w:eastAsia="en-IN"/>
              </w:rPr>
            </w:pPr>
            <w:r w:rsidRPr="008F690C">
              <w:rPr>
                <w:rFonts w:asciiTheme="majorHAnsi" w:hAnsiTheme="majorHAnsi" w:cs="Calibri"/>
                <w:bCs/>
                <w:sz w:val="22"/>
                <w:szCs w:val="22"/>
                <w:lang w:eastAsia="en-IN"/>
              </w:rPr>
              <w:t>3</w:t>
            </w:r>
          </w:p>
        </w:tc>
        <w:tc>
          <w:tcPr>
            <w:tcW w:w="1134" w:type="dxa"/>
            <w:tcBorders>
              <w:top w:val="nil"/>
              <w:left w:val="nil"/>
              <w:bottom w:val="single" w:sz="4" w:space="0" w:color="auto"/>
              <w:right w:val="single" w:sz="4" w:space="0" w:color="auto"/>
            </w:tcBorders>
            <w:vAlign w:val="center"/>
            <w:hideMark/>
          </w:tcPr>
          <w:p w14:paraId="1D856FB6" w14:textId="77777777" w:rsidR="00E31A3B" w:rsidRPr="008F690C" w:rsidRDefault="00E31A3B" w:rsidP="000F221E">
            <w:pPr>
              <w:spacing w:line="240" w:lineRule="atLeast"/>
              <w:jc w:val="center"/>
              <w:rPr>
                <w:rFonts w:asciiTheme="majorHAnsi" w:hAnsiTheme="majorHAnsi" w:cs="Calibri"/>
                <w:bCs/>
                <w:sz w:val="22"/>
                <w:szCs w:val="22"/>
                <w:lang w:eastAsia="en-IN"/>
              </w:rPr>
            </w:pPr>
            <w:r w:rsidRPr="008F690C">
              <w:rPr>
                <w:rFonts w:asciiTheme="majorHAnsi" w:hAnsiTheme="majorHAnsi" w:cs="Calibri"/>
                <w:bCs/>
                <w:sz w:val="22"/>
                <w:szCs w:val="22"/>
                <w:lang w:eastAsia="en-IN"/>
              </w:rPr>
              <w:t>FY 14-15</w:t>
            </w:r>
          </w:p>
        </w:tc>
        <w:tc>
          <w:tcPr>
            <w:tcW w:w="992" w:type="dxa"/>
            <w:tcBorders>
              <w:top w:val="nil"/>
              <w:left w:val="nil"/>
              <w:bottom w:val="single" w:sz="4" w:space="0" w:color="auto"/>
              <w:right w:val="single" w:sz="4" w:space="0" w:color="auto"/>
            </w:tcBorders>
            <w:vAlign w:val="center"/>
            <w:hideMark/>
          </w:tcPr>
          <w:p w14:paraId="231B6938" w14:textId="77777777" w:rsidR="00E31A3B" w:rsidRPr="008F690C" w:rsidRDefault="00E31A3B" w:rsidP="000F221E">
            <w:pPr>
              <w:spacing w:line="240" w:lineRule="atLeast"/>
              <w:jc w:val="center"/>
              <w:rPr>
                <w:rFonts w:asciiTheme="majorHAnsi" w:hAnsiTheme="majorHAnsi" w:cs="Calibri"/>
                <w:bCs/>
                <w:sz w:val="22"/>
                <w:szCs w:val="22"/>
                <w:lang w:eastAsia="en-IN"/>
              </w:rPr>
            </w:pPr>
            <w:r w:rsidRPr="008F690C">
              <w:rPr>
                <w:rFonts w:asciiTheme="majorHAnsi" w:hAnsiTheme="majorHAnsi" w:cs="Calibri"/>
                <w:bCs/>
                <w:sz w:val="22"/>
                <w:szCs w:val="22"/>
                <w:lang w:eastAsia="en-IN"/>
              </w:rPr>
              <w:t>35.46%</w:t>
            </w:r>
          </w:p>
        </w:tc>
        <w:tc>
          <w:tcPr>
            <w:tcW w:w="992" w:type="dxa"/>
            <w:tcBorders>
              <w:top w:val="nil"/>
              <w:left w:val="nil"/>
              <w:bottom w:val="single" w:sz="4" w:space="0" w:color="auto"/>
              <w:right w:val="single" w:sz="4" w:space="0" w:color="auto"/>
            </w:tcBorders>
            <w:vAlign w:val="center"/>
            <w:hideMark/>
          </w:tcPr>
          <w:p w14:paraId="6DA0437C" w14:textId="77777777" w:rsidR="00E31A3B" w:rsidRPr="008F690C" w:rsidRDefault="00E31A3B" w:rsidP="000F221E">
            <w:pPr>
              <w:spacing w:line="240" w:lineRule="atLeast"/>
              <w:jc w:val="center"/>
              <w:rPr>
                <w:rFonts w:asciiTheme="majorHAnsi" w:hAnsiTheme="majorHAnsi" w:cs="Calibri"/>
                <w:bCs/>
                <w:sz w:val="22"/>
                <w:szCs w:val="22"/>
                <w:lang w:eastAsia="en-IN"/>
              </w:rPr>
            </w:pPr>
            <w:r w:rsidRPr="008F690C">
              <w:rPr>
                <w:rFonts w:asciiTheme="majorHAnsi" w:hAnsiTheme="majorHAnsi" w:cs="Calibri"/>
                <w:bCs/>
                <w:sz w:val="22"/>
                <w:szCs w:val="22"/>
                <w:lang w:eastAsia="en-IN"/>
              </w:rPr>
              <w:t>23.80%</w:t>
            </w:r>
          </w:p>
        </w:tc>
        <w:tc>
          <w:tcPr>
            <w:tcW w:w="1418" w:type="dxa"/>
            <w:tcBorders>
              <w:top w:val="nil"/>
              <w:left w:val="nil"/>
              <w:bottom w:val="single" w:sz="4" w:space="0" w:color="auto"/>
              <w:right w:val="single" w:sz="4" w:space="0" w:color="auto"/>
            </w:tcBorders>
            <w:vAlign w:val="center"/>
            <w:hideMark/>
          </w:tcPr>
          <w:p w14:paraId="3849EA74" w14:textId="77777777" w:rsidR="00E31A3B" w:rsidRPr="008F690C" w:rsidRDefault="00E31A3B" w:rsidP="000F221E">
            <w:pPr>
              <w:spacing w:line="240" w:lineRule="atLeast"/>
              <w:jc w:val="center"/>
              <w:rPr>
                <w:rFonts w:asciiTheme="majorHAnsi" w:hAnsiTheme="majorHAnsi" w:cs="Calibri"/>
                <w:bCs/>
                <w:sz w:val="22"/>
                <w:szCs w:val="22"/>
                <w:lang w:eastAsia="en-IN"/>
              </w:rPr>
            </w:pPr>
            <w:r w:rsidRPr="008F690C">
              <w:rPr>
                <w:rFonts w:asciiTheme="majorHAnsi" w:hAnsiTheme="majorHAnsi" w:cs="Calibri"/>
                <w:bCs/>
                <w:sz w:val="22"/>
                <w:szCs w:val="22"/>
                <w:lang w:eastAsia="en-IN"/>
              </w:rPr>
              <w:t>21.14%</w:t>
            </w:r>
          </w:p>
        </w:tc>
        <w:tc>
          <w:tcPr>
            <w:tcW w:w="1559" w:type="dxa"/>
            <w:tcBorders>
              <w:top w:val="nil"/>
              <w:left w:val="nil"/>
              <w:bottom w:val="single" w:sz="4" w:space="0" w:color="auto"/>
              <w:right w:val="single" w:sz="4" w:space="0" w:color="auto"/>
            </w:tcBorders>
            <w:vAlign w:val="center"/>
            <w:hideMark/>
          </w:tcPr>
          <w:p w14:paraId="06B4281B" w14:textId="77777777" w:rsidR="00E31A3B" w:rsidRPr="008F690C" w:rsidRDefault="00E31A3B" w:rsidP="000F221E">
            <w:pPr>
              <w:spacing w:line="240" w:lineRule="atLeast"/>
              <w:jc w:val="center"/>
              <w:rPr>
                <w:rFonts w:asciiTheme="majorHAnsi" w:hAnsiTheme="majorHAnsi" w:cs="Calibri"/>
                <w:bCs/>
                <w:sz w:val="22"/>
                <w:szCs w:val="22"/>
                <w:lang w:eastAsia="en-IN"/>
              </w:rPr>
            </w:pPr>
            <w:r w:rsidRPr="008F690C">
              <w:rPr>
                <w:rFonts w:asciiTheme="majorHAnsi" w:hAnsiTheme="majorHAnsi" w:cs="Calibri"/>
                <w:bCs/>
                <w:sz w:val="22"/>
                <w:szCs w:val="22"/>
                <w:lang w:eastAsia="en-IN"/>
              </w:rPr>
              <w:t>16136</w:t>
            </w:r>
          </w:p>
        </w:tc>
      </w:tr>
      <w:tr w:rsidR="008F690C" w:rsidRPr="008F690C" w14:paraId="420DF8FC" w14:textId="77777777" w:rsidTr="008F690C">
        <w:trPr>
          <w:trHeight w:val="436"/>
        </w:trPr>
        <w:tc>
          <w:tcPr>
            <w:tcW w:w="511" w:type="dxa"/>
            <w:tcBorders>
              <w:top w:val="nil"/>
              <w:left w:val="single" w:sz="4" w:space="0" w:color="auto"/>
              <w:bottom w:val="single" w:sz="4" w:space="0" w:color="auto"/>
              <w:right w:val="single" w:sz="4" w:space="0" w:color="auto"/>
            </w:tcBorders>
            <w:vAlign w:val="center"/>
            <w:hideMark/>
          </w:tcPr>
          <w:p w14:paraId="080FBDE1" w14:textId="77777777" w:rsidR="00E31A3B" w:rsidRPr="008F690C" w:rsidRDefault="00E31A3B" w:rsidP="000F221E">
            <w:pPr>
              <w:spacing w:line="240" w:lineRule="atLeast"/>
              <w:jc w:val="center"/>
              <w:rPr>
                <w:rFonts w:asciiTheme="majorHAnsi" w:hAnsiTheme="majorHAnsi" w:cs="Calibri"/>
                <w:bCs/>
                <w:sz w:val="22"/>
                <w:szCs w:val="22"/>
                <w:lang w:eastAsia="en-IN"/>
              </w:rPr>
            </w:pPr>
            <w:r w:rsidRPr="008F690C">
              <w:rPr>
                <w:rFonts w:asciiTheme="majorHAnsi" w:hAnsiTheme="majorHAnsi" w:cs="Calibri"/>
                <w:bCs/>
                <w:sz w:val="22"/>
                <w:szCs w:val="22"/>
                <w:lang w:eastAsia="en-IN"/>
              </w:rPr>
              <w:t>2</w:t>
            </w:r>
          </w:p>
        </w:tc>
        <w:tc>
          <w:tcPr>
            <w:tcW w:w="753" w:type="dxa"/>
            <w:tcBorders>
              <w:top w:val="nil"/>
              <w:left w:val="nil"/>
              <w:bottom w:val="single" w:sz="4" w:space="0" w:color="auto"/>
              <w:right w:val="single" w:sz="4" w:space="0" w:color="auto"/>
            </w:tcBorders>
            <w:vAlign w:val="center"/>
            <w:hideMark/>
          </w:tcPr>
          <w:p w14:paraId="5EF40E4B" w14:textId="77777777" w:rsidR="00E31A3B" w:rsidRPr="008F690C" w:rsidRDefault="00E31A3B" w:rsidP="000F221E">
            <w:pPr>
              <w:spacing w:line="240" w:lineRule="atLeast"/>
              <w:jc w:val="center"/>
              <w:rPr>
                <w:rFonts w:asciiTheme="majorHAnsi" w:hAnsiTheme="majorHAnsi" w:cs="Calibri"/>
                <w:bCs/>
                <w:sz w:val="22"/>
                <w:szCs w:val="22"/>
                <w:lang w:eastAsia="en-IN"/>
              </w:rPr>
            </w:pPr>
            <w:r w:rsidRPr="008F690C">
              <w:rPr>
                <w:rFonts w:asciiTheme="majorHAnsi" w:hAnsiTheme="majorHAnsi" w:cs="Calibri"/>
                <w:bCs/>
                <w:sz w:val="22"/>
                <w:szCs w:val="22"/>
                <w:lang w:eastAsia="en-IN"/>
              </w:rPr>
              <w:t>PAT-VII</w:t>
            </w:r>
          </w:p>
        </w:tc>
        <w:tc>
          <w:tcPr>
            <w:tcW w:w="1004" w:type="dxa"/>
            <w:tcBorders>
              <w:top w:val="nil"/>
              <w:left w:val="nil"/>
              <w:bottom w:val="single" w:sz="4" w:space="0" w:color="auto"/>
              <w:right w:val="single" w:sz="4" w:space="0" w:color="auto"/>
            </w:tcBorders>
            <w:vAlign w:val="center"/>
            <w:hideMark/>
          </w:tcPr>
          <w:p w14:paraId="53D53DDE" w14:textId="77777777" w:rsidR="00E31A3B" w:rsidRPr="008F690C" w:rsidRDefault="00E31A3B" w:rsidP="000F221E">
            <w:pPr>
              <w:spacing w:line="240" w:lineRule="atLeast"/>
              <w:jc w:val="center"/>
              <w:rPr>
                <w:rFonts w:asciiTheme="majorHAnsi" w:hAnsiTheme="majorHAnsi" w:cs="Calibri"/>
                <w:bCs/>
                <w:sz w:val="22"/>
                <w:szCs w:val="22"/>
                <w:lang w:eastAsia="en-IN"/>
              </w:rPr>
            </w:pPr>
            <w:r w:rsidRPr="008F690C">
              <w:rPr>
                <w:rFonts w:asciiTheme="majorHAnsi" w:hAnsiTheme="majorHAnsi" w:cs="Calibri"/>
                <w:bCs/>
                <w:sz w:val="22"/>
                <w:szCs w:val="22"/>
                <w:lang w:eastAsia="en-IN"/>
              </w:rPr>
              <w:t>FY 21-22 to FY 24-25</w:t>
            </w:r>
          </w:p>
        </w:tc>
        <w:tc>
          <w:tcPr>
            <w:tcW w:w="851" w:type="dxa"/>
            <w:tcBorders>
              <w:top w:val="nil"/>
              <w:left w:val="nil"/>
              <w:bottom w:val="single" w:sz="4" w:space="0" w:color="auto"/>
              <w:right w:val="single" w:sz="4" w:space="0" w:color="auto"/>
            </w:tcBorders>
            <w:vAlign w:val="center"/>
            <w:hideMark/>
          </w:tcPr>
          <w:p w14:paraId="36B359B2" w14:textId="77777777" w:rsidR="00E31A3B" w:rsidRPr="008F690C" w:rsidRDefault="00E31A3B" w:rsidP="000F221E">
            <w:pPr>
              <w:spacing w:line="240" w:lineRule="atLeast"/>
              <w:jc w:val="center"/>
              <w:rPr>
                <w:rFonts w:asciiTheme="majorHAnsi" w:hAnsiTheme="majorHAnsi" w:cs="Calibri"/>
                <w:bCs/>
                <w:sz w:val="22"/>
                <w:szCs w:val="22"/>
                <w:lang w:eastAsia="en-IN"/>
              </w:rPr>
            </w:pPr>
            <w:r w:rsidRPr="008F690C">
              <w:rPr>
                <w:rFonts w:asciiTheme="majorHAnsi" w:hAnsiTheme="majorHAnsi" w:cs="Calibri"/>
                <w:bCs/>
                <w:sz w:val="22"/>
                <w:szCs w:val="22"/>
                <w:lang w:eastAsia="en-IN"/>
              </w:rPr>
              <w:t>4</w:t>
            </w:r>
          </w:p>
        </w:tc>
        <w:tc>
          <w:tcPr>
            <w:tcW w:w="1134" w:type="dxa"/>
            <w:tcBorders>
              <w:top w:val="nil"/>
              <w:left w:val="nil"/>
              <w:bottom w:val="single" w:sz="4" w:space="0" w:color="auto"/>
              <w:right w:val="single" w:sz="4" w:space="0" w:color="auto"/>
            </w:tcBorders>
            <w:vAlign w:val="center"/>
            <w:hideMark/>
          </w:tcPr>
          <w:p w14:paraId="1984D8A9" w14:textId="77777777" w:rsidR="00E31A3B" w:rsidRPr="008F690C" w:rsidRDefault="00E31A3B" w:rsidP="000F221E">
            <w:pPr>
              <w:spacing w:line="240" w:lineRule="atLeast"/>
              <w:jc w:val="center"/>
              <w:rPr>
                <w:rFonts w:asciiTheme="majorHAnsi" w:hAnsiTheme="majorHAnsi" w:cs="Calibri"/>
                <w:bCs/>
                <w:sz w:val="22"/>
                <w:szCs w:val="22"/>
                <w:lang w:eastAsia="en-IN"/>
              </w:rPr>
            </w:pPr>
            <w:r w:rsidRPr="008F690C">
              <w:rPr>
                <w:rFonts w:asciiTheme="majorHAnsi" w:hAnsiTheme="majorHAnsi" w:cs="Calibri"/>
                <w:bCs/>
                <w:sz w:val="22"/>
                <w:szCs w:val="22"/>
                <w:lang w:eastAsia="en-IN"/>
              </w:rPr>
              <w:t>FY 18-19</w:t>
            </w:r>
          </w:p>
        </w:tc>
        <w:tc>
          <w:tcPr>
            <w:tcW w:w="992" w:type="dxa"/>
            <w:tcBorders>
              <w:top w:val="nil"/>
              <w:left w:val="nil"/>
              <w:bottom w:val="single" w:sz="4" w:space="0" w:color="auto"/>
              <w:right w:val="single" w:sz="4" w:space="0" w:color="auto"/>
            </w:tcBorders>
            <w:vAlign w:val="center"/>
            <w:hideMark/>
          </w:tcPr>
          <w:p w14:paraId="18787A74" w14:textId="77777777" w:rsidR="00E31A3B" w:rsidRPr="008F690C" w:rsidRDefault="00E31A3B" w:rsidP="000F221E">
            <w:pPr>
              <w:spacing w:line="240" w:lineRule="atLeast"/>
              <w:jc w:val="center"/>
              <w:rPr>
                <w:rFonts w:asciiTheme="majorHAnsi" w:hAnsiTheme="majorHAnsi" w:cs="Calibri"/>
                <w:bCs/>
                <w:sz w:val="22"/>
                <w:szCs w:val="22"/>
                <w:lang w:eastAsia="en-IN"/>
              </w:rPr>
            </w:pPr>
            <w:r w:rsidRPr="008F690C">
              <w:rPr>
                <w:rFonts w:asciiTheme="majorHAnsi" w:hAnsiTheme="majorHAnsi" w:cs="Calibri"/>
                <w:bCs/>
                <w:sz w:val="22"/>
                <w:szCs w:val="22"/>
                <w:lang w:eastAsia="en-IN"/>
              </w:rPr>
              <w:t>21.14%</w:t>
            </w:r>
          </w:p>
        </w:tc>
        <w:tc>
          <w:tcPr>
            <w:tcW w:w="992" w:type="dxa"/>
            <w:tcBorders>
              <w:top w:val="nil"/>
              <w:left w:val="nil"/>
              <w:bottom w:val="single" w:sz="4" w:space="0" w:color="auto"/>
              <w:right w:val="single" w:sz="4" w:space="0" w:color="auto"/>
            </w:tcBorders>
            <w:vAlign w:val="center"/>
            <w:hideMark/>
          </w:tcPr>
          <w:p w14:paraId="60FE6A50" w14:textId="77777777" w:rsidR="00E31A3B" w:rsidRPr="008F690C" w:rsidRDefault="00E31A3B" w:rsidP="000F221E">
            <w:pPr>
              <w:spacing w:line="240" w:lineRule="atLeast"/>
              <w:jc w:val="center"/>
              <w:rPr>
                <w:rFonts w:asciiTheme="majorHAnsi" w:hAnsiTheme="majorHAnsi" w:cs="Calibri"/>
                <w:bCs/>
                <w:sz w:val="22"/>
                <w:szCs w:val="22"/>
                <w:lang w:eastAsia="en-IN"/>
              </w:rPr>
            </w:pPr>
            <w:r w:rsidRPr="008F690C">
              <w:rPr>
                <w:rFonts w:asciiTheme="majorHAnsi" w:hAnsiTheme="majorHAnsi" w:cs="Calibri"/>
                <w:bCs/>
                <w:sz w:val="22"/>
                <w:szCs w:val="22"/>
                <w:lang w:eastAsia="en-IN"/>
              </w:rPr>
              <w:t>19.70%</w:t>
            </w:r>
          </w:p>
        </w:tc>
        <w:tc>
          <w:tcPr>
            <w:tcW w:w="1418" w:type="dxa"/>
            <w:tcBorders>
              <w:top w:val="nil"/>
              <w:left w:val="nil"/>
              <w:bottom w:val="single" w:sz="4" w:space="0" w:color="auto"/>
              <w:right w:val="single" w:sz="4" w:space="0" w:color="auto"/>
            </w:tcBorders>
            <w:vAlign w:val="center"/>
            <w:hideMark/>
          </w:tcPr>
          <w:p w14:paraId="1B41656B" w14:textId="77777777" w:rsidR="00E31A3B" w:rsidRPr="008F690C" w:rsidRDefault="00E31A3B" w:rsidP="000F221E">
            <w:pPr>
              <w:spacing w:line="240" w:lineRule="atLeast"/>
              <w:jc w:val="center"/>
              <w:rPr>
                <w:rFonts w:asciiTheme="majorHAnsi" w:hAnsiTheme="majorHAnsi" w:cs="Calibri"/>
                <w:bCs/>
                <w:sz w:val="22"/>
                <w:szCs w:val="22"/>
                <w:lang w:eastAsia="en-IN"/>
              </w:rPr>
            </w:pPr>
            <w:r w:rsidRPr="008F690C">
              <w:rPr>
                <w:rFonts w:asciiTheme="majorHAnsi" w:hAnsiTheme="majorHAnsi" w:cs="Calibri"/>
                <w:bCs/>
                <w:sz w:val="22"/>
                <w:szCs w:val="22"/>
                <w:lang w:eastAsia="en-IN"/>
              </w:rPr>
              <w:t>16.23% as on FY 24-25</w:t>
            </w:r>
          </w:p>
        </w:tc>
        <w:tc>
          <w:tcPr>
            <w:tcW w:w="1559" w:type="dxa"/>
            <w:tcBorders>
              <w:top w:val="nil"/>
              <w:left w:val="nil"/>
              <w:bottom w:val="single" w:sz="4" w:space="0" w:color="auto"/>
              <w:right w:val="single" w:sz="4" w:space="0" w:color="auto"/>
            </w:tcBorders>
            <w:vAlign w:val="center"/>
            <w:hideMark/>
          </w:tcPr>
          <w:p w14:paraId="36DC71FE" w14:textId="77777777" w:rsidR="00E31A3B" w:rsidRPr="008F690C" w:rsidRDefault="00E31A3B" w:rsidP="000F221E">
            <w:pPr>
              <w:spacing w:line="240" w:lineRule="atLeast"/>
              <w:jc w:val="center"/>
              <w:rPr>
                <w:rFonts w:asciiTheme="majorHAnsi" w:hAnsiTheme="majorHAnsi" w:cs="Calibri"/>
                <w:bCs/>
                <w:sz w:val="22"/>
                <w:szCs w:val="22"/>
                <w:lang w:eastAsia="en-IN"/>
              </w:rPr>
            </w:pPr>
            <w:r w:rsidRPr="008F690C">
              <w:rPr>
                <w:rFonts w:asciiTheme="majorHAnsi" w:hAnsiTheme="majorHAnsi" w:cs="Calibri"/>
                <w:bCs/>
                <w:sz w:val="22"/>
                <w:szCs w:val="22"/>
                <w:lang w:eastAsia="en-IN"/>
              </w:rPr>
              <w:t>22600</w:t>
            </w:r>
          </w:p>
        </w:tc>
      </w:tr>
    </w:tbl>
    <w:p w14:paraId="2D15C1FA" w14:textId="77777777" w:rsidR="00E31A3B" w:rsidRPr="00E31A3B" w:rsidRDefault="00E31A3B" w:rsidP="00E31A3B">
      <w:pPr>
        <w:spacing w:line="360" w:lineRule="auto"/>
        <w:jc w:val="both"/>
        <w:rPr>
          <w:rFonts w:asciiTheme="majorHAnsi" w:hAnsiTheme="majorHAnsi"/>
        </w:rPr>
      </w:pPr>
    </w:p>
    <w:p w14:paraId="36BF52E9" w14:textId="382A39D8" w:rsidR="00E31A3B" w:rsidRPr="00E27E57" w:rsidRDefault="00E31A3B" w:rsidP="001972DE">
      <w:pPr>
        <w:pStyle w:val="ListParagraph"/>
        <w:numPr>
          <w:ilvl w:val="0"/>
          <w:numId w:val="47"/>
        </w:numPr>
        <w:spacing w:line="360" w:lineRule="auto"/>
        <w:jc w:val="both"/>
        <w:rPr>
          <w:rFonts w:asciiTheme="majorHAnsi" w:hAnsiTheme="majorHAnsi"/>
          <w:sz w:val="24"/>
          <w:szCs w:val="24"/>
        </w:rPr>
      </w:pPr>
      <w:r w:rsidRPr="00E27E57">
        <w:rPr>
          <w:rFonts w:asciiTheme="majorHAnsi" w:hAnsiTheme="majorHAnsi"/>
          <w:sz w:val="24"/>
          <w:szCs w:val="24"/>
        </w:rPr>
        <w:t>We have already registered on the PAT Net portal and uploaded Form-I, Form-III, Form A and other relevant documents as required by the BEE.</w:t>
      </w:r>
    </w:p>
    <w:p w14:paraId="64DC8C3C" w14:textId="3D79956F" w:rsidR="00E31A3B" w:rsidRPr="002C75A1" w:rsidRDefault="00E31A3B" w:rsidP="001972DE">
      <w:pPr>
        <w:pStyle w:val="ListParagraph"/>
        <w:numPr>
          <w:ilvl w:val="0"/>
          <w:numId w:val="47"/>
        </w:numPr>
        <w:spacing w:line="360" w:lineRule="auto"/>
        <w:jc w:val="both"/>
        <w:rPr>
          <w:rFonts w:asciiTheme="majorHAnsi" w:hAnsiTheme="majorHAnsi"/>
          <w:sz w:val="24"/>
          <w:szCs w:val="24"/>
        </w:rPr>
      </w:pPr>
      <w:r w:rsidRPr="002C75A1">
        <w:rPr>
          <w:rFonts w:asciiTheme="majorHAnsi" w:hAnsiTheme="majorHAnsi"/>
          <w:sz w:val="24"/>
          <w:szCs w:val="24"/>
        </w:rPr>
        <w:t>On 6</w:t>
      </w:r>
      <w:r w:rsidRPr="002C75A1">
        <w:rPr>
          <w:rFonts w:asciiTheme="majorHAnsi" w:hAnsiTheme="majorHAnsi"/>
          <w:sz w:val="24"/>
          <w:szCs w:val="24"/>
          <w:vertAlign w:val="superscript"/>
        </w:rPr>
        <w:t>th</w:t>
      </w:r>
      <w:r w:rsidRPr="002C75A1">
        <w:rPr>
          <w:rFonts w:asciiTheme="majorHAnsi" w:hAnsiTheme="majorHAnsi"/>
          <w:sz w:val="24"/>
          <w:szCs w:val="24"/>
        </w:rPr>
        <w:t xml:space="preserve"> October’2021, BEE notified a fresh circular that from 2021 onwards, every D</w:t>
      </w:r>
      <w:r w:rsidR="0033090E">
        <w:rPr>
          <w:rFonts w:asciiTheme="majorHAnsi" w:hAnsiTheme="majorHAnsi"/>
          <w:sz w:val="24"/>
          <w:szCs w:val="24"/>
        </w:rPr>
        <w:t>ISCOM</w:t>
      </w:r>
      <w:r w:rsidRPr="002C75A1">
        <w:rPr>
          <w:rFonts w:asciiTheme="majorHAnsi" w:hAnsiTheme="majorHAnsi"/>
          <w:sz w:val="24"/>
          <w:szCs w:val="24"/>
        </w:rPr>
        <w:t xml:space="preserve"> must conduct an “Annual Energy Audit” through a third-party BEE-certified Auditor. Accordingly, the Annual Energy Audit was carried out in TPWODL through M/S East Coast Sustainable Pvt. Ltd.</w:t>
      </w:r>
    </w:p>
    <w:p w14:paraId="7BFCC098" w14:textId="3C1AB72B" w:rsidR="00E31A3B" w:rsidRPr="00307318" w:rsidRDefault="00E31A3B" w:rsidP="00E31A3B">
      <w:pPr>
        <w:spacing w:line="360" w:lineRule="auto"/>
        <w:jc w:val="both"/>
        <w:rPr>
          <w:rFonts w:asciiTheme="majorHAnsi" w:hAnsiTheme="majorHAnsi"/>
          <w:b/>
          <w:bCs/>
        </w:rPr>
      </w:pPr>
      <w:r w:rsidRPr="00307318">
        <w:rPr>
          <w:rFonts w:asciiTheme="majorHAnsi" w:hAnsiTheme="majorHAnsi"/>
          <w:b/>
          <w:bCs/>
        </w:rPr>
        <w:t xml:space="preserve">The Cost projected </w:t>
      </w:r>
      <w:r w:rsidR="009729CF">
        <w:rPr>
          <w:rFonts w:asciiTheme="majorHAnsi" w:hAnsiTheme="majorHAnsi"/>
          <w:b/>
          <w:bCs/>
        </w:rPr>
        <w:t>under</w:t>
      </w:r>
      <w:r w:rsidRPr="00307318">
        <w:rPr>
          <w:rFonts w:asciiTheme="majorHAnsi" w:hAnsiTheme="majorHAnsi"/>
          <w:b/>
          <w:bCs/>
        </w:rPr>
        <w:t xml:space="preserve"> Energy Audit</w:t>
      </w:r>
      <w:r w:rsidR="009729CF">
        <w:rPr>
          <w:rFonts w:asciiTheme="majorHAnsi" w:hAnsiTheme="majorHAnsi"/>
          <w:b/>
          <w:bCs/>
        </w:rPr>
        <w:t xml:space="preserve"> activities</w:t>
      </w:r>
      <w:r w:rsidRPr="00307318">
        <w:rPr>
          <w:rFonts w:asciiTheme="majorHAnsi" w:hAnsiTheme="majorHAnsi"/>
          <w:b/>
          <w:bCs/>
        </w:rPr>
        <w:t xml:space="preserve"> for FY 2</w:t>
      </w:r>
      <w:r w:rsidR="00043F1B">
        <w:rPr>
          <w:rFonts w:asciiTheme="majorHAnsi" w:hAnsiTheme="majorHAnsi"/>
          <w:b/>
          <w:bCs/>
        </w:rPr>
        <w:t>6</w:t>
      </w:r>
      <w:r w:rsidRPr="00307318">
        <w:rPr>
          <w:rFonts w:asciiTheme="majorHAnsi" w:hAnsiTheme="majorHAnsi"/>
          <w:b/>
          <w:bCs/>
        </w:rPr>
        <w:t>-2</w:t>
      </w:r>
      <w:r w:rsidR="008B08AF">
        <w:rPr>
          <w:rFonts w:asciiTheme="majorHAnsi" w:hAnsiTheme="majorHAnsi"/>
          <w:b/>
          <w:bCs/>
        </w:rPr>
        <w:t>7</w:t>
      </w:r>
      <w:r w:rsidRPr="00307318">
        <w:rPr>
          <w:rFonts w:asciiTheme="majorHAnsi" w:hAnsiTheme="majorHAnsi"/>
          <w:b/>
          <w:bCs/>
        </w:rPr>
        <w:t xml:space="preserve"> is as under:</w:t>
      </w:r>
    </w:p>
    <w:tbl>
      <w:tblPr>
        <w:tblW w:w="8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1"/>
        <w:gridCol w:w="3356"/>
      </w:tblGrid>
      <w:tr w:rsidR="00E31A3B" w:rsidRPr="00E31A3B" w14:paraId="1C6228BC" w14:textId="77777777" w:rsidTr="0045575C">
        <w:trPr>
          <w:trHeight w:val="203"/>
          <w:jc w:val="center"/>
        </w:trPr>
        <w:tc>
          <w:tcPr>
            <w:tcW w:w="5581" w:type="dxa"/>
            <w:noWrap/>
            <w:vAlign w:val="center"/>
            <w:hideMark/>
          </w:tcPr>
          <w:p w14:paraId="2A758F84" w14:textId="77777777" w:rsidR="00E31A3B" w:rsidRPr="00E31A3B" w:rsidRDefault="00E31A3B" w:rsidP="000F221E">
            <w:pPr>
              <w:jc w:val="center"/>
              <w:rPr>
                <w:rFonts w:asciiTheme="majorHAnsi" w:hAnsiTheme="majorHAnsi" w:cs="Arial"/>
                <w:b/>
                <w:bCs/>
                <w:lang w:val="en-IN" w:eastAsia="en-IN"/>
              </w:rPr>
            </w:pPr>
            <w:r w:rsidRPr="00E31A3B">
              <w:rPr>
                <w:rFonts w:asciiTheme="majorHAnsi" w:hAnsiTheme="majorHAnsi" w:cs="Arial"/>
                <w:b/>
                <w:bCs/>
              </w:rPr>
              <w:t>Nature of Activity</w:t>
            </w:r>
          </w:p>
        </w:tc>
        <w:tc>
          <w:tcPr>
            <w:tcW w:w="3356" w:type="dxa"/>
            <w:noWrap/>
            <w:vAlign w:val="center"/>
            <w:hideMark/>
          </w:tcPr>
          <w:p w14:paraId="7B0F7E03" w14:textId="73F783FA" w:rsidR="00E31A3B" w:rsidRPr="00E31A3B" w:rsidRDefault="00E31A3B" w:rsidP="000F221E">
            <w:pPr>
              <w:jc w:val="center"/>
              <w:rPr>
                <w:rFonts w:asciiTheme="majorHAnsi" w:hAnsiTheme="majorHAnsi" w:cs="Arial"/>
                <w:b/>
                <w:bCs/>
                <w:color w:val="FF0000"/>
              </w:rPr>
            </w:pPr>
            <w:r w:rsidRPr="00E31A3B">
              <w:rPr>
                <w:rFonts w:asciiTheme="majorHAnsi" w:hAnsiTheme="majorHAnsi" w:cs="Arial"/>
                <w:b/>
                <w:bCs/>
              </w:rPr>
              <w:t>FY 2</w:t>
            </w:r>
            <w:r w:rsidR="00043F1B">
              <w:rPr>
                <w:rFonts w:asciiTheme="majorHAnsi" w:hAnsiTheme="majorHAnsi" w:cs="Arial"/>
                <w:b/>
                <w:bCs/>
              </w:rPr>
              <w:t>6</w:t>
            </w:r>
            <w:r w:rsidRPr="00E31A3B">
              <w:rPr>
                <w:rFonts w:asciiTheme="majorHAnsi" w:hAnsiTheme="majorHAnsi" w:cs="Arial"/>
                <w:b/>
                <w:bCs/>
              </w:rPr>
              <w:t>-27 (in Rs. Lakh)</w:t>
            </w:r>
          </w:p>
        </w:tc>
      </w:tr>
      <w:tr w:rsidR="00E31A3B" w:rsidRPr="00E31A3B" w14:paraId="6157892F" w14:textId="77777777" w:rsidTr="0045575C">
        <w:trPr>
          <w:trHeight w:val="398"/>
          <w:jc w:val="center"/>
        </w:trPr>
        <w:tc>
          <w:tcPr>
            <w:tcW w:w="5581" w:type="dxa"/>
            <w:vAlign w:val="center"/>
            <w:hideMark/>
          </w:tcPr>
          <w:p w14:paraId="7BD460A8" w14:textId="77777777" w:rsidR="00307318" w:rsidRDefault="00E31A3B" w:rsidP="00307318">
            <w:pPr>
              <w:rPr>
                <w:rFonts w:asciiTheme="majorHAnsi" w:hAnsiTheme="majorHAnsi" w:cs="Arial"/>
              </w:rPr>
            </w:pPr>
            <w:r w:rsidRPr="00E31A3B">
              <w:rPr>
                <w:rFonts w:asciiTheme="majorHAnsi" w:hAnsiTheme="majorHAnsi" w:cs="Arial"/>
              </w:rPr>
              <w:t xml:space="preserve">Annual Energy accounting </w:t>
            </w:r>
          </w:p>
          <w:p w14:paraId="7CC180A5" w14:textId="25B71604" w:rsidR="00E31A3B" w:rsidRPr="00E31A3B" w:rsidRDefault="00E31A3B" w:rsidP="00307318">
            <w:pPr>
              <w:rPr>
                <w:rFonts w:asciiTheme="majorHAnsi" w:hAnsiTheme="majorHAnsi" w:cs="Arial"/>
              </w:rPr>
            </w:pPr>
            <w:r w:rsidRPr="00E31A3B">
              <w:rPr>
                <w:rFonts w:asciiTheme="majorHAnsi" w:hAnsiTheme="majorHAnsi" w:cs="Arial"/>
              </w:rPr>
              <w:t>(Consultation Fee to Accredited Energy Auditor)</w:t>
            </w:r>
          </w:p>
        </w:tc>
        <w:tc>
          <w:tcPr>
            <w:tcW w:w="3356" w:type="dxa"/>
            <w:noWrap/>
            <w:vAlign w:val="center"/>
            <w:hideMark/>
          </w:tcPr>
          <w:p w14:paraId="26713DAB" w14:textId="77777777" w:rsidR="00E31A3B" w:rsidRPr="00E31A3B" w:rsidRDefault="00E31A3B" w:rsidP="000F221E">
            <w:pPr>
              <w:jc w:val="center"/>
              <w:rPr>
                <w:rFonts w:asciiTheme="majorHAnsi" w:hAnsiTheme="majorHAnsi" w:cs="Arial"/>
              </w:rPr>
            </w:pPr>
            <w:r w:rsidRPr="00E31A3B">
              <w:rPr>
                <w:rFonts w:asciiTheme="majorHAnsi" w:hAnsiTheme="majorHAnsi" w:cs="Arial"/>
              </w:rPr>
              <w:t>2.25</w:t>
            </w:r>
          </w:p>
        </w:tc>
      </w:tr>
      <w:tr w:rsidR="00E31A3B" w:rsidRPr="00E31A3B" w14:paraId="1E69D4BB" w14:textId="77777777" w:rsidTr="0045575C">
        <w:trPr>
          <w:trHeight w:val="398"/>
          <w:jc w:val="center"/>
        </w:trPr>
        <w:tc>
          <w:tcPr>
            <w:tcW w:w="5581" w:type="dxa"/>
            <w:vAlign w:val="center"/>
          </w:tcPr>
          <w:p w14:paraId="7636B586" w14:textId="49BF3603" w:rsidR="00E31A3B" w:rsidRPr="00E31A3B" w:rsidRDefault="00E31A3B" w:rsidP="00307318">
            <w:pPr>
              <w:rPr>
                <w:rFonts w:asciiTheme="majorHAnsi" w:hAnsiTheme="majorHAnsi" w:cs="Arial"/>
              </w:rPr>
            </w:pPr>
            <w:r w:rsidRPr="00E31A3B">
              <w:rPr>
                <w:rFonts w:asciiTheme="majorHAnsi" w:hAnsiTheme="majorHAnsi"/>
              </w:rPr>
              <w:t>Measurement &amp; Verification audit</w:t>
            </w:r>
          </w:p>
        </w:tc>
        <w:tc>
          <w:tcPr>
            <w:tcW w:w="3356" w:type="dxa"/>
            <w:noWrap/>
            <w:vAlign w:val="center"/>
          </w:tcPr>
          <w:p w14:paraId="2BDED3A3" w14:textId="77777777" w:rsidR="00E31A3B" w:rsidRPr="00E31A3B" w:rsidRDefault="00E31A3B" w:rsidP="000F221E">
            <w:pPr>
              <w:jc w:val="center"/>
              <w:rPr>
                <w:rFonts w:asciiTheme="majorHAnsi" w:hAnsiTheme="majorHAnsi" w:cs="Arial"/>
              </w:rPr>
            </w:pPr>
            <w:r w:rsidRPr="00E31A3B">
              <w:rPr>
                <w:rFonts w:asciiTheme="majorHAnsi" w:hAnsiTheme="majorHAnsi" w:cs="Arial"/>
              </w:rPr>
              <w:t>2</w:t>
            </w:r>
          </w:p>
        </w:tc>
      </w:tr>
      <w:tr w:rsidR="00E31A3B" w:rsidRPr="00E31A3B" w14:paraId="3301ED57" w14:textId="77777777" w:rsidTr="0045575C">
        <w:trPr>
          <w:trHeight w:val="390"/>
          <w:jc w:val="center"/>
        </w:trPr>
        <w:tc>
          <w:tcPr>
            <w:tcW w:w="5581" w:type="dxa"/>
            <w:vAlign w:val="center"/>
            <w:hideMark/>
          </w:tcPr>
          <w:p w14:paraId="442B0C09" w14:textId="77777777" w:rsidR="00307318" w:rsidRDefault="00E31A3B" w:rsidP="00307318">
            <w:pPr>
              <w:rPr>
                <w:rFonts w:asciiTheme="majorHAnsi" w:hAnsiTheme="majorHAnsi" w:cs="Arial"/>
              </w:rPr>
            </w:pPr>
            <w:r w:rsidRPr="00E31A3B">
              <w:rPr>
                <w:rFonts w:asciiTheme="majorHAnsi" w:hAnsiTheme="majorHAnsi" w:cs="Arial"/>
              </w:rPr>
              <w:t xml:space="preserve">Periodic Energy accounting </w:t>
            </w:r>
          </w:p>
          <w:p w14:paraId="5D12CC78" w14:textId="1D8CF8A1" w:rsidR="00E31A3B" w:rsidRPr="00E31A3B" w:rsidRDefault="00E31A3B" w:rsidP="00307318">
            <w:pPr>
              <w:rPr>
                <w:rFonts w:asciiTheme="majorHAnsi" w:hAnsiTheme="majorHAnsi" w:cs="Arial"/>
              </w:rPr>
            </w:pPr>
            <w:r w:rsidRPr="00E31A3B">
              <w:rPr>
                <w:rFonts w:asciiTheme="majorHAnsi" w:hAnsiTheme="majorHAnsi" w:cs="Arial"/>
              </w:rPr>
              <w:t>(Consultation Fee to Accredited Energy Auditor)</w:t>
            </w:r>
          </w:p>
        </w:tc>
        <w:tc>
          <w:tcPr>
            <w:tcW w:w="3356" w:type="dxa"/>
            <w:noWrap/>
            <w:vAlign w:val="center"/>
            <w:hideMark/>
          </w:tcPr>
          <w:p w14:paraId="353AFCD3" w14:textId="77777777" w:rsidR="00E31A3B" w:rsidRPr="00E31A3B" w:rsidRDefault="00E31A3B" w:rsidP="000F221E">
            <w:pPr>
              <w:jc w:val="center"/>
              <w:rPr>
                <w:rFonts w:asciiTheme="majorHAnsi" w:hAnsiTheme="majorHAnsi" w:cs="Arial"/>
              </w:rPr>
            </w:pPr>
            <w:r w:rsidRPr="00E31A3B">
              <w:rPr>
                <w:rFonts w:asciiTheme="majorHAnsi" w:hAnsiTheme="majorHAnsi" w:cs="Arial"/>
              </w:rPr>
              <w:t>0</w:t>
            </w:r>
          </w:p>
        </w:tc>
      </w:tr>
      <w:tr w:rsidR="00E31A3B" w:rsidRPr="00E31A3B" w14:paraId="0976F369" w14:textId="77777777" w:rsidTr="0045575C">
        <w:trPr>
          <w:trHeight w:val="390"/>
          <w:jc w:val="center"/>
        </w:trPr>
        <w:tc>
          <w:tcPr>
            <w:tcW w:w="5581" w:type="dxa"/>
            <w:vAlign w:val="center"/>
          </w:tcPr>
          <w:p w14:paraId="6BFAEF68" w14:textId="77777777" w:rsidR="00E31A3B" w:rsidRPr="00E31A3B" w:rsidRDefault="00E31A3B" w:rsidP="000F221E">
            <w:pPr>
              <w:jc w:val="center"/>
              <w:rPr>
                <w:rFonts w:asciiTheme="majorHAnsi" w:hAnsiTheme="majorHAnsi" w:cs="Arial"/>
                <w:b/>
              </w:rPr>
            </w:pPr>
            <w:r w:rsidRPr="00E31A3B">
              <w:rPr>
                <w:rFonts w:asciiTheme="majorHAnsi" w:hAnsiTheme="majorHAnsi" w:cs="Arial"/>
                <w:b/>
              </w:rPr>
              <w:t>Total</w:t>
            </w:r>
          </w:p>
        </w:tc>
        <w:tc>
          <w:tcPr>
            <w:tcW w:w="3356" w:type="dxa"/>
            <w:noWrap/>
            <w:vAlign w:val="center"/>
          </w:tcPr>
          <w:p w14:paraId="14BF4997" w14:textId="77777777" w:rsidR="00E31A3B" w:rsidRPr="00E31A3B" w:rsidRDefault="00E31A3B" w:rsidP="000F221E">
            <w:pPr>
              <w:jc w:val="center"/>
              <w:rPr>
                <w:rFonts w:asciiTheme="majorHAnsi" w:hAnsiTheme="majorHAnsi" w:cs="Arial"/>
                <w:b/>
              </w:rPr>
            </w:pPr>
            <w:r w:rsidRPr="00E31A3B">
              <w:rPr>
                <w:rFonts w:asciiTheme="majorHAnsi" w:hAnsiTheme="majorHAnsi" w:cs="Arial"/>
                <w:b/>
              </w:rPr>
              <w:t>4.25</w:t>
            </w:r>
          </w:p>
        </w:tc>
      </w:tr>
    </w:tbl>
    <w:p w14:paraId="75319F77" w14:textId="77777777" w:rsidR="00360467" w:rsidRPr="00E31A3B" w:rsidRDefault="00360467" w:rsidP="00360467">
      <w:pPr>
        <w:spacing w:line="360" w:lineRule="auto"/>
        <w:jc w:val="both"/>
        <w:rPr>
          <w:rFonts w:asciiTheme="majorHAnsi" w:hAnsiTheme="majorHAnsi"/>
          <w:b/>
          <w:bCs/>
        </w:rPr>
      </w:pPr>
    </w:p>
    <w:p w14:paraId="3FF83174" w14:textId="77777777" w:rsidR="003C2808" w:rsidRDefault="003C2808" w:rsidP="008915D1">
      <w:pPr>
        <w:pStyle w:val="Heading3"/>
        <w:numPr>
          <w:ilvl w:val="2"/>
          <w:numId w:val="1"/>
        </w:numPr>
        <w:shd w:val="clear" w:color="auto" w:fill="002060"/>
        <w:rPr>
          <w:rFonts w:asciiTheme="majorHAnsi" w:hAnsiTheme="majorHAnsi"/>
          <w:sz w:val="24"/>
          <w:szCs w:val="24"/>
        </w:rPr>
      </w:pPr>
      <w:bookmarkStart w:id="30" w:name="_Toc152180097"/>
      <w:bookmarkStart w:id="31" w:name="_Toc183204709"/>
      <w:bookmarkStart w:id="32" w:name="_Toc152180076"/>
      <w:bookmarkStart w:id="33" w:name="_Toc183204688"/>
      <w:bookmarkStart w:id="34" w:name="_Hlk120532576"/>
      <w:bookmarkStart w:id="35" w:name="_Toc215250612"/>
      <w:r w:rsidRPr="00051738">
        <w:rPr>
          <w:rFonts w:asciiTheme="majorHAnsi" w:hAnsiTheme="majorHAnsi"/>
          <w:sz w:val="24"/>
          <w:szCs w:val="24"/>
        </w:rPr>
        <w:t>Customer Care &amp; Call Centre</w:t>
      </w:r>
      <w:bookmarkEnd w:id="30"/>
      <w:bookmarkEnd w:id="31"/>
      <w:bookmarkEnd w:id="35"/>
    </w:p>
    <w:p w14:paraId="6DE30B06" w14:textId="360055C6" w:rsidR="003C2808" w:rsidRPr="0002356C" w:rsidRDefault="00724473" w:rsidP="00724473">
      <w:pPr>
        <w:spacing w:beforeLines="100" w:before="240" w:afterLines="100" w:after="240" w:line="360" w:lineRule="auto"/>
        <w:jc w:val="both"/>
        <w:rPr>
          <w:rFonts w:asciiTheme="majorHAnsi" w:hAnsiTheme="majorHAnsi" w:cstheme="minorHAnsi"/>
        </w:rPr>
      </w:pPr>
      <w:r w:rsidRPr="00724473">
        <w:rPr>
          <w:rFonts w:asciiTheme="majorHAnsi" w:hAnsiTheme="majorHAnsi" w:cstheme="minorHAnsi"/>
        </w:rPr>
        <w:t>TPWODL prioritizes timely and efficient resolution of consumer grievances through a range of consumer-centric initiatives designed to enhance service accessibility, responsiveness, and satisfaction.</w:t>
      </w:r>
      <w:r w:rsidR="000E6CEB">
        <w:rPr>
          <w:rFonts w:asciiTheme="majorHAnsi" w:hAnsiTheme="majorHAnsi" w:cstheme="minorHAnsi"/>
        </w:rPr>
        <w:t xml:space="preserve"> </w:t>
      </w:r>
      <w:r w:rsidRPr="00724473">
        <w:rPr>
          <w:rFonts w:asciiTheme="majorHAnsi" w:hAnsiTheme="majorHAnsi" w:cstheme="minorHAnsi"/>
        </w:rPr>
        <w:t xml:space="preserve">Multiple digital and physical touchpoints including 24×7 Call Centre, E-Care Centre, Social Media Desk, Customer Care </w:t>
      </w:r>
      <w:r w:rsidR="00D9743D" w:rsidRPr="00724473">
        <w:rPr>
          <w:rFonts w:asciiTheme="majorHAnsi" w:hAnsiTheme="majorHAnsi" w:cstheme="minorHAnsi"/>
        </w:rPr>
        <w:t>Centers</w:t>
      </w:r>
      <w:r w:rsidRPr="00724473">
        <w:rPr>
          <w:rFonts w:asciiTheme="majorHAnsi" w:hAnsiTheme="majorHAnsi" w:cstheme="minorHAnsi"/>
        </w:rPr>
        <w:t>, New Service Connection Services, Missed Call Services, and Interactive WhatsApp Services provide consumers easy access for queries and grievance resolution.</w:t>
      </w:r>
      <w:r w:rsidR="000E6CEB">
        <w:rPr>
          <w:rFonts w:asciiTheme="majorHAnsi" w:hAnsiTheme="majorHAnsi" w:cstheme="minorHAnsi"/>
        </w:rPr>
        <w:t xml:space="preserve"> </w:t>
      </w:r>
      <w:r w:rsidRPr="00724473">
        <w:rPr>
          <w:rFonts w:asciiTheme="majorHAnsi" w:hAnsiTheme="majorHAnsi" w:cstheme="minorHAnsi"/>
        </w:rPr>
        <w:t xml:space="preserve">Grievances received through government portals such as Jana </w:t>
      </w:r>
      <w:proofErr w:type="spellStart"/>
      <w:r w:rsidRPr="00724473">
        <w:rPr>
          <w:rFonts w:asciiTheme="majorHAnsi" w:hAnsiTheme="majorHAnsi" w:cstheme="minorHAnsi"/>
        </w:rPr>
        <w:t>Sunani</w:t>
      </w:r>
      <w:proofErr w:type="spellEnd"/>
      <w:r w:rsidRPr="00724473">
        <w:rPr>
          <w:rFonts w:asciiTheme="majorHAnsi" w:hAnsiTheme="majorHAnsi" w:cstheme="minorHAnsi"/>
        </w:rPr>
        <w:t>, NCH, and CPGRAMS are also handled promptly at the social media desk.</w:t>
      </w:r>
      <w:r w:rsidR="000E6CEB">
        <w:rPr>
          <w:rFonts w:asciiTheme="majorHAnsi" w:hAnsiTheme="majorHAnsi" w:cstheme="minorHAnsi"/>
        </w:rPr>
        <w:t xml:space="preserve"> </w:t>
      </w:r>
      <w:r w:rsidRPr="00724473">
        <w:rPr>
          <w:rFonts w:asciiTheme="majorHAnsi" w:hAnsiTheme="majorHAnsi" w:cstheme="minorHAnsi"/>
        </w:rPr>
        <w:t>Automated systems like IVRS and CRM integrations further streamline complaint tracking, while special facilities such as Senior Citizen and Physically Challenged Desks enhance inclusivity.</w:t>
      </w:r>
      <w:r w:rsidR="0030758C">
        <w:rPr>
          <w:rFonts w:asciiTheme="majorHAnsi" w:hAnsiTheme="majorHAnsi" w:cstheme="minorHAnsi"/>
        </w:rPr>
        <w:t xml:space="preserve"> </w:t>
      </w:r>
      <w:r w:rsidRPr="00724473">
        <w:rPr>
          <w:rFonts w:asciiTheme="majorHAnsi" w:hAnsiTheme="majorHAnsi" w:cstheme="minorHAnsi"/>
        </w:rPr>
        <w:t xml:space="preserve">Digital outreach initiatives such as Digital </w:t>
      </w:r>
      <w:proofErr w:type="spellStart"/>
      <w:r w:rsidRPr="00724473">
        <w:rPr>
          <w:rFonts w:asciiTheme="majorHAnsi" w:hAnsiTheme="majorHAnsi" w:cstheme="minorHAnsi"/>
        </w:rPr>
        <w:t>Maitri</w:t>
      </w:r>
      <w:proofErr w:type="spellEnd"/>
      <w:r w:rsidRPr="00724473">
        <w:rPr>
          <w:rFonts w:asciiTheme="majorHAnsi" w:hAnsiTheme="majorHAnsi" w:cstheme="minorHAnsi"/>
        </w:rPr>
        <w:t xml:space="preserve"> Camps and door-to-door awareness campaigns continue to promote consumer awareness, digital adoption, and community trust</w:t>
      </w:r>
      <w:r w:rsidR="003C2808" w:rsidRPr="0002356C">
        <w:rPr>
          <w:rFonts w:asciiTheme="majorHAnsi" w:eastAsia="Calibri" w:hAnsiTheme="majorHAnsi" w:cstheme="minorHAnsi"/>
        </w:rPr>
        <w:t>.</w:t>
      </w:r>
    </w:p>
    <w:p w14:paraId="3A2AC803" w14:textId="219BB3B6" w:rsidR="003C2808" w:rsidRDefault="00A7474C" w:rsidP="0097212A">
      <w:pPr>
        <w:spacing w:beforeLines="100" w:before="240" w:afterLines="100" w:after="240" w:line="360" w:lineRule="auto"/>
        <w:jc w:val="both"/>
        <w:rPr>
          <w:rFonts w:asciiTheme="majorHAnsi" w:hAnsiTheme="majorHAnsi" w:cstheme="minorHAnsi"/>
        </w:rPr>
      </w:pPr>
      <w:r w:rsidRPr="00A7474C">
        <w:rPr>
          <w:rFonts w:asciiTheme="majorHAnsi" w:hAnsiTheme="majorHAnsi" w:cstheme="minorHAnsi"/>
          <w:b/>
          <w:bCs/>
          <w:u w:val="single"/>
        </w:rPr>
        <w:t>TPWODL Call Centre</w:t>
      </w:r>
      <w:r w:rsidR="0035374C" w:rsidRPr="00D34DC5">
        <w:rPr>
          <w:rFonts w:asciiTheme="majorHAnsi" w:hAnsiTheme="majorHAnsi" w:cstheme="minorHAnsi"/>
          <w:b/>
          <w:bCs/>
          <w:u w:val="single"/>
        </w:rPr>
        <w:t>:</w:t>
      </w:r>
      <w:r w:rsidR="00836721">
        <w:rPr>
          <w:rFonts w:asciiTheme="majorHAnsi" w:hAnsiTheme="majorHAnsi" w:cstheme="minorHAnsi"/>
          <w:b/>
          <w:bCs/>
          <w:u w:val="single"/>
        </w:rPr>
        <w:t xml:space="preserve"> </w:t>
      </w:r>
      <w:r w:rsidR="003C2808" w:rsidRPr="0002356C">
        <w:rPr>
          <w:rFonts w:asciiTheme="majorHAnsi" w:hAnsiTheme="majorHAnsi" w:cstheme="minorHAnsi"/>
        </w:rPr>
        <w:t>Call Centre has been ever since April 2021 with the following features:</w:t>
      </w:r>
    </w:p>
    <w:p w14:paraId="1647E50C" w14:textId="007B73BA" w:rsidR="003C2808" w:rsidRPr="00B06E37" w:rsidRDefault="003C2808" w:rsidP="003C2808">
      <w:pPr>
        <w:spacing w:line="360" w:lineRule="auto"/>
        <w:jc w:val="both"/>
        <w:rPr>
          <w:rFonts w:asciiTheme="majorHAnsi" w:hAnsiTheme="majorHAnsi" w:cstheme="minorHAnsi"/>
          <w:b/>
          <w:bCs/>
          <w:u w:val="single"/>
        </w:rPr>
      </w:pPr>
      <w:r w:rsidRPr="00B06E37">
        <w:rPr>
          <w:rFonts w:asciiTheme="majorHAnsi" w:hAnsiTheme="majorHAnsi" w:cstheme="minorHAnsi"/>
          <w:b/>
          <w:bCs/>
          <w:u w:val="single"/>
        </w:rPr>
        <w:t>Existing Features of Call Centre:</w:t>
      </w:r>
    </w:p>
    <w:p w14:paraId="0D1F6F2A" w14:textId="77777777" w:rsidR="004C6680" w:rsidRPr="002478E0" w:rsidRDefault="004C6680" w:rsidP="00056389">
      <w:pPr>
        <w:numPr>
          <w:ilvl w:val="0"/>
          <w:numId w:val="48"/>
        </w:numPr>
        <w:spacing w:after="160"/>
        <w:jc w:val="both"/>
        <w:rPr>
          <w:rFonts w:asciiTheme="majorHAnsi" w:hAnsiTheme="majorHAnsi"/>
        </w:rPr>
      </w:pPr>
      <w:r w:rsidRPr="002478E0">
        <w:rPr>
          <w:rFonts w:asciiTheme="majorHAnsi" w:hAnsiTheme="majorHAnsi"/>
        </w:rPr>
        <w:t>24×7 operations, including public holidays.</w:t>
      </w:r>
    </w:p>
    <w:p w14:paraId="09F85050" w14:textId="77777777" w:rsidR="004C6680" w:rsidRPr="002478E0" w:rsidRDefault="004C6680" w:rsidP="00056389">
      <w:pPr>
        <w:numPr>
          <w:ilvl w:val="0"/>
          <w:numId w:val="48"/>
        </w:numPr>
        <w:spacing w:after="160"/>
        <w:jc w:val="both"/>
        <w:rPr>
          <w:rFonts w:asciiTheme="majorHAnsi" w:hAnsiTheme="majorHAnsi"/>
        </w:rPr>
      </w:pPr>
      <w:r w:rsidRPr="002478E0">
        <w:rPr>
          <w:rFonts w:asciiTheme="majorHAnsi" w:hAnsiTheme="majorHAnsi"/>
        </w:rPr>
        <w:t>IVRS-based call routing to agents.</w:t>
      </w:r>
    </w:p>
    <w:p w14:paraId="162DCD6E" w14:textId="77777777" w:rsidR="004C6680" w:rsidRPr="002478E0" w:rsidRDefault="004C6680" w:rsidP="00056389">
      <w:pPr>
        <w:numPr>
          <w:ilvl w:val="0"/>
          <w:numId w:val="48"/>
        </w:numPr>
        <w:spacing w:after="160"/>
        <w:jc w:val="both"/>
        <w:rPr>
          <w:rFonts w:asciiTheme="majorHAnsi" w:hAnsiTheme="majorHAnsi"/>
        </w:rPr>
      </w:pPr>
      <w:r w:rsidRPr="002478E0">
        <w:rPr>
          <w:rFonts w:asciiTheme="majorHAnsi" w:hAnsiTheme="majorHAnsi"/>
        </w:rPr>
        <w:t>Computer Telephony Integration (CTI) with CRM for complaint handling.</w:t>
      </w:r>
    </w:p>
    <w:p w14:paraId="762EA98F" w14:textId="77777777" w:rsidR="004C6680" w:rsidRPr="002478E0" w:rsidRDefault="004C6680" w:rsidP="00056389">
      <w:pPr>
        <w:numPr>
          <w:ilvl w:val="0"/>
          <w:numId w:val="48"/>
        </w:numPr>
        <w:spacing w:after="160"/>
        <w:jc w:val="both"/>
        <w:rPr>
          <w:rFonts w:asciiTheme="majorHAnsi" w:hAnsiTheme="majorHAnsi"/>
        </w:rPr>
      </w:pPr>
      <w:r w:rsidRPr="002478E0">
        <w:rPr>
          <w:rFonts w:asciiTheme="majorHAnsi" w:hAnsiTheme="majorHAnsi"/>
        </w:rPr>
        <w:t>Support for three languages – Odia, English, and Hindi.</w:t>
      </w:r>
    </w:p>
    <w:p w14:paraId="772BC06B" w14:textId="77777777" w:rsidR="004C6680" w:rsidRPr="002478E0" w:rsidRDefault="004C6680" w:rsidP="00056389">
      <w:pPr>
        <w:numPr>
          <w:ilvl w:val="0"/>
          <w:numId w:val="48"/>
        </w:numPr>
        <w:spacing w:after="160"/>
        <w:jc w:val="both"/>
        <w:rPr>
          <w:rFonts w:asciiTheme="majorHAnsi" w:hAnsiTheme="majorHAnsi"/>
        </w:rPr>
      </w:pPr>
      <w:r w:rsidRPr="002478E0">
        <w:rPr>
          <w:rFonts w:asciiTheme="majorHAnsi" w:hAnsiTheme="majorHAnsi"/>
        </w:rPr>
        <w:t>Auto-forwarding of complaints to SDO/Section based on consumer account details.</w:t>
      </w:r>
    </w:p>
    <w:p w14:paraId="6481B13F" w14:textId="77777777" w:rsidR="004C6680" w:rsidRPr="002478E0" w:rsidRDefault="004C6680" w:rsidP="00056389">
      <w:pPr>
        <w:numPr>
          <w:ilvl w:val="0"/>
          <w:numId w:val="48"/>
        </w:numPr>
        <w:spacing w:after="160"/>
        <w:jc w:val="both"/>
        <w:rPr>
          <w:rFonts w:asciiTheme="majorHAnsi" w:hAnsiTheme="majorHAnsi"/>
        </w:rPr>
      </w:pPr>
      <w:r w:rsidRPr="002478E0">
        <w:rPr>
          <w:rFonts w:asciiTheme="majorHAnsi" w:hAnsiTheme="majorHAnsi"/>
        </w:rPr>
        <w:t>IVRS Self-Service Options – No Power Supply, Bill Info, Payment Details, etc.</w:t>
      </w:r>
    </w:p>
    <w:p w14:paraId="5E7998C6" w14:textId="77777777" w:rsidR="004C6680" w:rsidRPr="002478E0" w:rsidRDefault="004C6680" w:rsidP="00056389">
      <w:pPr>
        <w:numPr>
          <w:ilvl w:val="0"/>
          <w:numId w:val="48"/>
        </w:numPr>
        <w:spacing w:after="160"/>
        <w:jc w:val="both"/>
        <w:rPr>
          <w:rFonts w:asciiTheme="majorHAnsi" w:hAnsiTheme="majorHAnsi"/>
        </w:rPr>
      </w:pPr>
      <w:r w:rsidRPr="002478E0">
        <w:rPr>
          <w:rFonts w:asciiTheme="majorHAnsi" w:hAnsiTheme="majorHAnsi"/>
        </w:rPr>
        <w:t>Voice message reporting for theft and ethics-related concerns.</w:t>
      </w:r>
    </w:p>
    <w:p w14:paraId="79E6CA6E" w14:textId="77777777" w:rsidR="004C6680" w:rsidRPr="002478E0" w:rsidRDefault="004C6680" w:rsidP="00056389">
      <w:pPr>
        <w:numPr>
          <w:ilvl w:val="0"/>
          <w:numId w:val="48"/>
        </w:numPr>
        <w:spacing w:after="160"/>
        <w:jc w:val="both"/>
        <w:rPr>
          <w:rFonts w:asciiTheme="majorHAnsi" w:hAnsiTheme="majorHAnsi"/>
        </w:rPr>
      </w:pPr>
      <w:r w:rsidRPr="002478E0">
        <w:rPr>
          <w:rFonts w:asciiTheme="majorHAnsi" w:hAnsiTheme="majorHAnsi"/>
        </w:rPr>
        <w:t>Direct routing for Fire and Emergency cases to Customer Care Executives.</w:t>
      </w:r>
    </w:p>
    <w:p w14:paraId="25F0CA62" w14:textId="77777777" w:rsidR="004C6680" w:rsidRPr="002478E0" w:rsidRDefault="004C6680" w:rsidP="00056389">
      <w:pPr>
        <w:numPr>
          <w:ilvl w:val="0"/>
          <w:numId w:val="48"/>
        </w:numPr>
        <w:spacing w:after="160"/>
        <w:jc w:val="both"/>
        <w:rPr>
          <w:rFonts w:asciiTheme="majorHAnsi" w:hAnsiTheme="majorHAnsi"/>
        </w:rPr>
      </w:pPr>
      <w:r w:rsidRPr="002478E0">
        <w:rPr>
          <w:rFonts w:asciiTheme="majorHAnsi" w:hAnsiTheme="majorHAnsi"/>
        </w:rPr>
        <w:t>Post-transaction feedback system for service quality evaluation.</w:t>
      </w:r>
    </w:p>
    <w:p w14:paraId="2190E526" w14:textId="77777777" w:rsidR="004C6680" w:rsidRPr="002478E0" w:rsidRDefault="004C6680" w:rsidP="00056389">
      <w:pPr>
        <w:numPr>
          <w:ilvl w:val="0"/>
          <w:numId w:val="48"/>
        </w:numPr>
        <w:spacing w:after="160"/>
        <w:jc w:val="both"/>
        <w:rPr>
          <w:rFonts w:asciiTheme="majorHAnsi" w:hAnsiTheme="majorHAnsi"/>
        </w:rPr>
      </w:pPr>
      <w:r w:rsidRPr="002478E0">
        <w:rPr>
          <w:rFonts w:asciiTheme="majorHAnsi" w:hAnsiTheme="majorHAnsi"/>
        </w:rPr>
        <w:t>Call Transfer to Subject Matter Experts for issue escalation.</w:t>
      </w:r>
    </w:p>
    <w:p w14:paraId="2A0EF877" w14:textId="77777777" w:rsidR="004C6680" w:rsidRPr="002478E0" w:rsidRDefault="004C6680" w:rsidP="00056389">
      <w:pPr>
        <w:numPr>
          <w:ilvl w:val="0"/>
          <w:numId w:val="48"/>
        </w:numPr>
        <w:spacing w:after="160"/>
        <w:jc w:val="both"/>
        <w:rPr>
          <w:rFonts w:asciiTheme="majorHAnsi" w:hAnsiTheme="majorHAnsi"/>
        </w:rPr>
      </w:pPr>
      <w:r w:rsidRPr="002478E0">
        <w:rPr>
          <w:rFonts w:asciiTheme="majorHAnsi" w:hAnsiTheme="majorHAnsi"/>
        </w:rPr>
        <w:t>Missed Call Services (9777774511) for Outage Information and NPS registration.</w:t>
      </w:r>
    </w:p>
    <w:p w14:paraId="73C450F6" w14:textId="728237AD" w:rsidR="003C2808" w:rsidRPr="002478E0" w:rsidRDefault="004C6680" w:rsidP="00056389">
      <w:pPr>
        <w:numPr>
          <w:ilvl w:val="0"/>
          <w:numId w:val="48"/>
        </w:numPr>
        <w:spacing w:after="160"/>
        <w:jc w:val="both"/>
        <w:rPr>
          <w:rFonts w:asciiTheme="majorHAnsi" w:hAnsiTheme="majorHAnsi"/>
        </w:rPr>
      </w:pPr>
      <w:r w:rsidRPr="002478E0">
        <w:rPr>
          <w:rFonts w:asciiTheme="majorHAnsi" w:hAnsiTheme="majorHAnsi"/>
        </w:rPr>
        <w:t xml:space="preserve">Interactive WhatsApp BOT </w:t>
      </w:r>
      <w:r w:rsidR="00A17B20" w:rsidRPr="002478E0">
        <w:rPr>
          <w:rFonts w:asciiTheme="majorHAnsi" w:hAnsiTheme="majorHAnsi"/>
        </w:rPr>
        <w:t>offers</w:t>
      </w:r>
      <w:r w:rsidRPr="002478E0">
        <w:rPr>
          <w:rFonts w:asciiTheme="majorHAnsi" w:hAnsiTheme="majorHAnsi"/>
        </w:rPr>
        <w:t xml:space="preserve"> complaint registration, billing, payment, and outage services.</w:t>
      </w:r>
    </w:p>
    <w:p w14:paraId="2B3E5659" w14:textId="32C2273E" w:rsidR="00142668" w:rsidRPr="00AC75CC" w:rsidRDefault="00142668" w:rsidP="00142668">
      <w:pPr>
        <w:jc w:val="both"/>
        <w:rPr>
          <w:rFonts w:asciiTheme="majorHAnsi" w:hAnsiTheme="majorHAnsi"/>
          <w:b/>
          <w:bCs/>
        </w:rPr>
      </w:pPr>
    </w:p>
    <w:p w14:paraId="47F0365A" w14:textId="4FE0FD2E" w:rsidR="00EA35B1" w:rsidRPr="005F2D4A" w:rsidRDefault="00892ED0" w:rsidP="003C2808">
      <w:pPr>
        <w:spacing w:line="360" w:lineRule="auto"/>
        <w:jc w:val="both"/>
        <w:rPr>
          <w:rFonts w:asciiTheme="majorHAnsi" w:hAnsiTheme="majorHAnsi"/>
          <w:b/>
          <w:bCs/>
          <w:u w:val="single"/>
        </w:rPr>
      </w:pPr>
      <w:r w:rsidRPr="005F2D4A">
        <w:rPr>
          <w:rFonts w:asciiTheme="majorHAnsi" w:hAnsiTheme="majorHAnsi"/>
          <w:b/>
          <w:bCs/>
          <w:u w:val="single"/>
        </w:rPr>
        <w:t xml:space="preserve">Recent Additions (FY 25–26): </w:t>
      </w:r>
    </w:p>
    <w:p w14:paraId="666EF54D" w14:textId="17EF071A" w:rsidR="003C2808" w:rsidRDefault="003C2808" w:rsidP="003C2808">
      <w:pPr>
        <w:spacing w:line="360" w:lineRule="auto"/>
        <w:jc w:val="both"/>
        <w:rPr>
          <w:rFonts w:asciiTheme="majorHAnsi" w:eastAsia="Calibri" w:hAnsiTheme="majorHAnsi" w:cstheme="minorHAnsi"/>
        </w:rPr>
      </w:pPr>
      <w:r w:rsidRPr="0002356C">
        <w:rPr>
          <w:rFonts w:asciiTheme="majorHAnsi" w:eastAsia="Calibri" w:hAnsiTheme="majorHAnsi" w:cstheme="minorHAnsi"/>
        </w:rPr>
        <w:t xml:space="preserve">In addition to the above-mentioned Customer Services with Various Touch Points below are the </w:t>
      </w:r>
      <w:r w:rsidR="00142668">
        <w:rPr>
          <w:rFonts w:asciiTheme="majorHAnsi" w:eastAsia="Calibri" w:hAnsiTheme="majorHAnsi" w:cstheme="minorHAnsi"/>
        </w:rPr>
        <w:t xml:space="preserve">recent addition in the service </w:t>
      </w:r>
      <w:r w:rsidR="004E1F9F" w:rsidRPr="0002356C">
        <w:rPr>
          <w:rFonts w:asciiTheme="majorHAnsi" w:eastAsia="Calibri" w:hAnsiTheme="majorHAnsi" w:cstheme="minorHAnsi"/>
        </w:rPr>
        <w:t xml:space="preserve">in FY </w:t>
      </w:r>
      <w:r w:rsidR="004E1F9F">
        <w:rPr>
          <w:rFonts w:asciiTheme="majorHAnsi" w:eastAsia="Calibri" w:hAnsiTheme="majorHAnsi" w:cstheme="minorHAnsi"/>
        </w:rPr>
        <w:t>26-27</w:t>
      </w:r>
      <w:r w:rsidRPr="0002356C">
        <w:rPr>
          <w:rFonts w:asciiTheme="majorHAnsi" w:eastAsia="Calibri" w:hAnsiTheme="majorHAnsi" w:cstheme="minorHAnsi"/>
        </w:rPr>
        <w:t xml:space="preserve"> for better and more effective customer centricity.</w:t>
      </w:r>
    </w:p>
    <w:p w14:paraId="61343CE5" w14:textId="77777777" w:rsidR="00892ED0" w:rsidRDefault="00892ED0" w:rsidP="003C2808">
      <w:pPr>
        <w:spacing w:line="360" w:lineRule="auto"/>
        <w:jc w:val="both"/>
        <w:rPr>
          <w:rFonts w:asciiTheme="majorHAnsi" w:eastAsia="Calibri" w:hAnsiTheme="majorHAnsi" w:cstheme="minorHAnsi"/>
        </w:rPr>
      </w:pPr>
    </w:p>
    <w:p w14:paraId="7661F1B1" w14:textId="77777777" w:rsidR="00AC75CC" w:rsidRPr="00892ED0" w:rsidRDefault="00AC75CC" w:rsidP="00056389">
      <w:pPr>
        <w:numPr>
          <w:ilvl w:val="0"/>
          <w:numId w:val="49"/>
        </w:numPr>
        <w:spacing w:after="160" w:line="278" w:lineRule="auto"/>
        <w:jc w:val="both"/>
        <w:rPr>
          <w:rFonts w:asciiTheme="majorHAnsi" w:hAnsiTheme="majorHAnsi"/>
        </w:rPr>
      </w:pPr>
      <w:r w:rsidRPr="00892ED0">
        <w:rPr>
          <w:rFonts w:asciiTheme="majorHAnsi" w:hAnsiTheme="majorHAnsi"/>
        </w:rPr>
        <w:t>Integrated Call Centre &amp; Unified CRM Omni Channel – Seamless interaction across Call Centre and E-Care.</w:t>
      </w:r>
    </w:p>
    <w:p w14:paraId="26821D05" w14:textId="77777777" w:rsidR="00AC75CC" w:rsidRPr="00892ED0" w:rsidRDefault="00AC75CC" w:rsidP="00056389">
      <w:pPr>
        <w:numPr>
          <w:ilvl w:val="0"/>
          <w:numId w:val="49"/>
        </w:numPr>
        <w:spacing w:after="160" w:line="278" w:lineRule="auto"/>
        <w:jc w:val="both"/>
        <w:rPr>
          <w:rFonts w:asciiTheme="majorHAnsi" w:hAnsiTheme="majorHAnsi"/>
        </w:rPr>
      </w:pPr>
      <w:r w:rsidRPr="00892ED0">
        <w:rPr>
          <w:rFonts w:asciiTheme="majorHAnsi" w:hAnsiTheme="majorHAnsi"/>
        </w:rPr>
        <w:t>Auto-detection of Caller Preferred Language for personalized interaction.</w:t>
      </w:r>
    </w:p>
    <w:p w14:paraId="68A01D42" w14:textId="77777777" w:rsidR="00AC75CC" w:rsidRPr="00892ED0" w:rsidRDefault="00AC75CC" w:rsidP="00056389">
      <w:pPr>
        <w:numPr>
          <w:ilvl w:val="0"/>
          <w:numId w:val="49"/>
        </w:numPr>
        <w:spacing w:after="160" w:line="278" w:lineRule="auto"/>
        <w:jc w:val="both"/>
        <w:rPr>
          <w:rFonts w:asciiTheme="majorHAnsi" w:hAnsiTheme="majorHAnsi"/>
        </w:rPr>
      </w:pPr>
      <w:r w:rsidRPr="00892ED0">
        <w:rPr>
          <w:rFonts w:asciiTheme="majorHAnsi" w:hAnsiTheme="majorHAnsi"/>
        </w:rPr>
        <w:t>Two-way Interactive Voice Bot for Outbound Calls – Automated dialer for awareness and updates.</w:t>
      </w:r>
    </w:p>
    <w:p w14:paraId="618F6203" w14:textId="77777777" w:rsidR="00AC75CC" w:rsidRPr="00892ED0" w:rsidRDefault="00AC75CC" w:rsidP="00056389">
      <w:pPr>
        <w:numPr>
          <w:ilvl w:val="0"/>
          <w:numId w:val="49"/>
        </w:numPr>
        <w:spacing w:after="160" w:line="278" w:lineRule="auto"/>
        <w:jc w:val="both"/>
        <w:rPr>
          <w:rFonts w:asciiTheme="majorHAnsi" w:hAnsiTheme="majorHAnsi"/>
        </w:rPr>
      </w:pPr>
      <w:r w:rsidRPr="00892ED0">
        <w:rPr>
          <w:rFonts w:asciiTheme="majorHAnsi" w:hAnsiTheme="majorHAnsi"/>
        </w:rPr>
        <w:t>IVR NPS Automation – Automated No Power Supply registration on 1912.</w:t>
      </w:r>
    </w:p>
    <w:p w14:paraId="54B002A7" w14:textId="77777777" w:rsidR="00AC75CC" w:rsidRPr="00892ED0" w:rsidRDefault="00AC75CC" w:rsidP="00056389">
      <w:pPr>
        <w:numPr>
          <w:ilvl w:val="0"/>
          <w:numId w:val="49"/>
        </w:numPr>
        <w:spacing w:after="160" w:line="360" w:lineRule="auto"/>
        <w:jc w:val="both"/>
        <w:rPr>
          <w:rFonts w:asciiTheme="majorHAnsi" w:eastAsia="Calibri" w:hAnsiTheme="majorHAnsi" w:cstheme="minorHAnsi"/>
          <w:sz w:val="32"/>
          <w:szCs w:val="32"/>
        </w:rPr>
      </w:pPr>
      <w:r w:rsidRPr="00892ED0">
        <w:rPr>
          <w:rFonts w:asciiTheme="majorHAnsi" w:hAnsiTheme="majorHAnsi"/>
        </w:rPr>
        <w:t>Virtual Assistant “Roshni” Chatbot on TPWODL website (supports Odia language).</w:t>
      </w:r>
    </w:p>
    <w:p w14:paraId="7F629A47" w14:textId="77777777" w:rsidR="00AC75CC" w:rsidRPr="00892ED0" w:rsidRDefault="00AC75CC" w:rsidP="00056389">
      <w:pPr>
        <w:numPr>
          <w:ilvl w:val="0"/>
          <w:numId w:val="49"/>
        </w:numPr>
        <w:spacing w:after="160" w:line="360" w:lineRule="auto"/>
        <w:jc w:val="both"/>
        <w:rPr>
          <w:rFonts w:asciiTheme="majorHAnsi" w:eastAsia="Calibri" w:hAnsiTheme="majorHAnsi" w:cstheme="minorHAnsi"/>
          <w:sz w:val="32"/>
          <w:szCs w:val="32"/>
        </w:rPr>
      </w:pPr>
      <w:r w:rsidRPr="00892ED0">
        <w:rPr>
          <w:rFonts w:asciiTheme="majorHAnsi" w:hAnsiTheme="majorHAnsi"/>
        </w:rPr>
        <w:t>Additional 200 SIP Channels to improve call answering efficiency.</w:t>
      </w:r>
    </w:p>
    <w:p w14:paraId="1AC65112" w14:textId="73D22AD3" w:rsidR="00A261F4" w:rsidRPr="00A261F4" w:rsidRDefault="00A261F4" w:rsidP="00A261F4">
      <w:pPr>
        <w:spacing w:after="240"/>
        <w:jc w:val="both"/>
        <w:rPr>
          <w:rFonts w:asciiTheme="majorHAnsi" w:hAnsiTheme="majorHAnsi"/>
          <w:b/>
          <w:bCs/>
          <w:u w:val="single"/>
        </w:rPr>
      </w:pPr>
      <w:r w:rsidRPr="00A261F4">
        <w:rPr>
          <w:rFonts w:asciiTheme="majorHAnsi" w:hAnsiTheme="majorHAnsi"/>
          <w:b/>
          <w:bCs/>
          <w:u w:val="single"/>
        </w:rPr>
        <w:t>Planned Additions (FY 26–27)</w:t>
      </w:r>
      <w:r>
        <w:rPr>
          <w:rFonts w:asciiTheme="majorHAnsi" w:hAnsiTheme="majorHAnsi"/>
          <w:b/>
          <w:bCs/>
          <w:u w:val="single"/>
        </w:rPr>
        <w:t>:</w:t>
      </w:r>
    </w:p>
    <w:p w14:paraId="4520E9B8" w14:textId="77777777" w:rsidR="00A261F4" w:rsidRPr="00A261F4" w:rsidRDefault="00A261F4" w:rsidP="00056389">
      <w:pPr>
        <w:numPr>
          <w:ilvl w:val="0"/>
          <w:numId w:val="50"/>
        </w:numPr>
        <w:spacing w:after="160" w:line="278" w:lineRule="auto"/>
        <w:jc w:val="both"/>
        <w:rPr>
          <w:rFonts w:asciiTheme="majorHAnsi" w:hAnsiTheme="majorHAnsi"/>
        </w:rPr>
      </w:pPr>
      <w:r w:rsidRPr="00A261F4">
        <w:rPr>
          <w:rFonts w:asciiTheme="majorHAnsi" w:hAnsiTheme="majorHAnsi"/>
        </w:rPr>
        <w:t>Automated Post-Transaction Feedback System for continuous consumer insights.</w:t>
      </w:r>
    </w:p>
    <w:p w14:paraId="1AB30AF1" w14:textId="77777777" w:rsidR="00A261F4" w:rsidRPr="00A261F4" w:rsidRDefault="00A261F4" w:rsidP="00056389">
      <w:pPr>
        <w:numPr>
          <w:ilvl w:val="0"/>
          <w:numId w:val="50"/>
        </w:numPr>
        <w:spacing w:after="160" w:line="278" w:lineRule="auto"/>
        <w:jc w:val="both"/>
        <w:rPr>
          <w:rFonts w:asciiTheme="majorHAnsi" w:hAnsiTheme="majorHAnsi"/>
        </w:rPr>
      </w:pPr>
      <w:r w:rsidRPr="00A261F4">
        <w:rPr>
          <w:rFonts w:asciiTheme="majorHAnsi" w:hAnsiTheme="majorHAnsi"/>
        </w:rPr>
        <w:t>Enhanced WhatsApp Service Features.</w:t>
      </w:r>
    </w:p>
    <w:p w14:paraId="119647F1" w14:textId="77777777" w:rsidR="00A261F4" w:rsidRPr="00A261F4" w:rsidRDefault="00A261F4" w:rsidP="00056389">
      <w:pPr>
        <w:numPr>
          <w:ilvl w:val="0"/>
          <w:numId w:val="50"/>
        </w:numPr>
        <w:spacing w:after="160" w:line="278" w:lineRule="auto"/>
        <w:jc w:val="both"/>
        <w:rPr>
          <w:rFonts w:asciiTheme="majorHAnsi" w:hAnsiTheme="majorHAnsi"/>
        </w:rPr>
      </w:pPr>
      <w:r w:rsidRPr="00A261F4">
        <w:rPr>
          <w:rFonts w:asciiTheme="majorHAnsi" w:hAnsiTheme="majorHAnsi"/>
        </w:rPr>
        <w:t>Upgraded 24×7 Toll-Free Number for improved reliability and connectivity.</w:t>
      </w:r>
    </w:p>
    <w:p w14:paraId="07E5ED1E" w14:textId="5C67B4F7" w:rsidR="00A261F4" w:rsidRPr="00A261F4" w:rsidRDefault="00A261F4" w:rsidP="00056389">
      <w:pPr>
        <w:numPr>
          <w:ilvl w:val="0"/>
          <w:numId w:val="50"/>
        </w:numPr>
        <w:spacing w:after="160" w:line="278" w:lineRule="auto"/>
        <w:jc w:val="both"/>
        <w:rPr>
          <w:rFonts w:asciiTheme="majorHAnsi" w:hAnsiTheme="majorHAnsi"/>
        </w:rPr>
      </w:pPr>
      <w:r w:rsidRPr="00A261F4">
        <w:rPr>
          <w:rFonts w:asciiTheme="majorHAnsi" w:hAnsiTheme="majorHAnsi"/>
        </w:rPr>
        <w:t>Relocation of Call Centre to TPWODL’s owned facility with advanced technology and robust backup systems.</w:t>
      </w:r>
    </w:p>
    <w:p w14:paraId="2AA8C489" w14:textId="57BA52A1" w:rsidR="00D9220D" w:rsidRDefault="00D9220D" w:rsidP="00D9220D">
      <w:pPr>
        <w:jc w:val="both"/>
        <w:rPr>
          <w:rFonts w:asciiTheme="majorHAnsi" w:hAnsiTheme="majorHAnsi"/>
          <w:b/>
          <w:bCs/>
          <w:u w:val="single"/>
        </w:rPr>
      </w:pPr>
      <w:r w:rsidRPr="00D9220D">
        <w:rPr>
          <w:rFonts w:asciiTheme="majorHAnsi" w:hAnsiTheme="majorHAnsi"/>
          <w:b/>
          <w:bCs/>
          <w:u w:val="single"/>
        </w:rPr>
        <w:t>Outbound Consumer Campaigns (From Call Centre)</w:t>
      </w:r>
      <w:r>
        <w:rPr>
          <w:rFonts w:asciiTheme="majorHAnsi" w:hAnsiTheme="majorHAnsi"/>
          <w:b/>
          <w:bCs/>
          <w:u w:val="single"/>
        </w:rPr>
        <w:t>:</w:t>
      </w:r>
    </w:p>
    <w:p w14:paraId="164CD017" w14:textId="77777777" w:rsidR="00D9220D" w:rsidRPr="00D9220D" w:rsidRDefault="00D9220D" w:rsidP="00D9220D">
      <w:pPr>
        <w:jc w:val="both"/>
        <w:rPr>
          <w:rFonts w:asciiTheme="majorHAnsi" w:hAnsiTheme="majorHAnsi"/>
          <w:b/>
          <w:bCs/>
          <w:u w:val="single"/>
        </w:rPr>
      </w:pPr>
    </w:p>
    <w:p w14:paraId="27888161" w14:textId="2B33C465" w:rsidR="00D9220D" w:rsidRPr="00D9220D" w:rsidRDefault="009729CF" w:rsidP="00056389">
      <w:pPr>
        <w:numPr>
          <w:ilvl w:val="0"/>
          <w:numId w:val="51"/>
        </w:numPr>
        <w:spacing w:after="160" w:line="278" w:lineRule="auto"/>
        <w:jc w:val="both"/>
        <w:rPr>
          <w:rFonts w:asciiTheme="majorHAnsi" w:hAnsiTheme="majorHAnsi"/>
        </w:rPr>
      </w:pPr>
      <w:r w:rsidRPr="00D9220D">
        <w:rPr>
          <w:rFonts w:asciiTheme="majorHAnsi" w:hAnsiTheme="majorHAnsi"/>
          <w:b/>
          <w:bCs/>
        </w:rPr>
        <w:t>True caller</w:t>
      </w:r>
      <w:r w:rsidR="00D9220D" w:rsidRPr="00D9220D">
        <w:rPr>
          <w:rFonts w:asciiTheme="majorHAnsi" w:hAnsiTheme="majorHAnsi"/>
          <w:b/>
          <w:bCs/>
        </w:rPr>
        <w:t xml:space="preserve"> Partnership:</w:t>
      </w:r>
      <w:r w:rsidR="00D9220D" w:rsidRPr="00D9220D">
        <w:rPr>
          <w:rFonts w:asciiTheme="majorHAnsi" w:hAnsiTheme="majorHAnsi"/>
        </w:rPr>
        <w:t xml:space="preserve"> Whitelisting TPWODL out-calling numbers with official logo and purpose tag to improve reachability.</w:t>
      </w:r>
    </w:p>
    <w:p w14:paraId="3AD83643" w14:textId="77777777" w:rsidR="00D9220D" w:rsidRPr="00D9220D" w:rsidRDefault="00D9220D" w:rsidP="00056389">
      <w:pPr>
        <w:numPr>
          <w:ilvl w:val="0"/>
          <w:numId w:val="51"/>
        </w:numPr>
        <w:spacing w:after="160" w:line="278" w:lineRule="auto"/>
        <w:jc w:val="both"/>
        <w:rPr>
          <w:rFonts w:asciiTheme="majorHAnsi" w:hAnsiTheme="majorHAnsi"/>
        </w:rPr>
      </w:pPr>
      <w:r w:rsidRPr="00D9220D">
        <w:rPr>
          <w:rFonts w:asciiTheme="majorHAnsi" w:hAnsiTheme="majorHAnsi"/>
          <w:b/>
          <w:bCs/>
        </w:rPr>
        <w:t>Automated Voice Campaigns:</w:t>
      </w:r>
      <w:r w:rsidRPr="00D9220D">
        <w:rPr>
          <w:rFonts w:asciiTheme="majorHAnsi" w:hAnsiTheme="majorHAnsi"/>
        </w:rPr>
        <w:t xml:space="preserve"> Outbound calls for awareness drives – E-Bill Opt-in, Contact Verification, PM Surya </w:t>
      </w:r>
      <w:proofErr w:type="spellStart"/>
      <w:r w:rsidRPr="00D9220D">
        <w:rPr>
          <w:rFonts w:asciiTheme="majorHAnsi" w:hAnsiTheme="majorHAnsi"/>
        </w:rPr>
        <w:t>Ghar</w:t>
      </w:r>
      <w:proofErr w:type="spellEnd"/>
      <w:r w:rsidRPr="00D9220D">
        <w:rPr>
          <w:rFonts w:asciiTheme="majorHAnsi" w:hAnsiTheme="majorHAnsi"/>
        </w:rPr>
        <w:t xml:space="preserve"> </w:t>
      </w:r>
      <w:proofErr w:type="spellStart"/>
      <w:r w:rsidRPr="00D9220D">
        <w:rPr>
          <w:rFonts w:asciiTheme="majorHAnsi" w:hAnsiTheme="majorHAnsi"/>
        </w:rPr>
        <w:t>Muft</w:t>
      </w:r>
      <w:proofErr w:type="spellEnd"/>
      <w:r w:rsidRPr="00D9220D">
        <w:rPr>
          <w:rFonts w:asciiTheme="majorHAnsi" w:hAnsiTheme="majorHAnsi"/>
        </w:rPr>
        <w:t xml:space="preserve"> Bijli Yojana, Pending Dues, CSC options, etc.</w:t>
      </w:r>
    </w:p>
    <w:p w14:paraId="34907079" w14:textId="77777777" w:rsidR="00D9220D" w:rsidRPr="00D9220D" w:rsidRDefault="00D9220D" w:rsidP="00056389">
      <w:pPr>
        <w:numPr>
          <w:ilvl w:val="0"/>
          <w:numId w:val="51"/>
        </w:numPr>
        <w:spacing w:after="160" w:line="360" w:lineRule="auto"/>
        <w:jc w:val="both"/>
        <w:rPr>
          <w:rFonts w:asciiTheme="majorHAnsi" w:hAnsiTheme="majorHAnsi" w:cstheme="minorHAnsi"/>
          <w:b/>
          <w:bCs/>
          <w:sz w:val="32"/>
          <w:szCs w:val="32"/>
          <w:u w:val="single"/>
        </w:rPr>
      </w:pPr>
      <w:r w:rsidRPr="00D9220D">
        <w:rPr>
          <w:rFonts w:asciiTheme="majorHAnsi" w:hAnsiTheme="majorHAnsi"/>
          <w:b/>
          <w:bCs/>
        </w:rPr>
        <w:t>Welcome Calls:</w:t>
      </w:r>
      <w:r w:rsidRPr="00D9220D">
        <w:rPr>
          <w:rFonts w:asciiTheme="majorHAnsi" w:hAnsiTheme="majorHAnsi"/>
        </w:rPr>
        <w:t xml:space="preserve"> To newly released service connection consumers.</w:t>
      </w:r>
    </w:p>
    <w:p w14:paraId="764F9737" w14:textId="7864229A" w:rsidR="00C06558" w:rsidRPr="00D9220D" w:rsidRDefault="00D9220D" w:rsidP="00056389">
      <w:pPr>
        <w:numPr>
          <w:ilvl w:val="0"/>
          <w:numId w:val="51"/>
        </w:numPr>
        <w:spacing w:after="160" w:line="360" w:lineRule="auto"/>
        <w:jc w:val="both"/>
        <w:rPr>
          <w:rFonts w:asciiTheme="majorHAnsi" w:hAnsiTheme="majorHAnsi" w:cstheme="minorHAnsi"/>
          <w:b/>
          <w:bCs/>
          <w:sz w:val="32"/>
          <w:szCs w:val="32"/>
          <w:u w:val="single"/>
        </w:rPr>
      </w:pPr>
      <w:r w:rsidRPr="00D9220D">
        <w:rPr>
          <w:rFonts w:asciiTheme="majorHAnsi" w:hAnsiTheme="majorHAnsi"/>
          <w:b/>
          <w:bCs/>
        </w:rPr>
        <w:t>Know Your Consumer Drive:</w:t>
      </w:r>
      <w:r w:rsidRPr="00D9220D">
        <w:rPr>
          <w:rFonts w:asciiTheme="majorHAnsi" w:hAnsiTheme="majorHAnsi"/>
        </w:rPr>
        <w:t xml:space="preserve"> Validation of demographic data (Name, Address, Mobile No., Email ID).</w:t>
      </w:r>
    </w:p>
    <w:p w14:paraId="38E5F2ED" w14:textId="373266AA" w:rsidR="003C2808" w:rsidRPr="0002356C" w:rsidRDefault="003C2808" w:rsidP="003C2808">
      <w:pPr>
        <w:spacing w:line="360" w:lineRule="auto"/>
        <w:jc w:val="both"/>
        <w:rPr>
          <w:rFonts w:asciiTheme="majorHAnsi" w:hAnsiTheme="majorHAnsi" w:cstheme="minorHAnsi"/>
          <w:b/>
          <w:bCs/>
          <w:u w:val="single"/>
        </w:rPr>
      </w:pPr>
      <w:r w:rsidRPr="0002356C">
        <w:rPr>
          <w:rFonts w:asciiTheme="majorHAnsi" w:hAnsiTheme="majorHAnsi" w:cstheme="minorHAnsi"/>
          <w:b/>
          <w:bCs/>
          <w:u w:val="single"/>
        </w:rPr>
        <w:t xml:space="preserve">E-Billing &amp; KYC </w:t>
      </w:r>
      <w:r w:rsidR="0052489F">
        <w:rPr>
          <w:rFonts w:asciiTheme="majorHAnsi" w:hAnsiTheme="majorHAnsi" w:cstheme="minorHAnsi"/>
          <w:b/>
          <w:bCs/>
          <w:u w:val="single"/>
        </w:rPr>
        <w:t xml:space="preserve">initiative </w:t>
      </w:r>
      <w:r w:rsidR="009C3EE5">
        <w:rPr>
          <w:rFonts w:asciiTheme="majorHAnsi" w:hAnsiTheme="majorHAnsi" w:cstheme="minorHAnsi"/>
          <w:b/>
          <w:bCs/>
          <w:u w:val="single"/>
        </w:rPr>
        <w:t>fr</w:t>
      </w:r>
      <w:r w:rsidRPr="0002356C">
        <w:rPr>
          <w:rFonts w:asciiTheme="majorHAnsi" w:hAnsiTheme="majorHAnsi" w:cstheme="minorHAnsi"/>
          <w:b/>
          <w:bCs/>
          <w:u w:val="single"/>
        </w:rPr>
        <w:t>om Call Centre</w:t>
      </w:r>
      <w:r w:rsidR="00C06558">
        <w:rPr>
          <w:rFonts w:asciiTheme="majorHAnsi" w:hAnsiTheme="majorHAnsi" w:cstheme="minorHAnsi"/>
          <w:b/>
          <w:bCs/>
          <w:u w:val="single"/>
        </w:rPr>
        <w:t>:</w:t>
      </w:r>
    </w:p>
    <w:p w14:paraId="68A54204" w14:textId="29A3E8E5" w:rsidR="003C2808" w:rsidRPr="0002356C" w:rsidRDefault="004274A4" w:rsidP="001972DE">
      <w:pPr>
        <w:pStyle w:val="ListParagraph"/>
        <w:numPr>
          <w:ilvl w:val="0"/>
          <w:numId w:val="36"/>
        </w:numPr>
        <w:ind w:left="714" w:hanging="357"/>
        <w:contextualSpacing w:val="0"/>
        <w:jc w:val="both"/>
        <w:rPr>
          <w:rFonts w:asciiTheme="majorHAnsi" w:hAnsiTheme="majorHAnsi" w:cstheme="minorHAnsi"/>
          <w:sz w:val="24"/>
          <w:szCs w:val="24"/>
        </w:rPr>
      </w:pPr>
      <w:r w:rsidRPr="004274A4">
        <w:rPr>
          <w:rFonts w:asciiTheme="majorHAnsi" w:hAnsiTheme="majorHAnsi" w:cstheme="minorHAnsi"/>
          <w:sz w:val="24"/>
          <w:szCs w:val="24"/>
        </w:rPr>
        <w:t>E-Bill Opt-in Campaigns via Call Centre to encourage paperless billing and timely bill delivery.</w:t>
      </w:r>
    </w:p>
    <w:p w14:paraId="26E27E14" w14:textId="66E3CB4F" w:rsidR="003C2808" w:rsidRPr="0002356C" w:rsidRDefault="00A374A8" w:rsidP="001972DE">
      <w:pPr>
        <w:pStyle w:val="ListParagraph"/>
        <w:numPr>
          <w:ilvl w:val="0"/>
          <w:numId w:val="36"/>
        </w:numPr>
        <w:ind w:left="714" w:hanging="357"/>
        <w:contextualSpacing w:val="0"/>
        <w:jc w:val="both"/>
        <w:rPr>
          <w:rFonts w:asciiTheme="majorHAnsi" w:hAnsiTheme="majorHAnsi" w:cstheme="minorHAnsi"/>
          <w:sz w:val="24"/>
          <w:szCs w:val="24"/>
        </w:rPr>
      </w:pPr>
      <w:r w:rsidRPr="00A374A8">
        <w:rPr>
          <w:rFonts w:asciiTheme="majorHAnsi" w:hAnsiTheme="majorHAnsi" w:cstheme="minorHAnsi"/>
          <w:sz w:val="24"/>
          <w:szCs w:val="24"/>
        </w:rPr>
        <w:t>KYC Flagging and Validation – Mobile and Email verification within the billing system.</w:t>
      </w:r>
    </w:p>
    <w:p w14:paraId="07DE6346" w14:textId="0BE3F355" w:rsidR="003C2808" w:rsidRPr="0002356C" w:rsidRDefault="00C94769" w:rsidP="001972DE">
      <w:pPr>
        <w:pStyle w:val="ListParagraph"/>
        <w:numPr>
          <w:ilvl w:val="0"/>
          <w:numId w:val="36"/>
        </w:numPr>
        <w:ind w:left="714" w:hanging="357"/>
        <w:contextualSpacing w:val="0"/>
        <w:jc w:val="both"/>
        <w:rPr>
          <w:rFonts w:asciiTheme="majorHAnsi" w:hAnsiTheme="majorHAnsi" w:cstheme="minorHAnsi"/>
          <w:sz w:val="24"/>
          <w:szCs w:val="24"/>
        </w:rPr>
      </w:pPr>
      <w:r w:rsidRPr="00C94769">
        <w:rPr>
          <w:rFonts w:asciiTheme="majorHAnsi" w:hAnsiTheme="majorHAnsi" w:cstheme="minorHAnsi"/>
          <w:sz w:val="24"/>
          <w:szCs w:val="24"/>
        </w:rPr>
        <w:t>WhatsApp-based KYC Updates – Enabling consumers to update mobile numbers and email IDs conveniently</w:t>
      </w:r>
      <w:r w:rsidR="003C2808" w:rsidRPr="0002356C">
        <w:rPr>
          <w:rFonts w:asciiTheme="majorHAnsi" w:hAnsiTheme="majorHAnsi" w:cstheme="minorHAnsi"/>
          <w:sz w:val="24"/>
          <w:szCs w:val="24"/>
        </w:rPr>
        <w:t>.</w:t>
      </w:r>
    </w:p>
    <w:p w14:paraId="7993237B" w14:textId="7AF3E8F9" w:rsidR="003C2808" w:rsidRPr="0002356C" w:rsidRDefault="003C2808" w:rsidP="003C2808">
      <w:pPr>
        <w:spacing w:line="360" w:lineRule="auto"/>
        <w:jc w:val="both"/>
        <w:rPr>
          <w:rFonts w:asciiTheme="majorHAnsi" w:hAnsiTheme="majorHAnsi" w:cstheme="minorHAnsi"/>
          <w:b/>
          <w:bCs/>
          <w:u w:val="single"/>
        </w:rPr>
      </w:pPr>
      <w:r w:rsidRPr="0002356C">
        <w:rPr>
          <w:rFonts w:asciiTheme="majorHAnsi" w:hAnsiTheme="majorHAnsi" w:cstheme="minorHAnsi"/>
          <w:b/>
          <w:bCs/>
          <w:u w:val="single"/>
        </w:rPr>
        <w:t>Pay n Win Scheme for Regular Payee Consumers</w:t>
      </w:r>
      <w:r w:rsidR="00C06558">
        <w:rPr>
          <w:rFonts w:asciiTheme="majorHAnsi" w:hAnsiTheme="majorHAnsi" w:cstheme="minorHAnsi"/>
          <w:b/>
          <w:bCs/>
          <w:u w:val="single"/>
        </w:rPr>
        <w:t>:</w:t>
      </w:r>
    </w:p>
    <w:p w14:paraId="0B01198F" w14:textId="6CB22B1C" w:rsidR="001D2094" w:rsidRPr="00764137" w:rsidRDefault="001D2094" w:rsidP="00764137">
      <w:pPr>
        <w:spacing w:after="120" w:line="360" w:lineRule="auto"/>
        <w:jc w:val="both"/>
        <w:rPr>
          <w:rFonts w:asciiTheme="majorHAnsi" w:eastAsia="Calibri" w:hAnsiTheme="majorHAnsi" w:cstheme="minorHAnsi"/>
        </w:rPr>
      </w:pPr>
      <w:r w:rsidRPr="00764137">
        <w:rPr>
          <w:rFonts w:asciiTheme="majorHAnsi" w:eastAsia="Calibri" w:hAnsiTheme="majorHAnsi" w:cstheme="minorHAnsi"/>
        </w:rPr>
        <w:t>To promote regular and digital payments, the “Pay ‘n’ Win” scheme recognizes consumers who maintain zero arrears.</w:t>
      </w:r>
      <w:r w:rsidR="00180E66" w:rsidRPr="00764137">
        <w:rPr>
          <w:rFonts w:asciiTheme="majorHAnsi" w:eastAsia="Calibri" w:hAnsiTheme="majorHAnsi" w:cstheme="minorHAnsi"/>
        </w:rPr>
        <w:t xml:space="preserve"> </w:t>
      </w:r>
      <w:r w:rsidR="00180E66" w:rsidRPr="0002356C">
        <w:rPr>
          <w:rFonts w:asciiTheme="majorHAnsi" w:eastAsia="Calibri" w:hAnsiTheme="majorHAnsi" w:cstheme="minorHAnsi"/>
        </w:rPr>
        <w:t>To encourage consumers to pay their electricity bills timely Pay n Win Scheme identifies consumers with no arrears in residential and agricultural categories, every month sub division wise 3 consumers would be identified and rewarded with gifts like Mobile phone, Sa</w:t>
      </w:r>
      <w:r w:rsidR="00180E66">
        <w:rPr>
          <w:rFonts w:asciiTheme="majorHAnsi" w:eastAsia="Calibri" w:hAnsiTheme="majorHAnsi" w:cstheme="minorHAnsi"/>
        </w:rPr>
        <w:t>-</w:t>
      </w:r>
      <w:r w:rsidR="00180E66" w:rsidRPr="0002356C">
        <w:rPr>
          <w:rFonts w:asciiTheme="majorHAnsi" w:eastAsia="Calibri" w:hAnsiTheme="majorHAnsi" w:cstheme="minorHAnsi"/>
        </w:rPr>
        <w:t>re</w:t>
      </w:r>
      <w:r w:rsidR="00180E66">
        <w:rPr>
          <w:rFonts w:asciiTheme="majorHAnsi" w:eastAsia="Calibri" w:hAnsiTheme="majorHAnsi" w:cstheme="minorHAnsi"/>
        </w:rPr>
        <w:t>-</w:t>
      </w:r>
      <w:proofErr w:type="spellStart"/>
      <w:r w:rsidR="00180E66" w:rsidRPr="0002356C">
        <w:rPr>
          <w:rFonts w:asciiTheme="majorHAnsi" w:eastAsia="Calibri" w:hAnsiTheme="majorHAnsi" w:cstheme="minorHAnsi"/>
        </w:rPr>
        <w:t>ga</w:t>
      </w:r>
      <w:proofErr w:type="spellEnd"/>
      <w:r w:rsidR="00180E66">
        <w:rPr>
          <w:rFonts w:asciiTheme="majorHAnsi" w:eastAsia="Calibri" w:hAnsiTheme="majorHAnsi" w:cstheme="minorHAnsi"/>
        </w:rPr>
        <w:t>-</w:t>
      </w:r>
      <w:r w:rsidR="00180E66" w:rsidRPr="0002356C">
        <w:rPr>
          <w:rFonts w:asciiTheme="majorHAnsi" w:eastAsia="Calibri" w:hAnsiTheme="majorHAnsi" w:cstheme="minorHAnsi"/>
        </w:rPr>
        <w:t>ma Car</w:t>
      </w:r>
      <w:r w:rsidR="00180E66">
        <w:rPr>
          <w:rFonts w:asciiTheme="majorHAnsi" w:eastAsia="Calibri" w:hAnsiTheme="majorHAnsi" w:cstheme="minorHAnsi"/>
        </w:rPr>
        <w:t>a</w:t>
      </w:r>
      <w:r w:rsidR="00180E66" w:rsidRPr="0002356C">
        <w:rPr>
          <w:rFonts w:asciiTheme="majorHAnsi" w:eastAsia="Calibri" w:hAnsiTheme="majorHAnsi" w:cstheme="minorHAnsi"/>
        </w:rPr>
        <w:t>van &amp; Solar Lamp.</w:t>
      </w:r>
    </w:p>
    <w:p w14:paraId="46BC0E9F" w14:textId="51850B0C" w:rsidR="00C06558" w:rsidRDefault="001629FE" w:rsidP="003C2808">
      <w:pPr>
        <w:spacing w:line="360" w:lineRule="auto"/>
        <w:jc w:val="both"/>
        <w:rPr>
          <w:rFonts w:asciiTheme="majorHAnsi" w:hAnsiTheme="majorHAnsi" w:cstheme="minorHAnsi"/>
          <w:b/>
          <w:bCs/>
          <w:u w:val="single"/>
        </w:rPr>
      </w:pPr>
      <w:r w:rsidRPr="00923A86">
        <w:rPr>
          <w:rFonts w:asciiTheme="majorHAnsi" w:hAnsiTheme="majorHAnsi" w:cstheme="minorHAnsi"/>
          <w:b/>
          <w:bCs/>
          <w:u w:val="single"/>
        </w:rPr>
        <w:t xml:space="preserve">Customer Care Centre (Upcoming Services in FY </w:t>
      </w:r>
      <w:r>
        <w:rPr>
          <w:rFonts w:asciiTheme="majorHAnsi" w:hAnsiTheme="majorHAnsi" w:cstheme="minorHAnsi"/>
          <w:b/>
          <w:bCs/>
          <w:u w:val="single"/>
        </w:rPr>
        <w:t>26-27</w:t>
      </w:r>
      <w:r w:rsidRPr="00923A86">
        <w:rPr>
          <w:rFonts w:asciiTheme="majorHAnsi" w:hAnsiTheme="majorHAnsi" w:cstheme="minorHAnsi"/>
          <w:b/>
          <w:bCs/>
          <w:u w:val="single"/>
        </w:rPr>
        <w:t>)</w:t>
      </w:r>
      <w:r>
        <w:rPr>
          <w:rFonts w:asciiTheme="majorHAnsi" w:hAnsiTheme="majorHAnsi" w:cstheme="minorHAnsi"/>
          <w:b/>
          <w:bCs/>
          <w:u w:val="single"/>
        </w:rPr>
        <w:t>:</w:t>
      </w:r>
    </w:p>
    <w:p w14:paraId="23EE72D8" w14:textId="77777777" w:rsidR="00042BEB" w:rsidRPr="007E2CC3" w:rsidRDefault="00042BEB" w:rsidP="00056389">
      <w:pPr>
        <w:numPr>
          <w:ilvl w:val="0"/>
          <w:numId w:val="52"/>
        </w:numPr>
        <w:spacing w:after="160" w:line="278" w:lineRule="auto"/>
        <w:jc w:val="both"/>
        <w:rPr>
          <w:rFonts w:asciiTheme="majorHAnsi" w:hAnsiTheme="majorHAnsi"/>
        </w:rPr>
      </w:pPr>
      <w:r w:rsidRPr="007E2CC3">
        <w:rPr>
          <w:rFonts w:asciiTheme="majorHAnsi" w:hAnsiTheme="majorHAnsi"/>
        </w:rPr>
        <w:t xml:space="preserve">15 Customer Care </w:t>
      </w:r>
      <w:proofErr w:type="spellStart"/>
      <w:r w:rsidRPr="007E2CC3">
        <w:rPr>
          <w:rFonts w:asciiTheme="majorHAnsi" w:hAnsiTheme="majorHAnsi"/>
        </w:rPr>
        <w:t>Centres</w:t>
      </w:r>
      <w:proofErr w:type="spellEnd"/>
      <w:r w:rsidRPr="007E2CC3">
        <w:rPr>
          <w:rFonts w:asciiTheme="majorHAnsi" w:hAnsiTheme="majorHAnsi"/>
        </w:rPr>
        <w:t xml:space="preserve"> operating all 7 days, including Sundays.</w:t>
      </w:r>
    </w:p>
    <w:p w14:paraId="0DB89174" w14:textId="77777777" w:rsidR="00042BEB" w:rsidRPr="007E2CC3" w:rsidRDefault="00042BEB" w:rsidP="00056389">
      <w:pPr>
        <w:numPr>
          <w:ilvl w:val="0"/>
          <w:numId w:val="52"/>
        </w:numPr>
        <w:spacing w:after="160" w:line="278" w:lineRule="auto"/>
        <w:jc w:val="both"/>
        <w:rPr>
          <w:rFonts w:asciiTheme="majorHAnsi" w:hAnsiTheme="majorHAnsi"/>
        </w:rPr>
      </w:pPr>
      <w:r w:rsidRPr="007E2CC3">
        <w:rPr>
          <w:rFonts w:asciiTheme="majorHAnsi" w:hAnsiTheme="majorHAnsi"/>
        </w:rPr>
        <w:t xml:space="preserve">4 All-Women </w:t>
      </w:r>
      <w:proofErr w:type="spellStart"/>
      <w:r w:rsidRPr="007E2CC3">
        <w:rPr>
          <w:rFonts w:asciiTheme="majorHAnsi" w:hAnsiTheme="majorHAnsi"/>
        </w:rPr>
        <w:t>Centres</w:t>
      </w:r>
      <w:proofErr w:type="spellEnd"/>
      <w:r w:rsidRPr="007E2CC3">
        <w:rPr>
          <w:rFonts w:asciiTheme="majorHAnsi" w:hAnsiTheme="majorHAnsi"/>
        </w:rPr>
        <w:t xml:space="preserve"> – Empowering women in customer service roles.</w:t>
      </w:r>
    </w:p>
    <w:p w14:paraId="7CB0BF77" w14:textId="5F3E3F13" w:rsidR="00042BEB" w:rsidRPr="007E2CC3" w:rsidRDefault="00042BEB" w:rsidP="00056389">
      <w:pPr>
        <w:numPr>
          <w:ilvl w:val="0"/>
          <w:numId w:val="52"/>
        </w:numPr>
        <w:spacing w:after="160" w:line="278" w:lineRule="auto"/>
        <w:jc w:val="both"/>
        <w:rPr>
          <w:rFonts w:asciiTheme="majorHAnsi" w:hAnsiTheme="majorHAnsi"/>
        </w:rPr>
      </w:pPr>
      <w:r w:rsidRPr="007E2CC3">
        <w:rPr>
          <w:rFonts w:asciiTheme="majorHAnsi" w:hAnsiTheme="majorHAnsi"/>
        </w:rPr>
        <w:t xml:space="preserve">1 </w:t>
      </w:r>
      <w:proofErr w:type="spellStart"/>
      <w:r w:rsidRPr="007E2CC3">
        <w:rPr>
          <w:rFonts w:asciiTheme="majorHAnsi" w:hAnsiTheme="majorHAnsi"/>
        </w:rPr>
        <w:t>Divyang</w:t>
      </w:r>
      <w:proofErr w:type="spellEnd"/>
      <w:r w:rsidRPr="007E2CC3">
        <w:rPr>
          <w:rFonts w:asciiTheme="majorHAnsi" w:hAnsiTheme="majorHAnsi"/>
        </w:rPr>
        <w:t xml:space="preserve"> Centre – Operated by staff with </w:t>
      </w:r>
      <w:r w:rsidR="00DE77AC">
        <w:rPr>
          <w:rFonts w:asciiTheme="majorHAnsi" w:hAnsiTheme="majorHAnsi"/>
        </w:rPr>
        <w:t>physical</w:t>
      </w:r>
      <w:r w:rsidRPr="007E2CC3">
        <w:rPr>
          <w:rFonts w:asciiTheme="majorHAnsi" w:hAnsiTheme="majorHAnsi"/>
        </w:rPr>
        <w:t xml:space="preserve"> disabilities.</w:t>
      </w:r>
    </w:p>
    <w:p w14:paraId="23AE3E81" w14:textId="77777777" w:rsidR="00042BEB" w:rsidRPr="007E2CC3" w:rsidRDefault="00042BEB" w:rsidP="00056389">
      <w:pPr>
        <w:numPr>
          <w:ilvl w:val="0"/>
          <w:numId w:val="52"/>
        </w:numPr>
        <w:spacing w:after="160" w:line="278" w:lineRule="auto"/>
        <w:jc w:val="both"/>
        <w:rPr>
          <w:rFonts w:asciiTheme="majorHAnsi" w:hAnsiTheme="majorHAnsi"/>
        </w:rPr>
      </w:pPr>
      <w:r w:rsidRPr="007E2CC3">
        <w:rPr>
          <w:rFonts w:asciiTheme="majorHAnsi" w:hAnsiTheme="majorHAnsi"/>
        </w:rPr>
        <w:t>Third-Party Customer Satisfaction Surveys for continuous service improvement.</w:t>
      </w:r>
    </w:p>
    <w:p w14:paraId="6EA0A185" w14:textId="77777777" w:rsidR="00042BEB" w:rsidRPr="007E2CC3" w:rsidRDefault="00042BEB" w:rsidP="00056389">
      <w:pPr>
        <w:numPr>
          <w:ilvl w:val="0"/>
          <w:numId w:val="52"/>
        </w:numPr>
        <w:spacing w:after="160" w:line="278" w:lineRule="auto"/>
        <w:jc w:val="both"/>
        <w:rPr>
          <w:rFonts w:asciiTheme="majorHAnsi" w:hAnsiTheme="majorHAnsi"/>
        </w:rPr>
      </w:pPr>
      <w:proofErr w:type="spellStart"/>
      <w:r w:rsidRPr="007E2CC3">
        <w:rPr>
          <w:rFonts w:asciiTheme="majorHAnsi" w:hAnsiTheme="majorHAnsi"/>
        </w:rPr>
        <w:t>Maitri</w:t>
      </w:r>
      <w:proofErr w:type="spellEnd"/>
      <w:r w:rsidRPr="007E2CC3">
        <w:rPr>
          <w:rFonts w:asciiTheme="majorHAnsi" w:hAnsiTheme="majorHAnsi"/>
        </w:rPr>
        <w:t xml:space="preserve"> – A Digital Bonding Campaign: Promoting digital awareness and KYC updates through on-ground camps.</w:t>
      </w:r>
    </w:p>
    <w:p w14:paraId="2361502C" w14:textId="77777777" w:rsidR="00042BEB" w:rsidRPr="007E2CC3" w:rsidRDefault="00042BEB" w:rsidP="00056389">
      <w:pPr>
        <w:numPr>
          <w:ilvl w:val="0"/>
          <w:numId w:val="52"/>
        </w:numPr>
        <w:spacing w:after="160" w:line="278" w:lineRule="auto"/>
        <w:jc w:val="both"/>
        <w:rPr>
          <w:rFonts w:asciiTheme="majorHAnsi" w:hAnsiTheme="majorHAnsi"/>
        </w:rPr>
      </w:pPr>
      <w:r w:rsidRPr="007E2CC3">
        <w:rPr>
          <w:rFonts w:asciiTheme="majorHAnsi" w:hAnsiTheme="majorHAnsi"/>
        </w:rPr>
        <w:t>KYC Validation via outbound calling.</w:t>
      </w:r>
    </w:p>
    <w:p w14:paraId="674D6E57" w14:textId="77777777" w:rsidR="00042BEB" w:rsidRPr="007E2CC3" w:rsidRDefault="00042BEB" w:rsidP="00056389">
      <w:pPr>
        <w:numPr>
          <w:ilvl w:val="0"/>
          <w:numId w:val="52"/>
        </w:numPr>
        <w:spacing w:after="160" w:line="278" w:lineRule="auto"/>
        <w:jc w:val="both"/>
        <w:rPr>
          <w:rFonts w:asciiTheme="majorHAnsi" w:hAnsiTheme="majorHAnsi"/>
        </w:rPr>
      </w:pPr>
      <w:r w:rsidRPr="007E2CC3">
        <w:rPr>
          <w:rFonts w:asciiTheme="majorHAnsi" w:hAnsiTheme="majorHAnsi"/>
        </w:rPr>
        <w:t xml:space="preserve">E-DARPAN Feedback System: Capturing post-interaction feedback at </w:t>
      </w:r>
      <w:proofErr w:type="spellStart"/>
      <w:r w:rsidRPr="007E2CC3">
        <w:rPr>
          <w:rFonts w:asciiTheme="majorHAnsi" w:hAnsiTheme="majorHAnsi"/>
        </w:rPr>
        <w:t>Centres</w:t>
      </w:r>
      <w:proofErr w:type="spellEnd"/>
      <w:r w:rsidRPr="007E2CC3">
        <w:rPr>
          <w:rFonts w:asciiTheme="majorHAnsi" w:hAnsiTheme="majorHAnsi"/>
        </w:rPr>
        <w:t>.</w:t>
      </w:r>
    </w:p>
    <w:p w14:paraId="208EEEF3" w14:textId="77777777" w:rsidR="00042BEB" w:rsidRPr="007E2CC3" w:rsidRDefault="00042BEB" w:rsidP="00056389">
      <w:pPr>
        <w:numPr>
          <w:ilvl w:val="0"/>
          <w:numId w:val="52"/>
        </w:numPr>
        <w:spacing w:after="160" w:line="278" w:lineRule="auto"/>
        <w:jc w:val="both"/>
        <w:rPr>
          <w:rFonts w:asciiTheme="majorHAnsi" w:hAnsiTheme="majorHAnsi"/>
        </w:rPr>
      </w:pPr>
      <w:r w:rsidRPr="007E2CC3">
        <w:rPr>
          <w:rFonts w:asciiTheme="majorHAnsi" w:hAnsiTheme="majorHAnsi"/>
        </w:rPr>
        <w:t>CSC Centre Collaboration: Promoting digital payment and service awareness.</w:t>
      </w:r>
    </w:p>
    <w:p w14:paraId="2671B6F9" w14:textId="77777777" w:rsidR="00042BEB" w:rsidRPr="007E2CC3" w:rsidRDefault="00042BEB" w:rsidP="00056389">
      <w:pPr>
        <w:numPr>
          <w:ilvl w:val="0"/>
          <w:numId w:val="52"/>
        </w:numPr>
        <w:spacing w:after="160" w:line="278" w:lineRule="auto"/>
        <w:jc w:val="both"/>
        <w:rPr>
          <w:rFonts w:asciiTheme="majorHAnsi" w:hAnsiTheme="majorHAnsi"/>
        </w:rPr>
      </w:pPr>
      <w:r w:rsidRPr="007E2CC3">
        <w:rPr>
          <w:rFonts w:asciiTheme="majorHAnsi" w:hAnsiTheme="majorHAnsi"/>
        </w:rPr>
        <w:t xml:space="preserve">CCTV Surveillance across all </w:t>
      </w:r>
      <w:proofErr w:type="spellStart"/>
      <w:r w:rsidRPr="007E2CC3">
        <w:rPr>
          <w:rFonts w:asciiTheme="majorHAnsi" w:hAnsiTheme="majorHAnsi"/>
        </w:rPr>
        <w:t>centres</w:t>
      </w:r>
      <w:proofErr w:type="spellEnd"/>
      <w:r w:rsidRPr="007E2CC3">
        <w:rPr>
          <w:rFonts w:asciiTheme="majorHAnsi" w:hAnsiTheme="majorHAnsi"/>
        </w:rPr>
        <w:t xml:space="preserve"> for security.</w:t>
      </w:r>
    </w:p>
    <w:p w14:paraId="73852800" w14:textId="77777777" w:rsidR="00042BEB" w:rsidRPr="007D2A48" w:rsidRDefault="00042BEB" w:rsidP="00056389">
      <w:pPr>
        <w:numPr>
          <w:ilvl w:val="0"/>
          <w:numId w:val="52"/>
        </w:numPr>
        <w:spacing w:after="160" w:line="278" w:lineRule="auto"/>
        <w:jc w:val="both"/>
        <w:rPr>
          <w:rFonts w:asciiTheme="minorHAnsi" w:hAnsiTheme="minorHAnsi"/>
          <w:sz w:val="20"/>
          <w:szCs w:val="20"/>
        </w:rPr>
      </w:pPr>
      <w:r w:rsidRPr="007E2CC3">
        <w:rPr>
          <w:rFonts w:asciiTheme="majorHAnsi" w:hAnsiTheme="majorHAnsi"/>
        </w:rPr>
        <w:t>Virtual Customer Service Support: Remote issue resolution through departmental SPOCs.</w:t>
      </w:r>
    </w:p>
    <w:p w14:paraId="779CBE96" w14:textId="202BFAC2" w:rsidR="003C2808" w:rsidRPr="00923A86" w:rsidRDefault="00383C71" w:rsidP="003C2808">
      <w:pPr>
        <w:spacing w:line="360" w:lineRule="auto"/>
        <w:jc w:val="both"/>
        <w:rPr>
          <w:rFonts w:asciiTheme="majorHAnsi" w:hAnsiTheme="majorHAnsi" w:cstheme="minorHAnsi"/>
          <w:b/>
          <w:bCs/>
          <w:u w:val="single"/>
        </w:rPr>
      </w:pPr>
      <w:r w:rsidRPr="00383C71">
        <w:rPr>
          <w:rFonts w:asciiTheme="majorHAnsi" w:hAnsiTheme="majorHAnsi" w:cstheme="minorHAnsi"/>
          <w:b/>
          <w:bCs/>
          <w:u w:val="single"/>
        </w:rPr>
        <w:t>Social Media Engagement (FY 2</w:t>
      </w:r>
      <w:r w:rsidR="009729CF">
        <w:rPr>
          <w:rFonts w:asciiTheme="majorHAnsi" w:hAnsiTheme="majorHAnsi" w:cstheme="minorHAnsi"/>
          <w:b/>
          <w:bCs/>
          <w:u w:val="single"/>
        </w:rPr>
        <w:t>6</w:t>
      </w:r>
      <w:r w:rsidRPr="00383C71">
        <w:rPr>
          <w:rFonts w:asciiTheme="majorHAnsi" w:hAnsiTheme="majorHAnsi" w:cstheme="minorHAnsi"/>
          <w:b/>
          <w:bCs/>
          <w:u w:val="single"/>
        </w:rPr>
        <w:t>–2</w:t>
      </w:r>
      <w:r w:rsidR="009729CF">
        <w:rPr>
          <w:rFonts w:asciiTheme="majorHAnsi" w:hAnsiTheme="majorHAnsi" w:cstheme="minorHAnsi"/>
          <w:b/>
          <w:bCs/>
          <w:u w:val="single"/>
        </w:rPr>
        <w:t>7</w:t>
      </w:r>
      <w:r w:rsidRPr="00383C71">
        <w:rPr>
          <w:rFonts w:asciiTheme="majorHAnsi" w:hAnsiTheme="majorHAnsi" w:cstheme="minorHAnsi"/>
          <w:b/>
          <w:bCs/>
          <w:u w:val="single"/>
        </w:rPr>
        <w:t>)</w:t>
      </w:r>
    </w:p>
    <w:p w14:paraId="21DFF4E7" w14:textId="77777777" w:rsidR="00944AA5" w:rsidRDefault="00B518F2" w:rsidP="00056389">
      <w:pPr>
        <w:numPr>
          <w:ilvl w:val="0"/>
          <w:numId w:val="53"/>
        </w:numPr>
        <w:spacing w:after="160" w:line="278" w:lineRule="auto"/>
        <w:jc w:val="both"/>
        <w:rPr>
          <w:rFonts w:asciiTheme="majorHAnsi" w:hAnsiTheme="majorHAnsi"/>
        </w:rPr>
      </w:pPr>
      <w:r w:rsidRPr="00B518F2">
        <w:rPr>
          <w:rFonts w:asciiTheme="majorHAnsi" w:hAnsiTheme="majorHAnsi"/>
        </w:rPr>
        <w:t>Social CRM System for efficient complaint tracking and faster resolution.</w:t>
      </w:r>
    </w:p>
    <w:p w14:paraId="1E34214D" w14:textId="38AEB845" w:rsidR="00B518F2" w:rsidRDefault="00B518F2" w:rsidP="00056389">
      <w:pPr>
        <w:numPr>
          <w:ilvl w:val="0"/>
          <w:numId w:val="53"/>
        </w:numPr>
        <w:spacing w:after="160" w:line="278" w:lineRule="auto"/>
        <w:jc w:val="both"/>
        <w:rPr>
          <w:rFonts w:asciiTheme="majorHAnsi" w:hAnsiTheme="majorHAnsi"/>
        </w:rPr>
      </w:pPr>
      <w:r w:rsidRPr="00944AA5">
        <w:rPr>
          <w:rFonts w:asciiTheme="majorHAnsi" w:hAnsiTheme="majorHAnsi"/>
        </w:rPr>
        <w:t>Real-Time Outage &amp; Storm Updates to enhance transparency and consumer trust.</w:t>
      </w:r>
    </w:p>
    <w:p w14:paraId="67439B25" w14:textId="0C495717" w:rsidR="000E7F4B" w:rsidRPr="00C650D5" w:rsidRDefault="00C650D5" w:rsidP="000E7F4B">
      <w:pPr>
        <w:spacing w:after="160" w:line="278" w:lineRule="auto"/>
        <w:jc w:val="both"/>
        <w:rPr>
          <w:rFonts w:asciiTheme="majorHAnsi" w:hAnsiTheme="majorHAnsi"/>
          <w:b/>
          <w:bCs/>
          <w:u w:val="single"/>
        </w:rPr>
      </w:pPr>
      <w:r>
        <w:rPr>
          <w:rFonts w:asciiTheme="majorHAnsi" w:hAnsiTheme="majorHAnsi"/>
          <w:b/>
          <w:bCs/>
          <w:u w:val="single"/>
        </w:rPr>
        <w:t xml:space="preserve">Initiatives </w:t>
      </w:r>
      <w:r w:rsidR="00CB2E37">
        <w:rPr>
          <w:rFonts w:asciiTheme="majorHAnsi" w:hAnsiTheme="majorHAnsi"/>
          <w:b/>
          <w:bCs/>
          <w:u w:val="single"/>
        </w:rPr>
        <w:t xml:space="preserve">towards </w:t>
      </w:r>
      <w:r w:rsidR="000E7F4B" w:rsidRPr="00C650D5">
        <w:rPr>
          <w:rFonts w:asciiTheme="majorHAnsi" w:hAnsiTheme="majorHAnsi"/>
          <w:b/>
          <w:bCs/>
          <w:u w:val="single"/>
        </w:rPr>
        <w:t>Consumer Awareness Campaigns through Social &amp; Print Media</w:t>
      </w:r>
    </w:p>
    <w:p w14:paraId="20ECF157" w14:textId="03ACAA7A" w:rsidR="00EE0261" w:rsidRPr="00806C7E" w:rsidRDefault="00EE0261" w:rsidP="009729CF">
      <w:pPr>
        <w:pStyle w:val="ListParagraph"/>
        <w:numPr>
          <w:ilvl w:val="0"/>
          <w:numId w:val="89"/>
        </w:numPr>
        <w:jc w:val="both"/>
        <w:rPr>
          <w:rFonts w:asciiTheme="majorHAnsi" w:hAnsiTheme="majorHAnsi"/>
          <w:b/>
          <w:bCs/>
          <w:sz w:val="24"/>
        </w:rPr>
      </w:pPr>
      <w:r w:rsidRPr="00806C7E">
        <w:rPr>
          <w:rFonts w:asciiTheme="majorHAnsi" w:hAnsiTheme="majorHAnsi"/>
          <w:b/>
          <w:bCs/>
          <w:sz w:val="24"/>
        </w:rPr>
        <w:t>Consumer Awareness &amp; Education</w:t>
      </w:r>
    </w:p>
    <w:p w14:paraId="6E3F0B98" w14:textId="77777777" w:rsidR="009729CF" w:rsidRPr="009729CF" w:rsidRDefault="009729CF" w:rsidP="009729CF">
      <w:pPr>
        <w:pStyle w:val="ListParagraph"/>
        <w:jc w:val="both"/>
        <w:rPr>
          <w:rFonts w:asciiTheme="majorHAnsi" w:hAnsiTheme="majorHAnsi"/>
          <w:b/>
          <w:bCs/>
          <w:sz w:val="2"/>
        </w:rPr>
      </w:pPr>
    </w:p>
    <w:p w14:paraId="3CF353E6" w14:textId="77777777" w:rsidR="00EE0261" w:rsidRPr="00EE0261" w:rsidRDefault="00EE0261" w:rsidP="00056389">
      <w:pPr>
        <w:numPr>
          <w:ilvl w:val="0"/>
          <w:numId w:val="54"/>
        </w:numPr>
        <w:spacing w:after="160" w:line="278" w:lineRule="auto"/>
        <w:jc w:val="both"/>
        <w:rPr>
          <w:rFonts w:asciiTheme="majorHAnsi" w:hAnsiTheme="majorHAnsi"/>
        </w:rPr>
      </w:pPr>
      <w:r w:rsidRPr="00EE0261">
        <w:rPr>
          <w:rFonts w:asciiTheme="majorHAnsi" w:hAnsiTheme="majorHAnsi"/>
        </w:rPr>
        <w:t>Digital Service Awareness: Promoting TPWODL’s online and app-based services such as bill payment, complaint registration, and new connection applications.</w:t>
      </w:r>
    </w:p>
    <w:p w14:paraId="5DE6685C" w14:textId="77777777" w:rsidR="00EE0261" w:rsidRPr="00EE0261" w:rsidRDefault="00EE0261" w:rsidP="00056389">
      <w:pPr>
        <w:numPr>
          <w:ilvl w:val="0"/>
          <w:numId w:val="54"/>
        </w:numPr>
        <w:spacing w:after="160" w:line="278" w:lineRule="auto"/>
        <w:jc w:val="both"/>
        <w:rPr>
          <w:rFonts w:asciiTheme="majorHAnsi" w:hAnsiTheme="majorHAnsi"/>
        </w:rPr>
      </w:pPr>
      <w:r w:rsidRPr="00EE0261">
        <w:rPr>
          <w:rFonts w:asciiTheme="majorHAnsi" w:hAnsiTheme="majorHAnsi"/>
        </w:rPr>
        <w:t>Energy Conservation Tips: Sharing practical advice on saving electricity and promoting efficient energy usage.</w:t>
      </w:r>
    </w:p>
    <w:p w14:paraId="6B3E6809" w14:textId="77777777" w:rsidR="00EE0261" w:rsidRPr="00EE0261" w:rsidRDefault="00EE0261" w:rsidP="00056389">
      <w:pPr>
        <w:numPr>
          <w:ilvl w:val="0"/>
          <w:numId w:val="54"/>
        </w:numPr>
        <w:spacing w:after="160" w:line="278" w:lineRule="auto"/>
        <w:jc w:val="both"/>
        <w:rPr>
          <w:rFonts w:asciiTheme="majorHAnsi" w:hAnsiTheme="majorHAnsi"/>
        </w:rPr>
      </w:pPr>
      <w:r w:rsidRPr="00EE0261">
        <w:rPr>
          <w:rFonts w:asciiTheme="majorHAnsi" w:hAnsiTheme="majorHAnsi"/>
        </w:rPr>
        <w:t>Electrical Safety Campaigns: Regular posts on safe electricity practices, especially during monsoon and festival seasons.</w:t>
      </w:r>
    </w:p>
    <w:p w14:paraId="542A2092" w14:textId="77777777" w:rsidR="00EE0261" w:rsidRPr="00EE0261" w:rsidRDefault="00EE0261" w:rsidP="00EE0261">
      <w:pPr>
        <w:jc w:val="both"/>
        <w:rPr>
          <w:rFonts w:asciiTheme="majorHAnsi" w:hAnsiTheme="majorHAnsi"/>
          <w:b/>
          <w:bCs/>
        </w:rPr>
      </w:pPr>
    </w:p>
    <w:p w14:paraId="6F307241" w14:textId="4B01E1A8" w:rsidR="00EE0261" w:rsidRPr="00806C7E" w:rsidRDefault="00EE0261" w:rsidP="009729CF">
      <w:pPr>
        <w:pStyle w:val="ListParagraph"/>
        <w:numPr>
          <w:ilvl w:val="0"/>
          <w:numId w:val="89"/>
        </w:numPr>
        <w:jc w:val="both"/>
        <w:rPr>
          <w:rFonts w:asciiTheme="majorHAnsi" w:hAnsiTheme="majorHAnsi"/>
          <w:b/>
          <w:bCs/>
          <w:sz w:val="24"/>
        </w:rPr>
      </w:pPr>
      <w:r w:rsidRPr="00806C7E">
        <w:rPr>
          <w:rFonts w:asciiTheme="majorHAnsi" w:hAnsiTheme="majorHAnsi"/>
          <w:b/>
          <w:bCs/>
          <w:sz w:val="24"/>
        </w:rPr>
        <w:t>Customer Engagement &amp; Responsiveness</w:t>
      </w:r>
    </w:p>
    <w:p w14:paraId="7F4D13EA" w14:textId="77777777" w:rsidR="009729CF" w:rsidRPr="009729CF" w:rsidRDefault="009729CF" w:rsidP="009729CF">
      <w:pPr>
        <w:pStyle w:val="ListParagraph"/>
        <w:jc w:val="both"/>
        <w:rPr>
          <w:rFonts w:asciiTheme="majorHAnsi" w:hAnsiTheme="majorHAnsi"/>
          <w:b/>
          <w:bCs/>
          <w:sz w:val="2"/>
        </w:rPr>
      </w:pPr>
    </w:p>
    <w:p w14:paraId="309C1310" w14:textId="77777777" w:rsidR="00EE0261" w:rsidRPr="00EE0261" w:rsidRDefault="00EE0261" w:rsidP="00056389">
      <w:pPr>
        <w:numPr>
          <w:ilvl w:val="0"/>
          <w:numId w:val="55"/>
        </w:numPr>
        <w:spacing w:after="160" w:line="278" w:lineRule="auto"/>
        <w:jc w:val="both"/>
        <w:rPr>
          <w:rFonts w:asciiTheme="majorHAnsi" w:hAnsiTheme="majorHAnsi"/>
        </w:rPr>
      </w:pPr>
      <w:r w:rsidRPr="00EE0261">
        <w:rPr>
          <w:rFonts w:asciiTheme="majorHAnsi" w:hAnsiTheme="majorHAnsi"/>
        </w:rPr>
        <w:t xml:space="preserve">Grievance Redressal Updates: Encouraging consumers to use WhatsApp, call </w:t>
      </w:r>
      <w:proofErr w:type="spellStart"/>
      <w:r w:rsidRPr="00EE0261">
        <w:rPr>
          <w:rFonts w:asciiTheme="majorHAnsi" w:hAnsiTheme="majorHAnsi"/>
        </w:rPr>
        <w:t>centre</w:t>
      </w:r>
      <w:proofErr w:type="spellEnd"/>
      <w:r w:rsidRPr="00EE0261">
        <w:rPr>
          <w:rFonts w:asciiTheme="majorHAnsi" w:hAnsiTheme="majorHAnsi"/>
        </w:rPr>
        <w:t>, and social media platforms for quick complaint resolution.</w:t>
      </w:r>
    </w:p>
    <w:p w14:paraId="6E941291" w14:textId="77777777" w:rsidR="00EE0261" w:rsidRPr="00EE0261" w:rsidRDefault="00EE0261" w:rsidP="00056389">
      <w:pPr>
        <w:numPr>
          <w:ilvl w:val="0"/>
          <w:numId w:val="55"/>
        </w:numPr>
        <w:spacing w:after="160" w:line="278" w:lineRule="auto"/>
        <w:jc w:val="both"/>
        <w:rPr>
          <w:rFonts w:asciiTheme="majorHAnsi" w:hAnsiTheme="majorHAnsi"/>
        </w:rPr>
      </w:pPr>
      <w:r w:rsidRPr="00EE0261">
        <w:rPr>
          <w:rFonts w:asciiTheme="majorHAnsi" w:hAnsiTheme="majorHAnsi"/>
        </w:rPr>
        <w:t>Real-time Responses: Active handling of customer queries and feedback via Facebook, Twitter (X), and Instagram.</w:t>
      </w:r>
    </w:p>
    <w:p w14:paraId="41994900" w14:textId="77777777" w:rsidR="00EE0261" w:rsidRPr="00EE0261" w:rsidRDefault="00EE0261" w:rsidP="00056389">
      <w:pPr>
        <w:numPr>
          <w:ilvl w:val="0"/>
          <w:numId w:val="55"/>
        </w:numPr>
        <w:spacing w:after="160" w:line="278" w:lineRule="auto"/>
        <w:jc w:val="both"/>
        <w:rPr>
          <w:rFonts w:asciiTheme="majorHAnsi" w:hAnsiTheme="majorHAnsi"/>
          <w:b/>
          <w:bCs/>
        </w:rPr>
      </w:pPr>
      <w:r w:rsidRPr="00EE0261">
        <w:rPr>
          <w:rFonts w:asciiTheme="majorHAnsi" w:hAnsiTheme="majorHAnsi"/>
        </w:rPr>
        <w:t>Consumer Testimonials &amp; Success Stories: Highlighting positive customer experiences and service excellence.</w:t>
      </w:r>
    </w:p>
    <w:p w14:paraId="30925673" w14:textId="77777777" w:rsidR="00EE0261" w:rsidRPr="00EE0261" w:rsidRDefault="00EE0261" w:rsidP="00EE0261">
      <w:pPr>
        <w:jc w:val="both"/>
        <w:rPr>
          <w:rFonts w:asciiTheme="majorHAnsi" w:hAnsiTheme="majorHAnsi"/>
          <w:b/>
          <w:bCs/>
        </w:rPr>
      </w:pPr>
    </w:p>
    <w:p w14:paraId="790B3E42" w14:textId="26A9A0BF" w:rsidR="00EE0261" w:rsidRPr="00806C7E" w:rsidRDefault="00EE0261" w:rsidP="009729CF">
      <w:pPr>
        <w:pStyle w:val="ListParagraph"/>
        <w:numPr>
          <w:ilvl w:val="0"/>
          <w:numId w:val="89"/>
        </w:numPr>
        <w:jc w:val="both"/>
        <w:rPr>
          <w:rFonts w:asciiTheme="majorHAnsi" w:hAnsiTheme="majorHAnsi"/>
          <w:b/>
          <w:bCs/>
          <w:sz w:val="24"/>
        </w:rPr>
      </w:pPr>
      <w:r w:rsidRPr="00806C7E">
        <w:rPr>
          <w:rFonts w:asciiTheme="majorHAnsi" w:hAnsiTheme="majorHAnsi"/>
          <w:b/>
          <w:bCs/>
          <w:sz w:val="24"/>
        </w:rPr>
        <w:t>Community &amp; CSR Initiatives</w:t>
      </w:r>
    </w:p>
    <w:p w14:paraId="77E1A5FC" w14:textId="77777777" w:rsidR="009729CF" w:rsidRPr="009729CF" w:rsidRDefault="009729CF" w:rsidP="009729CF">
      <w:pPr>
        <w:pStyle w:val="ListParagraph"/>
        <w:jc w:val="both"/>
        <w:rPr>
          <w:rFonts w:asciiTheme="majorHAnsi" w:hAnsiTheme="majorHAnsi"/>
          <w:b/>
          <w:bCs/>
          <w:sz w:val="2"/>
        </w:rPr>
      </w:pPr>
    </w:p>
    <w:p w14:paraId="3F606AEE" w14:textId="77777777" w:rsidR="00EE0261" w:rsidRPr="00EE0261" w:rsidRDefault="00EE0261" w:rsidP="00056389">
      <w:pPr>
        <w:numPr>
          <w:ilvl w:val="0"/>
          <w:numId w:val="56"/>
        </w:numPr>
        <w:spacing w:after="160" w:line="278" w:lineRule="auto"/>
        <w:jc w:val="both"/>
        <w:rPr>
          <w:rFonts w:asciiTheme="majorHAnsi" w:hAnsiTheme="majorHAnsi"/>
        </w:rPr>
      </w:pPr>
      <w:r w:rsidRPr="00EE0261">
        <w:rPr>
          <w:rFonts w:asciiTheme="majorHAnsi" w:hAnsiTheme="majorHAnsi"/>
        </w:rPr>
        <w:t xml:space="preserve">Rural &amp; Social Outreach: Showcasing community programs like </w:t>
      </w:r>
      <w:proofErr w:type="spellStart"/>
      <w:r w:rsidRPr="00EE0261">
        <w:rPr>
          <w:rFonts w:asciiTheme="majorHAnsi" w:hAnsiTheme="majorHAnsi"/>
          <w:i/>
          <w:iCs/>
        </w:rPr>
        <w:t>Maitri</w:t>
      </w:r>
      <w:proofErr w:type="spellEnd"/>
      <w:r w:rsidRPr="00EE0261">
        <w:rPr>
          <w:rFonts w:asciiTheme="majorHAnsi" w:hAnsiTheme="majorHAnsi"/>
        </w:rPr>
        <w:t xml:space="preserve"> Digital Awareness Camps, electrical safety drives, and women empowerment initiatives.</w:t>
      </w:r>
    </w:p>
    <w:p w14:paraId="70F2F729" w14:textId="77777777" w:rsidR="00EE0261" w:rsidRPr="00EE0261" w:rsidRDefault="00EE0261" w:rsidP="00056389">
      <w:pPr>
        <w:numPr>
          <w:ilvl w:val="0"/>
          <w:numId w:val="56"/>
        </w:numPr>
        <w:spacing w:after="160" w:line="278" w:lineRule="auto"/>
        <w:jc w:val="both"/>
        <w:rPr>
          <w:rFonts w:asciiTheme="majorHAnsi" w:hAnsiTheme="majorHAnsi"/>
        </w:rPr>
      </w:pPr>
      <w:r w:rsidRPr="00EE0261">
        <w:rPr>
          <w:rFonts w:asciiTheme="majorHAnsi" w:hAnsiTheme="majorHAnsi"/>
        </w:rPr>
        <w:t xml:space="preserve">Sustainability &amp; Green Energy: Posts supporting renewable energy initiatives like </w:t>
      </w:r>
      <w:r w:rsidRPr="00EE0261">
        <w:rPr>
          <w:rFonts w:asciiTheme="majorHAnsi" w:hAnsiTheme="majorHAnsi"/>
          <w:i/>
          <w:iCs/>
        </w:rPr>
        <w:t xml:space="preserve">PM Surya </w:t>
      </w:r>
      <w:proofErr w:type="spellStart"/>
      <w:r w:rsidRPr="00EE0261">
        <w:rPr>
          <w:rFonts w:asciiTheme="majorHAnsi" w:hAnsiTheme="majorHAnsi"/>
          <w:i/>
          <w:iCs/>
        </w:rPr>
        <w:t>Ghar</w:t>
      </w:r>
      <w:proofErr w:type="spellEnd"/>
      <w:r w:rsidRPr="00EE0261">
        <w:rPr>
          <w:rFonts w:asciiTheme="majorHAnsi" w:hAnsiTheme="majorHAnsi"/>
          <w:i/>
          <w:iCs/>
        </w:rPr>
        <w:t xml:space="preserve"> </w:t>
      </w:r>
      <w:proofErr w:type="spellStart"/>
      <w:r w:rsidRPr="00EE0261">
        <w:rPr>
          <w:rFonts w:asciiTheme="majorHAnsi" w:hAnsiTheme="majorHAnsi"/>
          <w:i/>
          <w:iCs/>
        </w:rPr>
        <w:t>Muft</w:t>
      </w:r>
      <w:proofErr w:type="spellEnd"/>
      <w:r w:rsidRPr="00EE0261">
        <w:rPr>
          <w:rFonts w:asciiTheme="majorHAnsi" w:hAnsiTheme="majorHAnsi"/>
          <w:i/>
          <w:iCs/>
        </w:rPr>
        <w:t xml:space="preserve"> Bijli Yojana</w:t>
      </w:r>
      <w:r w:rsidRPr="00EE0261">
        <w:rPr>
          <w:rFonts w:asciiTheme="majorHAnsi" w:hAnsiTheme="majorHAnsi"/>
        </w:rPr>
        <w:t xml:space="preserve"> and energy conservation efforts.</w:t>
      </w:r>
    </w:p>
    <w:p w14:paraId="3400E3C5" w14:textId="77777777" w:rsidR="00EE0261" w:rsidRPr="00EE0261" w:rsidRDefault="00EE0261" w:rsidP="00056389">
      <w:pPr>
        <w:numPr>
          <w:ilvl w:val="0"/>
          <w:numId w:val="56"/>
        </w:numPr>
        <w:spacing w:after="160" w:line="278" w:lineRule="auto"/>
        <w:jc w:val="both"/>
        <w:rPr>
          <w:rFonts w:asciiTheme="majorHAnsi" w:hAnsiTheme="majorHAnsi"/>
        </w:rPr>
      </w:pPr>
      <w:r w:rsidRPr="00EE0261">
        <w:rPr>
          <w:rFonts w:asciiTheme="majorHAnsi" w:hAnsiTheme="majorHAnsi"/>
        </w:rPr>
        <w:t xml:space="preserve">Empowerment Stories: Highlighting </w:t>
      </w:r>
      <w:proofErr w:type="spellStart"/>
      <w:r w:rsidRPr="00EE0261">
        <w:rPr>
          <w:rFonts w:asciiTheme="majorHAnsi" w:hAnsiTheme="majorHAnsi"/>
        </w:rPr>
        <w:t>Divyang</w:t>
      </w:r>
      <w:proofErr w:type="spellEnd"/>
      <w:r w:rsidRPr="00EE0261">
        <w:rPr>
          <w:rFonts w:asciiTheme="majorHAnsi" w:hAnsiTheme="majorHAnsi"/>
        </w:rPr>
        <w:t xml:space="preserve"> and Women Customer Care </w:t>
      </w:r>
      <w:proofErr w:type="spellStart"/>
      <w:r w:rsidRPr="00EE0261">
        <w:rPr>
          <w:rFonts w:asciiTheme="majorHAnsi" w:hAnsiTheme="majorHAnsi"/>
        </w:rPr>
        <w:t>Centres</w:t>
      </w:r>
      <w:proofErr w:type="spellEnd"/>
      <w:r w:rsidRPr="00EE0261">
        <w:rPr>
          <w:rFonts w:asciiTheme="majorHAnsi" w:hAnsiTheme="majorHAnsi"/>
        </w:rPr>
        <w:t xml:space="preserve"> as symbols of inclusivity.</w:t>
      </w:r>
    </w:p>
    <w:p w14:paraId="212ECA6B" w14:textId="0AA3AD8E" w:rsidR="00EE0261" w:rsidRPr="00806C7E" w:rsidRDefault="00EE0261" w:rsidP="009729CF">
      <w:pPr>
        <w:pStyle w:val="ListParagraph"/>
        <w:numPr>
          <w:ilvl w:val="0"/>
          <w:numId w:val="89"/>
        </w:numPr>
        <w:jc w:val="both"/>
        <w:rPr>
          <w:rFonts w:asciiTheme="majorHAnsi" w:hAnsiTheme="majorHAnsi"/>
          <w:b/>
          <w:bCs/>
          <w:sz w:val="24"/>
        </w:rPr>
      </w:pPr>
      <w:r w:rsidRPr="00806C7E">
        <w:rPr>
          <w:rFonts w:asciiTheme="majorHAnsi" w:hAnsiTheme="majorHAnsi"/>
          <w:b/>
          <w:bCs/>
          <w:sz w:val="24"/>
        </w:rPr>
        <w:t>Transparency &amp; Service Updates</w:t>
      </w:r>
    </w:p>
    <w:p w14:paraId="6C4E15B5" w14:textId="77777777" w:rsidR="009729CF" w:rsidRPr="009729CF" w:rsidRDefault="009729CF" w:rsidP="009729CF">
      <w:pPr>
        <w:pStyle w:val="ListParagraph"/>
        <w:jc w:val="both"/>
        <w:rPr>
          <w:rFonts w:asciiTheme="majorHAnsi" w:hAnsiTheme="majorHAnsi"/>
          <w:b/>
          <w:bCs/>
          <w:sz w:val="2"/>
        </w:rPr>
      </w:pPr>
    </w:p>
    <w:p w14:paraId="1B183A26" w14:textId="77777777" w:rsidR="00EE0261" w:rsidRPr="00EE0261" w:rsidRDefault="00EE0261" w:rsidP="00056389">
      <w:pPr>
        <w:numPr>
          <w:ilvl w:val="0"/>
          <w:numId w:val="57"/>
        </w:numPr>
        <w:spacing w:after="160" w:line="278" w:lineRule="auto"/>
        <w:jc w:val="both"/>
        <w:rPr>
          <w:rFonts w:asciiTheme="majorHAnsi" w:hAnsiTheme="majorHAnsi"/>
        </w:rPr>
      </w:pPr>
      <w:r w:rsidRPr="00EE0261">
        <w:rPr>
          <w:rFonts w:asciiTheme="majorHAnsi" w:hAnsiTheme="majorHAnsi"/>
        </w:rPr>
        <w:t>Planned Shutdown Notices: Informing consumers about scheduled maintenance or power interruptions.</w:t>
      </w:r>
    </w:p>
    <w:p w14:paraId="0B7B7E07" w14:textId="77777777" w:rsidR="00EE0261" w:rsidRPr="00EE0261" w:rsidRDefault="00EE0261" w:rsidP="00056389">
      <w:pPr>
        <w:numPr>
          <w:ilvl w:val="0"/>
          <w:numId w:val="57"/>
        </w:numPr>
        <w:spacing w:after="160" w:line="278" w:lineRule="auto"/>
        <w:jc w:val="both"/>
        <w:rPr>
          <w:rFonts w:asciiTheme="majorHAnsi" w:hAnsiTheme="majorHAnsi"/>
        </w:rPr>
      </w:pPr>
      <w:r w:rsidRPr="00EE0261">
        <w:rPr>
          <w:rFonts w:asciiTheme="majorHAnsi" w:hAnsiTheme="majorHAnsi"/>
        </w:rPr>
        <w:t>New Initiatives &amp; Policy Announcements: Updates on digital transformation, consumer-centric schemes, and performance achievements.</w:t>
      </w:r>
    </w:p>
    <w:p w14:paraId="1B9E8B31" w14:textId="77777777" w:rsidR="00EE0261" w:rsidRPr="00EE0261" w:rsidRDefault="00EE0261" w:rsidP="00056389">
      <w:pPr>
        <w:numPr>
          <w:ilvl w:val="0"/>
          <w:numId w:val="57"/>
        </w:numPr>
        <w:spacing w:after="160" w:line="278" w:lineRule="auto"/>
        <w:jc w:val="both"/>
        <w:rPr>
          <w:rFonts w:asciiTheme="majorHAnsi" w:hAnsiTheme="majorHAnsi"/>
          <w:b/>
          <w:bCs/>
        </w:rPr>
      </w:pPr>
      <w:r w:rsidRPr="00EE0261">
        <w:rPr>
          <w:rFonts w:asciiTheme="majorHAnsi" w:hAnsiTheme="majorHAnsi"/>
        </w:rPr>
        <w:t>Infographics &amp; Data Highlights: Visual updates on network improvements, reliability, and consumer satisfaction levels</w:t>
      </w:r>
      <w:r w:rsidRPr="00EE0261">
        <w:rPr>
          <w:rFonts w:asciiTheme="majorHAnsi" w:hAnsiTheme="majorHAnsi"/>
          <w:b/>
          <w:bCs/>
        </w:rPr>
        <w:t>.</w:t>
      </w:r>
    </w:p>
    <w:p w14:paraId="2C4E9691" w14:textId="77777777" w:rsidR="00EE0261" w:rsidRPr="00EE0261" w:rsidRDefault="00EE0261" w:rsidP="00EE0261">
      <w:pPr>
        <w:jc w:val="both"/>
        <w:rPr>
          <w:rFonts w:asciiTheme="majorHAnsi" w:hAnsiTheme="majorHAnsi"/>
          <w:b/>
          <w:bCs/>
        </w:rPr>
      </w:pPr>
    </w:p>
    <w:p w14:paraId="5DF30241" w14:textId="4B03DA12" w:rsidR="00EE0261" w:rsidRPr="00806C7E" w:rsidRDefault="00EE0261" w:rsidP="009729CF">
      <w:pPr>
        <w:pStyle w:val="ListParagraph"/>
        <w:numPr>
          <w:ilvl w:val="0"/>
          <w:numId w:val="89"/>
        </w:numPr>
        <w:jc w:val="both"/>
        <w:rPr>
          <w:rFonts w:asciiTheme="majorHAnsi" w:hAnsiTheme="majorHAnsi"/>
          <w:b/>
          <w:bCs/>
          <w:sz w:val="24"/>
        </w:rPr>
      </w:pPr>
      <w:r w:rsidRPr="00806C7E">
        <w:rPr>
          <w:rFonts w:asciiTheme="majorHAnsi" w:hAnsiTheme="majorHAnsi"/>
          <w:b/>
          <w:bCs/>
          <w:sz w:val="24"/>
        </w:rPr>
        <w:t>Engagement Through Campaigns &amp; Contests</w:t>
      </w:r>
    </w:p>
    <w:p w14:paraId="1FEFBBC9" w14:textId="77777777" w:rsidR="009729CF" w:rsidRPr="009729CF" w:rsidRDefault="009729CF" w:rsidP="009729CF">
      <w:pPr>
        <w:pStyle w:val="ListParagraph"/>
        <w:jc w:val="both"/>
        <w:rPr>
          <w:rFonts w:asciiTheme="majorHAnsi" w:hAnsiTheme="majorHAnsi"/>
          <w:b/>
          <w:bCs/>
          <w:sz w:val="2"/>
        </w:rPr>
      </w:pPr>
    </w:p>
    <w:p w14:paraId="4EAA5FB0" w14:textId="77777777" w:rsidR="00EE0261" w:rsidRPr="00EE0261" w:rsidRDefault="00EE0261" w:rsidP="00056389">
      <w:pPr>
        <w:numPr>
          <w:ilvl w:val="0"/>
          <w:numId w:val="58"/>
        </w:numPr>
        <w:spacing w:after="160" w:line="278" w:lineRule="auto"/>
        <w:jc w:val="both"/>
        <w:rPr>
          <w:rFonts w:asciiTheme="majorHAnsi" w:hAnsiTheme="majorHAnsi"/>
        </w:rPr>
      </w:pPr>
      <w:r w:rsidRPr="00EE0261">
        <w:rPr>
          <w:rFonts w:asciiTheme="majorHAnsi" w:hAnsiTheme="majorHAnsi"/>
        </w:rPr>
        <w:t>Pay N Win &amp; Awareness Drives: Promoting timely bill payment through reward-based campaigns.</w:t>
      </w:r>
    </w:p>
    <w:p w14:paraId="7925C83D" w14:textId="77777777" w:rsidR="00EE0261" w:rsidRPr="00EE0261" w:rsidRDefault="00EE0261" w:rsidP="00056389">
      <w:pPr>
        <w:numPr>
          <w:ilvl w:val="0"/>
          <w:numId w:val="58"/>
        </w:numPr>
        <w:spacing w:after="160" w:line="278" w:lineRule="auto"/>
        <w:jc w:val="both"/>
        <w:rPr>
          <w:rFonts w:asciiTheme="majorHAnsi" w:hAnsiTheme="majorHAnsi"/>
        </w:rPr>
      </w:pPr>
      <w:r w:rsidRPr="00EE0261">
        <w:rPr>
          <w:rFonts w:asciiTheme="majorHAnsi" w:hAnsiTheme="majorHAnsi"/>
        </w:rPr>
        <w:t>Festive Greetings &amp; Thematic Posts: Connecting emotionally with consumers during national festivals and local events.</w:t>
      </w:r>
    </w:p>
    <w:p w14:paraId="397FBC2E" w14:textId="77777777" w:rsidR="00EE0261" w:rsidRPr="00EE0261" w:rsidRDefault="00EE0261" w:rsidP="00056389">
      <w:pPr>
        <w:numPr>
          <w:ilvl w:val="0"/>
          <w:numId w:val="58"/>
        </w:numPr>
        <w:spacing w:after="160" w:line="278" w:lineRule="auto"/>
        <w:jc w:val="both"/>
        <w:rPr>
          <w:rFonts w:asciiTheme="majorHAnsi" w:hAnsiTheme="majorHAnsi"/>
        </w:rPr>
      </w:pPr>
      <w:r w:rsidRPr="00EE0261">
        <w:rPr>
          <w:rFonts w:asciiTheme="majorHAnsi" w:hAnsiTheme="majorHAnsi"/>
        </w:rPr>
        <w:t>Interactive Quizzes &amp; Feedback Polls: Encouraging consumer participation and awareness retention.</w:t>
      </w:r>
    </w:p>
    <w:p w14:paraId="7462F977" w14:textId="77777777" w:rsidR="00EE0261" w:rsidRPr="00EE0261" w:rsidRDefault="00EE0261" w:rsidP="00EE0261">
      <w:pPr>
        <w:jc w:val="both"/>
        <w:rPr>
          <w:rFonts w:asciiTheme="majorHAnsi" w:hAnsiTheme="majorHAnsi"/>
          <w:b/>
          <w:bCs/>
        </w:rPr>
      </w:pPr>
    </w:p>
    <w:p w14:paraId="14093262" w14:textId="63159212" w:rsidR="00EE0261" w:rsidRPr="00806C7E" w:rsidRDefault="00EE0261" w:rsidP="009729CF">
      <w:pPr>
        <w:pStyle w:val="ListParagraph"/>
        <w:numPr>
          <w:ilvl w:val="0"/>
          <w:numId w:val="89"/>
        </w:numPr>
        <w:jc w:val="both"/>
        <w:rPr>
          <w:rFonts w:asciiTheme="majorHAnsi" w:hAnsiTheme="majorHAnsi"/>
          <w:b/>
          <w:bCs/>
          <w:sz w:val="24"/>
        </w:rPr>
      </w:pPr>
      <w:r w:rsidRPr="00806C7E">
        <w:rPr>
          <w:rFonts w:asciiTheme="majorHAnsi" w:hAnsiTheme="majorHAnsi"/>
          <w:b/>
          <w:bCs/>
          <w:sz w:val="24"/>
        </w:rPr>
        <w:t>Safety, Reliability &amp; Trust Building</w:t>
      </w:r>
    </w:p>
    <w:p w14:paraId="4B60FEA3" w14:textId="77777777" w:rsidR="009729CF" w:rsidRPr="009729CF" w:rsidRDefault="009729CF" w:rsidP="009729CF">
      <w:pPr>
        <w:pStyle w:val="ListParagraph"/>
        <w:jc w:val="both"/>
        <w:rPr>
          <w:rFonts w:asciiTheme="majorHAnsi" w:hAnsiTheme="majorHAnsi"/>
          <w:b/>
          <w:bCs/>
          <w:sz w:val="2"/>
        </w:rPr>
      </w:pPr>
    </w:p>
    <w:p w14:paraId="3FDE9FA9" w14:textId="77777777" w:rsidR="00EE0261" w:rsidRPr="00EE0261" w:rsidRDefault="00EE0261" w:rsidP="00056389">
      <w:pPr>
        <w:numPr>
          <w:ilvl w:val="0"/>
          <w:numId w:val="59"/>
        </w:numPr>
        <w:spacing w:after="160" w:line="278" w:lineRule="auto"/>
        <w:jc w:val="both"/>
        <w:rPr>
          <w:rFonts w:asciiTheme="majorHAnsi" w:hAnsiTheme="majorHAnsi"/>
        </w:rPr>
      </w:pPr>
      <w:r w:rsidRPr="00EE0261">
        <w:rPr>
          <w:rFonts w:asciiTheme="majorHAnsi" w:hAnsiTheme="majorHAnsi"/>
        </w:rPr>
        <w:t>Field Operations &amp; Reliability Stories: Highlighting efforts of ground teams in maintaining reliable power supply.</w:t>
      </w:r>
    </w:p>
    <w:p w14:paraId="5A9FE9DD" w14:textId="77777777" w:rsidR="00EE0261" w:rsidRPr="00EE0261" w:rsidRDefault="00EE0261" w:rsidP="00056389">
      <w:pPr>
        <w:numPr>
          <w:ilvl w:val="0"/>
          <w:numId w:val="59"/>
        </w:numPr>
        <w:spacing w:after="160" w:line="278" w:lineRule="auto"/>
        <w:jc w:val="both"/>
        <w:rPr>
          <w:rFonts w:asciiTheme="majorHAnsi" w:hAnsiTheme="majorHAnsi"/>
        </w:rPr>
      </w:pPr>
      <w:r w:rsidRPr="00EE0261">
        <w:rPr>
          <w:rFonts w:asciiTheme="majorHAnsi" w:hAnsiTheme="majorHAnsi"/>
        </w:rPr>
        <w:t>Disaster Response Communication: Sharing real-time updates and safety measures during storms or outages.</w:t>
      </w:r>
    </w:p>
    <w:p w14:paraId="43DBAA76" w14:textId="77777777" w:rsidR="00EE0261" w:rsidRPr="00EE0261" w:rsidRDefault="00EE0261" w:rsidP="00056389">
      <w:pPr>
        <w:numPr>
          <w:ilvl w:val="0"/>
          <w:numId w:val="59"/>
        </w:numPr>
        <w:spacing w:after="160" w:line="278" w:lineRule="auto"/>
        <w:jc w:val="both"/>
        <w:rPr>
          <w:rFonts w:asciiTheme="majorHAnsi" w:hAnsiTheme="majorHAnsi"/>
        </w:rPr>
      </w:pPr>
      <w:r w:rsidRPr="00EE0261">
        <w:rPr>
          <w:rFonts w:asciiTheme="majorHAnsi" w:hAnsiTheme="majorHAnsi"/>
        </w:rPr>
        <w:t>“Powering Lives” Theme: Emphasizing TPWODL’s commitment to reliable service and community wellbeing</w:t>
      </w:r>
    </w:p>
    <w:p w14:paraId="3CC172D7" w14:textId="5688B58A" w:rsidR="00C74242" w:rsidRPr="00C74242" w:rsidRDefault="00C74242" w:rsidP="00FC6A67">
      <w:pPr>
        <w:spacing w:line="360" w:lineRule="auto"/>
        <w:jc w:val="both"/>
        <w:rPr>
          <w:rFonts w:asciiTheme="majorHAnsi" w:hAnsiTheme="majorHAnsi" w:cstheme="minorHAnsi"/>
          <w:b/>
          <w:bCs/>
          <w:u w:val="single"/>
        </w:rPr>
      </w:pPr>
      <w:r w:rsidRPr="00C74242">
        <w:rPr>
          <w:rFonts w:asciiTheme="majorHAnsi" w:hAnsiTheme="majorHAnsi" w:cstheme="minorHAnsi"/>
          <w:b/>
          <w:bCs/>
          <w:u w:val="single"/>
        </w:rPr>
        <w:t>Consumer Meets for High Value Consumers:</w:t>
      </w:r>
    </w:p>
    <w:p w14:paraId="3FBDD218" w14:textId="3330AAAD" w:rsidR="00C74242" w:rsidRPr="00C74242" w:rsidRDefault="00C74242" w:rsidP="00FC6A67">
      <w:pPr>
        <w:spacing w:line="360" w:lineRule="auto"/>
        <w:jc w:val="both"/>
        <w:rPr>
          <w:rFonts w:asciiTheme="majorHAnsi" w:hAnsiTheme="majorHAnsi" w:cstheme="minorHAnsi"/>
        </w:rPr>
      </w:pPr>
      <w:r w:rsidRPr="00C74242">
        <w:rPr>
          <w:rFonts w:asciiTheme="majorHAnsi" w:hAnsiTheme="majorHAnsi" w:cstheme="minorHAnsi"/>
        </w:rPr>
        <w:t xml:space="preserve">As part of TPWODL’s continuous consumer engagement and service improvement initiatives, </w:t>
      </w:r>
      <w:r w:rsidR="009729CF">
        <w:rPr>
          <w:rFonts w:asciiTheme="majorHAnsi" w:hAnsiTheme="majorHAnsi" w:cstheme="minorHAnsi"/>
        </w:rPr>
        <w:t>c</w:t>
      </w:r>
      <w:r w:rsidRPr="00C74242">
        <w:rPr>
          <w:rFonts w:asciiTheme="majorHAnsi" w:hAnsiTheme="majorHAnsi" w:cstheme="minorHAnsi"/>
        </w:rPr>
        <w:t xml:space="preserve">onsumer </w:t>
      </w:r>
      <w:r w:rsidR="009729CF">
        <w:rPr>
          <w:rFonts w:asciiTheme="majorHAnsi" w:hAnsiTheme="majorHAnsi" w:cstheme="minorHAnsi"/>
        </w:rPr>
        <w:t>m</w:t>
      </w:r>
      <w:r w:rsidRPr="00C74242">
        <w:rPr>
          <w:rFonts w:asciiTheme="majorHAnsi" w:hAnsiTheme="majorHAnsi" w:cstheme="minorHAnsi"/>
        </w:rPr>
        <w:t>eets are conducted across TPWODL area at different locations. The objective of these meetings is to establish direct interaction and take feedback with High-Value and Industrial Consumers, understand their operational challenges and address issues related to power reliability, billing, metering and other grievance. Also, other value-added services or tariffs are being promoted.</w:t>
      </w:r>
      <w:r w:rsidR="00C23778">
        <w:rPr>
          <w:rFonts w:asciiTheme="majorHAnsi" w:hAnsiTheme="majorHAnsi" w:cstheme="minorHAnsi"/>
        </w:rPr>
        <w:t xml:space="preserve"> </w:t>
      </w:r>
      <w:r w:rsidRPr="00C74242">
        <w:rPr>
          <w:rFonts w:asciiTheme="majorHAnsi" w:hAnsiTheme="majorHAnsi" w:cstheme="minorHAnsi"/>
        </w:rPr>
        <w:t xml:space="preserve">Consumer meet is organized circle wise with participation from senior officials of Commercial, divisional operations team and KCG departments. These forums provided valuable feedback and </w:t>
      </w:r>
      <w:r w:rsidR="00C23778" w:rsidRPr="00C74242">
        <w:rPr>
          <w:rFonts w:asciiTheme="majorHAnsi" w:hAnsiTheme="majorHAnsi" w:cstheme="minorHAnsi"/>
        </w:rPr>
        <w:t>forums</w:t>
      </w:r>
      <w:r w:rsidRPr="00C74242">
        <w:rPr>
          <w:rFonts w:asciiTheme="majorHAnsi" w:hAnsiTheme="majorHAnsi" w:cstheme="minorHAnsi"/>
        </w:rPr>
        <w:t xml:space="preserve"> to exchange views.</w:t>
      </w:r>
    </w:p>
    <w:p w14:paraId="7031AE3E" w14:textId="05306C24" w:rsidR="00C74242" w:rsidRPr="00C74242" w:rsidRDefault="00C74242" w:rsidP="00FC6A67">
      <w:pPr>
        <w:spacing w:line="360" w:lineRule="auto"/>
        <w:jc w:val="both"/>
        <w:rPr>
          <w:rFonts w:asciiTheme="majorHAnsi" w:hAnsiTheme="majorHAnsi" w:cstheme="minorHAnsi"/>
        </w:rPr>
      </w:pPr>
      <w:r w:rsidRPr="00C74242">
        <w:rPr>
          <w:rFonts w:asciiTheme="majorHAnsi" w:hAnsiTheme="majorHAnsi" w:cstheme="minorHAnsi"/>
        </w:rPr>
        <w:t>The expenditure incurred on conducting these meets includes logistics, communication materials, venue along with food arrangements and stakeholder facilitation activities, which are a part of the consumer service and engagement cost. The initiative has yielded tangible benefits such as enhanced consumer satisfaction, improved collection performance and reduction in high-value consumer grievances.</w:t>
      </w:r>
    </w:p>
    <w:p w14:paraId="3EFA41F4" w14:textId="3CF68453" w:rsidR="00EE0261" w:rsidRPr="00C74242" w:rsidRDefault="00C74242" w:rsidP="00FC6A67">
      <w:pPr>
        <w:spacing w:line="360" w:lineRule="auto"/>
        <w:jc w:val="both"/>
        <w:rPr>
          <w:rFonts w:asciiTheme="majorHAnsi" w:hAnsiTheme="majorHAnsi" w:cstheme="minorHAnsi"/>
          <w:b/>
          <w:bCs/>
          <w:u w:val="single"/>
        </w:rPr>
      </w:pPr>
      <w:r w:rsidRPr="00C74242">
        <w:rPr>
          <w:rFonts w:asciiTheme="majorHAnsi" w:hAnsiTheme="majorHAnsi" w:cstheme="minorHAnsi"/>
        </w:rPr>
        <w:t xml:space="preserve">In FY 26-27 also, TPWODL proposes to continue consumer meets with emphasis on information to the consumers regarding TPWODL improvements, digital engagement, reliability improvement measures, promotion of energy efficiency and value-added services. The cost provision for these activities is therefore proposed in the ARR under Consumer engagement initiatives. The proposed cost for these activities is </w:t>
      </w:r>
      <w:r w:rsidRPr="00BD3D2C">
        <w:rPr>
          <w:rFonts w:asciiTheme="majorHAnsi" w:hAnsiTheme="majorHAnsi" w:cstheme="minorHAnsi"/>
          <w:b/>
          <w:bCs/>
        </w:rPr>
        <w:t>Rs. 10 Lakh</w:t>
      </w:r>
      <w:r w:rsidRPr="00C74242">
        <w:rPr>
          <w:rFonts w:asciiTheme="majorHAnsi" w:hAnsiTheme="majorHAnsi" w:cstheme="minorHAnsi"/>
        </w:rPr>
        <w:t xml:space="preserve"> only.</w:t>
      </w:r>
    </w:p>
    <w:p w14:paraId="5C7D2446" w14:textId="77777777" w:rsidR="00B57674" w:rsidRPr="00051738" w:rsidRDefault="00B57674" w:rsidP="00D735C8">
      <w:pPr>
        <w:pStyle w:val="Heading3"/>
        <w:numPr>
          <w:ilvl w:val="2"/>
          <w:numId w:val="1"/>
        </w:numPr>
        <w:shd w:val="clear" w:color="auto" w:fill="002060"/>
        <w:rPr>
          <w:rFonts w:asciiTheme="majorHAnsi" w:hAnsiTheme="majorHAnsi"/>
          <w:sz w:val="24"/>
          <w:szCs w:val="24"/>
        </w:rPr>
      </w:pPr>
      <w:bookmarkStart w:id="36" w:name="_Toc152180081"/>
      <w:bookmarkStart w:id="37" w:name="_Toc183204693"/>
      <w:bookmarkStart w:id="38" w:name="_Toc152180080"/>
      <w:bookmarkStart w:id="39" w:name="_Toc183204692"/>
      <w:bookmarkStart w:id="40" w:name="_Toc215250613"/>
      <w:bookmarkEnd w:id="32"/>
      <w:bookmarkEnd w:id="33"/>
      <w:bookmarkEnd w:id="34"/>
      <w:r w:rsidRPr="00051738">
        <w:rPr>
          <w:rFonts w:asciiTheme="majorHAnsi" w:hAnsiTheme="majorHAnsi"/>
          <w:sz w:val="24"/>
          <w:szCs w:val="24"/>
        </w:rPr>
        <w:t>Loss Reduction</w:t>
      </w:r>
      <w:bookmarkEnd w:id="36"/>
      <w:bookmarkEnd w:id="37"/>
      <w:bookmarkEnd w:id="40"/>
    </w:p>
    <w:p w14:paraId="47E584AC" w14:textId="77777777" w:rsidR="00B57674" w:rsidRPr="00C319E3" w:rsidRDefault="00B57674" w:rsidP="00B57674">
      <w:pPr>
        <w:jc w:val="both"/>
        <w:rPr>
          <w:rFonts w:asciiTheme="majorHAnsi" w:hAnsiTheme="majorHAnsi"/>
          <w:highlight w:val="yellow"/>
        </w:rPr>
      </w:pPr>
    </w:p>
    <w:p w14:paraId="3BD46D1F" w14:textId="77777777" w:rsidR="00B57674" w:rsidRPr="00E30F85" w:rsidRDefault="00B57674" w:rsidP="001972DE">
      <w:pPr>
        <w:pStyle w:val="ListParagraph"/>
        <w:numPr>
          <w:ilvl w:val="0"/>
          <w:numId w:val="13"/>
        </w:numPr>
        <w:ind w:left="709"/>
        <w:jc w:val="both"/>
        <w:rPr>
          <w:rFonts w:ascii="Cambria" w:hAnsi="Cambria" w:cstheme="minorHAnsi"/>
          <w:b/>
          <w:bCs/>
          <w:color w:val="000000"/>
          <w:sz w:val="24"/>
          <w:szCs w:val="24"/>
          <w:lang w:eastAsia="en-IN" w:bidi="hi-IN"/>
        </w:rPr>
      </w:pPr>
      <w:r w:rsidRPr="00E30F85">
        <w:rPr>
          <w:rFonts w:ascii="Cambria" w:hAnsi="Cambria" w:cstheme="minorHAnsi"/>
          <w:b/>
          <w:bCs/>
          <w:color w:val="000000"/>
          <w:sz w:val="24"/>
          <w:szCs w:val="24"/>
          <w:lang w:eastAsia="en-IN" w:bidi="hi-IN"/>
        </w:rPr>
        <w:t>OCR Based Meter Reading:</w:t>
      </w:r>
    </w:p>
    <w:p w14:paraId="252754B8" w14:textId="635771C4" w:rsidR="00B57674" w:rsidRDefault="00DD58D0" w:rsidP="00923A86">
      <w:pPr>
        <w:pStyle w:val="BodyText2"/>
        <w:spacing w:line="360" w:lineRule="auto"/>
        <w:ind w:left="709"/>
        <w:jc w:val="both"/>
        <w:rPr>
          <w:rFonts w:ascii="Cambria" w:hAnsi="Cambria" w:cstheme="minorHAnsi"/>
          <w:color w:val="242424"/>
          <w:sz w:val="24"/>
          <w:szCs w:val="24"/>
          <w:bdr w:val="none" w:sz="0" w:space="0" w:color="auto" w:frame="1"/>
          <w:lang w:eastAsia="en-IN" w:bidi="hi-IN"/>
        </w:rPr>
      </w:pPr>
      <w:r w:rsidRPr="00DD58D0">
        <w:rPr>
          <w:rFonts w:ascii="Cambria" w:hAnsi="Cambria" w:cstheme="minorHAnsi"/>
          <w:color w:val="242424"/>
          <w:sz w:val="24"/>
          <w:szCs w:val="24"/>
          <w:bdr w:val="none" w:sz="0" w:space="0" w:color="auto" w:frame="1"/>
          <w:lang w:eastAsia="en-IN" w:bidi="hi-IN"/>
        </w:rPr>
        <w:t xml:space="preserve">With the objective of ensuring actual reading-based billing and ensuring the best customer services to the end consumers, TPWODL incurs expenditure for the replacement of defective meters, implementation of smart meters, and onsite statutory testing of consumer meters and use of latest technology for accurate meter reading In order to ensure the reading-based billing of all consumers, TPWODL offers Rs.18.50/- per bill Metering &amp; Billing Agency With the introduction of OCR-based reading an additional cost of @Re. 0.28/- per bill </w:t>
      </w:r>
      <w:r w:rsidR="00DE77AC">
        <w:rPr>
          <w:rFonts w:ascii="Cambria" w:hAnsi="Cambria" w:cstheme="minorHAnsi"/>
          <w:color w:val="242424"/>
          <w:sz w:val="24"/>
          <w:szCs w:val="24"/>
          <w:bdr w:val="none" w:sz="0" w:space="0" w:color="auto" w:frame="1"/>
          <w:lang w:eastAsia="en-IN" w:bidi="hi-IN"/>
        </w:rPr>
        <w:t xml:space="preserve">will </w:t>
      </w:r>
      <w:r w:rsidRPr="00DD58D0">
        <w:rPr>
          <w:rFonts w:ascii="Cambria" w:hAnsi="Cambria" w:cstheme="minorHAnsi"/>
          <w:color w:val="242424"/>
          <w:sz w:val="24"/>
          <w:szCs w:val="24"/>
          <w:bdr w:val="none" w:sz="0" w:space="0" w:color="auto" w:frame="1"/>
          <w:lang w:eastAsia="en-IN" w:bidi="hi-IN"/>
        </w:rPr>
        <w:t>get added.  TPWODL has proposed Metering &amp; Billing cost in FY 26-27 as per table mentioned below:</w:t>
      </w:r>
    </w:p>
    <w:tbl>
      <w:tblPr>
        <w:tblpPr w:leftFromText="180" w:rightFromText="180" w:vertAnchor="text" w:horzAnchor="margin" w:tblpXSpec="center" w:tblpY="-51"/>
        <w:tblW w:w="4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2788"/>
      </w:tblGrid>
      <w:tr w:rsidR="00DF59AC" w:rsidRPr="00DF59AC" w14:paraId="75A73CCE" w14:textId="77777777" w:rsidTr="00DF59AC">
        <w:trPr>
          <w:trHeight w:val="265"/>
        </w:trPr>
        <w:tc>
          <w:tcPr>
            <w:tcW w:w="2178" w:type="dxa"/>
            <w:vAlign w:val="center"/>
            <w:hideMark/>
          </w:tcPr>
          <w:p w14:paraId="663F346A" w14:textId="77777777" w:rsidR="00DF59AC" w:rsidRPr="00DF59AC" w:rsidRDefault="00DF59AC" w:rsidP="000F221E">
            <w:pPr>
              <w:jc w:val="center"/>
              <w:rPr>
                <w:rFonts w:asciiTheme="majorHAnsi" w:hAnsiTheme="majorHAnsi"/>
                <w:b/>
                <w:bCs/>
                <w:color w:val="000000"/>
                <w:lang w:val="en-IN"/>
              </w:rPr>
            </w:pPr>
            <w:r w:rsidRPr="00DF59AC">
              <w:rPr>
                <w:rFonts w:asciiTheme="majorHAnsi" w:hAnsiTheme="majorHAnsi"/>
                <w:b/>
                <w:bCs/>
                <w:color w:val="000000"/>
              </w:rPr>
              <w:t>Activity</w:t>
            </w:r>
          </w:p>
        </w:tc>
        <w:tc>
          <w:tcPr>
            <w:tcW w:w="2788" w:type="dxa"/>
            <w:vAlign w:val="center"/>
            <w:hideMark/>
          </w:tcPr>
          <w:p w14:paraId="21CAA1A0" w14:textId="77777777" w:rsidR="00DF59AC" w:rsidRPr="00DF59AC" w:rsidRDefault="00DF59AC" w:rsidP="000F221E">
            <w:pPr>
              <w:jc w:val="center"/>
              <w:rPr>
                <w:rFonts w:asciiTheme="majorHAnsi" w:hAnsiTheme="majorHAnsi"/>
                <w:b/>
                <w:bCs/>
                <w:color w:val="000000"/>
              </w:rPr>
            </w:pPr>
            <w:r w:rsidRPr="00DF59AC">
              <w:rPr>
                <w:rFonts w:asciiTheme="majorHAnsi" w:hAnsiTheme="majorHAnsi"/>
                <w:b/>
                <w:bCs/>
                <w:color w:val="000000"/>
              </w:rPr>
              <w:t>OCR Based Reading</w:t>
            </w:r>
          </w:p>
        </w:tc>
      </w:tr>
      <w:tr w:rsidR="00DF59AC" w:rsidRPr="00DF59AC" w14:paraId="321A61C1" w14:textId="77777777" w:rsidTr="00DF59AC">
        <w:trPr>
          <w:trHeight w:val="265"/>
        </w:trPr>
        <w:tc>
          <w:tcPr>
            <w:tcW w:w="2178" w:type="dxa"/>
            <w:vAlign w:val="center"/>
            <w:hideMark/>
          </w:tcPr>
          <w:p w14:paraId="2BD4A831" w14:textId="77777777" w:rsidR="00DF59AC" w:rsidRPr="00DF59AC" w:rsidRDefault="00DF59AC" w:rsidP="000F221E">
            <w:pPr>
              <w:jc w:val="center"/>
              <w:rPr>
                <w:rFonts w:asciiTheme="majorHAnsi" w:hAnsiTheme="majorHAnsi"/>
                <w:color w:val="000000"/>
              </w:rPr>
            </w:pPr>
            <w:r w:rsidRPr="00DF59AC">
              <w:rPr>
                <w:rFonts w:asciiTheme="majorHAnsi" w:hAnsiTheme="majorHAnsi"/>
                <w:color w:val="000000"/>
              </w:rPr>
              <w:t>Period</w:t>
            </w:r>
          </w:p>
        </w:tc>
        <w:tc>
          <w:tcPr>
            <w:tcW w:w="2788" w:type="dxa"/>
            <w:vAlign w:val="center"/>
            <w:hideMark/>
          </w:tcPr>
          <w:p w14:paraId="1845354C" w14:textId="77777777" w:rsidR="00DF59AC" w:rsidRPr="00DF59AC" w:rsidRDefault="00DF59AC" w:rsidP="000F221E">
            <w:pPr>
              <w:jc w:val="center"/>
              <w:rPr>
                <w:rFonts w:asciiTheme="majorHAnsi" w:hAnsiTheme="majorHAnsi"/>
                <w:color w:val="000000"/>
              </w:rPr>
            </w:pPr>
            <w:r w:rsidRPr="00DF59AC">
              <w:rPr>
                <w:rFonts w:asciiTheme="majorHAnsi" w:hAnsiTheme="majorHAnsi"/>
                <w:color w:val="000000"/>
              </w:rPr>
              <w:t>FY 2026-27</w:t>
            </w:r>
          </w:p>
        </w:tc>
      </w:tr>
      <w:tr w:rsidR="00DF59AC" w:rsidRPr="00DF59AC" w14:paraId="31188E30" w14:textId="77777777" w:rsidTr="00DF59AC">
        <w:trPr>
          <w:trHeight w:val="265"/>
        </w:trPr>
        <w:tc>
          <w:tcPr>
            <w:tcW w:w="2178" w:type="dxa"/>
            <w:vAlign w:val="center"/>
            <w:hideMark/>
          </w:tcPr>
          <w:p w14:paraId="3924E4FB" w14:textId="77777777" w:rsidR="00DF59AC" w:rsidRPr="00DF59AC" w:rsidRDefault="00DF59AC" w:rsidP="000F221E">
            <w:pPr>
              <w:jc w:val="center"/>
              <w:rPr>
                <w:rFonts w:asciiTheme="majorHAnsi" w:hAnsiTheme="majorHAnsi"/>
                <w:color w:val="000000"/>
              </w:rPr>
            </w:pPr>
            <w:r w:rsidRPr="00DF59AC">
              <w:rPr>
                <w:rFonts w:asciiTheme="majorHAnsi" w:hAnsiTheme="majorHAnsi"/>
                <w:color w:val="000000"/>
              </w:rPr>
              <w:t>Qty./ Month</w:t>
            </w:r>
          </w:p>
        </w:tc>
        <w:tc>
          <w:tcPr>
            <w:tcW w:w="2788" w:type="dxa"/>
            <w:vAlign w:val="center"/>
            <w:hideMark/>
          </w:tcPr>
          <w:p w14:paraId="5771500B" w14:textId="77777777" w:rsidR="00DF59AC" w:rsidRPr="00DF59AC" w:rsidRDefault="00DF59AC" w:rsidP="000F221E">
            <w:pPr>
              <w:jc w:val="center"/>
              <w:rPr>
                <w:rFonts w:asciiTheme="majorHAnsi" w:hAnsiTheme="majorHAnsi"/>
                <w:color w:val="000000"/>
              </w:rPr>
            </w:pPr>
            <w:r w:rsidRPr="00DF59AC">
              <w:rPr>
                <w:rFonts w:asciiTheme="majorHAnsi" w:hAnsiTheme="majorHAnsi"/>
                <w:color w:val="000000"/>
              </w:rPr>
              <w:t>2,395,221</w:t>
            </w:r>
          </w:p>
        </w:tc>
      </w:tr>
      <w:tr w:rsidR="00DF59AC" w:rsidRPr="00DF59AC" w14:paraId="48DA5652" w14:textId="77777777" w:rsidTr="00DF59AC">
        <w:trPr>
          <w:trHeight w:val="265"/>
        </w:trPr>
        <w:tc>
          <w:tcPr>
            <w:tcW w:w="2178" w:type="dxa"/>
            <w:vAlign w:val="center"/>
            <w:hideMark/>
          </w:tcPr>
          <w:p w14:paraId="16139943" w14:textId="77777777" w:rsidR="00DF59AC" w:rsidRPr="00DF59AC" w:rsidRDefault="00DF59AC" w:rsidP="000F221E">
            <w:pPr>
              <w:jc w:val="center"/>
              <w:rPr>
                <w:rFonts w:asciiTheme="majorHAnsi" w:hAnsiTheme="majorHAnsi"/>
                <w:color w:val="000000"/>
              </w:rPr>
            </w:pPr>
            <w:r w:rsidRPr="00DF59AC">
              <w:rPr>
                <w:rFonts w:asciiTheme="majorHAnsi" w:hAnsiTheme="majorHAnsi"/>
                <w:color w:val="000000"/>
              </w:rPr>
              <w:t>Base Price in Rs.</w:t>
            </w:r>
          </w:p>
        </w:tc>
        <w:tc>
          <w:tcPr>
            <w:tcW w:w="2788" w:type="dxa"/>
            <w:vAlign w:val="center"/>
            <w:hideMark/>
          </w:tcPr>
          <w:p w14:paraId="08EB604E" w14:textId="77777777" w:rsidR="00DF59AC" w:rsidRPr="00DF59AC" w:rsidRDefault="00DF59AC" w:rsidP="000F221E">
            <w:pPr>
              <w:jc w:val="center"/>
              <w:rPr>
                <w:rFonts w:asciiTheme="majorHAnsi" w:hAnsiTheme="majorHAnsi"/>
                <w:color w:val="000000"/>
              </w:rPr>
            </w:pPr>
            <w:r w:rsidRPr="00DF59AC">
              <w:rPr>
                <w:rFonts w:asciiTheme="majorHAnsi" w:hAnsiTheme="majorHAnsi"/>
                <w:color w:val="000000"/>
              </w:rPr>
              <w:t>0.2832</w:t>
            </w:r>
          </w:p>
        </w:tc>
      </w:tr>
      <w:tr w:rsidR="00DF59AC" w:rsidRPr="00DF59AC" w14:paraId="1A7C70C0" w14:textId="77777777" w:rsidTr="00DF59AC">
        <w:trPr>
          <w:trHeight w:val="265"/>
        </w:trPr>
        <w:tc>
          <w:tcPr>
            <w:tcW w:w="2178" w:type="dxa"/>
            <w:vAlign w:val="center"/>
            <w:hideMark/>
          </w:tcPr>
          <w:p w14:paraId="7B2E544A" w14:textId="77777777" w:rsidR="00DF59AC" w:rsidRPr="00DF59AC" w:rsidRDefault="00DF59AC" w:rsidP="000F221E">
            <w:pPr>
              <w:jc w:val="center"/>
              <w:rPr>
                <w:rFonts w:asciiTheme="majorHAnsi" w:hAnsiTheme="majorHAnsi"/>
                <w:b/>
                <w:bCs/>
                <w:color w:val="000000"/>
              </w:rPr>
            </w:pPr>
            <w:r w:rsidRPr="00DF59AC">
              <w:rPr>
                <w:rFonts w:asciiTheme="majorHAnsi" w:hAnsiTheme="majorHAnsi"/>
                <w:b/>
                <w:bCs/>
                <w:color w:val="000000"/>
              </w:rPr>
              <w:t>Total Rs. In Cr.</w:t>
            </w:r>
          </w:p>
        </w:tc>
        <w:tc>
          <w:tcPr>
            <w:tcW w:w="2788" w:type="dxa"/>
            <w:vAlign w:val="center"/>
            <w:hideMark/>
          </w:tcPr>
          <w:p w14:paraId="3B64862E" w14:textId="77777777" w:rsidR="00DF59AC" w:rsidRPr="00DF59AC" w:rsidRDefault="00DF59AC" w:rsidP="000F221E">
            <w:pPr>
              <w:jc w:val="center"/>
              <w:rPr>
                <w:rFonts w:asciiTheme="majorHAnsi" w:hAnsiTheme="majorHAnsi"/>
                <w:b/>
                <w:bCs/>
                <w:color w:val="000000"/>
              </w:rPr>
            </w:pPr>
            <w:r w:rsidRPr="00DF59AC">
              <w:rPr>
                <w:rFonts w:asciiTheme="majorHAnsi" w:hAnsiTheme="majorHAnsi"/>
                <w:b/>
                <w:bCs/>
                <w:color w:val="000000"/>
              </w:rPr>
              <w:t>0.81</w:t>
            </w:r>
          </w:p>
        </w:tc>
      </w:tr>
    </w:tbl>
    <w:p w14:paraId="7EA8B238" w14:textId="77777777" w:rsidR="001D2FD9" w:rsidRPr="00D27F85" w:rsidRDefault="001D2FD9" w:rsidP="00923A86">
      <w:pPr>
        <w:pStyle w:val="BodyText2"/>
        <w:spacing w:line="360" w:lineRule="auto"/>
        <w:ind w:left="709"/>
        <w:jc w:val="both"/>
        <w:rPr>
          <w:rFonts w:ascii="Cambria" w:hAnsi="Cambria"/>
          <w:b/>
          <w:bCs/>
        </w:rPr>
      </w:pPr>
    </w:p>
    <w:p w14:paraId="44B7D5DA" w14:textId="77777777" w:rsidR="00DF59AC" w:rsidRDefault="00DF59AC" w:rsidP="00DF59AC">
      <w:pPr>
        <w:pStyle w:val="ListParagraph"/>
        <w:ind w:left="709"/>
        <w:jc w:val="both"/>
        <w:rPr>
          <w:rFonts w:ascii="Cambria" w:hAnsi="Cambria" w:cstheme="minorHAnsi"/>
          <w:b/>
          <w:bCs/>
          <w:color w:val="000000"/>
          <w:sz w:val="24"/>
          <w:szCs w:val="24"/>
          <w:lang w:eastAsia="en-IN" w:bidi="hi-IN"/>
        </w:rPr>
      </w:pPr>
    </w:p>
    <w:p w14:paraId="510CDA0C" w14:textId="7F119F49" w:rsidR="00DF59AC" w:rsidRDefault="00DF59AC" w:rsidP="00DF59AC">
      <w:pPr>
        <w:pStyle w:val="ListParagraph"/>
        <w:ind w:left="709"/>
        <w:jc w:val="both"/>
        <w:rPr>
          <w:rFonts w:ascii="Cambria" w:hAnsi="Cambria" w:cstheme="minorHAnsi"/>
          <w:b/>
          <w:bCs/>
          <w:color w:val="000000"/>
          <w:sz w:val="24"/>
          <w:szCs w:val="24"/>
          <w:lang w:eastAsia="en-IN" w:bidi="hi-IN"/>
        </w:rPr>
      </w:pPr>
    </w:p>
    <w:p w14:paraId="70E9DD5A" w14:textId="7CD76217" w:rsidR="00B57674" w:rsidRPr="00D27F85" w:rsidRDefault="00B57674" w:rsidP="001972DE">
      <w:pPr>
        <w:pStyle w:val="ListParagraph"/>
        <w:numPr>
          <w:ilvl w:val="0"/>
          <w:numId w:val="13"/>
        </w:numPr>
        <w:ind w:left="709"/>
        <w:jc w:val="both"/>
        <w:rPr>
          <w:rFonts w:ascii="Cambria" w:hAnsi="Cambria" w:cstheme="minorHAnsi"/>
          <w:b/>
          <w:bCs/>
          <w:color w:val="000000"/>
          <w:sz w:val="24"/>
          <w:szCs w:val="24"/>
          <w:lang w:eastAsia="en-IN" w:bidi="hi-IN"/>
        </w:rPr>
      </w:pPr>
      <w:r w:rsidRPr="00D27F85">
        <w:rPr>
          <w:rFonts w:ascii="Cambria" w:hAnsi="Cambria" w:cstheme="minorHAnsi"/>
          <w:b/>
          <w:bCs/>
          <w:color w:val="000000"/>
          <w:sz w:val="24"/>
          <w:szCs w:val="24"/>
          <w:lang w:eastAsia="en-IN" w:bidi="hi-IN"/>
        </w:rPr>
        <w:t xml:space="preserve">Estimated </w:t>
      </w:r>
      <w:r w:rsidR="001F08C0" w:rsidRPr="001F08C0">
        <w:rPr>
          <w:rFonts w:ascii="Cambria" w:hAnsi="Cambria" w:cstheme="minorHAnsi"/>
          <w:b/>
          <w:bCs/>
          <w:color w:val="000000"/>
          <w:sz w:val="24"/>
          <w:szCs w:val="24"/>
          <w:lang w:eastAsia="en-IN" w:bidi="hi-IN"/>
        </w:rPr>
        <w:t xml:space="preserve">Monthly cost for Extra Connections: </w:t>
      </w:r>
      <w:r w:rsidRPr="00D27F85">
        <w:rPr>
          <w:rFonts w:ascii="Cambria" w:hAnsi="Cambria" w:cstheme="minorHAnsi"/>
          <w:b/>
          <w:bCs/>
          <w:color w:val="000000"/>
          <w:sz w:val="24"/>
          <w:szCs w:val="24"/>
          <w:lang w:eastAsia="en-IN" w:bidi="hi-IN"/>
        </w:rPr>
        <w:t xml:space="preserve"> </w:t>
      </w:r>
    </w:p>
    <w:p w14:paraId="124079DC" w14:textId="2B44981A" w:rsidR="00B57674" w:rsidRDefault="00227031" w:rsidP="00923A86">
      <w:pPr>
        <w:spacing w:line="360" w:lineRule="auto"/>
        <w:ind w:left="709"/>
        <w:jc w:val="both"/>
        <w:rPr>
          <w:rFonts w:ascii="Cambria" w:hAnsi="Cambria"/>
          <w:bCs/>
          <w:szCs w:val="22"/>
        </w:rPr>
      </w:pPr>
      <w:r w:rsidRPr="00227031">
        <w:rPr>
          <w:rFonts w:ascii="Cambria" w:hAnsi="Cambria"/>
          <w:bCs/>
          <w:szCs w:val="22"/>
        </w:rPr>
        <w:t>Reporting Extra Live connections not in TPWODL billing system, presently or disconnected / Removed in TPWODL</w:t>
      </w:r>
      <w:r w:rsidR="00EB08A7">
        <w:rPr>
          <w:rFonts w:ascii="Cambria" w:hAnsi="Cambria"/>
          <w:bCs/>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3536"/>
        <w:gridCol w:w="1496"/>
        <w:gridCol w:w="2186"/>
      </w:tblGrid>
      <w:tr w:rsidR="009C22C7" w:rsidRPr="009C22C7" w14:paraId="3A9EBBEB" w14:textId="77777777" w:rsidTr="000F7DCF">
        <w:trPr>
          <w:trHeight w:val="988"/>
          <w:tblHeader/>
        </w:trPr>
        <w:tc>
          <w:tcPr>
            <w:tcW w:w="0" w:type="auto"/>
            <w:gridSpan w:val="4"/>
            <w:vAlign w:val="center"/>
            <w:hideMark/>
          </w:tcPr>
          <w:p w14:paraId="3B9ABF03" w14:textId="77777777" w:rsidR="009C22C7" w:rsidRPr="009C22C7" w:rsidRDefault="009C22C7" w:rsidP="000F221E">
            <w:pPr>
              <w:jc w:val="center"/>
              <w:rPr>
                <w:rFonts w:asciiTheme="majorHAnsi" w:hAnsiTheme="majorHAnsi"/>
                <w:b/>
                <w:bCs/>
                <w:color w:val="000000"/>
                <w:lang w:val="en-IN"/>
              </w:rPr>
            </w:pPr>
            <w:r w:rsidRPr="009C22C7">
              <w:rPr>
                <w:rFonts w:asciiTheme="majorHAnsi" w:hAnsiTheme="majorHAnsi"/>
                <w:b/>
                <w:bCs/>
                <w:color w:val="000000"/>
              </w:rPr>
              <w:t xml:space="preserve">Estimated Monthly cost for Extra Connections: Reporting Extra Live connections not in TPWODL billing system, presently or disconnected / Removed in TPWODL billing system, not given in downloaded data </w:t>
            </w:r>
          </w:p>
        </w:tc>
      </w:tr>
      <w:tr w:rsidR="009C22C7" w:rsidRPr="009C22C7" w14:paraId="5B6BD743" w14:textId="77777777" w:rsidTr="000F7DCF">
        <w:trPr>
          <w:trHeight w:val="300"/>
          <w:tblHeader/>
        </w:trPr>
        <w:tc>
          <w:tcPr>
            <w:tcW w:w="0" w:type="auto"/>
            <w:noWrap/>
            <w:vAlign w:val="center"/>
            <w:hideMark/>
          </w:tcPr>
          <w:p w14:paraId="769BFA70" w14:textId="77777777" w:rsidR="009C22C7" w:rsidRPr="009C22C7" w:rsidRDefault="009C22C7" w:rsidP="000F221E">
            <w:pPr>
              <w:jc w:val="center"/>
              <w:rPr>
                <w:rFonts w:asciiTheme="majorHAnsi" w:hAnsiTheme="majorHAnsi"/>
                <w:b/>
                <w:bCs/>
                <w:color w:val="000000"/>
              </w:rPr>
            </w:pPr>
            <w:r w:rsidRPr="009C22C7">
              <w:rPr>
                <w:rFonts w:asciiTheme="majorHAnsi" w:hAnsiTheme="majorHAnsi"/>
                <w:b/>
                <w:bCs/>
                <w:color w:val="000000"/>
              </w:rPr>
              <w:t>CIRCLE</w:t>
            </w:r>
          </w:p>
        </w:tc>
        <w:tc>
          <w:tcPr>
            <w:tcW w:w="0" w:type="auto"/>
            <w:noWrap/>
            <w:vAlign w:val="center"/>
            <w:hideMark/>
          </w:tcPr>
          <w:p w14:paraId="58E3933F" w14:textId="77777777" w:rsidR="009C22C7" w:rsidRPr="009C22C7" w:rsidRDefault="009C22C7" w:rsidP="000F221E">
            <w:pPr>
              <w:jc w:val="center"/>
              <w:rPr>
                <w:rFonts w:asciiTheme="majorHAnsi" w:hAnsiTheme="majorHAnsi"/>
                <w:b/>
                <w:bCs/>
                <w:color w:val="000000"/>
              </w:rPr>
            </w:pPr>
            <w:r w:rsidRPr="009C22C7">
              <w:rPr>
                <w:rFonts w:asciiTheme="majorHAnsi" w:hAnsiTheme="majorHAnsi"/>
                <w:b/>
                <w:bCs/>
                <w:color w:val="000000"/>
              </w:rPr>
              <w:t>Total No. of Consumers</w:t>
            </w:r>
          </w:p>
        </w:tc>
        <w:tc>
          <w:tcPr>
            <w:tcW w:w="0" w:type="auto"/>
            <w:noWrap/>
            <w:vAlign w:val="center"/>
            <w:hideMark/>
          </w:tcPr>
          <w:p w14:paraId="2D94BBC5" w14:textId="77777777" w:rsidR="009C22C7" w:rsidRPr="009C22C7" w:rsidRDefault="009C22C7" w:rsidP="000F221E">
            <w:pPr>
              <w:jc w:val="center"/>
              <w:rPr>
                <w:rFonts w:asciiTheme="majorHAnsi" w:hAnsiTheme="majorHAnsi"/>
                <w:b/>
                <w:bCs/>
                <w:color w:val="000000"/>
              </w:rPr>
            </w:pPr>
            <w:r w:rsidRPr="009C22C7">
              <w:rPr>
                <w:rFonts w:asciiTheme="majorHAnsi" w:hAnsiTheme="majorHAnsi"/>
                <w:b/>
                <w:bCs/>
                <w:color w:val="000000"/>
              </w:rPr>
              <w:t>Rate</w:t>
            </w:r>
          </w:p>
        </w:tc>
        <w:tc>
          <w:tcPr>
            <w:tcW w:w="0" w:type="auto"/>
            <w:noWrap/>
            <w:vAlign w:val="center"/>
            <w:hideMark/>
          </w:tcPr>
          <w:p w14:paraId="3DF42CEA" w14:textId="77777777" w:rsidR="009C22C7" w:rsidRPr="009C22C7" w:rsidRDefault="009C22C7" w:rsidP="000F221E">
            <w:pPr>
              <w:jc w:val="center"/>
              <w:rPr>
                <w:rFonts w:asciiTheme="majorHAnsi" w:hAnsiTheme="majorHAnsi"/>
                <w:b/>
                <w:bCs/>
                <w:color w:val="000000"/>
              </w:rPr>
            </w:pPr>
            <w:r w:rsidRPr="009C22C7">
              <w:rPr>
                <w:rFonts w:asciiTheme="majorHAnsi" w:hAnsiTheme="majorHAnsi"/>
                <w:b/>
                <w:bCs/>
                <w:color w:val="000000"/>
              </w:rPr>
              <w:t>Total (in Rs.)</w:t>
            </w:r>
          </w:p>
        </w:tc>
      </w:tr>
      <w:tr w:rsidR="009C22C7" w:rsidRPr="009C22C7" w14:paraId="6B2FAB5B" w14:textId="77777777" w:rsidTr="009C22C7">
        <w:trPr>
          <w:trHeight w:val="300"/>
        </w:trPr>
        <w:tc>
          <w:tcPr>
            <w:tcW w:w="0" w:type="auto"/>
            <w:noWrap/>
            <w:vAlign w:val="center"/>
            <w:hideMark/>
          </w:tcPr>
          <w:p w14:paraId="532DFF67" w14:textId="5C477601" w:rsidR="009C22C7" w:rsidRPr="009C22C7" w:rsidRDefault="00C534D8" w:rsidP="000F221E">
            <w:pPr>
              <w:jc w:val="center"/>
              <w:rPr>
                <w:rFonts w:asciiTheme="majorHAnsi" w:hAnsiTheme="majorHAnsi"/>
                <w:color w:val="000000"/>
              </w:rPr>
            </w:pPr>
            <w:r>
              <w:rPr>
                <w:rFonts w:asciiTheme="majorHAnsi" w:hAnsiTheme="majorHAnsi"/>
                <w:color w:val="000000"/>
              </w:rPr>
              <w:t>BOLANGIR</w:t>
            </w:r>
          </w:p>
        </w:tc>
        <w:tc>
          <w:tcPr>
            <w:tcW w:w="0" w:type="auto"/>
            <w:noWrap/>
            <w:vAlign w:val="center"/>
            <w:hideMark/>
          </w:tcPr>
          <w:p w14:paraId="26ABF8FF" w14:textId="77777777" w:rsidR="009C22C7" w:rsidRPr="009C22C7" w:rsidRDefault="009C22C7" w:rsidP="000F221E">
            <w:pPr>
              <w:jc w:val="center"/>
              <w:rPr>
                <w:rFonts w:asciiTheme="majorHAnsi" w:hAnsiTheme="majorHAnsi"/>
                <w:color w:val="000000"/>
              </w:rPr>
            </w:pPr>
            <w:r w:rsidRPr="009C22C7">
              <w:rPr>
                <w:rFonts w:asciiTheme="majorHAnsi" w:hAnsiTheme="majorHAnsi"/>
                <w:color w:val="000000"/>
              </w:rPr>
              <w:t>150</w:t>
            </w:r>
          </w:p>
        </w:tc>
        <w:tc>
          <w:tcPr>
            <w:tcW w:w="0" w:type="auto"/>
            <w:noWrap/>
            <w:vAlign w:val="center"/>
            <w:hideMark/>
          </w:tcPr>
          <w:p w14:paraId="2E7C1BAA" w14:textId="77777777" w:rsidR="009C22C7" w:rsidRPr="009C22C7" w:rsidRDefault="009C22C7" w:rsidP="000F221E">
            <w:pPr>
              <w:jc w:val="center"/>
              <w:rPr>
                <w:rFonts w:asciiTheme="majorHAnsi" w:hAnsiTheme="majorHAnsi"/>
                <w:color w:val="000000"/>
              </w:rPr>
            </w:pPr>
            <w:r w:rsidRPr="009C22C7">
              <w:rPr>
                <w:rFonts w:asciiTheme="majorHAnsi" w:hAnsiTheme="majorHAnsi"/>
                <w:color w:val="000000"/>
              </w:rPr>
              <w:t>₹ 120.00</w:t>
            </w:r>
          </w:p>
        </w:tc>
        <w:tc>
          <w:tcPr>
            <w:tcW w:w="0" w:type="auto"/>
            <w:noWrap/>
            <w:vAlign w:val="center"/>
            <w:hideMark/>
          </w:tcPr>
          <w:p w14:paraId="6A3E181B" w14:textId="77777777" w:rsidR="009C22C7" w:rsidRPr="009C22C7" w:rsidRDefault="009C22C7" w:rsidP="000F221E">
            <w:pPr>
              <w:jc w:val="center"/>
              <w:rPr>
                <w:rFonts w:asciiTheme="majorHAnsi" w:hAnsiTheme="majorHAnsi"/>
                <w:color w:val="000000"/>
              </w:rPr>
            </w:pPr>
            <w:r w:rsidRPr="009C22C7">
              <w:rPr>
                <w:rFonts w:asciiTheme="majorHAnsi" w:hAnsiTheme="majorHAnsi"/>
                <w:color w:val="000000"/>
              </w:rPr>
              <w:t>₹ 18,000.00</w:t>
            </w:r>
          </w:p>
        </w:tc>
      </w:tr>
      <w:tr w:rsidR="009C22C7" w:rsidRPr="009C22C7" w14:paraId="2170F3C5" w14:textId="77777777" w:rsidTr="009C22C7">
        <w:trPr>
          <w:trHeight w:val="300"/>
        </w:trPr>
        <w:tc>
          <w:tcPr>
            <w:tcW w:w="0" w:type="auto"/>
            <w:noWrap/>
            <w:vAlign w:val="center"/>
            <w:hideMark/>
          </w:tcPr>
          <w:p w14:paraId="1ECDC350" w14:textId="77777777" w:rsidR="009C22C7" w:rsidRPr="009C22C7" w:rsidRDefault="009C22C7" w:rsidP="000F221E">
            <w:pPr>
              <w:jc w:val="center"/>
              <w:rPr>
                <w:rFonts w:asciiTheme="majorHAnsi" w:hAnsiTheme="majorHAnsi"/>
                <w:color w:val="000000"/>
              </w:rPr>
            </w:pPr>
            <w:r w:rsidRPr="009C22C7">
              <w:rPr>
                <w:rFonts w:asciiTheme="majorHAnsi" w:hAnsiTheme="majorHAnsi"/>
                <w:color w:val="000000"/>
              </w:rPr>
              <w:t>BARGARH</w:t>
            </w:r>
          </w:p>
        </w:tc>
        <w:tc>
          <w:tcPr>
            <w:tcW w:w="0" w:type="auto"/>
            <w:noWrap/>
            <w:vAlign w:val="center"/>
            <w:hideMark/>
          </w:tcPr>
          <w:p w14:paraId="56CA9446" w14:textId="77777777" w:rsidR="009C22C7" w:rsidRPr="009C22C7" w:rsidRDefault="009C22C7" w:rsidP="000F221E">
            <w:pPr>
              <w:jc w:val="center"/>
              <w:rPr>
                <w:rFonts w:asciiTheme="majorHAnsi" w:hAnsiTheme="majorHAnsi"/>
                <w:color w:val="000000"/>
              </w:rPr>
            </w:pPr>
            <w:r w:rsidRPr="009C22C7">
              <w:rPr>
                <w:rFonts w:asciiTheme="majorHAnsi" w:hAnsiTheme="majorHAnsi"/>
                <w:color w:val="000000"/>
              </w:rPr>
              <w:t>100</w:t>
            </w:r>
          </w:p>
        </w:tc>
        <w:tc>
          <w:tcPr>
            <w:tcW w:w="0" w:type="auto"/>
            <w:noWrap/>
            <w:vAlign w:val="center"/>
            <w:hideMark/>
          </w:tcPr>
          <w:p w14:paraId="34A734D2" w14:textId="77777777" w:rsidR="009C22C7" w:rsidRPr="009C22C7" w:rsidRDefault="009C22C7" w:rsidP="000F221E">
            <w:pPr>
              <w:jc w:val="center"/>
              <w:rPr>
                <w:rFonts w:asciiTheme="majorHAnsi" w:hAnsiTheme="majorHAnsi"/>
                <w:color w:val="000000"/>
              </w:rPr>
            </w:pPr>
            <w:r w:rsidRPr="009C22C7">
              <w:rPr>
                <w:rFonts w:asciiTheme="majorHAnsi" w:hAnsiTheme="majorHAnsi"/>
                <w:color w:val="000000"/>
              </w:rPr>
              <w:t>₹ 120.00</w:t>
            </w:r>
          </w:p>
        </w:tc>
        <w:tc>
          <w:tcPr>
            <w:tcW w:w="0" w:type="auto"/>
            <w:noWrap/>
            <w:vAlign w:val="center"/>
            <w:hideMark/>
          </w:tcPr>
          <w:p w14:paraId="0DA22BA4" w14:textId="77777777" w:rsidR="009C22C7" w:rsidRPr="009C22C7" w:rsidRDefault="009C22C7" w:rsidP="000F221E">
            <w:pPr>
              <w:jc w:val="center"/>
              <w:rPr>
                <w:rFonts w:asciiTheme="majorHAnsi" w:hAnsiTheme="majorHAnsi"/>
                <w:color w:val="000000"/>
              </w:rPr>
            </w:pPr>
            <w:r w:rsidRPr="009C22C7">
              <w:rPr>
                <w:rFonts w:asciiTheme="majorHAnsi" w:hAnsiTheme="majorHAnsi"/>
                <w:color w:val="000000"/>
              </w:rPr>
              <w:t>₹ 12,000.00</w:t>
            </w:r>
          </w:p>
        </w:tc>
      </w:tr>
      <w:tr w:rsidR="009C22C7" w:rsidRPr="009C22C7" w14:paraId="68710BD8" w14:textId="77777777" w:rsidTr="009C22C7">
        <w:trPr>
          <w:trHeight w:val="300"/>
        </w:trPr>
        <w:tc>
          <w:tcPr>
            <w:tcW w:w="0" w:type="auto"/>
            <w:noWrap/>
            <w:vAlign w:val="center"/>
            <w:hideMark/>
          </w:tcPr>
          <w:p w14:paraId="05448118" w14:textId="77777777" w:rsidR="009C22C7" w:rsidRPr="009C22C7" w:rsidRDefault="009C22C7" w:rsidP="000F221E">
            <w:pPr>
              <w:jc w:val="center"/>
              <w:rPr>
                <w:rFonts w:asciiTheme="majorHAnsi" w:hAnsiTheme="majorHAnsi"/>
                <w:color w:val="000000"/>
              </w:rPr>
            </w:pPr>
            <w:r w:rsidRPr="009C22C7">
              <w:rPr>
                <w:rFonts w:asciiTheme="majorHAnsi" w:hAnsiTheme="majorHAnsi"/>
                <w:color w:val="000000"/>
              </w:rPr>
              <w:t>SAMBALPUR</w:t>
            </w:r>
          </w:p>
        </w:tc>
        <w:tc>
          <w:tcPr>
            <w:tcW w:w="0" w:type="auto"/>
            <w:noWrap/>
            <w:vAlign w:val="center"/>
            <w:hideMark/>
          </w:tcPr>
          <w:p w14:paraId="301935DC" w14:textId="77777777" w:rsidR="009C22C7" w:rsidRPr="009C22C7" w:rsidRDefault="009C22C7" w:rsidP="000F221E">
            <w:pPr>
              <w:jc w:val="center"/>
              <w:rPr>
                <w:rFonts w:asciiTheme="majorHAnsi" w:hAnsiTheme="majorHAnsi"/>
                <w:color w:val="000000"/>
              </w:rPr>
            </w:pPr>
            <w:r w:rsidRPr="009C22C7">
              <w:rPr>
                <w:rFonts w:asciiTheme="majorHAnsi" w:hAnsiTheme="majorHAnsi"/>
                <w:color w:val="000000"/>
              </w:rPr>
              <w:t>250</w:t>
            </w:r>
          </w:p>
        </w:tc>
        <w:tc>
          <w:tcPr>
            <w:tcW w:w="0" w:type="auto"/>
            <w:noWrap/>
            <w:vAlign w:val="center"/>
            <w:hideMark/>
          </w:tcPr>
          <w:p w14:paraId="5233FEFB" w14:textId="77777777" w:rsidR="009C22C7" w:rsidRPr="009C22C7" w:rsidRDefault="009C22C7" w:rsidP="000F221E">
            <w:pPr>
              <w:jc w:val="center"/>
              <w:rPr>
                <w:rFonts w:asciiTheme="majorHAnsi" w:hAnsiTheme="majorHAnsi"/>
                <w:color w:val="000000"/>
              </w:rPr>
            </w:pPr>
            <w:r w:rsidRPr="009C22C7">
              <w:rPr>
                <w:rFonts w:asciiTheme="majorHAnsi" w:hAnsiTheme="majorHAnsi"/>
                <w:color w:val="000000"/>
              </w:rPr>
              <w:t>₹ 120.00</w:t>
            </w:r>
          </w:p>
        </w:tc>
        <w:tc>
          <w:tcPr>
            <w:tcW w:w="0" w:type="auto"/>
            <w:noWrap/>
            <w:vAlign w:val="center"/>
            <w:hideMark/>
          </w:tcPr>
          <w:p w14:paraId="2FC9B6A8" w14:textId="77777777" w:rsidR="009C22C7" w:rsidRPr="009C22C7" w:rsidRDefault="009C22C7" w:rsidP="000F221E">
            <w:pPr>
              <w:jc w:val="center"/>
              <w:rPr>
                <w:rFonts w:asciiTheme="majorHAnsi" w:hAnsiTheme="majorHAnsi"/>
                <w:color w:val="000000"/>
              </w:rPr>
            </w:pPr>
            <w:r w:rsidRPr="009C22C7">
              <w:rPr>
                <w:rFonts w:asciiTheme="majorHAnsi" w:hAnsiTheme="majorHAnsi"/>
                <w:color w:val="000000"/>
              </w:rPr>
              <w:t>₹ 30,000.00</w:t>
            </w:r>
          </w:p>
        </w:tc>
      </w:tr>
      <w:tr w:rsidR="009C22C7" w:rsidRPr="009C22C7" w14:paraId="5E5590B3" w14:textId="77777777" w:rsidTr="009C22C7">
        <w:trPr>
          <w:trHeight w:val="300"/>
        </w:trPr>
        <w:tc>
          <w:tcPr>
            <w:tcW w:w="0" w:type="auto"/>
            <w:noWrap/>
            <w:vAlign w:val="center"/>
            <w:hideMark/>
          </w:tcPr>
          <w:p w14:paraId="53E03BE1" w14:textId="77777777" w:rsidR="009C22C7" w:rsidRPr="009C22C7" w:rsidRDefault="009C22C7" w:rsidP="000F221E">
            <w:pPr>
              <w:jc w:val="center"/>
              <w:rPr>
                <w:rFonts w:asciiTheme="majorHAnsi" w:hAnsiTheme="majorHAnsi"/>
                <w:color w:val="000000"/>
              </w:rPr>
            </w:pPr>
            <w:r w:rsidRPr="009C22C7">
              <w:rPr>
                <w:rFonts w:asciiTheme="majorHAnsi" w:hAnsiTheme="majorHAnsi"/>
                <w:color w:val="000000"/>
              </w:rPr>
              <w:t>KALAHANDI</w:t>
            </w:r>
          </w:p>
        </w:tc>
        <w:tc>
          <w:tcPr>
            <w:tcW w:w="0" w:type="auto"/>
            <w:noWrap/>
            <w:vAlign w:val="center"/>
            <w:hideMark/>
          </w:tcPr>
          <w:p w14:paraId="5C65FB7B" w14:textId="77777777" w:rsidR="009C22C7" w:rsidRPr="009C22C7" w:rsidRDefault="009C22C7" w:rsidP="000F221E">
            <w:pPr>
              <w:jc w:val="center"/>
              <w:rPr>
                <w:rFonts w:asciiTheme="majorHAnsi" w:hAnsiTheme="majorHAnsi"/>
                <w:color w:val="000000"/>
              </w:rPr>
            </w:pPr>
            <w:r w:rsidRPr="009C22C7">
              <w:rPr>
                <w:rFonts w:asciiTheme="majorHAnsi" w:hAnsiTheme="majorHAnsi"/>
                <w:color w:val="000000"/>
              </w:rPr>
              <w:t>150</w:t>
            </w:r>
          </w:p>
        </w:tc>
        <w:tc>
          <w:tcPr>
            <w:tcW w:w="0" w:type="auto"/>
            <w:noWrap/>
            <w:vAlign w:val="center"/>
            <w:hideMark/>
          </w:tcPr>
          <w:p w14:paraId="4F6D883B" w14:textId="77777777" w:rsidR="009C22C7" w:rsidRPr="009C22C7" w:rsidRDefault="009C22C7" w:rsidP="000F221E">
            <w:pPr>
              <w:jc w:val="center"/>
              <w:rPr>
                <w:rFonts w:asciiTheme="majorHAnsi" w:hAnsiTheme="majorHAnsi"/>
                <w:color w:val="000000"/>
              </w:rPr>
            </w:pPr>
            <w:r w:rsidRPr="009C22C7">
              <w:rPr>
                <w:rFonts w:asciiTheme="majorHAnsi" w:hAnsiTheme="majorHAnsi"/>
                <w:color w:val="000000"/>
              </w:rPr>
              <w:t>₹ 120.00</w:t>
            </w:r>
          </w:p>
        </w:tc>
        <w:tc>
          <w:tcPr>
            <w:tcW w:w="0" w:type="auto"/>
            <w:noWrap/>
            <w:vAlign w:val="center"/>
            <w:hideMark/>
          </w:tcPr>
          <w:p w14:paraId="38102483" w14:textId="77777777" w:rsidR="009C22C7" w:rsidRPr="009C22C7" w:rsidRDefault="009C22C7" w:rsidP="000F221E">
            <w:pPr>
              <w:jc w:val="center"/>
              <w:rPr>
                <w:rFonts w:asciiTheme="majorHAnsi" w:hAnsiTheme="majorHAnsi"/>
                <w:color w:val="000000"/>
              </w:rPr>
            </w:pPr>
            <w:r w:rsidRPr="009C22C7">
              <w:rPr>
                <w:rFonts w:asciiTheme="majorHAnsi" w:hAnsiTheme="majorHAnsi"/>
                <w:color w:val="000000"/>
              </w:rPr>
              <w:t>₹ 18,000.00</w:t>
            </w:r>
          </w:p>
        </w:tc>
      </w:tr>
      <w:tr w:rsidR="009C22C7" w:rsidRPr="009C22C7" w14:paraId="4174F740" w14:textId="77777777" w:rsidTr="009C22C7">
        <w:trPr>
          <w:trHeight w:val="300"/>
        </w:trPr>
        <w:tc>
          <w:tcPr>
            <w:tcW w:w="0" w:type="auto"/>
            <w:noWrap/>
            <w:vAlign w:val="center"/>
            <w:hideMark/>
          </w:tcPr>
          <w:p w14:paraId="139D1E70" w14:textId="77777777" w:rsidR="009C22C7" w:rsidRPr="009C22C7" w:rsidRDefault="009C22C7" w:rsidP="000F221E">
            <w:pPr>
              <w:jc w:val="center"/>
              <w:rPr>
                <w:rFonts w:asciiTheme="majorHAnsi" w:hAnsiTheme="majorHAnsi"/>
                <w:color w:val="000000"/>
              </w:rPr>
            </w:pPr>
            <w:r w:rsidRPr="009C22C7">
              <w:rPr>
                <w:rFonts w:asciiTheme="majorHAnsi" w:hAnsiTheme="majorHAnsi"/>
                <w:color w:val="000000"/>
              </w:rPr>
              <w:t>ROURKELA</w:t>
            </w:r>
          </w:p>
        </w:tc>
        <w:tc>
          <w:tcPr>
            <w:tcW w:w="0" w:type="auto"/>
            <w:noWrap/>
            <w:vAlign w:val="center"/>
            <w:hideMark/>
          </w:tcPr>
          <w:p w14:paraId="0DA56863" w14:textId="77777777" w:rsidR="009C22C7" w:rsidRPr="009C22C7" w:rsidRDefault="009C22C7" w:rsidP="000F221E">
            <w:pPr>
              <w:jc w:val="center"/>
              <w:rPr>
                <w:rFonts w:asciiTheme="majorHAnsi" w:hAnsiTheme="majorHAnsi"/>
                <w:color w:val="000000"/>
              </w:rPr>
            </w:pPr>
            <w:r w:rsidRPr="009C22C7">
              <w:rPr>
                <w:rFonts w:asciiTheme="majorHAnsi" w:hAnsiTheme="majorHAnsi"/>
                <w:color w:val="000000"/>
              </w:rPr>
              <w:t>200</w:t>
            </w:r>
          </w:p>
        </w:tc>
        <w:tc>
          <w:tcPr>
            <w:tcW w:w="0" w:type="auto"/>
            <w:noWrap/>
            <w:vAlign w:val="center"/>
            <w:hideMark/>
          </w:tcPr>
          <w:p w14:paraId="1DA24C33" w14:textId="77777777" w:rsidR="009C22C7" w:rsidRPr="009C22C7" w:rsidRDefault="009C22C7" w:rsidP="000F221E">
            <w:pPr>
              <w:jc w:val="center"/>
              <w:rPr>
                <w:rFonts w:asciiTheme="majorHAnsi" w:hAnsiTheme="majorHAnsi"/>
                <w:color w:val="000000"/>
              </w:rPr>
            </w:pPr>
            <w:r w:rsidRPr="009C22C7">
              <w:rPr>
                <w:rFonts w:asciiTheme="majorHAnsi" w:hAnsiTheme="majorHAnsi"/>
                <w:color w:val="000000"/>
              </w:rPr>
              <w:t>₹ 120.00</w:t>
            </w:r>
          </w:p>
        </w:tc>
        <w:tc>
          <w:tcPr>
            <w:tcW w:w="0" w:type="auto"/>
            <w:noWrap/>
            <w:vAlign w:val="center"/>
            <w:hideMark/>
          </w:tcPr>
          <w:p w14:paraId="7651F6C6" w14:textId="77777777" w:rsidR="009C22C7" w:rsidRPr="009C22C7" w:rsidRDefault="009C22C7" w:rsidP="000F221E">
            <w:pPr>
              <w:jc w:val="center"/>
              <w:rPr>
                <w:rFonts w:asciiTheme="majorHAnsi" w:hAnsiTheme="majorHAnsi"/>
                <w:color w:val="000000"/>
              </w:rPr>
            </w:pPr>
            <w:r w:rsidRPr="009C22C7">
              <w:rPr>
                <w:rFonts w:asciiTheme="majorHAnsi" w:hAnsiTheme="majorHAnsi"/>
                <w:color w:val="000000"/>
              </w:rPr>
              <w:t>₹ 24,000.00</w:t>
            </w:r>
          </w:p>
        </w:tc>
      </w:tr>
      <w:tr w:rsidR="009C22C7" w:rsidRPr="009C22C7" w14:paraId="313A496E" w14:textId="77777777" w:rsidTr="009C22C7">
        <w:trPr>
          <w:trHeight w:val="300"/>
        </w:trPr>
        <w:tc>
          <w:tcPr>
            <w:tcW w:w="0" w:type="auto"/>
            <w:noWrap/>
            <w:vAlign w:val="center"/>
            <w:hideMark/>
          </w:tcPr>
          <w:p w14:paraId="3F3E2CB0" w14:textId="77777777" w:rsidR="009C22C7" w:rsidRPr="009C22C7" w:rsidRDefault="009C22C7" w:rsidP="000F221E">
            <w:pPr>
              <w:jc w:val="center"/>
              <w:rPr>
                <w:rFonts w:asciiTheme="majorHAnsi" w:hAnsiTheme="majorHAnsi"/>
                <w:b/>
                <w:bCs/>
                <w:color w:val="000000"/>
              </w:rPr>
            </w:pPr>
            <w:r w:rsidRPr="009C22C7">
              <w:rPr>
                <w:rFonts w:asciiTheme="majorHAnsi" w:hAnsiTheme="majorHAnsi"/>
                <w:b/>
                <w:bCs/>
                <w:color w:val="000000"/>
              </w:rPr>
              <w:t>TOTAL</w:t>
            </w:r>
          </w:p>
        </w:tc>
        <w:tc>
          <w:tcPr>
            <w:tcW w:w="0" w:type="auto"/>
            <w:noWrap/>
            <w:vAlign w:val="center"/>
            <w:hideMark/>
          </w:tcPr>
          <w:p w14:paraId="4F453EFE" w14:textId="77777777" w:rsidR="009C22C7" w:rsidRPr="009C22C7" w:rsidRDefault="009C22C7" w:rsidP="000F221E">
            <w:pPr>
              <w:jc w:val="center"/>
              <w:rPr>
                <w:rFonts w:asciiTheme="majorHAnsi" w:hAnsiTheme="majorHAnsi"/>
                <w:b/>
                <w:bCs/>
                <w:color w:val="000000"/>
              </w:rPr>
            </w:pPr>
            <w:r w:rsidRPr="009C22C7">
              <w:rPr>
                <w:rFonts w:asciiTheme="majorHAnsi" w:hAnsiTheme="majorHAnsi"/>
                <w:b/>
                <w:bCs/>
                <w:color w:val="000000"/>
              </w:rPr>
              <w:t>850</w:t>
            </w:r>
          </w:p>
        </w:tc>
        <w:tc>
          <w:tcPr>
            <w:tcW w:w="0" w:type="auto"/>
            <w:noWrap/>
            <w:vAlign w:val="center"/>
            <w:hideMark/>
          </w:tcPr>
          <w:p w14:paraId="2E8E750F" w14:textId="77777777" w:rsidR="009C22C7" w:rsidRPr="009C22C7" w:rsidRDefault="009C22C7" w:rsidP="000F221E">
            <w:pPr>
              <w:jc w:val="center"/>
              <w:rPr>
                <w:rFonts w:asciiTheme="majorHAnsi" w:hAnsiTheme="majorHAnsi"/>
                <w:b/>
                <w:bCs/>
                <w:color w:val="000000"/>
              </w:rPr>
            </w:pPr>
            <w:r w:rsidRPr="009C22C7">
              <w:rPr>
                <w:rFonts w:asciiTheme="majorHAnsi" w:hAnsiTheme="majorHAnsi"/>
                <w:b/>
                <w:bCs/>
                <w:color w:val="000000"/>
              </w:rPr>
              <w:t>₹ 120.00</w:t>
            </w:r>
          </w:p>
        </w:tc>
        <w:tc>
          <w:tcPr>
            <w:tcW w:w="0" w:type="auto"/>
            <w:noWrap/>
            <w:vAlign w:val="center"/>
            <w:hideMark/>
          </w:tcPr>
          <w:p w14:paraId="2A2D91AC" w14:textId="77777777" w:rsidR="009C22C7" w:rsidRPr="009C22C7" w:rsidRDefault="009C22C7" w:rsidP="000F221E">
            <w:pPr>
              <w:jc w:val="center"/>
              <w:rPr>
                <w:rFonts w:asciiTheme="majorHAnsi" w:hAnsiTheme="majorHAnsi"/>
                <w:b/>
                <w:bCs/>
                <w:color w:val="000000"/>
              </w:rPr>
            </w:pPr>
            <w:r w:rsidRPr="009C22C7">
              <w:rPr>
                <w:rFonts w:asciiTheme="majorHAnsi" w:hAnsiTheme="majorHAnsi"/>
                <w:b/>
                <w:bCs/>
                <w:color w:val="000000"/>
              </w:rPr>
              <w:t>₹ 1,02,000.00</w:t>
            </w:r>
          </w:p>
        </w:tc>
      </w:tr>
    </w:tbl>
    <w:p w14:paraId="748F30DE" w14:textId="77777777" w:rsidR="00B57674" w:rsidRPr="00D27F85" w:rsidRDefault="00B57674" w:rsidP="00B57674">
      <w:pPr>
        <w:spacing w:line="256" w:lineRule="auto"/>
        <w:jc w:val="both"/>
        <w:rPr>
          <w:rFonts w:asciiTheme="majorHAnsi" w:hAnsiTheme="majorHAnsi" w:cstheme="minorHAnsi"/>
          <w:b/>
          <w:bCs/>
        </w:rPr>
      </w:pPr>
    </w:p>
    <w:p w14:paraId="3452BA19" w14:textId="09A2DCD0" w:rsidR="00B57674" w:rsidRDefault="007924E4" w:rsidP="001972DE">
      <w:pPr>
        <w:pStyle w:val="ListParagraph"/>
        <w:numPr>
          <w:ilvl w:val="0"/>
          <w:numId w:val="13"/>
        </w:numPr>
        <w:ind w:left="709"/>
        <w:jc w:val="both"/>
        <w:rPr>
          <w:rFonts w:ascii="Cambria" w:hAnsi="Cambria" w:cstheme="minorHAnsi"/>
          <w:b/>
          <w:bCs/>
          <w:color w:val="000000"/>
          <w:sz w:val="24"/>
          <w:szCs w:val="24"/>
          <w:lang w:eastAsia="en-IN" w:bidi="hi-IN"/>
        </w:rPr>
      </w:pPr>
      <w:r w:rsidRPr="007924E4">
        <w:rPr>
          <w:rFonts w:ascii="Cambria" w:hAnsi="Cambria" w:cstheme="minorHAnsi"/>
          <w:b/>
          <w:bCs/>
          <w:color w:val="000000"/>
          <w:sz w:val="24"/>
          <w:szCs w:val="24"/>
          <w:lang w:eastAsia="en-IN" w:bidi="hi-IN"/>
        </w:rPr>
        <w:t>Estimated Monthly cost for Capturing &amp; reporting of correct Mobile No/Email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3633"/>
        <w:gridCol w:w="1164"/>
        <w:gridCol w:w="2233"/>
      </w:tblGrid>
      <w:tr w:rsidR="00FF6D04" w:rsidRPr="00FF6D04" w14:paraId="212741D8" w14:textId="77777777" w:rsidTr="00BD2565">
        <w:trPr>
          <w:trHeight w:val="580"/>
          <w:tblHeader/>
        </w:trPr>
        <w:tc>
          <w:tcPr>
            <w:tcW w:w="0" w:type="auto"/>
            <w:gridSpan w:val="4"/>
            <w:vAlign w:val="center"/>
            <w:hideMark/>
          </w:tcPr>
          <w:p w14:paraId="59B21D9F" w14:textId="77777777" w:rsidR="00FF6D04" w:rsidRPr="00FF6D04" w:rsidRDefault="00FF6D04" w:rsidP="000F221E">
            <w:pPr>
              <w:jc w:val="center"/>
              <w:rPr>
                <w:rFonts w:asciiTheme="majorHAnsi" w:hAnsiTheme="majorHAnsi"/>
                <w:b/>
                <w:bCs/>
                <w:color w:val="000000"/>
                <w:lang w:val="en-IN"/>
              </w:rPr>
            </w:pPr>
            <w:r w:rsidRPr="00FF6D04">
              <w:rPr>
                <w:rFonts w:asciiTheme="majorHAnsi" w:hAnsiTheme="majorHAnsi"/>
                <w:b/>
                <w:bCs/>
                <w:color w:val="000000"/>
              </w:rPr>
              <w:t>Estimated Monthly cost for Capturing &amp; reporting of correct Mobile No/Email ID.</w:t>
            </w:r>
          </w:p>
        </w:tc>
      </w:tr>
      <w:tr w:rsidR="00FF6D04" w:rsidRPr="00FF6D04" w14:paraId="6BA0376E" w14:textId="77777777" w:rsidTr="00BD2565">
        <w:trPr>
          <w:trHeight w:val="300"/>
          <w:tblHeader/>
        </w:trPr>
        <w:tc>
          <w:tcPr>
            <w:tcW w:w="0" w:type="auto"/>
            <w:noWrap/>
            <w:vAlign w:val="center"/>
            <w:hideMark/>
          </w:tcPr>
          <w:p w14:paraId="7A15B037" w14:textId="77777777" w:rsidR="00FF6D04" w:rsidRPr="00FF6D04" w:rsidRDefault="00FF6D04" w:rsidP="000F221E">
            <w:pPr>
              <w:jc w:val="center"/>
              <w:rPr>
                <w:rFonts w:asciiTheme="majorHAnsi" w:hAnsiTheme="majorHAnsi"/>
                <w:b/>
                <w:bCs/>
                <w:color w:val="000000"/>
              </w:rPr>
            </w:pPr>
            <w:r w:rsidRPr="00FF6D04">
              <w:rPr>
                <w:rFonts w:asciiTheme="majorHAnsi" w:hAnsiTheme="majorHAnsi"/>
                <w:b/>
                <w:bCs/>
                <w:color w:val="000000"/>
              </w:rPr>
              <w:t>CIRCLE</w:t>
            </w:r>
          </w:p>
        </w:tc>
        <w:tc>
          <w:tcPr>
            <w:tcW w:w="0" w:type="auto"/>
            <w:noWrap/>
            <w:vAlign w:val="center"/>
            <w:hideMark/>
          </w:tcPr>
          <w:p w14:paraId="2D162964" w14:textId="77777777" w:rsidR="00FF6D04" w:rsidRPr="00FF6D04" w:rsidRDefault="00FF6D04" w:rsidP="000F221E">
            <w:pPr>
              <w:jc w:val="center"/>
              <w:rPr>
                <w:rFonts w:asciiTheme="majorHAnsi" w:hAnsiTheme="majorHAnsi"/>
                <w:b/>
                <w:bCs/>
                <w:color w:val="000000"/>
              </w:rPr>
            </w:pPr>
            <w:r w:rsidRPr="00FF6D04">
              <w:rPr>
                <w:rFonts w:asciiTheme="majorHAnsi" w:hAnsiTheme="majorHAnsi"/>
                <w:b/>
                <w:bCs/>
                <w:color w:val="000000"/>
              </w:rPr>
              <w:t>Total No. of Consumers</w:t>
            </w:r>
          </w:p>
        </w:tc>
        <w:tc>
          <w:tcPr>
            <w:tcW w:w="0" w:type="auto"/>
            <w:noWrap/>
            <w:vAlign w:val="center"/>
            <w:hideMark/>
          </w:tcPr>
          <w:p w14:paraId="463E9B19" w14:textId="77777777" w:rsidR="00FF6D04" w:rsidRPr="00FF6D04" w:rsidRDefault="00FF6D04" w:rsidP="000F221E">
            <w:pPr>
              <w:jc w:val="center"/>
              <w:rPr>
                <w:rFonts w:asciiTheme="majorHAnsi" w:hAnsiTheme="majorHAnsi"/>
                <w:b/>
                <w:bCs/>
                <w:color w:val="000000"/>
              </w:rPr>
            </w:pPr>
            <w:r w:rsidRPr="00FF6D04">
              <w:rPr>
                <w:rFonts w:asciiTheme="majorHAnsi" w:hAnsiTheme="majorHAnsi"/>
                <w:b/>
                <w:bCs/>
                <w:color w:val="000000"/>
              </w:rPr>
              <w:t>Rate</w:t>
            </w:r>
          </w:p>
        </w:tc>
        <w:tc>
          <w:tcPr>
            <w:tcW w:w="0" w:type="auto"/>
            <w:noWrap/>
            <w:vAlign w:val="center"/>
            <w:hideMark/>
          </w:tcPr>
          <w:p w14:paraId="6AD0E9A4" w14:textId="77777777" w:rsidR="00FF6D04" w:rsidRPr="00FF6D04" w:rsidRDefault="00FF6D04" w:rsidP="000F221E">
            <w:pPr>
              <w:jc w:val="center"/>
              <w:rPr>
                <w:rFonts w:asciiTheme="majorHAnsi" w:hAnsiTheme="majorHAnsi"/>
                <w:b/>
                <w:bCs/>
                <w:color w:val="000000"/>
              </w:rPr>
            </w:pPr>
            <w:r w:rsidRPr="00FF6D04">
              <w:rPr>
                <w:rFonts w:asciiTheme="majorHAnsi" w:hAnsiTheme="majorHAnsi"/>
                <w:b/>
                <w:bCs/>
                <w:color w:val="000000"/>
              </w:rPr>
              <w:t>Total  (in Rs.)</w:t>
            </w:r>
          </w:p>
        </w:tc>
      </w:tr>
      <w:tr w:rsidR="00FF6D04" w:rsidRPr="00FF6D04" w14:paraId="6B56434E" w14:textId="77777777" w:rsidTr="00FF6D04">
        <w:trPr>
          <w:trHeight w:val="300"/>
        </w:trPr>
        <w:tc>
          <w:tcPr>
            <w:tcW w:w="0" w:type="auto"/>
            <w:noWrap/>
            <w:vAlign w:val="center"/>
            <w:hideMark/>
          </w:tcPr>
          <w:p w14:paraId="7C7B64BA" w14:textId="1C71C94A" w:rsidR="00FF6D04" w:rsidRPr="00FF6D04" w:rsidRDefault="00C534D8" w:rsidP="000F221E">
            <w:pPr>
              <w:jc w:val="center"/>
              <w:rPr>
                <w:rFonts w:asciiTheme="majorHAnsi" w:hAnsiTheme="majorHAnsi"/>
                <w:color w:val="000000"/>
              </w:rPr>
            </w:pPr>
            <w:r>
              <w:rPr>
                <w:rFonts w:asciiTheme="majorHAnsi" w:hAnsiTheme="majorHAnsi"/>
                <w:color w:val="000000"/>
              </w:rPr>
              <w:t>BOLANGIR</w:t>
            </w:r>
          </w:p>
        </w:tc>
        <w:tc>
          <w:tcPr>
            <w:tcW w:w="0" w:type="auto"/>
            <w:noWrap/>
            <w:vAlign w:val="center"/>
            <w:hideMark/>
          </w:tcPr>
          <w:p w14:paraId="24D437D2" w14:textId="77777777" w:rsidR="00FF6D04" w:rsidRPr="00FF6D04" w:rsidRDefault="00FF6D04" w:rsidP="000F221E">
            <w:pPr>
              <w:jc w:val="center"/>
              <w:rPr>
                <w:rFonts w:asciiTheme="majorHAnsi" w:hAnsiTheme="majorHAnsi"/>
                <w:color w:val="000000"/>
              </w:rPr>
            </w:pPr>
            <w:r w:rsidRPr="00FF6D04">
              <w:rPr>
                <w:rFonts w:asciiTheme="majorHAnsi" w:hAnsiTheme="majorHAnsi"/>
                <w:color w:val="000000"/>
              </w:rPr>
              <w:t>8,500</w:t>
            </w:r>
          </w:p>
        </w:tc>
        <w:tc>
          <w:tcPr>
            <w:tcW w:w="0" w:type="auto"/>
            <w:noWrap/>
            <w:vAlign w:val="center"/>
            <w:hideMark/>
          </w:tcPr>
          <w:p w14:paraId="7C6E3DB1" w14:textId="77777777" w:rsidR="00FF6D04" w:rsidRPr="00FF6D04" w:rsidRDefault="00FF6D04" w:rsidP="000F221E">
            <w:pPr>
              <w:jc w:val="right"/>
              <w:rPr>
                <w:rFonts w:asciiTheme="majorHAnsi" w:hAnsiTheme="majorHAnsi"/>
                <w:color w:val="000000"/>
              </w:rPr>
            </w:pPr>
            <w:r w:rsidRPr="00FF6D04">
              <w:rPr>
                <w:rFonts w:asciiTheme="majorHAnsi" w:hAnsiTheme="majorHAnsi"/>
                <w:color w:val="000000"/>
              </w:rPr>
              <w:t>₹ 2.00</w:t>
            </w:r>
          </w:p>
        </w:tc>
        <w:tc>
          <w:tcPr>
            <w:tcW w:w="0" w:type="auto"/>
            <w:noWrap/>
            <w:vAlign w:val="center"/>
            <w:hideMark/>
          </w:tcPr>
          <w:p w14:paraId="2C41974E" w14:textId="77777777" w:rsidR="00FF6D04" w:rsidRPr="00FF6D04" w:rsidRDefault="00FF6D04" w:rsidP="000F221E">
            <w:pPr>
              <w:jc w:val="center"/>
              <w:rPr>
                <w:rFonts w:asciiTheme="majorHAnsi" w:hAnsiTheme="majorHAnsi"/>
                <w:color w:val="000000"/>
              </w:rPr>
            </w:pPr>
            <w:r w:rsidRPr="00FF6D04">
              <w:rPr>
                <w:rFonts w:asciiTheme="majorHAnsi" w:hAnsiTheme="majorHAnsi"/>
                <w:color w:val="000000"/>
              </w:rPr>
              <w:t>₹ 17,000.00</w:t>
            </w:r>
          </w:p>
        </w:tc>
      </w:tr>
      <w:tr w:rsidR="00FF6D04" w:rsidRPr="00FF6D04" w14:paraId="12452A5D" w14:textId="77777777" w:rsidTr="00FF6D04">
        <w:trPr>
          <w:trHeight w:val="300"/>
        </w:trPr>
        <w:tc>
          <w:tcPr>
            <w:tcW w:w="0" w:type="auto"/>
            <w:noWrap/>
            <w:vAlign w:val="center"/>
            <w:hideMark/>
          </w:tcPr>
          <w:p w14:paraId="6760FB79" w14:textId="77777777" w:rsidR="00FF6D04" w:rsidRPr="00FF6D04" w:rsidRDefault="00FF6D04" w:rsidP="000F221E">
            <w:pPr>
              <w:jc w:val="center"/>
              <w:rPr>
                <w:rFonts w:asciiTheme="majorHAnsi" w:hAnsiTheme="majorHAnsi"/>
                <w:color w:val="000000"/>
              </w:rPr>
            </w:pPr>
            <w:r w:rsidRPr="00FF6D04">
              <w:rPr>
                <w:rFonts w:asciiTheme="majorHAnsi" w:hAnsiTheme="majorHAnsi"/>
                <w:color w:val="000000"/>
              </w:rPr>
              <w:t>BARGARH</w:t>
            </w:r>
          </w:p>
        </w:tc>
        <w:tc>
          <w:tcPr>
            <w:tcW w:w="0" w:type="auto"/>
            <w:noWrap/>
            <w:vAlign w:val="center"/>
            <w:hideMark/>
          </w:tcPr>
          <w:p w14:paraId="0E9C3FC8" w14:textId="77777777" w:rsidR="00FF6D04" w:rsidRPr="00FF6D04" w:rsidRDefault="00FF6D04" w:rsidP="000F221E">
            <w:pPr>
              <w:jc w:val="center"/>
              <w:rPr>
                <w:rFonts w:asciiTheme="majorHAnsi" w:hAnsiTheme="majorHAnsi"/>
                <w:color w:val="000000"/>
              </w:rPr>
            </w:pPr>
            <w:r w:rsidRPr="00FF6D04">
              <w:rPr>
                <w:rFonts w:asciiTheme="majorHAnsi" w:hAnsiTheme="majorHAnsi"/>
                <w:color w:val="000000"/>
              </w:rPr>
              <w:t>5,500</w:t>
            </w:r>
          </w:p>
        </w:tc>
        <w:tc>
          <w:tcPr>
            <w:tcW w:w="0" w:type="auto"/>
            <w:noWrap/>
            <w:vAlign w:val="center"/>
            <w:hideMark/>
          </w:tcPr>
          <w:p w14:paraId="1B478193" w14:textId="77777777" w:rsidR="00FF6D04" w:rsidRPr="00FF6D04" w:rsidRDefault="00FF6D04" w:rsidP="000F221E">
            <w:pPr>
              <w:jc w:val="right"/>
              <w:rPr>
                <w:rFonts w:asciiTheme="majorHAnsi" w:hAnsiTheme="majorHAnsi"/>
                <w:color w:val="000000"/>
              </w:rPr>
            </w:pPr>
            <w:r w:rsidRPr="00FF6D04">
              <w:rPr>
                <w:rFonts w:asciiTheme="majorHAnsi" w:hAnsiTheme="majorHAnsi"/>
                <w:color w:val="000000"/>
              </w:rPr>
              <w:t>₹ 2.00</w:t>
            </w:r>
          </w:p>
        </w:tc>
        <w:tc>
          <w:tcPr>
            <w:tcW w:w="0" w:type="auto"/>
            <w:noWrap/>
            <w:vAlign w:val="center"/>
            <w:hideMark/>
          </w:tcPr>
          <w:p w14:paraId="2142946F" w14:textId="77777777" w:rsidR="00FF6D04" w:rsidRPr="00FF6D04" w:rsidRDefault="00FF6D04" w:rsidP="000F221E">
            <w:pPr>
              <w:jc w:val="center"/>
              <w:rPr>
                <w:rFonts w:asciiTheme="majorHAnsi" w:hAnsiTheme="majorHAnsi"/>
                <w:color w:val="000000"/>
              </w:rPr>
            </w:pPr>
            <w:r w:rsidRPr="00FF6D04">
              <w:rPr>
                <w:rFonts w:asciiTheme="majorHAnsi" w:hAnsiTheme="majorHAnsi"/>
                <w:color w:val="000000"/>
              </w:rPr>
              <w:t>₹ 11,000.00</w:t>
            </w:r>
          </w:p>
        </w:tc>
      </w:tr>
      <w:tr w:rsidR="00FF6D04" w:rsidRPr="00FF6D04" w14:paraId="20579E6A" w14:textId="77777777" w:rsidTr="00FF6D04">
        <w:trPr>
          <w:trHeight w:val="300"/>
        </w:trPr>
        <w:tc>
          <w:tcPr>
            <w:tcW w:w="0" w:type="auto"/>
            <w:noWrap/>
            <w:vAlign w:val="center"/>
            <w:hideMark/>
          </w:tcPr>
          <w:p w14:paraId="0276E291" w14:textId="77777777" w:rsidR="00FF6D04" w:rsidRPr="00FF6D04" w:rsidRDefault="00FF6D04" w:rsidP="000F221E">
            <w:pPr>
              <w:jc w:val="center"/>
              <w:rPr>
                <w:rFonts w:asciiTheme="majorHAnsi" w:hAnsiTheme="majorHAnsi"/>
                <w:color w:val="000000"/>
              </w:rPr>
            </w:pPr>
            <w:r w:rsidRPr="00FF6D04">
              <w:rPr>
                <w:rFonts w:asciiTheme="majorHAnsi" w:hAnsiTheme="majorHAnsi"/>
                <w:color w:val="000000"/>
              </w:rPr>
              <w:t>SAMBALPUR</w:t>
            </w:r>
          </w:p>
        </w:tc>
        <w:tc>
          <w:tcPr>
            <w:tcW w:w="0" w:type="auto"/>
            <w:noWrap/>
            <w:vAlign w:val="center"/>
            <w:hideMark/>
          </w:tcPr>
          <w:p w14:paraId="25DE91AB" w14:textId="77777777" w:rsidR="00FF6D04" w:rsidRPr="00FF6D04" w:rsidRDefault="00FF6D04" w:rsidP="000F221E">
            <w:pPr>
              <w:jc w:val="center"/>
              <w:rPr>
                <w:rFonts w:asciiTheme="majorHAnsi" w:hAnsiTheme="majorHAnsi"/>
                <w:color w:val="000000"/>
              </w:rPr>
            </w:pPr>
            <w:r w:rsidRPr="00FF6D04">
              <w:rPr>
                <w:rFonts w:asciiTheme="majorHAnsi" w:hAnsiTheme="majorHAnsi"/>
                <w:color w:val="000000"/>
              </w:rPr>
              <w:t>12,500</w:t>
            </w:r>
          </w:p>
        </w:tc>
        <w:tc>
          <w:tcPr>
            <w:tcW w:w="0" w:type="auto"/>
            <w:noWrap/>
            <w:vAlign w:val="center"/>
            <w:hideMark/>
          </w:tcPr>
          <w:p w14:paraId="6687216A" w14:textId="77777777" w:rsidR="00FF6D04" w:rsidRPr="00FF6D04" w:rsidRDefault="00FF6D04" w:rsidP="000F221E">
            <w:pPr>
              <w:jc w:val="right"/>
              <w:rPr>
                <w:rFonts w:asciiTheme="majorHAnsi" w:hAnsiTheme="majorHAnsi"/>
                <w:color w:val="000000"/>
              </w:rPr>
            </w:pPr>
            <w:r w:rsidRPr="00FF6D04">
              <w:rPr>
                <w:rFonts w:asciiTheme="majorHAnsi" w:hAnsiTheme="majorHAnsi"/>
                <w:color w:val="000000"/>
              </w:rPr>
              <w:t>₹ 2.00</w:t>
            </w:r>
          </w:p>
        </w:tc>
        <w:tc>
          <w:tcPr>
            <w:tcW w:w="0" w:type="auto"/>
            <w:noWrap/>
            <w:vAlign w:val="center"/>
            <w:hideMark/>
          </w:tcPr>
          <w:p w14:paraId="6919DD9C" w14:textId="77777777" w:rsidR="00FF6D04" w:rsidRPr="00FF6D04" w:rsidRDefault="00FF6D04" w:rsidP="000F221E">
            <w:pPr>
              <w:jc w:val="center"/>
              <w:rPr>
                <w:rFonts w:asciiTheme="majorHAnsi" w:hAnsiTheme="majorHAnsi"/>
                <w:color w:val="000000"/>
              </w:rPr>
            </w:pPr>
            <w:r w:rsidRPr="00FF6D04">
              <w:rPr>
                <w:rFonts w:asciiTheme="majorHAnsi" w:hAnsiTheme="majorHAnsi"/>
                <w:color w:val="000000"/>
              </w:rPr>
              <w:t>₹ 25,000.00</w:t>
            </w:r>
          </w:p>
        </w:tc>
      </w:tr>
      <w:tr w:rsidR="00FF6D04" w:rsidRPr="00FF6D04" w14:paraId="4066BCD8" w14:textId="77777777" w:rsidTr="00FF6D04">
        <w:trPr>
          <w:trHeight w:val="300"/>
        </w:trPr>
        <w:tc>
          <w:tcPr>
            <w:tcW w:w="0" w:type="auto"/>
            <w:noWrap/>
            <w:vAlign w:val="center"/>
            <w:hideMark/>
          </w:tcPr>
          <w:p w14:paraId="5C64FBD5" w14:textId="77777777" w:rsidR="00FF6D04" w:rsidRPr="00FF6D04" w:rsidRDefault="00FF6D04" w:rsidP="000F221E">
            <w:pPr>
              <w:jc w:val="center"/>
              <w:rPr>
                <w:rFonts w:asciiTheme="majorHAnsi" w:hAnsiTheme="majorHAnsi"/>
                <w:color w:val="000000"/>
              </w:rPr>
            </w:pPr>
            <w:r w:rsidRPr="00FF6D04">
              <w:rPr>
                <w:rFonts w:asciiTheme="majorHAnsi" w:hAnsiTheme="majorHAnsi"/>
                <w:color w:val="000000"/>
              </w:rPr>
              <w:t>KALAHANDI</w:t>
            </w:r>
          </w:p>
        </w:tc>
        <w:tc>
          <w:tcPr>
            <w:tcW w:w="0" w:type="auto"/>
            <w:noWrap/>
            <w:vAlign w:val="center"/>
            <w:hideMark/>
          </w:tcPr>
          <w:p w14:paraId="291E047B" w14:textId="77777777" w:rsidR="00FF6D04" w:rsidRPr="00FF6D04" w:rsidRDefault="00FF6D04" w:rsidP="000F221E">
            <w:pPr>
              <w:jc w:val="center"/>
              <w:rPr>
                <w:rFonts w:asciiTheme="majorHAnsi" w:hAnsiTheme="majorHAnsi"/>
                <w:color w:val="000000"/>
              </w:rPr>
            </w:pPr>
            <w:r w:rsidRPr="00FF6D04">
              <w:rPr>
                <w:rFonts w:asciiTheme="majorHAnsi" w:hAnsiTheme="majorHAnsi"/>
                <w:color w:val="000000"/>
              </w:rPr>
              <w:t>8,500</w:t>
            </w:r>
          </w:p>
        </w:tc>
        <w:tc>
          <w:tcPr>
            <w:tcW w:w="0" w:type="auto"/>
            <w:noWrap/>
            <w:vAlign w:val="center"/>
            <w:hideMark/>
          </w:tcPr>
          <w:p w14:paraId="7F9E9DF3" w14:textId="77777777" w:rsidR="00FF6D04" w:rsidRPr="00FF6D04" w:rsidRDefault="00FF6D04" w:rsidP="000F221E">
            <w:pPr>
              <w:jc w:val="right"/>
              <w:rPr>
                <w:rFonts w:asciiTheme="majorHAnsi" w:hAnsiTheme="majorHAnsi"/>
                <w:color w:val="000000"/>
              </w:rPr>
            </w:pPr>
            <w:r w:rsidRPr="00FF6D04">
              <w:rPr>
                <w:rFonts w:asciiTheme="majorHAnsi" w:hAnsiTheme="majorHAnsi"/>
                <w:color w:val="000000"/>
              </w:rPr>
              <w:t>₹ 2.00</w:t>
            </w:r>
          </w:p>
        </w:tc>
        <w:tc>
          <w:tcPr>
            <w:tcW w:w="0" w:type="auto"/>
            <w:noWrap/>
            <w:vAlign w:val="center"/>
            <w:hideMark/>
          </w:tcPr>
          <w:p w14:paraId="031E671F" w14:textId="77777777" w:rsidR="00FF6D04" w:rsidRPr="00FF6D04" w:rsidRDefault="00FF6D04" w:rsidP="000F221E">
            <w:pPr>
              <w:jc w:val="center"/>
              <w:rPr>
                <w:rFonts w:asciiTheme="majorHAnsi" w:hAnsiTheme="majorHAnsi"/>
                <w:color w:val="000000"/>
              </w:rPr>
            </w:pPr>
            <w:r w:rsidRPr="00FF6D04">
              <w:rPr>
                <w:rFonts w:asciiTheme="majorHAnsi" w:hAnsiTheme="majorHAnsi"/>
                <w:color w:val="000000"/>
              </w:rPr>
              <w:t>₹ 17,000.00</w:t>
            </w:r>
          </w:p>
        </w:tc>
      </w:tr>
      <w:tr w:rsidR="00FF6D04" w:rsidRPr="00FF6D04" w14:paraId="6B7819D5" w14:textId="77777777" w:rsidTr="00FF6D04">
        <w:trPr>
          <w:trHeight w:val="300"/>
        </w:trPr>
        <w:tc>
          <w:tcPr>
            <w:tcW w:w="0" w:type="auto"/>
            <w:noWrap/>
            <w:vAlign w:val="center"/>
            <w:hideMark/>
          </w:tcPr>
          <w:p w14:paraId="4067873C" w14:textId="77777777" w:rsidR="00FF6D04" w:rsidRPr="00FF6D04" w:rsidRDefault="00FF6D04" w:rsidP="000F221E">
            <w:pPr>
              <w:jc w:val="center"/>
              <w:rPr>
                <w:rFonts w:asciiTheme="majorHAnsi" w:hAnsiTheme="majorHAnsi"/>
                <w:color w:val="000000"/>
              </w:rPr>
            </w:pPr>
            <w:r w:rsidRPr="00FF6D04">
              <w:rPr>
                <w:rFonts w:asciiTheme="majorHAnsi" w:hAnsiTheme="majorHAnsi"/>
                <w:color w:val="000000"/>
              </w:rPr>
              <w:t>ROURKELA</w:t>
            </w:r>
          </w:p>
        </w:tc>
        <w:tc>
          <w:tcPr>
            <w:tcW w:w="0" w:type="auto"/>
            <w:noWrap/>
            <w:vAlign w:val="center"/>
            <w:hideMark/>
          </w:tcPr>
          <w:p w14:paraId="5EBBCE54" w14:textId="77777777" w:rsidR="00FF6D04" w:rsidRPr="00FF6D04" w:rsidRDefault="00FF6D04" w:rsidP="000F221E">
            <w:pPr>
              <w:jc w:val="center"/>
              <w:rPr>
                <w:rFonts w:asciiTheme="majorHAnsi" w:hAnsiTheme="majorHAnsi"/>
                <w:color w:val="000000"/>
              </w:rPr>
            </w:pPr>
            <w:r w:rsidRPr="00FF6D04">
              <w:rPr>
                <w:rFonts w:asciiTheme="majorHAnsi" w:hAnsiTheme="majorHAnsi"/>
                <w:color w:val="000000"/>
              </w:rPr>
              <w:t>10,000</w:t>
            </w:r>
          </w:p>
        </w:tc>
        <w:tc>
          <w:tcPr>
            <w:tcW w:w="0" w:type="auto"/>
            <w:noWrap/>
            <w:vAlign w:val="center"/>
            <w:hideMark/>
          </w:tcPr>
          <w:p w14:paraId="65E75BEF" w14:textId="77777777" w:rsidR="00FF6D04" w:rsidRPr="00FF6D04" w:rsidRDefault="00FF6D04" w:rsidP="000F221E">
            <w:pPr>
              <w:jc w:val="right"/>
              <w:rPr>
                <w:rFonts w:asciiTheme="majorHAnsi" w:hAnsiTheme="majorHAnsi"/>
                <w:color w:val="000000"/>
              </w:rPr>
            </w:pPr>
            <w:r w:rsidRPr="00FF6D04">
              <w:rPr>
                <w:rFonts w:asciiTheme="majorHAnsi" w:hAnsiTheme="majorHAnsi"/>
                <w:color w:val="000000"/>
              </w:rPr>
              <w:t>₹ 2.00</w:t>
            </w:r>
          </w:p>
        </w:tc>
        <w:tc>
          <w:tcPr>
            <w:tcW w:w="0" w:type="auto"/>
            <w:noWrap/>
            <w:vAlign w:val="center"/>
            <w:hideMark/>
          </w:tcPr>
          <w:p w14:paraId="77BEBD7B" w14:textId="77777777" w:rsidR="00FF6D04" w:rsidRPr="00FF6D04" w:rsidRDefault="00FF6D04" w:rsidP="000F221E">
            <w:pPr>
              <w:jc w:val="center"/>
              <w:rPr>
                <w:rFonts w:asciiTheme="majorHAnsi" w:hAnsiTheme="majorHAnsi"/>
                <w:color w:val="000000"/>
              </w:rPr>
            </w:pPr>
            <w:r w:rsidRPr="00FF6D04">
              <w:rPr>
                <w:rFonts w:asciiTheme="majorHAnsi" w:hAnsiTheme="majorHAnsi"/>
                <w:color w:val="000000"/>
              </w:rPr>
              <w:t>₹ 20,000.00</w:t>
            </w:r>
          </w:p>
        </w:tc>
      </w:tr>
      <w:tr w:rsidR="00FF6D04" w:rsidRPr="00FF6D04" w14:paraId="3EF52330" w14:textId="77777777" w:rsidTr="00FF6D04">
        <w:trPr>
          <w:trHeight w:val="300"/>
        </w:trPr>
        <w:tc>
          <w:tcPr>
            <w:tcW w:w="0" w:type="auto"/>
            <w:noWrap/>
            <w:vAlign w:val="center"/>
            <w:hideMark/>
          </w:tcPr>
          <w:p w14:paraId="7983EDD9" w14:textId="77777777" w:rsidR="00FF6D04" w:rsidRPr="00FF6D04" w:rsidRDefault="00FF6D04" w:rsidP="000F221E">
            <w:pPr>
              <w:jc w:val="center"/>
              <w:rPr>
                <w:rFonts w:asciiTheme="majorHAnsi" w:hAnsiTheme="majorHAnsi"/>
                <w:b/>
                <w:bCs/>
                <w:color w:val="000000"/>
              </w:rPr>
            </w:pPr>
            <w:r w:rsidRPr="00FF6D04">
              <w:rPr>
                <w:rFonts w:asciiTheme="majorHAnsi" w:hAnsiTheme="majorHAnsi"/>
                <w:b/>
                <w:bCs/>
                <w:color w:val="000000"/>
              </w:rPr>
              <w:t>TOTAL</w:t>
            </w:r>
          </w:p>
        </w:tc>
        <w:tc>
          <w:tcPr>
            <w:tcW w:w="0" w:type="auto"/>
            <w:noWrap/>
            <w:vAlign w:val="center"/>
            <w:hideMark/>
          </w:tcPr>
          <w:p w14:paraId="55488635" w14:textId="77777777" w:rsidR="00FF6D04" w:rsidRPr="00FF6D04" w:rsidRDefault="00FF6D04" w:rsidP="000F221E">
            <w:pPr>
              <w:jc w:val="center"/>
              <w:rPr>
                <w:rFonts w:asciiTheme="majorHAnsi" w:hAnsiTheme="majorHAnsi"/>
                <w:b/>
                <w:bCs/>
                <w:color w:val="000000"/>
              </w:rPr>
            </w:pPr>
            <w:r w:rsidRPr="00FF6D04">
              <w:rPr>
                <w:rFonts w:asciiTheme="majorHAnsi" w:hAnsiTheme="majorHAnsi"/>
                <w:b/>
                <w:bCs/>
                <w:color w:val="000000"/>
              </w:rPr>
              <w:t>45,000</w:t>
            </w:r>
          </w:p>
        </w:tc>
        <w:tc>
          <w:tcPr>
            <w:tcW w:w="0" w:type="auto"/>
            <w:noWrap/>
            <w:vAlign w:val="center"/>
            <w:hideMark/>
          </w:tcPr>
          <w:p w14:paraId="5A517A24" w14:textId="77777777" w:rsidR="00FF6D04" w:rsidRPr="00FF6D04" w:rsidRDefault="00FF6D04" w:rsidP="000F221E">
            <w:pPr>
              <w:jc w:val="right"/>
              <w:rPr>
                <w:rFonts w:asciiTheme="majorHAnsi" w:hAnsiTheme="majorHAnsi"/>
                <w:b/>
                <w:bCs/>
                <w:color w:val="000000"/>
              </w:rPr>
            </w:pPr>
            <w:r w:rsidRPr="00FF6D04">
              <w:rPr>
                <w:rFonts w:asciiTheme="majorHAnsi" w:hAnsiTheme="majorHAnsi"/>
                <w:b/>
                <w:bCs/>
                <w:color w:val="000000"/>
              </w:rPr>
              <w:t>₹ 2.00</w:t>
            </w:r>
          </w:p>
        </w:tc>
        <w:tc>
          <w:tcPr>
            <w:tcW w:w="0" w:type="auto"/>
            <w:noWrap/>
            <w:vAlign w:val="center"/>
            <w:hideMark/>
          </w:tcPr>
          <w:p w14:paraId="02C79D96" w14:textId="77777777" w:rsidR="00FF6D04" w:rsidRPr="00FF6D04" w:rsidRDefault="00FF6D04" w:rsidP="000F221E">
            <w:pPr>
              <w:jc w:val="center"/>
              <w:rPr>
                <w:rFonts w:asciiTheme="majorHAnsi" w:hAnsiTheme="majorHAnsi"/>
                <w:b/>
                <w:bCs/>
                <w:color w:val="000000"/>
              </w:rPr>
            </w:pPr>
            <w:r w:rsidRPr="00FF6D04">
              <w:rPr>
                <w:rFonts w:asciiTheme="majorHAnsi" w:hAnsiTheme="majorHAnsi"/>
                <w:b/>
                <w:bCs/>
                <w:color w:val="000000"/>
              </w:rPr>
              <w:t>₹ 90,000.00</w:t>
            </w:r>
          </w:p>
        </w:tc>
      </w:tr>
    </w:tbl>
    <w:p w14:paraId="46BB5D36" w14:textId="77777777" w:rsidR="00D70AC6" w:rsidRDefault="00D70AC6" w:rsidP="00D70AC6">
      <w:pPr>
        <w:pStyle w:val="ListParagraph"/>
        <w:ind w:left="709"/>
        <w:jc w:val="both"/>
        <w:rPr>
          <w:rFonts w:ascii="Cambria" w:hAnsi="Cambria" w:cstheme="minorHAnsi"/>
          <w:b/>
          <w:bCs/>
          <w:color w:val="000000"/>
          <w:sz w:val="24"/>
          <w:szCs w:val="24"/>
          <w:lang w:eastAsia="en-IN" w:bidi="hi-IN"/>
        </w:rPr>
      </w:pPr>
    </w:p>
    <w:p w14:paraId="0D28DDDF" w14:textId="19F4F89A" w:rsidR="00B57674" w:rsidRDefault="00970CDE" w:rsidP="001972DE">
      <w:pPr>
        <w:pStyle w:val="ListParagraph"/>
        <w:numPr>
          <w:ilvl w:val="0"/>
          <w:numId w:val="13"/>
        </w:numPr>
        <w:spacing w:line="360" w:lineRule="auto"/>
        <w:ind w:left="709"/>
        <w:jc w:val="both"/>
        <w:rPr>
          <w:rFonts w:ascii="Cambria" w:hAnsi="Cambria" w:cstheme="minorHAnsi"/>
          <w:b/>
          <w:bCs/>
          <w:color w:val="000000"/>
          <w:sz w:val="24"/>
          <w:szCs w:val="24"/>
          <w:lang w:eastAsia="en-IN" w:bidi="hi-IN"/>
        </w:rPr>
      </w:pPr>
      <w:r w:rsidRPr="00970CDE">
        <w:rPr>
          <w:rFonts w:ascii="Cambria" w:hAnsi="Cambria" w:cstheme="minorHAnsi"/>
          <w:b/>
          <w:bCs/>
          <w:color w:val="000000"/>
          <w:sz w:val="24"/>
          <w:szCs w:val="24"/>
          <w:lang w:eastAsia="en-IN" w:bidi="hi-IN"/>
        </w:rPr>
        <w:t xml:space="preserve">Estimated Monthly cost for Reporting &amp; Booking of Theft through Meter Readers after </w:t>
      </w:r>
      <w:proofErr w:type="spellStart"/>
      <w:r w:rsidRPr="00970CDE">
        <w:rPr>
          <w:rFonts w:ascii="Cambria" w:hAnsi="Cambria" w:cstheme="minorHAnsi"/>
          <w:b/>
          <w:bCs/>
          <w:color w:val="000000"/>
          <w:sz w:val="24"/>
          <w:szCs w:val="24"/>
          <w:lang w:eastAsia="en-IN" w:bidi="hi-IN"/>
        </w:rPr>
        <w:t>it's</w:t>
      </w:r>
      <w:proofErr w:type="spellEnd"/>
      <w:r w:rsidRPr="00970CDE">
        <w:rPr>
          <w:rFonts w:ascii="Cambria" w:hAnsi="Cambria" w:cstheme="minorHAnsi"/>
          <w:b/>
          <w:bCs/>
          <w:color w:val="000000"/>
          <w:sz w:val="24"/>
          <w:szCs w:val="24"/>
          <w:lang w:eastAsia="en-IN" w:bidi="hi-IN"/>
        </w:rPr>
        <w:t xml:space="preserve"> recovery.</w:t>
      </w:r>
    </w:p>
    <w:tbl>
      <w:tblPr>
        <w:tblW w:w="0" w:type="auto"/>
        <w:tblLook w:val="04A0" w:firstRow="1" w:lastRow="0" w:firstColumn="1" w:lastColumn="0" w:noHBand="0" w:noVBand="1"/>
      </w:tblPr>
      <w:tblGrid>
        <w:gridCol w:w="1929"/>
        <w:gridCol w:w="3441"/>
        <w:gridCol w:w="1703"/>
        <w:gridCol w:w="2127"/>
      </w:tblGrid>
      <w:tr w:rsidR="00237BE1" w:rsidRPr="00237BE1" w14:paraId="01E9EF96" w14:textId="77777777" w:rsidTr="00AB6BB4">
        <w:trPr>
          <w:trHeight w:val="520"/>
          <w:tblHead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F47D601" w14:textId="77777777" w:rsidR="00237BE1" w:rsidRPr="00237BE1" w:rsidRDefault="00237BE1" w:rsidP="000F221E">
            <w:pPr>
              <w:jc w:val="center"/>
              <w:rPr>
                <w:rFonts w:asciiTheme="majorHAnsi" w:hAnsiTheme="majorHAnsi"/>
                <w:b/>
                <w:bCs/>
                <w:color w:val="000000"/>
                <w:lang w:val="en-IN"/>
              </w:rPr>
            </w:pPr>
            <w:r w:rsidRPr="00237BE1">
              <w:rPr>
                <w:rFonts w:asciiTheme="majorHAnsi" w:hAnsiTheme="majorHAnsi"/>
                <w:b/>
                <w:bCs/>
                <w:color w:val="000000"/>
              </w:rPr>
              <w:t xml:space="preserve">The estimated Monthly cost for Reporting &amp; Booking of Theft through Meter Readers after </w:t>
            </w:r>
            <w:proofErr w:type="spellStart"/>
            <w:r w:rsidRPr="00237BE1">
              <w:rPr>
                <w:rFonts w:asciiTheme="majorHAnsi" w:hAnsiTheme="majorHAnsi"/>
                <w:b/>
                <w:bCs/>
                <w:color w:val="000000"/>
              </w:rPr>
              <w:t>it's</w:t>
            </w:r>
            <w:proofErr w:type="spellEnd"/>
            <w:r w:rsidRPr="00237BE1">
              <w:rPr>
                <w:rFonts w:asciiTheme="majorHAnsi" w:hAnsiTheme="majorHAnsi"/>
                <w:b/>
                <w:bCs/>
                <w:color w:val="000000"/>
              </w:rPr>
              <w:t xml:space="preserve"> recovery</w:t>
            </w:r>
          </w:p>
        </w:tc>
      </w:tr>
      <w:tr w:rsidR="00237BE1" w:rsidRPr="00237BE1" w14:paraId="62EFB068" w14:textId="77777777" w:rsidTr="00AB6BB4">
        <w:trPr>
          <w:trHeight w:val="290"/>
          <w:tblHeader/>
        </w:trPr>
        <w:tc>
          <w:tcPr>
            <w:tcW w:w="0" w:type="auto"/>
            <w:tcBorders>
              <w:top w:val="nil"/>
              <w:left w:val="single" w:sz="4" w:space="0" w:color="auto"/>
              <w:bottom w:val="single" w:sz="4" w:space="0" w:color="auto"/>
              <w:right w:val="single" w:sz="4" w:space="0" w:color="auto"/>
            </w:tcBorders>
            <w:noWrap/>
            <w:vAlign w:val="center"/>
            <w:hideMark/>
          </w:tcPr>
          <w:p w14:paraId="0698ED7E" w14:textId="77777777" w:rsidR="00237BE1" w:rsidRPr="00237BE1" w:rsidRDefault="00237BE1" w:rsidP="000F221E">
            <w:pPr>
              <w:jc w:val="center"/>
              <w:rPr>
                <w:rFonts w:asciiTheme="majorHAnsi" w:hAnsiTheme="majorHAnsi"/>
                <w:b/>
                <w:bCs/>
                <w:color w:val="000000"/>
              </w:rPr>
            </w:pPr>
            <w:r w:rsidRPr="00237BE1">
              <w:rPr>
                <w:rFonts w:asciiTheme="majorHAnsi" w:hAnsiTheme="majorHAnsi"/>
                <w:b/>
                <w:bCs/>
                <w:color w:val="000000"/>
              </w:rPr>
              <w:t>CIRCLE</w:t>
            </w:r>
          </w:p>
        </w:tc>
        <w:tc>
          <w:tcPr>
            <w:tcW w:w="0" w:type="auto"/>
            <w:tcBorders>
              <w:top w:val="nil"/>
              <w:left w:val="nil"/>
              <w:bottom w:val="single" w:sz="4" w:space="0" w:color="auto"/>
              <w:right w:val="single" w:sz="4" w:space="0" w:color="auto"/>
            </w:tcBorders>
            <w:noWrap/>
            <w:vAlign w:val="center"/>
            <w:hideMark/>
          </w:tcPr>
          <w:p w14:paraId="33DB9D65" w14:textId="77777777" w:rsidR="00237BE1" w:rsidRPr="00237BE1" w:rsidRDefault="00237BE1" w:rsidP="000F221E">
            <w:pPr>
              <w:jc w:val="center"/>
              <w:rPr>
                <w:rFonts w:asciiTheme="majorHAnsi" w:hAnsiTheme="majorHAnsi"/>
                <w:b/>
                <w:bCs/>
                <w:color w:val="000000"/>
              </w:rPr>
            </w:pPr>
            <w:r w:rsidRPr="00237BE1">
              <w:rPr>
                <w:rFonts w:asciiTheme="majorHAnsi" w:hAnsiTheme="majorHAnsi"/>
                <w:b/>
                <w:bCs/>
                <w:color w:val="000000"/>
              </w:rPr>
              <w:t>Total No. of Consumers</w:t>
            </w:r>
          </w:p>
        </w:tc>
        <w:tc>
          <w:tcPr>
            <w:tcW w:w="0" w:type="auto"/>
            <w:tcBorders>
              <w:top w:val="nil"/>
              <w:left w:val="nil"/>
              <w:bottom w:val="single" w:sz="4" w:space="0" w:color="auto"/>
              <w:right w:val="single" w:sz="4" w:space="0" w:color="auto"/>
            </w:tcBorders>
            <w:noWrap/>
            <w:vAlign w:val="center"/>
            <w:hideMark/>
          </w:tcPr>
          <w:p w14:paraId="0B31F304" w14:textId="77777777" w:rsidR="00237BE1" w:rsidRPr="00237BE1" w:rsidRDefault="00237BE1" w:rsidP="000F221E">
            <w:pPr>
              <w:jc w:val="center"/>
              <w:rPr>
                <w:rFonts w:asciiTheme="majorHAnsi" w:hAnsiTheme="majorHAnsi"/>
                <w:b/>
                <w:bCs/>
                <w:color w:val="000000"/>
              </w:rPr>
            </w:pPr>
            <w:r w:rsidRPr="00237BE1">
              <w:rPr>
                <w:rFonts w:asciiTheme="majorHAnsi" w:hAnsiTheme="majorHAnsi"/>
                <w:b/>
                <w:bCs/>
                <w:color w:val="000000"/>
              </w:rPr>
              <w:t>Rate</w:t>
            </w:r>
          </w:p>
        </w:tc>
        <w:tc>
          <w:tcPr>
            <w:tcW w:w="0" w:type="auto"/>
            <w:tcBorders>
              <w:top w:val="nil"/>
              <w:left w:val="nil"/>
              <w:bottom w:val="single" w:sz="4" w:space="0" w:color="auto"/>
              <w:right w:val="single" w:sz="4" w:space="0" w:color="auto"/>
            </w:tcBorders>
            <w:noWrap/>
            <w:vAlign w:val="center"/>
            <w:hideMark/>
          </w:tcPr>
          <w:p w14:paraId="1644A80D" w14:textId="77777777" w:rsidR="00237BE1" w:rsidRPr="00237BE1" w:rsidRDefault="00237BE1" w:rsidP="000F221E">
            <w:pPr>
              <w:jc w:val="center"/>
              <w:rPr>
                <w:rFonts w:asciiTheme="majorHAnsi" w:hAnsiTheme="majorHAnsi"/>
                <w:b/>
                <w:bCs/>
                <w:color w:val="000000"/>
              </w:rPr>
            </w:pPr>
            <w:r w:rsidRPr="00237BE1">
              <w:rPr>
                <w:rFonts w:asciiTheme="majorHAnsi" w:hAnsiTheme="majorHAnsi"/>
                <w:b/>
                <w:bCs/>
                <w:color w:val="000000"/>
              </w:rPr>
              <w:t>Total (in Rs.)</w:t>
            </w:r>
          </w:p>
        </w:tc>
      </w:tr>
      <w:tr w:rsidR="00237BE1" w:rsidRPr="00237BE1" w14:paraId="68FA3BDB"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204F7863" w14:textId="4BC3E812" w:rsidR="00237BE1" w:rsidRPr="00237BE1" w:rsidRDefault="00C534D8" w:rsidP="000F221E">
            <w:pPr>
              <w:jc w:val="center"/>
              <w:rPr>
                <w:rFonts w:asciiTheme="majorHAnsi" w:hAnsiTheme="majorHAnsi"/>
                <w:color w:val="000000"/>
              </w:rPr>
            </w:pPr>
            <w:r>
              <w:rPr>
                <w:rFonts w:asciiTheme="majorHAnsi" w:hAnsiTheme="majorHAnsi"/>
                <w:color w:val="000000"/>
              </w:rPr>
              <w:t>BOLANGIR</w:t>
            </w:r>
          </w:p>
        </w:tc>
        <w:tc>
          <w:tcPr>
            <w:tcW w:w="0" w:type="auto"/>
            <w:tcBorders>
              <w:top w:val="nil"/>
              <w:left w:val="nil"/>
              <w:bottom w:val="single" w:sz="4" w:space="0" w:color="auto"/>
              <w:right w:val="single" w:sz="4" w:space="0" w:color="auto"/>
            </w:tcBorders>
            <w:noWrap/>
            <w:vAlign w:val="center"/>
            <w:hideMark/>
          </w:tcPr>
          <w:p w14:paraId="23CA2DA8" w14:textId="77777777" w:rsidR="00237BE1" w:rsidRPr="00237BE1" w:rsidRDefault="00237BE1" w:rsidP="000F221E">
            <w:pPr>
              <w:jc w:val="center"/>
              <w:rPr>
                <w:rFonts w:asciiTheme="majorHAnsi" w:hAnsiTheme="majorHAnsi"/>
                <w:color w:val="000000"/>
              </w:rPr>
            </w:pPr>
            <w:r w:rsidRPr="00237BE1">
              <w:rPr>
                <w:rFonts w:asciiTheme="majorHAnsi" w:hAnsiTheme="majorHAnsi"/>
                <w:color w:val="000000"/>
              </w:rPr>
              <w:t>30</w:t>
            </w:r>
          </w:p>
        </w:tc>
        <w:tc>
          <w:tcPr>
            <w:tcW w:w="0" w:type="auto"/>
            <w:tcBorders>
              <w:top w:val="nil"/>
              <w:left w:val="nil"/>
              <w:bottom w:val="single" w:sz="4" w:space="0" w:color="auto"/>
              <w:right w:val="single" w:sz="4" w:space="0" w:color="auto"/>
            </w:tcBorders>
            <w:noWrap/>
            <w:vAlign w:val="center"/>
            <w:hideMark/>
          </w:tcPr>
          <w:p w14:paraId="1E4648A5" w14:textId="77777777" w:rsidR="00237BE1" w:rsidRPr="00237BE1" w:rsidRDefault="00237BE1" w:rsidP="000F221E">
            <w:pPr>
              <w:jc w:val="right"/>
              <w:rPr>
                <w:rFonts w:asciiTheme="majorHAnsi" w:hAnsiTheme="majorHAnsi"/>
                <w:color w:val="000000"/>
              </w:rPr>
            </w:pPr>
            <w:r w:rsidRPr="00237BE1">
              <w:rPr>
                <w:rFonts w:asciiTheme="majorHAnsi" w:hAnsiTheme="majorHAnsi"/>
                <w:color w:val="000000"/>
              </w:rPr>
              <w:t>₹ 1,835.00</w:t>
            </w:r>
          </w:p>
        </w:tc>
        <w:tc>
          <w:tcPr>
            <w:tcW w:w="0" w:type="auto"/>
            <w:tcBorders>
              <w:top w:val="nil"/>
              <w:left w:val="nil"/>
              <w:bottom w:val="single" w:sz="4" w:space="0" w:color="auto"/>
              <w:right w:val="single" w:sz="4" w:space="0" w:color="auto"/>
            </w:tcBorders>
            <w:noWrap/>
            <w:vAlign w:val="center"/>
            <w:hideMark/>
          </w:tcPr>
          <w:p w14:paraId="095DA7C7" w14:textId="77777777" w:rsidR="00237BE1" w:rsidRPr="00237BE1" w:rsidRDefault="00237BE1" w:rsidP="000F221E">
            <w:pPr>
              <w:jc w:val="center"/>
              <w:rPr>
                <w:rFonts w:asciiTheme="majorHAnsi" w:hAnsiTheme="majorHAnsi"/>
                <w:color w:val="000000"/>
              </w:rPr>
            </w:pPr>
            <w:r w:rsidRPr="00237BE1">
              <w:rPr>
                <w:rFonts w:asciiTheme="majorHAnsi" w:hAnsiTheme="majorHAnsi"/>
                <w:color w:val="000000"/>
              </w:rPr>
              <w:t>₹ 55,050.00</w:t>
            </w:r>
          </w:p>
        </w:tc>
      </w:tr>
      <w:tr w:rsidR="00237BE1" w:rsidRPr="00237BE1" w14:paraId="4ED07589"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62D73419" w14:textId="77777777" w:rsidR="00237BE1" w:rsidRPr="00237BE1" w:rsidRDefault="00237BE1" w:rsidP="000F221E">
            <w:pPr>
              <w:jc w:val="center"/>
              <w:rPr>
                <w:rFonts w:asciiTheme="majorHAnsi" w:hAnsiTheme="majorHAnsi"/>
                <w:color w:val="000000"/>
              </w:rPr>
            </w:pPr>
            <w:r w:rsidRPr="00237BE1">
              <w:rPr>
                <w:rFonts w:asciiTheme="majorHAnsi" w:hAnsiTheme="majorHAnsi"/>
                <w:color w:val="000000"/>
              </w:rPr>
              <w:t>BARGARH</w:t>
            </w:r>
          </w:p>
        </w:tc>
        <w:tc>
          <w:tcPr>
            <w:tcW w:w="0" w:type="auto"/>
            <w:tcBorders>
              <w:top w:val="nil"/>
              <w:left w:val="nil"/>
              <w:bottom w:val="single" w:sz="4" w:space="0" w:color="auto"/>
              <w:right w:val="single" w:sz="4" w:space="0" w:color="auto"/>
            </w:tcBorders>
            <w:noWrap/>
            <w:vAlign w:val="center"/>
            <w:hideMark/>
          </w:tcPr>
          <w:p w14:paraId="74F6805D" w14:textId="77777777" w:rsidR="00237BE1" w:rsidRPr="00237BE1" w:rsidRDefault="00237BE1" w:rsidP="000F221E">
            <w:pPr>
              <w:jc w:val="center"/>
              <w:rPr>
                <w:rFonts w:asciiTheme="majorHAnsi" w:hAnsiTheme="majorHAnsi"/>
                <w:color w:val="000000"/>
              </w:rPr>
            </w:pPr>
            <w:r w:rsidRPr="00237BE1">
              <w:rPr>
                <w:rFonts w:asciiTheme="majorHAnsi" w:hAnsiTheme="majorHAnsi"/>
                <w:color w:val="000000"/>
              </w:rPr>
              <w:t>30</w:t>
            </w:r>
          </w:p>
        </w:tc>
        <w:tc>
          <w:tcPr>
            <w:tcW w:w="0" w:type="auto"/>
            <w:tcBorders>
              <w:top w:val="nil"/>
              <w:left w:val="nil"/>
              <w:bottom w:val="single" w:sz="4" w:space="0" w:color="auto"/>
              <w:right w:val="single" w:sz="4" w:space="0" w:color="auto"/>
            </w:tcBorders>
            <w:noWrap/>
            <w:vAlign w:val="center"/>
            <w:hideMark/>
          </w:tcPr>
          <w:p w14:paraId="2FA77575" w14:textId="77777777" w:rsidR="00237BE1" w:rsidRPr="00237BE1" w:rsidRDefault="00237BE1" w:rsidP="000F221E">
            <w:pPr>
              <w:jc w:val="right"/>
              <w:rPr>
                <w:rFonts w:asciiTheme="majorHAnsi" w:hAnsiTheme="majorHAnsi"/>
                <w:color w:val="000000"/>
              </w:rPr>
            </w:pPr>
            <w:r w:rsidRPr="00237BE1">
              <w:rPr>
                <w:rFonts w:asciiTheme="majorHAnsi" w:hAnsiTheme="majorHAnsi"/>
                <w:color w:val="000000"/>
              </w:rPr>
              <w:t>₹ 1,835.00</w:t>
            </w:r>
          </w:p>
        </w:tc>
        <w:tc>
          <w:tcPr>
            <w:tcW w:w="0" w:type="auto"/>
            <w:tcBorders>
              <w:top w:val="nil"/>
              <w:left w:val="nil"/>
              <w:bottom w:val="single" w:sz="4" w:space="0" w:color="auto"/>
              <w:right w:val="single" w:sz="4" w:space="0" w:color="auto"/>
            </w:tcBorders>
            <w:noWrap/>
            <w:vAlign w:val="center"/>
            <w:hideMark/>
          </w:tcPr>
          <w:p w14:paraId="4651E524" w14:textId="77777777" w:rsidR="00237BE1" w:rsidRPr="00237BE1" w:rsidRDefault="00237BE1" w:rsidP="000F221E">
            <w:pPr>
              <w:jc w:val="center"/>
              <w:rPr>
                <w:rFonts w:asciiTheme="majorHAnsi" w:hAnsiTheme="majorHAnsi"/>
                <w:color w:val="000000"/>
              </w:rPr>
            </w:pPr>
            <w:r w:rsidRPr="00237BE1">
              <w:rPr>
                <w:rFonts w:asciiTheme="majorHAnsi" w:hAnsiTheme="majorHAnsi"/>
                <w:color w:val="000000"/>
              </w:rPr>
              <w:t>₹ 55,050.00</w:t>
            </w:r>
          </w:p>
        </w:tc>
      </w:tr>
      <w:tr w:rsidR="00237BE1" w:rsidRPr="00237BE1" w14:paraId="5933CD55"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2E39F258" w14:textId="77777777" w:rsidR="00237BE1" w:rsidRPr="00237BE1" w:rsidRDefault="00237BE1" w:rsidP="000F221E">
            <w:pPr>
              <w:jc w:val="center"/>
              <w:rPr>
                <w:rFonts w:asciiTheme="majorHAnsi" w:hAnsiTheme="majorHAnsi"/>
                <w:color w:val="000000"/>
              </w:rPr>
            </w:pPr>
            <w:r w:rsidRPr="00237BE1">
              <w:rPr>
                <w:rFonts w:asciiTheme="majorHAnsi" w:hAnsiTheme="majorHAnsi"/>
                <w:color w:val="000000"/>
              </w:rPr>
              <w:t>SAMBALPUR</w:t>
            </w:r>
          </w:p>
        </w:tc>
        <w:tc>
          <w:tcPr>
            <w:tcW w:w="0" w:type="auto"/>
            <w:tcBorders>
              <w:top w:val="nil"/>
              <w:left w:val="nil"/>
              <w:bottom w:val="single" w:sz="4" w:space="0" w:color="auto"/>
              <w:right w:val="single" w:sz="4" w:space="0" w:color="auto"/>
            </w:tcBorders>
            <w:noWrap/>
            <w:vAlign w:val="center"/>
            <w:hideMark/>
          </w:tcPr>
          <w:p w14:paraId="0012F131" w14:textId="77777777" w:rsidR="00237BE1" w:rsidRPr="00237BE1" w:rsidRDefault="00237BE1" w:rsidP="000F221E">
            <w:pPr>
              <w:jc w:val="center"/>
              <w:rPr>
                <w:rFonts w:asciiTheme="majorHAnsi" w:hAnsiTheme="majorHAnsi"/>
                <w:color w:val="000000"/>
              </w:rPr>
            </w:pPr>
            <w:r w:rsidRPr="00237BE1">
              <w:rPr>
                <w:rFonts w:asciiTheme="majorHAnsi" w:hAnsiTheme="majorHAnsi"/>
                <w:color w:val="000000"/>
              </w:rPr>
              <w:t>10</w:t>
            </w:r>
          </w:p>
        </w:tc>
        <w:tc>
          <w:tcPr>
            <w:tcW w:w="0" w:type="auto"/>
            <w:tcBorders>
              <w:top w:val="nil"/>
              <w:left w:val="nil"/>
              <w:bottom w:val="single" w:sz="4" w:space="0" w:color="auto"/>
              <w:right w:val="single" w:sz="4" w:space="0" w:color="auto"/>
            </w:tcBorders>
            <w:noWrap/>
            <w:vAlign w:val="center"/>
            <w:hideMark/>
          </w:tcPr>
          <w:p w14:paraId="71BB8265" w14:textId="77777777" w:rsidR="00237BE1" w:rsidRPr="00237BE1" w:rsidRDefault="00237BE1" w:rsidP="000F221E">
            <w:pPr>
              <w:jc w:val="right"/>
              <w:rPr>
                <w:rFonts w:asciiTheme="majorHAnsi" w:hAnsiTheme="majorHAnsi"/>
                <w:color w:val="000000"/>
              </w:rPr>
            </w:pPr>
            <w:r w:rsidRPr="00237BE1">
              <w:rPr>
                <w:rFonts w:asciiTheme="majorHAnsi" w:hAnsiTheme="majorHAnsi"/>
                <w:color w:val="000000"/>
              </w:rPr>
              <w:t>₹ 1,835.00</w:t>
            </w:r>
          </w:p>
        </w:tc>
        <w:tc>
          <w:tcPr>
            <w:tcW w:w="0" w:type="auto"/>
            <w:tcBorders>
              <w:top w:val="nil"/>
              <w:left w:val="nil"/>
              <w:bottom w:val="single" w:sz="4" w:space="0" w:color="auto"/>
              <w:right w:val="single" w:sz="4" w:space="0" w:color="auto"/>
            </w:tcBorders>
            <w:noWrap/>
            <w:vAlign w:val="center"/>
            <w:hideMark/>
          </w:tcPr>
          <w:p w14:paraId="4186533B" w14:textId="77777777" w:rsidR="00237BE1" w:rsidRPr="00237BE1" w:rsidRDefault="00237BE1" w:rsidP="000F221E">
            <w:pPr>
              <w:jc w:val="center"/>
              <w:rPr>
                <w:rFonts w:asciiTheme="majorHAnsi" w:hAnsiTheme="majorHAnsi"/>
                <w:color w:val="000000"/>
              </w:rPr>
            </w:pPr>
            <w:r w:rsidRPr="00237BE1">
              <w:rPr>
                <w:rFonts w:asciiTheme="majorHAnsi" w:hAnsiTheme="majorHAnsi"/>
                <w:color w:val="000000"/>
              </w:rPr>
              <w:t>₹ 18,350.00</w:t>
            </w:r>
          </w:p>
        </w:tc>
      </w:tr>
      <w:tr w:rsidR="00237BE1" w:rsidRPr="00237BE1" w14:paraId="00762D37"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335919FC" w14:textId="77777777" w:rsidR="00237BE1" w:rsidRPr="00237BE1" w:rsidRDefault="00237BE1" w:rsidP="000F221E">
            <w:pPr>
              <w:jc w:val="center"/>
              <w:rPr>
                <w:rFonts w:asciiTheme="majorHAnsi" w:hAnsiTheme="majorHAnsi"/>
                <w:color w:val="000000"/>
              </w:rPr>
            </w:pPr>
            <w:r w:rsidRPr="00237BE1">
              <w:rPr>
                <w:rFonts w:asciiTheme="majorHAnsi" w:hAnsiTheme="majorHAnsi"/>
                <w:color w:val="000000"/>
              </w:rPr>
              <w:t>KALAHANDI</w:t>
            </w:r>
          </w:p>
        </w:tc>
        <w:tc>
          <w:tcPr>
            <w:tcW w:w="0" w:type="auto"/>
            <w:tcBorders>
              <w:top w:val="nil"/>
              <w:left w:val="nil"/>
              <w:bottom w:val="single" w:sz="4" w:space="0" w:color="auto"/>
              <w:right w:val="single" w:sz="4" w:space="0" w:color="auto"/>
            </w:tcBorders>
            <w:noWrap/>
            <w:vAlign w:val="center"/>
            <w:hideMark/>
          </w:tcPr>
          <w:p w14:paraId="7C46A5CB" w14:textId="77777777" w:rsidR="00237BE1" w:rsidRPr="00237BE1" w:rsidRDefault="00237BE1" w:rsidP="000F221E">
            <w:pPr>
              <w:jc w:val="center"/>
              <w:rPr>
                <w:rFonts w:asciiTheme="majorHAnsi" w:hAnsiTheme="majorHAnsi"/>
                <w:color w:val="000000"/>
              </w:rPr>
            </w:pPr>
            <w:r w:rsidRPr="00237BE1">
              <w:rPr>
                <w:rFonts w:asciiTheme="majorHAnsi" w:hAnsiTheme="majorHAnsi"/>
                <w:color w:val="000000"/>
              </w:rPr>
              <w:t>20</w:t>
            </w:r>
          </w:p>
        </w:tc>
        <w:tc>
          <w:tcPr>
            <w:tcW w:w="0" w:type="auto"/>
            <w:tcBorders>
              <w:top w:val="nil"/>
              <w:left w:val="nil"/>
              <w:bottom w:val="single" w:sz="4" w:space="0" w:color="auto"/>
              <w:right w:val="single" w:sz="4" w:space="0" w:color="auto"/>
            </w:tcBorders>
            <w:noWrap/>
            <w:vAlign w:val="center"/>
            <w:hideMark/>
          </w:tcPr>
          <w:p w14:paraId="3D53675D" w14:textId="77777777" w:rsidR="00237BE1" w:rsidRPr="00237BE1" w:rsidRDefault="00237BE1" w:rsidP="000F221E">
            <w:pPr>
              <w:jc w:val="right"/>
              <w:rPr>
                <w:rFonts w:asciiTheme="majorHAnsi" w:hAnsiTheme="majorHAnsi"/>
                <w:color w:val="000000"/>
              </w:rPr>
            </w:pPr>
            <w:r w:rsidRPr="00237BE1">
              <w:rPr>
                <w:rFonts w:asciiTheme="majorHAnsi" w:hAnsiTheme="majorHAnsi"/>
                <w:color w:val="000000"/>
              </w:rPr>
              <w:t>₹ 1,835.00</w:t>
            </w:r>
          </w:p>
        </w:tc>
        <w:tc>
          <w:tcPr>
            <w:tcW w:w="0" w:type="auto"/>
            <w:tcBorders>
              <w:top w:val="nil"/>
              <w:left w:val="nil"/>
              <w:bottom w:val="single" w:sz="4" w:space="0" w:color="auto"/>
              <w:right w:val="single" w:sz="4" w:space="0" w:color="auto"/>
            </w:tcBorders>
            <w:noWrap/>
            <w:vAlign w:val="center"/>
            <w:hideMark/>
          </w:tcPr>
          <w:p w14:paraId="43B1361F" w14:textId="77777777" w:rsidR="00237BE1" w:rsidRPr="00237BE1" w:rsidRDefault="00237BE1" w:rsidP="000F221E">
            <w:pPr>
              <w:jc w:val="center"/>
              <w:rPr>
                <w:rFonts w:asciiTheme="majorHAnsi" w:hAnsiTheme="majorHAnsi"/>
                <w:color w:val="000000"/>
              </w:rPr>
            </w:pPr>
            <w:r w:rsidRPr="00237BE1">
              <w:rPr>
                <w:rFonts w:asciiTheme="majorHAnsi" w:hAnsiTheme="majorHAnsi"/>
                <w:color w:val="000000"/>
              </w:rPr>
              <w:t>₹ 36,700.00</w:t>
            </w:r>
          </w:p>
        </w:tc>
      </w:tr>
      <w:tr w:rsidR="00237BE1" w:rsidRPr="00237BE1" w14:paraId="1FB7783C"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50B14450" w14:textId="77777777" w:rsidR="00237BE1" w:rsidRPr="00237BE1" w:rsidRDefault="00237BE1" w:rsidP="000F221E">
            <w:pPr>
              <w:jc w:val="center"/>
              <w:rPr>
                <w:rFonts w:asciiTheme="majorHAnsi" w:hAnsiTheme="majorHAnsi"/>
                <w:color w:val="000000"/>
              </w:rPr>
            </w:pPr>
            <w:r w:rsidRPr="00237BE1">
              <w:rPr>
                <w:rFonts w:asciiTheme="majorHAnsi" w:hAnsiTheme="majorHAnsi"/>
                <w:color w:val="000000"/>
              </w:rPr>
              <w:t>ROURKELA</w:t>
            </w:r>
          </w:p>
        </w:tc>
        <w:tc>
          <w:tcPr>
            <w:tcW w:w="0" w:type="auto"/>
            <w:tcBorders>
              <w:top w:val="nil"/>
              <w:left w:val="nil"/>
              <w:bottom w:val="single" w:sz="4" w:space="0" w:color="auto"/>
              <w:right w:val="single" w:sz="4" w:space="0" w:color="auto"/>
            </w:tcBorders>
            <w:noWrap/>
            <w:vAlign w:val="center"/>
            <w:hideMark/>
          </w:tcPr>
          <w:p w14:paraId="3B9686C8" w14:textId="77777777" w:rsidR="00237BE1" w:rsidRPr="00237BE1" w:rsidRDefault="00237BE1" w:rsidP="000F221E">
            <w:pPr>
              <w:jc w:val="center"/>
              <w:rPr>
                <w:rFonts w:asciiTheme="majorHAnsi" w:hAnsiTheme="majorHAnsi"/>
                <w:color w:val="000000"/>
              </w:rPr>
            </w:pPr>
            <w:r w:rsidRPr="00237BE1">
              <w:rPr>
                <w:rFonts w:asciiTheme="majorHAnsi" w:hAnsiTheme="majorHAnsi"/>
                <w:color w:val="000000"/>
              </w:rPr>
              <w:t>10</w:t>
            </w:r>
          </w:p>
        </w:tc>
        <w:tc>
          <w:tcPr>
            <w:tcW w:w="0" w:type="auto"/>
            <w:tcBorders>
              <w:top w:val="nil"/>
              <w:left w:val="nil"/>
              <w:bottom w:val="single" w:sz="4" w:space="0" w:color="auto"/>
              <w:right w:val="single" w:sz="4" w:space="0" w:color="auto"/>
            </w:tcBorders>
            <w:noWrap/>
            <w:vAlign w:val="center"/>
            <w:hideMark/>
          </w:tcPr>
          <w:p w14:paraId="18BD842B" w14:textId="77777777" w:rsidR="00237BE1" w:rsidRPr="00237BE1" w:rsidRDefault="00237BE1" w:rsidP="000F221E">
            <w:pPr>
              <w:jc w:val="right"/>
              <w:rPr>
                <w:rFonts w:asciiTheme="majorHAnsi" w:hAnsiTheme="majorHAnsi"/>
                <w:color w:val="000000"/>
              </w:rPr>
            </w:pPr>
            <w:r w:rsidRPr="00237BE1">
              <w:rPr>
                <w:rFonts w:asciiTheme="majorHAnsi" w:hAnsiTheme="majorHAnsi"/>
                <w:color w:val="000000"/>
              </w:rPr>
              <w:t>₹ 1,835.00</w:t>
            </w:r>
          </w:p>
        </w:tc>
        <w:tc>
          <w:tcPr>
            <w:tcW w:w="0" w:type="auto"/>
            <w:tcBorders>
              <w:top w:val="nil"/>
              <w:left w:val="nil"/>
              <w:bottom w:val="single" w:sz="4" w:space="0" w:color="auto"/>
              <w:right w:val="single" w:sz="4" w:space="0" w:color="auto"/>
            </w:tcBorders>
            <w:noWrap/>
            <w:vAlign w:val="center"/>
            <w:hideMark/>
          </w:tcPr>
          <w:p w14:paraId="39843379" w14:textId="77777777" w:rsidR="00237BE1" w:rsidRPr="00237BE1" w:rsidRDefault="00237BE1" w:rsidP="000F221E">
            <w:pPr>
              <w:jc w:val="center"/>
              <w:rPr>
                <w:rFonts w:asciiTheme="majorHAnsi" w:hAnsiTheme="majorHAnsi"/>
                <w:color w:val="000000"/>
              </w:rPr>
            </w:pPr>
            <w:r w:rsidRPr="00237BE1">
              <w:rPr>
                <w:rFonts w:asciiTheme="majorHAnsi" w:hAnsiTheme="majorHAnsi"/>
                <w:color w:val="000000"/>
              </w:rPr>
              <w:t>₹ 18,350.00</w:t>
            </w:r>
          </w:p>
        </w:tc>
      </w:tr>
      <w:tr w:rsidR="00237BE1" w:rsidRPr="00237BE1" w14:paraId="50A3020E"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5C8C5004" w14:textId="77777777" w:rsidR="00237BE1" w:rsidRPr="00237BE1" w:rsidRDefault="00237BE1" w:rsidP="000F221E">
            <w:pPr>
              <w:jc w:val="center"/>
              <w:rPr>
                <w:rFonts w:asciiTheme="majorHAnsi" w:hAnsiTheme="majorHAnsi"/>
                <w:b/>
                <w:bCs/>
                <w:color w:val="000000"/>
              </w:rPr>
            </w:pPr>
            <w:r w:rsidRPr="00237BE1">
              <w:rPr>
                <w:rFonts w:asciiTheme="majorHAnsi" w:hAnsiTheme="majorHAnsi"/>
                <w:b/>
                <w:bCs/>
                <w:color w:val="000000"/>
              </w:rPr>
              <w:t>TOTAL</w:t>
            </w:r>
          </w:p>
        </w:tc>
        <w:tc>
          <w:tcPr>
            <w:tcW w:w="0" w:type="auto"/>
            <w:tcBorders>
              <w:top w:val="nil"/>
              <w:left w:val="nil"/>
              <w:bottom w:val="single" w:sz="4" w:space="0" w:color="auto"/>
              <w:right w:val="single" w:sz="4" w:space="0" w:color="auto"/>
            </w:tcBorders>
            <w:noWrap/>
            <w:vAlign w:val="center"/>
            <w:hideMark/>
          </w:tcPr>
          <w:p w14:paraId="0DE68877" w14:textId="77777777" w:rsidR="00237BE1" w:rsidRPr="00237BE1" w:rsidRDefault="00237BE1" w:rsidP="000F221E">
            <w:pPr>
              <w:jc w:val="center"/>
              <w:rPr>
                <w:rFonts w:asciiTheme="majorHAnsi" w:hAnsiTheme="majorHAnsi"/>
                <w:b/>
                <w:bCs/>
                <w:color w:val="000000"/>
              </w:rPr>
            </w:pPr>
            <w:r w:rsidRPr="00237BE1">
              <w:rPr>
                <w:rFonts w:asciiTheme="majorHAnsi" w:hAnsiTheme="majorHAnsi"/>
                <w:b/>
                <w:bCs/>
                <w:color w:val="000000"/>
              </w:rPr>
              <w:t>100</w:t>
            </w:r>
          </w:p>
        </w:tc>
        <w:tc>
          <w:tcPr>
            <w:tcW w:w="0" w:type="auto"/>
            <w:tcBorders>
              <w:top w:val="nil"/>
              <w:left w:val="nil"/>
              <w:bottom w:val="single" w:sz="4" w:space="0" w:color="auto"/>
              <w:right w:val="single" w:sz="4" w:space="0" w:color="auto"/>
            </w:tcBorders>
            <w:noWrap/>
            <w:vAlign w:val="center"/>
            <w:hideMark/>
          </w:tcPr>
          <w:p w14:paraId="600DFCFE" w14:textId="77777777" w:rsidR="00237BE1" w:rsidRPr="00237BE1" w:rsidRDefault="00237BE1" w:rsidP="000F221E">
            <w:pPr>
              <w:jc w:val="right"/>
              <w:rPr>
                <w:rFonts w:asciiTheme="majorHAnsi" w:hAnsiTheme="majorHAnsi"/>
                <w:b/>
                <w:bCs/>
                <w:color w:val="000000"/>
              </w:rPr>
            </w:pPr>
            <w:r w:rsidRPr="00237BE1">
              <w:rPr>
                <w:rFonts w:asciiTheme="majorHAnsi" w:hAnsiTheme="majorHAnsi"/>
                <w:b/>
                <w:bCs/>
                <w:color w:val="000000"/>
              </w:rPr>
              <w:t>₹ 1,835.00</w:t>
            </w:r>
          </w:p>
        </w:tc>
        <w:tc>
          <w:tcPr>
            <w:tcW w:w="0" w:type="auto"/>
            <w:tcBorders>
              <w:top w:val="nil"/>
              <w:left w:val="nil"/>
              <w:bottom w:val="single" w:sz="4" w:space="0" w:color="auto"/>
              <w:right w:val="single" w:sz="4" w:space="0" w:color="auto"/>
            </w:tcBorders>
            <w:noWrap/>
            <w:vAlign w:val="center"/>
            <w:hideMark/>
          </w:tcPr>
          <w:p w14:paraId="13AF8C38" w14:textId="77777777" w:rsidR="00237BE1" w:rsidRPr="00237BE1" w:rsidRDefault="00237BE1" w:rsidP="000F221E">
            <w:pPr>
              <w:jc w:val="center"/>
              <w:rPr>
                <w:rFonts w:asciiTheme="majorHAnsi" w:hAnsiTheme="majorHAnsi"/>
                <w:b/>
                <w:bCs/>
                <w:color w:val="000000"/>
              </w:rPr>
            </w:pPr>
            <w:r w:rsidRPr="00237BE1">
              <w:rPr>
                <w:rFonts w:asciiTheme="majorHAnsi" w:hAnsiTheme="majorHAnsi"/>
                <w:b/>
                <w:bCs/>
                <w:color w:val="000000"/>
              </w:rPr>
              <w:t>₹ 1,83,500.00</w:t>
            </w:r>
          </w:p>
        </w:tc>
      </w:tr>
    </w:tbl>
    <w:p w14:paraId="5680D0E3" w14:textId="14E06322" w:rsidR="00CD700C" w:rsidRDefault="00CD700C" w:rsidP="00923A86">
      <w:pPr>
        <w:pStyle w:val="ListParagraph"/>
        <w:spacing w:line="360" w:lineRule="auto"/>
        <w:ind w:left="709"/>
        <w:jc w:val="both"/>
        <w:rPr>
          <w:rFonts w:ascii="Cambria" w:hAnsi="Cambria" w:cstheme="minorHAnsi"/>
          <w:bCs/>
          <w:color w:val="000000"/>
          <w:sz w:val="24"/>
          <w:szCs w:val="24"/>
          <w:lang w:eastAsia="en-IN" w:bidi="hi-IN"/>
        </w:rPr>
      </w:pPr>
    </w:p>
    <w:p w14:paraId="6C8BF07C" w14:textId="521B7562" w:rsidR="009C4FED" w:rsidRPr="00C25379" w:rsidRDefault="009C4FED" w:rsidP="001972DE">
      <w:pPr>
        <w:pStyle w:val="ListParagraph"/>
        <w:numPr>
          <w:ilvl w:val="0"/>
          <w:numId w:val="13"/>
        </w:numPr>
        <w:spacing w:line="360" w:lineRule="auto"/>
        <w:ind w:left="709"/>
        <w:jc w:val="both"/>
        <w:rPr>
          <w:rFonts w:ascii="Cambria" w:hAnsi="Cambria" w:cstheme="minorHAnsi"/>
          <w:bCs/>
          <w:color w:val="000000"/>
          <w:sz w:val="24"/>
          <w:szCs w:val="24"/>
          <w:lang w:eastAsia="en-IN" w:bidi="hi-IN"/>
        </w:rPr>
      </w:pPr>
      <w:r w:rsidRPr="009C4FED">
        <w:rPr>
          <w:rFonts w:asciiTheme="majorHAnsi" w:hAnsiTheme="majorHAnsi" w:cstheme="minorHAnsi"/>
          <w:b/>
          <w:bCs/>
          <w:color w:val="000000"/>
          <w:sz w:val="24"/>
          <w:szCs w:val="24"/>
          <w:lang w:eastAsia="en-IN" w:bidi="hi-IN"/>
        </w:rPr>
        <w:t xml:space="preserve">Estimated Monthly cost for </w:t>
      </w:r>
      <w:r w:rsidRPr="009C4FED">
        <w:rPr>
          <w:rFonts w:asciiTheme="majorHAnsi" w:hAnsiTheme="majorHAnsi"/>
          <w:b/>
          <w:bCs/>
          <w:color w:val="000000"/>
          <w:sz w:val="24"/>
          <w:szCs w:val="24"/>
        </w:rPr>
        <w:t>Reporting of Power supply us</w:t>
      </w:r>
      <w:r w:rsidR="001912FA">
        <w:rPr>
          <w:rFonts w:asciiTheme="majorHAnsi" w:hAnsiTheme="majorHAnsi"/>
          <w:b/>
          <w:bCs/>
          <w:color w:val="000000"/>
          <w:sz w:val="24"/>
          <w:szCs w:val="24"/>
        </w:rPr>
        <w:t xml:space="preserve">ed </w:t>
      </w:r>
      <w:r w:rsidRPr="009C4FED">
        <w:rPr>
          <w:rFonts w:asciiTheme="majorHAnsi" w:hAnsiTheme="majorHAnsi"/>
          <w:b/>
          <w:bCs/>
          <w:color w:val="000000"/>
          <w:sz w:val="24"/>
          <w:szCs w:val="24"/>
        </w:rPr>
        <w:t>in Bill Stop/ TD / PD connections</w:t>
      </w:r>
      <w:r w:rsidR="00C25379">
        <w:rPr>
          <w:rFonts w:asciiTheme="majorHAnsi" w:hAnsiTheme="majorHAnsi"/>
          <w:b/>
          <w:bCs/>
          <w:color w:val="000000"/>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3607"/>
        <w:gridCol w:w="1341"/>
        <w:gridCol w:w="2230"/>
      </w:tblGrid>
      <w:tr w:rsidR="007745F6" w:rsidRPr="007745F6" w14:paraId="62B243F6" w14:textId="77777777" w:rsidTr="00C60E86">
        <w:trPr>
          <w:trHeight w:val="730"/>
          <w:tblHeader/>
        </w:trPr>
        <w:tc>
          <w:tcPr>
            <w:tcW w:w="0" w:type="auto"/>
            <w:gridSpan w:val="4"/>
            <w:vAlign w:val="center"/>
            <w:hideMark/>
          </w:tcPr>
          <w:p w14:paraId="4EE5D892" w14:textId="2D1AC47F" w:rsidR="007745F6" w:rsidRPr="007745F6" w:rsidRDefault="007745F6" w:rsidP="000F221E">
            <w:pPr>
              <w:jc w:val="center"/>
              <w:rPr>
                <w:rFonts w:asciiTheme="majorHAnsi" w:hAnsiTheme="majorHAnsi"/>
                <w:b/>
                <w:bCs/>
                <w:color w:val="000000"/>
                <w:lang w:val="en-IN"/>
              </w:rPr>
            </w:pPr>
            <w:r w:rsidRPr="007745F6">
              <w:rPr>
                <w:rFonts w:asciiTheme="majorHAnsi" w:hAnsiTheme="majorHAnsi"/>
                <w:b/>
                <w:bCs/>
                <w:color w:val="000000"/>
              </w:rPr>
              <w:t>The estimated Monthly cost for Reporting of Power supply us</w:t>
            </w:r>
            <w:r w:rsidR="001912FA">
              <w:rPr>
                <w:rFonts w:asciiTheme="majorHAnsi" w:hAnsiTheme="majorHAnsi"/>
                <w:b/>
                <w:bCs/>
                <w:color w:val="000000"/>
              </w:rPr>
              <w:t>ed</w:t>
            </w:r>
            <w:r w:rsidRPr="007745F6">
              <w:rPr>
                <w:rFonts w:asciiTheme="majorHAnsi" w:hAnsiTheme="majorHAnsi"/>
                <w:b/>
                <w:bCs/>
                <w:color w:val="000000"/>
              </w:rPr>
              <w:t xml:space="preserve"> in Bill Stop/ TD / PD connections</w:t>
            </w:r>
          </w:p>
        </w:tc>
      </w:tr>
      <w:tr w:rsidR="007745F6" w:rsidRPr="007745F6" w14:paraId="38FD2BBC" w14:textId="77777777" w:rsidTr="00C60E86">
        <w:trPr>
          <w:trHeight w:val="300"/>
          <w:tblHeader/>
        </w:trPr>
        <w:tc>
          <w:tcPr>
            <w:tcW w:w="0" w:type="auto"/>
            <w:noWrap/>
            <w:vAlign w:val="center"/>
            <w:hideMark/>
          </w:tcPr>
          <w:p w14:paraId="6BE615EC" w14:textId="77777777" w:rsidR="007745F6" w:rsidRPr="007745F6" w:rsidRDefault="007745F6" w:rsidP="000F221E">
            <w:pPr>
              <w:jc w:val="center"/>
              <w:rPr>
                <w:rFonts w:asciiTheme="majorHAnsi" w:hAnsiTheme="majorHAnsi"/>
                <w:b/>
                <w:bCs/>
                <w:color w:val="000000"/>
              </w:rPr>
            </w:pPr>
            <w:r w:rsidRPr="007745F6">
              <w:rPr>
                <w:rFonts w:asciiTheme="majorHAnsi" w:hAnsiTheme="majorHAnsi"/>
                <w:b/>
                <w:bCs/>
                <w:color w:val="000000"/>
              </w:rPr>
              <w:t>CIRCLE</w:t>
            </w:r>
          </w:p>
        </w:tc>
        <w:tc>
          <w:tcPr>
            <w:tcW w:w="0" w:type="auto"/>
            <w:noWrap/>
            <w:vAlign w:val="center"/>
            <w:hideMark/>
          </w:tcPr>
          <w:p w14:paraId="74E3EB9A" w14:textId="77777777" w:rsidR="007745F6" w:rsidRPr="007745F6" w:rsidRDefault="007745F6" w:rsidP="000F221E">
            <w:pPr>
              <w:jc w:val="center"/>
              <w:rPr>
                <w:rFonts w:asciiTheme="majorHAnsi" w:hAnsiTheme="majorHAnsi"/>
                <w:b/>
                <w:bCs/>
                <w:color w:val="000000"/>
              </w:rPr>
            </w:pPr>
            <w:r w:rsidRPr="007745F6">
              <w:rPr>
                <w:rFonts w:asciiTheme="majorHAnsi" w:hAnsiTheme="majorHAnsi"/>
                <w:b/>
                <w:bCs/>
                <w:color w:val="000000"/>
              </w:rPr>
              <w:t>Total No. of Consumers</w:t>
            </w:r>
          </w:p>
        </w:tc>
        <w:tc>
          <w:tcPr>
            <w:tcW w:w="0" w:type="auto"/>
            <w:noWrap/>
            <w:vAlign w:val="center"/>
            <w:hideMark/>
          </w:tcPr>
          <w:p w14:paraId="66D2704C" w14:textId="77777777" w:rsidR="007745F6" w:rsidRPr="007745F6" w:rsidRDefault="007745F6" w:rsidP="000F221E">
            <w:pPr>
              <w:jc w:val="center"/>
              <w:rPr>
                <w:rFonts w:asciiTheme="majorHAnsi" w:hAnsiTheme="majorHAnsi"/>
                <w:b/>
                <w:bCs/>
                <w:color w:val="000000"/>
              </w:rPr>
            </w:pPr>
            <w:r w:rsidRPr="007745F6">
              <w:rPr>
                <w:rFonts w:asciiTheme="majorHAnsi" w:hAnsiTheme="majorHAnsi"/>
                <w:b/>
                <w:bCs/>
                <w:color w:val="000000"/>
              </w:rPr>
              <w:t>Rate</w:t>
            </w:r>
          </w:p>
        </w:tc>
        <w:tc>
          <w:tcPr>
            <w:tcW w:w="0" w:type="auto"/>
            <w:noWrap/>
            <w:vAlign w:val="center"/>
            <w:hideMark/>
          </w:tcPr>
          <w:p w14:paraId="322B0F78" w14:textId="77777777" w:rsidR="007745F6" w:rsidRPr="007745F6" w:rsidRDefault="007745F6" w:rsidP="000F221E">
            <w:pPr>
              <w:jc w:val="center"/>
              <w:rPr>
                <w:rFonts w:asciiTheme="majorHAnsi" w:hAnsiTheme="majorHAnsi"/>
                <w:b/>
                <w:bCs/>
                <w:color w:val="000000"/>
              </w:rPr>
            </w:pPr>
            <w:r w:rsidRPr="007745F6">
              <w:rPr>
                <w:rFonts w:asciiTheme="majorHAnsi" w:hAnsiTheme="majorHAnsi"/>
                <w:b/>
                <w:bCs/>
                <w:color w:val="000000"/>
              </w:rPr>
              <w:t>Total (in Rs.)</w:t>
            </w:r>
          </w:p>
        </w:tc>
      </w:tr>
      <w:tr w:rsidR="007745F6" w:rsidRPr="007745F6" w14:paraId="3A7D6E9A" w14:textId="77777777" w:rsidTr="000F221E">
        <w:trPr>
          <w:trHeight w:val="290"/>
        </w:trPr>
        <w:tc>
          <w:tcPr>
            <w:tcW w:w="0" w:type="auto"/>
            <w:noWrap/>
            <w:vAlign w:val="center"/>
            <w:hideMark/>
          </w:tcPr>
          <w:p w14:paraId="6383AD87" w14:textId="77F84402" w:rsidR="007745F6" w:rsidRPr="007745F6" w:rsidRDefault="00C534D8" w:rsidP="000F221E">
            <w:pPr>
              <w:jc w:val="center"/>
              <w:rPr>
                <w:rFonts w:asciiTheme="majorHAnsi" w:hAnsiTheme="majorHAnsi"/>
                <w:color w:val="000000"/>
              </w:rPr>
            </w:pPr>
            <w:r>
              <w:rPr>
                <w:rFonts w:asciiTheme="majorHAnsi" w:hAnsiTheme="majorHAnsi"/>
                <w:color w:val="000000"/>
              </w:rPr>
              <w:t>BOLANGIR</w:t>
            </w:r>
          </w:p>
        </w:tc>
        <w:tc>
          <w:tcPr>
            <w:tcW w:w="0" w:type="auto"/>
            <w:noWrap/>
            <w:vAlign w:val="center"/>
            <w:hideMark/>
          </w:tcPr>
          <w:p w14:paraId="4DA4F2E7" w14:textId="77777777" w:rsidR="007745F6" w:rsidRPr="007745F6" w:rsidRDefault="007745F6" w:rsidP="000F221E">
            <w:pPr>
              <w:jc w:val="center"/>
              <w:rPr>
                <w:rFonts w:asciiTheme="majorHAnsi" w:hAnsiTheme="majorHAnsi"/>
                <w:color w:val="000000"/>
              </w:rPr>
            </w:pPr>
            <w:r w:rsidRPr="007745F6">
              <w:rPr>
                <w:rFonts w:asciiTheme="majorHAnsi" w:hAnsiTheme="majorHAnsi"/>
                <w:color w:val="000000"/>
              </w:rPr>
              <w:t>1,000</w:t>
            </w:r>
          </w:p>
        </w:tc>
        <w:tc>
          <w:tcPr>
            <w:tcW w:w="0" w:type="auto"/>
            <w:noWrap/>
            <w:vAlign w:val="center"/>
            <w:hideMark/>
          </w:tcPr>
          <w:p w14:paraId="4C07601C" w14:textId="77777777" w:rsidR="007745F6" w:rsidRPr="007745F6" w:rsidRDefault="007745F6" w:rsidP="000F221E">
            <w:pPr>
              <w:jc w:val="right"/>
              <w:rPr>
                <w:rFonts w:asciiTheme="majorHAnsi" w:hAnsiTheme="majorHAnsi"/>
                <w:color w:val="000000"/>
              </w:rPr>
            </w:pPr>
            <w:r w:rsidRPr="007745F6">
              <w:rPr>
                <w:rFonts w:asciiTheme="majorHAnsi" w:hAnsiTheme="majorHAnsi"/>
                <w:color w:val="000000"/>
              </w:rPr>
              <w:t>₹ 30.00</w:t>
            </w:r>
          </w:p>
        </w:tc>
        <w:tc>
          <w:tcPr>
            <w:tcW w:w="0" w:type="auto"/>
            <w:noWrap/>
            <w:vAlign w:val="center"/>
            <w:hideMark/>
          </w:tcPr>
          <w:p w14:paraId="51FEE3FE" w14:textId="77777777" w:rsidR="007745F6" w:rsidRPr="007745F6" w:rsidRDefault="007745F6" w:rsidP="000F221E">
            <w:pPr>
              <w:jc w:val="center"/>
              <w:rPr>
                <w:rFonts w:asciiTheme="majorHAnsi" w:hAnsiTheme="majorHAnsi"/>
                <w:color w:val="000000"/>
              </w:rPr>
            </w:pPr>
            <w:r w:rsidRPr="007745F6">
              <w:rPr>
                <w:rFonts w:asciiTheme="majorHAnsi" w:hAnsiTheme="majorHAnsi"/>
                <w:color w:val="000000"/>
              </w:rPr>
              <w:t>₹ 30,000.00</w:t>
            </w:r>
          </w:p>
        </w:tc>
      </w:tr>
      <w:tr w:rsidR="007745F6" w:rsidRPr="007745F6" w14:paraId="4BA39DE7" w14:textId="77777777" w:rsidTr="000F221E">
        <w:trPr>
          <w:trHeight w:val="300"/>
        </w:trPr>
        <w:tc>
          <w:tcPr>
            <w:tcW w:w="0" w:type="auto"/>
            <w:noWrap/>
            <w:vAlign w:val="center"/>
            <w:hideMark/>
          </w:tcPr>
          <w:p w14:paraId="7908CFED" w14:textId="77777777" w:rsidR="007745F6" w:rsidRPr="007745F6" w:rsidRDefault="007745F6" w:rsidP="000F221E">
            <w:pPr>
              <w:jc w:val="center"/>
              <w:rPr>
                <w:rFonts w:asciiTheme="majorHAnsi" w:hAnsiTheme="majorHAnsi"/>
                <w:color w:val="000000"/>
              </w:rPr>
            </w:pPr>
            <w:r w:rsidRPr="007745F6">
              <w:rPr>
                <w:rFonts w:asciiTheme="majorHAnsi" w:hAnsiTheme="majorHAnsi"/>
                <w:color w:val="000000"/>
              </w:rPr>
              <w:t>BARGARH</w:t>
            </w:r>
          </w:p>
        </w:tc>
        <w:tc>
          <w:tcPr>
            <w:tcW w:w="0" w:type="auto"/>
            <w:noWrap/>
            <w:vAlign w:val="center"/>
            <w:hideMark/>
          </w:tcPr>
          <w:p w14:paraId="621DA9F6" w14:textId="77777777" w:rsidR="007745F6" w:rsidRPr="007745F6" w:rsidRDefault="007745F6" w:rsidP="000F221E">
            <w:pPr>
              <w:jc w:val="center"/>
              <w:rPr>
                <w:rFonts w:asciiTheme="majorHAnsi" w:hAnsiTheme="majorHAnsi"/>
                <w:color w:val="000000"/>
              </w:rPr>
            </w:pPr>
            <w:r w:rsidRPr="007745F6">
              <w:rPr>
                <w:rFonts w:asciiTheme="majorHAnsi" w:hAnsiTheme="majorHAnsi"/>
                <w:color w:val="000000"/>
              </w:rPr>
              <w:t>1,500</w:t>
            </w:r>
          </w:p>
        </w:tc>
        <w:tc>
          <w:tcPr>
            <w:tcW w:w="0" w:type="auto"/>
            <w:noWrap/>
            <w:vAlign w:val="center"/>
            <w:hideMark/>
          </w:tcPr>
          <w:p w14:paraId="270E2DBE" w14:textId="77777777" w:rsidR="007745F6" w:rsidRPr="007745F6" w:rsidRDefault="007745F6" w:rsidP="000F221E">
            <w:pPr>
              <w:jc w:val="right"/>
              <w:rPr>
                <w:rFonts w:asciiTheme="majorHAnsi" w:hAnsiTheme="majorHAnsi"/>
                <w:color w:val="000000"/>
              </w:rPr>
            </w:pPr>
            <w:r w:rsidRPr="007745F6">
              <w:rPr>
                <w:rFonts w:asciiTheme="majorHAnsi" w:hAnsiTheme="majorHAnsi"/>
                <w:color w:val="000000"/>
              </w:rPr>
              <w:t>₹ 30.00</w:t>
            </w:r>
          </w:p>
        </w:tc>
        <w:tc>
          <w:tcPr>
            <w:tcW w:w="0" w:type="auto"/>
            <w:noWrap/>
            <w:vAlign w:val="center"/>
            <w:hideMark/>
          </w:tcPr>
          <w:p w14:paraId="65FD90A9" w14:textId="77777777" w:rsidR="007745F6" w:rsidRPr="007745F6" w:rsidRDefault="007745F6" w:rsidP="000F221E">
            <w:pPr>
              <w:jc w:val="center"/>
              <w:rPr>
                <w:rFonts w:asciiTheme="majorHAnsi" w:hAnsiTheme="majorHAnsi"/>
                <w:color w:val="000000"/>
              </w:rPr>
            </w:pPr>
            <w:r w:rsidRPr="007745F6">
              <w:rPr>
                <w:rFonts w:asciiTheme="majorHAnsi" w:hAnsiTheme="majorHAnsi"/>
                <w:color w:val="000000"/>
              </w:rPr>
              <w:t>₹ 45,000.00</w:t>
            </w:r>
          </w:p>
        </w:tc>
      </w:tr>
      <w:tr w:rsidR="007745F6" w:rsidRPr="007745F6" w14:paraId="1CA0E8C3" w14:textId="77777777" w:rsidTr="000F221E">
        <w:trPr>
          <w:trHeight w:val="300"/>
        </w:trPr>
        <w:tc>
          <w:tcPr>
            <w:tcW w:w="0" w:type="auto"/>
            <w:noWrap/>
            <w:vAlign w:val="center"/>
            <w:hideMark/>
          </w:tcPr>
          <w:p w14:paraId="5EED8015" w14:textId="77777777" w:rsidR="007745F6" w:rsidRPr="007745F6" w:rsidRDefault="007745F6" w:rsidP="000F221E">
            <w:pPr>
              <w:jc w:val="center"/>
              <w:rPr>
                <w:rFonts w:asciiTheme="majorHAnsi" w:hAnsiTheme="majorHAnsi"/>
                <w:color w:val="000000"/>
              </w:rPr>
            </w:pPr>
            <w:r w:rsidRPr="007745F6">
              <w:rPr>
                <w:rFonts w:asciiTheme="majorHAnsi" w:hAnsiTheme="majorHAnsi"/>
                <w:color w:val="000000"/>
              </w:rPr>
              <w:t>SAMBALPUR</w:t>
            </w:r>
          </w:p>
        </w:tc>
        <w:tc>
          <w:tcPr>
            <w:tcW w:w="0" w:type="auto"/>
            <w:noWrap/>
            <w:vAlign w:val="center"/>
            <w:hideMark/>
          </w:tcPr>
          <w:p w14:paraId="58578550" w14:textId="77777777" w:rsidR="007745F6" w:rsidRPr="007745F6" w:rsidRDefault="007745F6" w:rsidP="000F221E">
            <w:pPr>
              <w:jc w:val="center"/>
              <w:rPr>
                <w:rFonts w:asciiTheme="majorHAnsi" w:hAnsiTheme="majorHAnsi"/>
                <w:color w:val="000000"/>
              </w:rPr>
            </w:pPr>
            <w:r w:rsidRPr="007745F6">
              <w:rPr>
                <w:rFonts w:asciiTheme="majorHAnsi" w:hAnsiTheme="majorHAnsi"/>
                <w:color w:val="000000"/>
              </w:rPr>
              <w:t>500</w:t>
            </w:r>
          </w:p>
        </w:tc>
        <w:tc>
          <w:tcPr>
            <w:tcW w:w="0" w:type="auto"/>
            <w:noWrap/>
            <w:vAlign w:val="center"/>
            <w:hideMark/>
          </w:tcPr>
          <w:p w14:paraId="30A2262E" w14:textId="77777777" w:rsidR="007745F6" w:rsidRPr="007745F6" w:rsidRDefault="007745F6" w:rsidP="000F221E">
            <w:pPr>
              <w:jc w:val="right"/>
              <w:rPr>
                <w:rFonts w:asciiTheme="majorHAnsi" w:hAnsiTheme="majorHAnsi"/>
                <w:color w:val="000000"/>
              </w:rPr>
            </w:pPr>
            <w:r w:rsidRPr="007745F6">
              <w:rPr>
                <w:rFonts w:asciiTheme="majorHAnsi" w:hAnsiTheme="majorHAnsi"/>
                <w:color w:val="000000"/>
              </w:rPr>
              <w:t>₹ 30.00</w:t>
            </w:r>
          </w:p>
        </w:tc>
        <w:tc>
          <w:tcPr>
            <w:tcW w:w="0" w:type="auto"/>
            <w:noWrap/>
            <w:vAlign w:val="center"/>
            <w:hideMark/>
          </w:tcPr>
          <w:p w14:paraId="579F7D90" w14:textId="77777777" w:rsidR="007745F6" w:rsidRPr="007745F6" w:rsidRDefault="007745F6" w:rsidP="000F221E">
            <w:pPr>
              <w:jc w:val="center"/>
              <w:rPr>
                <w:rFonts w:asciiTheme="majorHAnsi" w:hAnsiTheme="majorHAnsi"/>
                <w:color w:val="000000"/>
              </w:rPr>
            </w:pPr>
            <w:r w:rsidRPr="007745F6">
              <w:rPr>
                <w:rFonts w:asciiTheme="majorHAnsi" w:hAnsiTheme="majorHAnsi"/>
                <w:color w:val="000000"/>
              </w:rPr>
              <w:t>₹ 15,000.00</w:t>
            </w:r>
          </w:p>
        </w:tc>
      </w:tr>
      <w:tr w:rsidR="007745F6" w:rsidRPr="007745F6" w14:paraId="15A53320" w14:textId="77777777" w:rsidTr="000F221E">
        <w:trPr>
          <w:trHeight w:val="300"/>
        </w:trPr>
        <w:tc>
          <w:tcPr>
            <w:tcW w:w="0" w:type="auto"/>
            <w:noWrap/>
            <w:vAlign w:val="center"/>
            <w:hideMark/>
          </w:tcPr>
          <w:p w14:paraId="640E4672" w14:textId="77777777" w:rsidR="007745F6" w:rsidRPr="007745F6" w:rsidRDefault="007745F6" w:rsidP="000F221E">
            <w:pPr>
              <w:jc w:val="center"/>
              <w:rPr>
                <w:rFonts w:asciiTheme="majorHAnsi" w:hAnsiTheme="majorHAnsi"/>
                <w:color w:val="000000"/>
              </w:rPr>
            </w:pPr>
            <w:r w:rsidRPr="007745F6">
              <w:rPr>
                <w:rFonts w:asciiTheme="majorHAnsi" w:hAnsiTheme="majorHAnsi"/>
                <w:color w:val="000000"/>
              </w:rPr>
              <w:t>KALAHANDI</w:t>
            </w:r>
          </w:p>
        </w:tc>
        <w:tc>
          <w:tcPr>
            <w:tcW w:w="0" w:type="auto"/>
            <w:noWrap/>
            <w:vAlign w:val="center"/>
            <w:hideMark/>
          </w:tcPr>
          <w:p w14:paraId="12B179CE" w14:textId="77777777" w:rsidR="007745F6" w:rsidRPr="007745F6" w:rsidRDefault="007745F6" w:rsidP="000F221E">
            <w:pPr>
              <w:jc w:val="center"/>
              <w:rPr>
                <w:rFonts w:asciiTheme="majorHAnsi" w:hAnsiTheme="majorHAnsi"/>
                <w:color w:val="000000"/>
              </w:rPr>
            </w:pPr>
            <w:r w:rsidRPr="007745F6">
              <w:rPr>
                <w:rFonts w:asciiTheme="majorHAnsi" w:hAnsiTheme="majorHAnsi"/>
                <w:color w:val="000000"/>
              </w:rPr>
              <w:t>1,500</w:t>
            </w:r>
          </w:p>
        </w:tc>
        <w:tc>
          <w:tcPr>
            <w:tcW w:w="0" w:type="auto"/>
            <w:noWrap/>
            <w:vAlign w:val="center"/>
            <w:hideMark/>
          </w:tcPr>
          <w:p w14:paraId="3D9A8703" w14:textId="77777777" w:rsidR="007745F6" w:rsidRPr="007745F6" w:rsidRDefault="007745F6" w:rsidP="000F221E">
            <w:pPr>
              <w:jc w:val="right"/>
              <w:rPr>
                <w:rFonts w:asciiTheme="majorHAnsi" w:hAnsiTheme="majorHAnsi"/>
                <w:color w:val="000000"/>
              </w:rPr>
            </w:pPr>
            <w:r w:rsidRPr="007745F6">
              <w:rPr>
                <w:rFonts w:asciiTheme="majorHAnsi" w:hAnsiTheme="majorHAnsi"/>
                <w:color w:val="000000"/>
              </w:rPr>
              <w:t>₹ 30.00</w:t>
            </w:r>
          </w:p>
        </w:tc>
        <w:tc>
          <w:tcPr>
            <w:tcW w:w="0" w:type="auto"/>
            <w:noWrap/>
            <w:vAlign w:val="center"/>
            <w:hideMark/>
          </w:tcPr>
          <w:p w14:paraId="6C3A5A40" w14:textId="77777777" w:rsidR="007745F6" w:rsidRPr="007745F6" w:rsidRDefault="007745F6" w:rsidP="000F221E">
            <w:pPr>
              <w:jc w:val="center"/>
              <w:rPr>
                <w:rFonts w:asciiTheme="majorHAnsi" w:hAnsiTheme="majorHAnsi"/>
                <w:color w:val="000000"/>
              </w:rPr>
            </w:pPr>
            <w:r w:rsidRPr="007745F6">
              <w:rPr>
                <w:rFonts w:asciiTheme="majorHAnsi" w:hAnsiTheme="majorHAnsi"/>
                <w:color w:val="000000"/>
              </w:rPr>
              <w:t>₹ 45,000.00</w:t>
            </w:r>
          </w:p>
        </w:tc>
      </w:tr>
      <w:tr w:rsidR="007745F6" w:rsidRPr="007745F6" w14:paraId="69C11ACB" w14:textId="77777777" w:rsidTr="000F221E">
        <w:trPr>
          <w:trHeight w:val="300"/>
        </w:trPr>
        <w:tc>
          <w:tcPr>
            <w:tcW w:w="0" w:type="auto"/>
            <w:noWrap/>
            <w:vAlign w:val="center"/>
            <w:hideMark/>
          </w:tcPr>
          <w:p w14:paraId="7DA71F6C" w14:textId="77777777" w:rsidR="007745F6" w:rsidRPr="007745F6" w:rsidRDefault="007745F6" w:rsidP="000F221E">
            <w:pPr>
              <w:jc w:val="center"/>
              <w:rPr>
                <w:rFonts w:asciiTheme="majorHAnsi" w:hAnsiTheme="majorHAnsi"/>
                <w:color w:val="000000"/>
              </w:rPr>
            </w:pPr>
            <w:r w:rsidRPr="007745F6">
              <w:rPr>
                <w:rFonts w:asciiTheme="majorHAnsi" w:hAnsiTheme="majorHAnsi"/>
                <w:color w:val="000000"/>
              </w:rPr>
              <w:t>ROURKELA</w:t>
            </w:r>
          </w:p>
        </w:tc>
        <w:tc>
          <w:tcPr>
            <w:tcW w:w="0" w:type="auto"/>
            <w:noWrap/>
            <w:vAlign w:val="center"/>
            <w:hideMark/>
          </w:tcPr>
          <w:p w14:paraId="0F6D7969" w14:textId="77777777" w:rsidR="007745F6" w:rsidRPr="007745F6" w:rsidRDefault="007745F6" w:rsidP="000F221E">
            <w:pPr>
              <w:jc w:val="center"/>
              <w:rPr>
                <w:rFonts w:asciiTheme="majorHAnsi" w:hAnsiTheme="majorHAnsi"/>
                <w:color w:val="000000"/>
              </w:rPr>
            </w:pPr>
            <w:r w:rsidRPr="007745F6">
              <w:rPr>
                <w:rFonts w:asciiTheme="majorHAnsi" w:hAnsiTheme="majorHAnsi"/>
                <w:color w:val="000000"/>
              </w:rPr>
              <w:t>700</w:t>
            </w:r>
          </w:p>
        </w:tc>
        <w:tc>
          <w:tcPr>
            <w:tcW w:w="0" w:type="auto"/>
            <w:noWrap/>
            <w:vAlign w:val="center"/>
            <w:hideMark/>
          </w:tcPr>
          <w:p w14:paraId="75D75854" w14:textId="77777777" w:rsidR="007745F6" w:rsidRPr="007745F6" w:rsidRDefault="007745F6" w:rsidP="000F221E">
            <w:pPr>
              <w:jc w:val="right"/>
              <w:rPr>
                <w:rFonts w:asciiTheme="majorHAnsi" w:hAnsiTheme="majorHAnsi"/>
                <w:color w:val="000000"/>
              </w:rPr>
            </w:pPr>
            <w:r w:rsidRPr="007745F6">
              <w:rPr>
                <w:rFonts w:asciiTheme="majorHAnsi" w:hAnsiTheme="majorHAnsi"/>
                <w:color w:val="000000"/>
              </w:rPr>
              <w:t>₹ 30.00</w:t>
            </w:r>
          </w:p>
        </w:tc>
        <w:tc>
          <w:tcPr>
            <w:tcW w:w="0" w:type="auto"/>
            <w:noWrap/>
            <w:vAlign w:val="center"/>
            <w:hideMark/>
          </w:tcPr>
          <w:p w14:paraId="61648EA4" w14:textId="77777777" w:rsidR="007745F6" w:rsidRPr="007745F6" w:rsidRDefault="007745F6" w:rsidP="000F221E">
            <w:pPr>
              <w:jc w:val="center"/>
              <w:rPr>
                <w:rFonts w:asciiTheme="majorHAnsi" w:hAnsiTheme="majorHAnsi"/>
                <w:color w:val="000000"/>
              </w:rPr>
            </w:pPr>
            <w:r w:rsidRPr="007745F6">
              <w:rPr>
                <w:rFonts w:asciiTheme="majorHAnsi" w:hAnsiTheme="majorHAnsi"/>
                <w:color w:val="000000"/>
              </w:rPr>
              <w:t>₹ 21,000.00</w:t>
            </w:r>
          </w:p>
        </w:tc>
      </w:tr>
      <w:tr w:rsidR="007745F6" w:rsidRPr="007745F6" w14:paraId="3DEA3DE0" w14:textId="77777777" w:rsidTr="000F221E">
        <w:trPr>
          <w:trHeight w:val="300"/>
        </w:trPr>
        <w:tc>
          <w:tcPr>
            <w:tcW w:w="0" w:type="auto"/>
            <w:noWrap/>
            <w:vAlign w:val="center"/>
            <w:hideMark/>
          </w:tcPr>
          <w:p w14:paraId="302DC932" w14:textId="77777777" w:rsidR="007745F6" w:rsidRPr="007745F6" w:rsidRDefault="007745F6" w:rsidP="000F221E">
            <w:pPr>
              <w:jc w:val="center"/>
              <w:rPr>
                <w:rFonts w:asciiTheme="majorHAnsi" w:hAnsiTheme="majorHAnsi"/>
                <w:b/>
                <w:bCs/>
                <w:color w:val="000000"/>
              </w:rPr>
            </w:pPr>
            <w:r w:rsidRPr="007745F6">
              <w:rPr>
                <w:rFonts w:asciiTheme="majorHAnsi" w:hAnsiTheme="majorHAnsi"/>
                <w:b/>
                <w:bCs/>
                <w:color w:val="000000"/>
              </w:rPr>
              <w:t>TOTAL</w:t>
            </w:r>
          </w:p>
        </w:tc>
        <w:tc>
          <w:tcPr>
            <w:tcW w:w="0" w:type="auto"/>
            <w:noWrap/>
            <w:vAlign w:val="center"/>
            <w:hideMark/>
          </w:tcPr>
          <w:p w14:paraId="678C48C5" w14:textId="77777777" w:rsidR="007745F6" w:rsidRPr="007745F6" w:rsidRDefault="007745F6" w:rsidP="000F221E">
            <w:pPr>
              <w:jc w:val="center"/>
              <w:rPr>
                <w:rFonts w:asciiTheme="majorHAnsi" w:hAnsiTheme="majorHAnsi"/>
                <w:b/>
                <w:bCs/>
                <w:color w:val="000000"/>
              </w:rPr>
            </w:pPr>
            <w:r w:rsidRPr="007745F6">
              <w:rPr>
                <w:rFonts w:asciiTheme="majorHAnsi" w:hAnsiTheme="majorHAnsi"/>
                <w:b/>
                <w:bCs/>
                <w:color w:val="000000"/>
              </w:rPr>
              <w:t>5,200</w:t>
            </w:r>
          </w:p>
        </w:tc>
        <w:tc>
          <w:tcPr>
            <w:tcW w:w="0" w:type="auto"/>
            <w:noWrap/>
            <w:vAlign w:val="center"/>
            <w:hideMark/>
          </w:tcPr>
          <w:p w14:paraId="0BD0A3F5" w14:textId="77777777" w:rsidR="007745F6" w:rsidRPr="007745F6" w:rsidRDefault="007745F6" w:rsidP="000F221E">
            <w:pPr>
              <w:jc w:val="right"/>
              <w:rPr>
                <w:rFonts w:asciiTheme="majorHAnsi" w:hAnsiTheme="majorHAnsi"/>
                <w:b/>
                <w:bCs/>
                <w:color w:val="000000"/>
              </w:rPr>
            </w:pPr>
            <w:r w:rsidRPr="007745F6">
              <w:rPr>
                <w:rFonts w:asciiTheme="majorHAnsi" w:hAnsiTheme="majorHAnsi"/>
                <w:b/>
                <w:bCs/>
                <w:color w:val="000000"/>
              </w:rPr>
              <w:t>₹ 30.00</w:t>
            </w:r>
          </w:p>
        </w:tc>
        <w:tc>
          <w:tcPr>
            <w:tcW w:w="0" w:type="auto"/>
            <w:noWrap/>
            <w:vAlign w:val="center"/>
            <w:hideMark/>
          </w:tcPr>
          <w:p w14:paraId="5E2EA12E" w14:textId="77777777" w:rsidR="007745F6" w:rsidRPr="007745F6" w:rsidRDefault="007745F6" w:rsidP="000F221E">
            <w:pPr>
              <w:jc w:val="center"/>
              <w:rPr>
                <w:rFonts w:asciiTheme="majorHAnsi" w:hAnsiTheme="majorHAnsi"/>
                <w:b/>
                <w:bCs/>
                <w:color w:val="000000"/>
              </w:rPr>
            </w:pPr>
            <w:r w:rsidRPr="007745F6">
              <w:rPr>
                <w:rFonts w:asciiTheme="majorHAnsi" w:hAnsiTheme="majorHAnsi"/>
                <w:b/>
                <w:bCs/>
                <w:color w:val="000000"/>
              </w:rPr>
              <w:t>₹ 1,56,000.00</w:t>
            </w:r>
          </w:p>
        </w:tc>
      </w:tr>
    </w:tbl>
    <w:p w14:paraId="07848A3B" w14:textId="77777777" w:rsidR="00C25379" w:rsidRDefault="00C25379" w:rsidP="00C25379">
      <w:pPr>
        <w:pStyle w:val="ListParagraph"/>
        <w:spacing w:line="360" w:lineRule="auto"/>
        <w:ind w:left="709"/>
        <w:jc w:val="both"/>
        <w:rPr>
          <w:rFonts w:ascii="Cambria" w:hAnsi="Cambria" w:cstheme="minorHAnsi"/>
          <w:bCs/>
          <w:color w:val="000000"/>
          <w:sz w:val="24"/>
          <w:szCs w:val="24"/>
          <w:lang w:eastAsia="en-IN" w:bidi="hi-IN"/>
        </w:rPr>
      </w:pPr>
    </w:p>
    <w:p w14:paraId="4012A3E7" w14:textId="77777777" w:rsidR="009C6AE7" w:rsidRPr="00D00F27" w:rsidRDefault="009C6AE7" w:rsidP="001972DE">
      <w:pPr>
        <w:pStyle w:val="ListParagraph"/>
        <w:numPr>
          <w:ilvl w:val="0"/>
          <w:numId w:val="13"/>
        </w:numPr>
        <w:spacing w:line="360" w:lineRule="auto"/>
        <w:ind w:left="709"/>
        <w:jc w:val="both"/>
        <w:rPr>
          <w:rFonts w:asciiTheme="majorHAnsi" w:hAnsiTheme="majorHAnsi"/>
          <w:b/>
          <w:bCs/>
          <w:sz w:val="24"/>
          <w:szCs w:val="24"/>
          <w:u w:val="single"/>
        </w:rPr>
      </w:pPr>
      <w:bookmarkStart w:id="41" w:name="_Toc183802808"/>
      <w:r w:rsidRPr="00D00F27">
        <w:rPr>
          <w:rFonts w:asciiTheme="majorHAnsi" w:hAnsiTheme="majorHAnsi"/>
          <w:b/>
          <w:bCs/>
          <w:sz w:val="24"/>
          <w:szCs w:val="24"/>
          <w:u w:val="single"/>
        </w:rPr>
        <w:t>Meter Replacement (Recurring expenses other than cost of meters)</w:t>
      </w:r>
      <w:bookmarkEnd w:id="41"/>
    </w:p>
    <w:p w14:paraId="61E42377" w14:textId="2EA8D369" w:rsidR="00362873" w:rsidRDefault="009C6AE7" w:rsidP="00A761F6">
      <w:pPr>
        <w:spacing w:line="360" w:lineRule="auto"/>
        <w:ind w:left="709"/>
        <w:jc w:val="both"/>
        <w:rPr>
          <w:rFonts w:asciiTheme="majorHAnsi" w:hAnsiTheme="majorHAnsi"/>
        </w:rPr>
      </w:pPr>
      <w:r w:rsidRPr="00EB31DC">
        <w:rPr>
          <w:rFonts w:asciiTheme="majorHAnsi" w:hAnsiTheme="majorHAnsi"/>
          <w:u w:val="single"/>
        </w:rPr>
        <w:t>Manpower Services Cost for Consumer Survey</w:t>
      </w:r>
      <w:r w:rsidR="00AD46C2" w:rsidRPr="00EB31DC">
        <w:rPr>
          <w:rFonts w:asciiTheme="majorHAnsi" w:hAnsiTheme="majorHAnsi"/>
          <w:u w:val="single"/>
        </w:rPr>
        <w:t xml:space="preserve">: </w:t>
      </w:r>
      <w:r w:rsidR="008508BA" w:rsidRPr="008508BA">
        <w:rPr>
          <w:rFonts w:asciiTheme="majorHAnsi" w:hAnsiTheme="majorHAnsi"/>
        </w:rPr>
        <w:t>Around 60</w:t>
      </w:r>
      <w:r w:rsidR="0018799B">
        <w:rPr>
          <w:rFonts w:asciiTheme="majorHAnsi" w:hAnsiTheme="majorHAnsi"/>
        </w:rPr>
        <w:t xml:space="preserve"> thousand</w:t>
      </w:r>
      <w:r w:rsidR="008508BA" w:rsidRPr="008508BA">
        <w:rPr>
          <w:rFonts w:asciiTheme="majorHAnsi" w:hAnsiTheme="majorHAnsi"/>
        </w:rPr>
        <w:t xml:space="preserve"> consumers have defective meters in the system. </w:t>
      </w:r>
      <w:proofErr w:type="spellStart"/>
      <w:r w:rsidR="008508BA" w:rsidRPr="008508BA">
        <w:rPr>
          <w:rFonts w:asciiTheme="majorHAnsi" w:hAnsiTheme="majorHAnsi"/>
        </w:rPr>
        <w:t>Approx</w:t>
      </w:r>
      <w:proofErr w:type="spellEnd"/>
      <w:r w:rsidR="008508BA" w:rsidRPr="008508BA">
        <w:rPr>
          <w:rFonts w:asciiTheme="majorHAnsi" w:hAnsiTheme="majorHAnsi"/>
        </w:rPr>
        <w:t xml:space="preserve"> 10000 Meters are </w:t>
      </w:r>
      <w:r w:rsidR="008B5CA3">
        <w:rPr>
          <w:rFonts w:asciiTheme="majorHAnsi" w:hAnsiTheme="majorHAnsi"/>
        </w:rPr>
        <w:t>reported/getting</w:t>
      </w:r>
      <w:r w:rsidR="008508BA" w:rsidRPr="008508BA">
        <w:rPr>
          <w:rFonts w:asciiTheme="majorHAnsi" w:hAnsiTheme="majorHAnsi"/>
        </w:rPr>
        <w:t xml:space="preserve"> faulty every month. These faulty/defective meters are being </w:t>
      </w:r>
      <w:r w:rsidR="00C3436C">
        <w:rPr>
          <w:rFonts w:asciiTheme="majorHAnsi" w:hAnsiTheme="majorHAnsi"/>
        </w:rPr>
        <w:t xml:space="preserve">tested &amp; </w:t>
      </w:r>
      <w:r w:rsidR="008508BA" w:rsidRPr="008508BA">
        <w:rPr>
          <w:rFonts w:asciiTheme="majorHAnsi" w:hAnsiTheme="majorHAnsi"/>
        </w:rPr>
        <w:t>replaced on regular basis. However, during replacement of these meters in the field, it is observed that many premises are locked, or consumers are not available at the site and consumer resistance. To attend to such cases multiple visits are required for meter replacement teams thereby reducing their efficiency and increasing the cost of the entire activity. To overcome such a scenario, it is pertinent to identify the locations and exact status of these connections, for which survey activity needs to be carried out beforehand so that Meter Replacement activity can be done in a more effective and time-bound manner. To carry out the survey, a mobile application has been developed by the in-house IT Team named “MMG 2.8” which has made the meter replacement activity a lot systematic, automatic, and error-free. Accordingly, the following recurring cost shall also be incurred during FY 26-27.</w:t>
      </w:r>
    </w:p>
    <w:tbl>
      <w:tblPr>
        <w:tblW w:w="6516" w:type="dxa"/>
        <w:jc w:val="center"/>
        <w:tblLook w:val="04A0" w:firstRow="1" w:lastRow="0" w:firstColumn="1" w:lastColumn="0" w:noHBand="0" w:noVBand="1"/>
      </w:tblPr>
      <w:tblGrid>
        <w:gridCol w:w="3185"/>
        <w:gridCol w:w="3331"/>
      </w:tblGrid>
      <w:tr w:rsidR="00660E62" w:rsidRPr="00660E62" w14:paraId="54E91F20" w14:textId="77777777" w:rsidTr="00660E62">
        <w:trPr>
          <w:trHeight w:hRule="exact" w:val="280"/>
          <w:jc w:val="center"/>
        </w:trPr>
        <w:tc>
          <w:tcPr>
            <w:tcW w:w="3185" w:type="dxa"/>
            <w:tcBorders>
              <w:top w:val="single" w:sz="4" w:space="0" w:color="auto"/>
              <w:left w:val="single" w:sz="4" w:space="0" w:color="auto"/>
              <w:bottom w:val="single" w:sz="4" w:space="0" w:color="auto"/>
              <w:right w:val="single" w:sz="4" w:space="0" w:color="auto"/>
            </w:tcBorders>
            <w:vAlign w:val="center"/>
            <w:hideMark/>
          </w:tcPr>
          <w:p w14:paraId="42A7C57D" w14:textId="77777777" w:rsidR="00660E62" w:rsidRPr="00660E62" w:rsidRDefault="00660E62" w:rsidP="000F221E">
            <w:pPr>
              <w:spacing w:line="240" w:lineRule="atLeast"/>
              <w:jc w:val="both"/>
              <w:rPr>
                <w:rFonts w:asciiTheme="majorHAnsi" w:hAnsiTheme="majorHAnsi" w:cstheme="minorHAnsi"/>
                <w:b/>
                <w:bCs/>
                <w:sz w:val="22"/>
                <w:szCs w:val="22"/>
              </w:rPr>
            </w:pPr>
            <w:r w:rsidRPr="00660E62">
              <w:rPr>
                <w:rFonts w:asciiTheme="majorHAnsi" w:hAnsiTheme="majorHAnsi" w:cstheme="minorHAnsi"/>
                <w:b/>
                <w:bCs/>
                <w:sz w:val="22"/>
                <w:szCs w:val="22"/>
              </w:rPr>
              <w:t>Activity</w:t>
            </w:r>
          </w:p>
        </w:tc>
        <w:tc>
          <w:tcPr>
            <w:tcW w:w="3331" w:type="dxa"/>
            <w:tcBorders>
              <w:top w:val="single" w:sz="4" w:space="0" w:color="auto"/>
              <w:left w:val="nil"/>
              <w:bottom w:val="single" w:sz="4" w:space="0" w:color="auto"/>
              <w:right w:val="single" w:sz="4" w:space="0" w:color="auto"/>
            </w:tcBorders>
            <w:vAlign w:val="center"/>
            <w:hideMark/>
          </w:tcPr>
          <w:p w14:paraId="39503409" w14:textId="77777777" w:rsidR="00660E62" w:rsidRPr="00660E62" w:rsidRDefault="00660E62" w:rsidP="000F221E">
            <w:pPr>
              <w:spacing w:line="240" w:lineRule="atLeast"/>
              <w:jc w:val="both"/>
              <w:rPr>
                <w:rFonts w:asciiTheme="majorHAnsi" w:hAnsiTheme="majorHAnsi" w:cstheme="minorHAnsi"/>
                <w:b/>
                <w:bCs/>
                <w:sz w:val="22"/>
                <w:szCs w:val="22"/>
              </w:rPr>
            </w:pPr>
            <w:r w:rsidRPr="00660E62">
              <w:rPr>
                <w:rFonts w:asciiTheme="majorHAnsi" w:hAnsiTheme="majorHAnsi" w:cstheme="minorHAnsi"/>
                <w:b/>
                <w:bCs/>
                <w:sz w:val="22"/>
                <w:szCs w:val="22"/>
              </w:rPr>
              <w:t>Survey of Faulty Meter Cases</w:t>
            </w:r>
          </w:p>
        </w:tc>
      </w:tr>
      <w:tr w:rsidR="00660E62" w:rsidRPr="00660E62" w14:paraId="55C214D8" w14:textId="77777777" w:rsidTr="00660E62">
        <w:trPr>
          <w:trHeight w:hRule="exact" w:val="318"/>
          <w:jc w:val="center"/>
        </w:trPr>
        <w:tc>
          <w:tcPr>
            <w:tcW w:w="3185" w:type="dxa"/>
            <w:tcBorders>
              <w:top w:val="nil"/>
              <w:left w:val="single" w:sz="4" w:space="0" w:color="auto"/>
              <w:bottom w:val="single" w:sz="4" w:space="0" w:color="auto"/>
              <w:right w:val="single" w:sz="4" w:space="0" w:color="auto"/>
            </w:tcBorders>
            <w:vAlign w:val="center"/>
            <w:hideMark/>
          </w:tcPr>
          <w:p w14:paraId="0E5BF102" w14:textId="77777777" w:rsidR="00660E62" w:rsidRPr="00660E62" w:rsidRDefault="00660E62" w:rsidP="000F221E">
            <w:pPr>
              <w:spacing w:line="240" w:lineRule="atLeast"/>
              <w:jc w:val="both"/>
              <w:rPr>
                <w:rFonts w:asciiTheme="majorHAnsi" w:hAnsiTheme="majorHAnsi" w:cstheme="minorHAnsi"/>
                <w:sz w:val="22"/>
                <w:szCs w:val="22"/>
              </w:rPr>
            </w:pPr>
            <w:r w:rsidRPr="00660E62">
              <w:rPr>
                <w:rFonts w:asciiTheme="majorHAnsi" w:hAnsiTheme="majorHAnsi" w:cstheme="minorHAnsi"/>
                <w:sz w:val="22"/>
                <w:szCs w:val="22"/>
              </w:rPr>
              <w:t>Period</w:t>
            </w:r>
          </w:p>
        </w:tc>
        <w:tc>
          <w:tcPr>
            <w:tcW w:w="3331" w:type="dxa"/>
            <w:tcBorders>
              <w:top w:val="nil"/>
              <w:left w:val="nil"/>
              <w:bottom w:val="single" w:sz="4" w:space="0" w:color="auto"/>
              <w:right w:val="single" w:sz="4" w:space="0" w:color="auto"/>
            </w:tcBorders>
            <w:vAlign w:val="center"/>
            <w:hideMark/>
          </w:tcPr>
          <w:p w14:paraId="7839A028" w14:textId="77777777" w:rsidR="00660E62" w:rsidRPr="00660E62" w:rsidRDefault="00660E62" w:rsidP="000F221E">
            <w:pPr>
              <w:spacing w:line="240" w:lineRule="atLeast"/>
              <w:jc w:val="both"/>
              <w:rPr>
                <w:rFonts w:asciiTheme="majorHAnsi" w:hAnsiTheme="majorHAnsi" w:cstheme="minorHAnsi"/>
                <w:b/>
                <w:bCs/>
                <w:sz w:val="22"/>
                <w:szCs w:val="22"/>
              </w:rPr>
            </w:pPr>
            <w:r w:rsidRPr="00660E62">
              <w:rPr>
                <w:rFonts w:asciiTheme="majorHAnsi" w:hAnsiTheme="majorHAnsi" w:cstheme="minorHAnsi"/>
                <w:b/>
                <w:bCs/>
                <w:sz w:val="22"/>
                <w:szCs w:val="22"/>
              </w:rPr>
              <w:t>FY 2026-27</w:t>
            </w:r>
          </w:p>
        </w:tc>
      </w:tr>
      <w:tr w:rsidR="00660E62" w:rsidRPr="00660E62" w14:paraId="0ADBC467" w14:textId="77777777" w:rsidTr="00660E62">
        <w:trPr>
          <w:trHeight w:hRule="exact" w:val="318"/>
          <w:jc w:val="center"/>
        </w:trPr>
        <w:tc>
          <w:tcPr>
            <w:tcW w:w="3185" w:type="dxa"/>
            <w:tcBorders>
              <w:top w:val="nil"/>
              <w:left w:val="single" w:sz="4" w:space="0" w:color="auto"/>
              <w:bottom w:val="single" w:sz="4" w:space="0" w:color="auto"/>
              <w:right w:val="single" w:sz="4" w:space="0" w:color="auto"/>
            </w:tcBorders>
            <w:vAlign w:val="center"/>
            <w:hideMark/>
          </w:tcPr>
          <w:p w14:paraId="11A6751E" w14:textId="77777777" w:rsidR="00660E62" w:rsidRPr="00660E62" w:rsidRDefault="00660E62" w:rsidP="000F221E">
            <w:pPr>
              <w:spacing w:line="240" w:lineRule="atLeast"/>
              <w:jc w:val="both"/>
              <w:rPr>
                <w:rFonts w:asciiTheme="majorHAnsi" w:hAnsiTheme="majorHAnsi" w:cstheme="minorHAnsi"/>
                <w:sz w:val="22"/>
                <w:szCs w:val="22"/>
              </w:rPr>
            </w:pPr>
            <w:r w:rsidRPr="00660E62">
              <w:rPr>
                <w:rFonts w:asciiTheme="majorHAnsi" w:hAnsiTheme="majorHAnsi" w:cstheme="minorHAnsi"/>
                <w:sz w:val="22"/>
                <w:szCs w:val="22"/>
              </w:rPr>
              <w:t>Qty.</w:t>
            </w:r>
          </w:p>
        </w:tc>
        <w:tc>
          <w:tcPr>
            <w:tcW w:w="3331" w:type="dxa"/>
            <w:tcBorders>
              <w:top w:val="nil"/>
              <w:left w:val="nil"/>
              <w:bottom w:val="single" w:sz="4" w:space="0" w:color="auto"/>
              <w:right w:val="single" w:sz="4" w:space="0" w:color="auto"/>
            </w:tcBorders>
            <w:vAlign w:val="center"/>
            <w:hideMark/>
          </w:tcPr>
          <w:p w14:paraId="39E7C0C9" w14:textId="4BC9456F" w:rsidR="00660E62" w:rsidRPr="00660E62" w:rsidRDefault="00660E62" w:rsidP="000F221E">
            <w:pPr>
              <w:spacing w:line="240" w:lineRule="atLeast"/>
              <w:jc w:val="both"/>
              <w:rPr>
                <w:rFonts w:asciiTheme="majorHAnsi" w:hAnsiTheme="majorHAnsi" w:cstheme="minorHAnsi"/>
                <w:sz w:val="22"/>
                <w:szCs w:val="22"/>
              </w:rPr>
            </w:pPr>
            <w:r w:rsidRPr="00660E62">
              <w:rPr>
                <w:rFonts w:asciiTheme="majorHAnsi" w:hAnsiTheme="majorHAnsi" w:cstheme="minorHAnsi"/>
                <w:sz w:val="22"/>
                <w:szCs w:val="22"/>
              </w:rPr>
              <w:t>50000 nos</w:t>
            </w:r>
            <w:r>
              <w:rPr>
                <w:rFonts w:asciiTheme="majorHAnsi" w:hAnsiTheme="majorHAnsi" w:cstheme="minorHAnsi"/>
                <w:sz w:val="22"/>
                <w:szCs w:val="22"/>
              </w:rPr>
              <w:t>.</w:t>
            </w:r>
          </w:p>
        </w:tc>
      </w:tr>
      <w:tr w:rsidR="00660E62" w:rsidRPr="00660E62" w14:paraId="5E1FF71F" w14:textId="77777777" w:rsidTr="00660E62">
        <w:trPr>
          <w:trHeight w:hRule="exact" w:val="318"/>
          <w:jc w:val="center"/>
        </w:trPr>
        <w:tc>
          <w:tcPr>
            <w:tcW w:w="3185" w:type="dxa"/>
            <w:tcBorders>
              <w:top w:val="nil"/>
              <w:left w:val="single" w:sz="4" w:space="0" w:color="auto"/>
              <w:bottom w:val="single" w:sz="4" w:space="0" w:color="auto"/>
              <w:right w:val="single" w:sz="4" w:space="0" w:color="auto"/>
            </w:tcBorders>
            <w:vAlign w:val="center"/>
            <w:hideMark/>
          </w:tcPr>
          <w:p w14:paraId="2C0A4DAE" w14:textId="77777777" w:rsidR="00660E62" w:rsidRPr="00660E62" w:rsidRDefault="00660E62" w:rsidP="000F221E">
            <w:pPr>
              <w:spacing w:line="240" w:lineRule="atLeast"/>
              <w:jc w:val="both"/>
              <w:rPr>
                <w:rFonts w:asciiTheme="majorHAnsi" w:hAnsiTheme="majorHAnsi" w:cstheme="minorHAnsi"/>
                <w:sz w:val="22"/>
                <w:szCs w:val="22"/>
              </w:rPr>
            </w:pPr>
            <w:r w:rsidRPr="00660E62">
              <w:rPr>
                <w:rFonts w:asciiTheme="majorHAnsi" w:hAnsiTheme="majorHAnsi" w:cstheme="minorHAnsi"/>
                <w:sz w:val="22"/>
                <w:szCs w:val="22"/>
              </w:rPr>
              <w:t>Per unit Price in Rs.</w:t>
            </w:r>
          </w:p>
        </w:tc>
        <w:tc>
          <w:tcPr>
            <w:tcW w:w="3331" w:type="dxa"/>
            <w:tcBorders>
              <w:top w:val="nil"/>
              <w:left w:val="nil"/>
              <w:bottom w:val="single" w:sz="4" w:space="0" w:color="auto"/>
              <w:right w:val="single" w:sz="4" w:space="0" w:color="auto"/>
            </w:tcBorders>
            <w:vAlign w:val="center"/>
            <w:hideMark/>
          </w:tcPr>
          <w:p w14:paraId="2252D0C6" w14:textId="77777777" w:rsidR="00660E62" w:rsidRPr="00660E62" w:rsidRDefault="00660E62" w:rsidP="000F221E">
            <w:pPr>
              <w:spacing w:line="240" w:lineRule="atLeast"/>
              <w:jc w:val="both"/>
              <w:rPr>
                <w:rFonts w:asciiTheme="majorHAnsi" w:hAnsiTheme="majorHAnsi" w:cstheme="minorHAnsi"/>
                <w:sz w:val="22"/>
                <w:szCs w:val="22"/>
              </w:rPr>
            </w:pPr>
            <w:r w:rsidRPr="00660E62">
              <w:rPr>
                <w:rFonts w:asciiTheme="majorHAnsi" w:hAnsiTheme="majorHAnsi" w:cstheme="minorHAnsi"/>
                <w:sz w:val="22"/>
                <w:szCs w:val="22"/>
              </w:rPr>
              <w:t>Rs. 295/-</w:t>
            </w:r>
          </w:p>
        </w:tc>
      </w:tr>
      <w:tr w:rsidR="00660E62" w:rsidRPr="00660E62" w14:paraId="26426D85" w14:textId="77777777" w:rsidTr="00660E62">
        <w:trPr>
          <w:trHeight w:hRule="exact" w:val="318"/>
          <w:jc w:val="center"/>
        </w:trPr>
        <w:tc>
          <w:tcPr>
            <w:tcW w:w="3185" w:type="dxa"/>
            <w:tcBorders>
              <w:top w:val="nil"/>
              <w:left w:val="single" w:sz="4" w:space="0" w:color="auto"/>
              <w:bottom w:val="single" w:sz="4" w:space="0" w:color="auto"/>
              <w:right w:val="single" w:sz="4" w:space="0" w:color="auto"/>
            </w:tcBorders>
            <w:vAlign w:val="center"/>
            <w:hideMark/>
          </w:tcPr>
          <w:p w14:paraId="0B584D23" w14:textId="77777777" w:rsidR="00660E62" w:rsidRPr="00660E62" w:rsidRDefault="00660E62" w:rsidP="000F221E">
            <w:pPr>
              <w:spacing w:line="240" w:lineRule="atLeast"/>
              <w:jc w:val="both"/>
              <w:rPr>
                <w:rFonts w:asciiTheme="majorHAnsi" w:hAnsiTheme="majorHAnsi" w:cstheme="minorHAnsi"/>
                <w:b/>
                <w:bCs/>
                <w:sz w:val="22"/>
                <w:szCs w:val="22"/>
              </w:rPr>
            </w:pPr>
            <w:r w:rsidRPr="00660E62">
              <w:rPr>
                <w:rFonts w:asciiTheme="majorHAnsi" w:hAnsiTheme="majorHAnsi" w:cstheme="minorHAnsi"/>
                <w:b/>
                <w:bCs/>
                <w:sz w:val="22"/>
                <w:szCs w:val="22"/>
              </w:rPr>
              <w:t>Total Rs. In Cr.</w:t>
            </w:r>
          </w:p>
        </w:tc>
        <w:tc>
          <w:tcPr>
            <w:tcW w:w="3331" w:type="dxa"/>
            <w:tcBorders>
              <w:top w:val="nil"/>
              <w:left w:val="nil"/>
              <w:bottom w:val="single" w:sz="4" w:space="0" w:color="auto"/>
              <w:right w:val="single" w:sz="4" w:space="0" w:color="auto"/>
            </w:tcBorders>
            <w:vAlign w:val="center"/>
            <w:hideMark/>
          </w:tcPr>
          <w:p w14:paraId="5593E844" w14:textId="77777777" w:rsidR="00660E62" w:rsidRPr="00660E62" w:rsidRDefault="00660E62" w:rsidP="000F221E">
            <w:pPr>
              <w:spacing w:line="240" w:lineRule="atLeast"/>
              <w:jc w:val="both"/>
              <w:rPr>
                <w:rFonts w:asciiTheme="majorHAnsi" w:hAnsiTheme="majorHAnsi" w:cstheme="minorHAnsi"/>
                <w:b/>
                <w:bCs/>
                <w:sz w:val="22"/>
                <w:szCs w:val="22"/>
              </w:rPr>
            </w:pPr>
            <w:r w:rsidRPr="00660E62">
              <w:rPr>
                <w:rFonts w:asciiTheme="majorHAnsi" w:hAnsiTheme="majorHAnsi" w:cstheme="minorHAnsi"/>
                <w:b/>
                <w:bCs/>
                <w:sz w:val="22"/>
                <w:szCs w:val="22"/>
              </w:rPr>
              <w:t>1.47</w:t>
            </w:r>
          </w:p>
        </w:tc>
      </w:tr>
    </w:tbl>
    <w:p w14:paraId="52989563" w14:textId="77777777" w:rsidR="00660E62" w:rsidRDefault="00660E62" w:rsidP="00A761F6">
      <w:pPr>
        <w:spacing w:line="360" w:lineRule="auto"/>
        <w:ind w:left="709"/>
        <w:jc w:val="both"/>
        <w:rPr>
          <w:rFonts w:asciiTheme="majorHAnsi" w:hAnsiTheme="majorHAnsi"/>
        </w:rPr>
      </w:pPr>
    </w:p>
    <w:p w14:paraId="79C7A367" w14:textId="70EA56ED" w:rsidR="0009780D" w:rsidRPr="003661AA" w:rsidRDefault="006124C4" w:rsidP="001972DE">
      <w:pPr>
        <w:pStyle w:val="ListParagraph"/>
        <w:numPr>
          <w:ilvl w:val="0"/>
          <w:numId w:val="13"/>
        </w:numPr>
        <w:spacing w:line="360" w:lineRule="auto"/>
        <w:ind w:left="709"/>
        <w:jc w:val="both"/>
        <w:rPr>
          <w:rFonts w:asciiTheme="majorHAnsi" w:hAnsiTheme="majorHAnsi"/>
          <w:b/>
          <w:bCs/>
          <w:u w:val="single"/>
        </w:rPr>
      </w:pPr>
      <w:r w:rsidRPr="006124C4">
        <w:rPr>
          <w:rFonts w:asciiTheme="majorHAnsi" w:hAnsiTheme="majorHAnsi"/>
          <w:b/>
          <w:bCs/>
          <w:sz w:val="24"/>
          <w:szCs w:val="24"/>
          <w:u w:val="single"/>
        </w:rPr>
        <w:t>Expenses towards Maintenance and testing of CT/PT Unit</w:t>
      </w:r>
      <w:r w:rsidR="003661AA">
        <w:rPr>
          <w:rFonts w:asciiTheme="majorHAnsi" w:hAnsiTheme="majorHAnsi"/>
          <w:b/>
          <w:bCs/>
          <w:sz w:val="24"/>
          <w:szCs w:val="24"/>
          <w:u w:val="single"/>
        </w:rPr>
        <w:t>:</w:t>
      </w:r>
    </w:p>
    <w:p w14:paraId="7F9E5A3D" w14:textId="3E2DD71A" w:rsidR="003661AA" w:rsidRDefault="003661AA" w:rsidP="003661AA">
      <w:pPr>
        <w:pStyle w:val="ListParagraph"/>
        <w:spacing w:line="360" w:lineRule="auto"/>
        <w:ind w:left="709"/>
        <w:jc w:val="both"/>
        <w:rPr>
          <w:rFonts w:asciiTheme="majorHAnsi" w:hAnsiTheme="majorHAnsi" w:cstheme="minorHAnsi"/>
        </w:rPr>
      </w:pPr>
      <w:r w:rsidRPr="00E13D3C">
        <w:rPr>
          <w:rFonts w:asciiTheme="majorHAnsi" w:hAnsiTheme="majorHAnsi" w:cstheme="minorHAnsi"/>
          <w:sz w:val="24"/>
          <w:szCs w:val="24"/>
        </w:rPr>
        <w:t>As per OERC Conditions of Supply Code-2019 and the CEA regulations all EHT &amp; HT Meters must be tested once every year, single-phase consumers once in 5 years and three-phase must be tested once every 03 years. This is a statutory requirement and TPWODL needs to comply with it. At present, there are 2626 nos. of HT &amp; EHT consumers and approx. 4000 consumers having LTCT meters in the purview of meter testing for which agencies need to be hired who are experts in carrying out such testing activities. Work is allotted based on tendering and competitive bidding to agencies equipped with all required tools and instruments suitable for offline as well as live line field testing and possess sufficient logistics facilities for ferrying manpower and testing equipment across the TPWODL area. Accordingly, the following recurring cost shall also be incurred during FY 26-27.</w:t>
      </w:r>
    </w:p>
    <w:tbl>
      <w:tblPr>
        <w:tblW w:w="7938" w:type="dxa"/>
        <w:jc w:val="center"/>
        <w:tblLook w:val="04A0" w:firstRow="1" w:lastRow="0" w:firstColumn="1" w:lastColumn="0" w:noHBand="0" w:noVBand="1"/>
      </w:tblPr>
      <w:tblGrid>
        <w:gridCol w:w="2552"/>
        <w:gridCol w:w="5386"/>
      </w:tblGrid>
      <w:tr w:rsidR="00407C29" w:rsidRPr="00407C29" w14:paraId="589FD76A" w14:textId="77777777" w:rsidTr="00431984">
        <w:trPr>
          <w:trHeight w:hRule="exact" w:val="294"/>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39FB2541" w14:textId="77777777" w:rsidR="00407C29" w:rsidRPr="00407C29" w:rsidRDefault="00407C29" w:rsidP="000F221E">
            <w:pPr>
              <w:spacing w:line="240" w:lineRule="atLeast"/>
              <w:jc w:val="both"/>
              <w:rPr>
                <w:rFonts w:asciiTheme="majorHAnsi" w:hAnsiTheme="majorHAnsi" w:cstheme="minorHAnsi"/>
                <w:b/>
                <w:bCs/>
                <w:sz w:val="22"/>
                <w:szCs w:val="22"/>
              </w:rPr>
            </w:pPr>
            <w:r w:rsidRPr="00407C29">
              <w:rPr>
                <w:rFonts w:asciiTheme="majorHAnsi" w:hAnsiTheme="majorHAnsi" w:cstheme="minorHAnsi"/>
                <w:b/>
                <w:bCs/>
                <w:sz w:val="22"/>
                <w:szCs w:val="22"/>
              </w:rPr>
              <w:t>Activity</w:t>
            </w:r>
          </w:p>
        </w:tc>
        <w:tc>
          <w:tcPr>
            <w:tcW w:w="5386" w:type="dxa"/>
            <w:tcBorders>
              <w:top w:val="single" w:sz="4" w:space="0" w:color="auto"/>
              <w:left w:val="nil"/>
              <w:bottom w:val="single" w:sz="4" w:space="0" w:color="auto"/>
              <w:right w:val="single" w:sz="4" w:space="0" w:color="auto"/>
            </w:tcBorders>
            <w:vAlign w:val="center"/>
            <w:hideMark/>
          </w:tcPr>
          <w:p w14:paraId="72D10AFF" w14:textId="77777777" w:rsidR="00407C29" w:rsidRPr="00407C29" w:rsidRDefault="00407C29" w:rsidP="000F221E">
            <w:pPr>
              <w:spacing w:line="240" w:lineRule="atLeast"/>
              <w:jc w:val="both"/>
              <w:rPr>
                <w:rFonts w:asciiTheme="majorHAnsi" w:hAnsiTheme="majorHAnsi" w:cstheme="minorHAnsi"/>
                <w:b/>
                <w:bCs/>
                <w:sz w:val="22"/>
                <w:szCs w:val="22"/>
              </w:rPr>
            </w:pPr>
            <w:r w:rsidRPr="00407C29">
              <w:rPr>
                <w:rFonts w:asciiTheme="majorHAnsi" w:hAnsiTheme="majorHAnsi" w:cstheme="minorHAnsi"/>
                <w:b/>
                <w:bCs/>
                <w:sz w:val="22"/>
                <w:szCs w:val="22"/>
              </w:rPr>
              <w:t xml:space="preserve">Expenses towards maintenance &amp; Testing of CT/PT Unit </w:t>
            </w:r>
          </w:p>
        </w:tc>
      </w:tr>
      <w:tr w:rsidR="00407C29" w:rsidRPr="00407C29" w14:paraId="013F7BF3" w14:textId="77777777" w:rsidTr="00431984">
        <w:trPr>
          <w:trHeight w:hRule="exact" w:val="315"/>
          <w:jc w:val="center"/>
        </w:trPr>
        <w:tc>
          <w:tcPr>
            <w:tcW w:w="2552" w:type="dxa"/>
            <w:tcBorders>
              <w:top w:val="nil"/>
              <w:left w:val="single" w:sz="4" w:space="0" w:color="auto"/>
              <w:bottom w:val="single" w:sz="4" w:space="0" w:color="auto"/>
              <w:right w:val="single" w:sz="4" w:space="0" w:color="auto"/>
            </w:tcBorders>
            <w:vAlign w:val="center"/>
            <w:hideMark/>
          </w:tcPr>
          <w:p w14:paraId="0717E43D" w14:textId="77777777" w:rsidR="00407C29" w:rsidRPr="00407C29" w:rsidRDefault="00407C29" w:rsidP="000F221E">
            <w:pPr>
              <w:spacing w:line="240" w:lineRule="atLeast"/>
              <w:jc w:val="both"/>
              <w:rPr>
                <w:rFonts w:asciiTheme="majorHAnsi" w:hAnsiTheme="majorHAnsi" w:cstheme="minorHAnsi"/>
                <w:sz w:val="22"/>
                <w:szCs w:val="22"/>
              </w:rPr>
            </w:pPr>
            <w:r w:rsidRPr="00407C29">
              <w:rPr>
                <w:rFonts w:asciiTheme="majorHAnsi" w:hAnsiTheme="majorHAnsi" w:cstheme="minorHAnsi"/>
                <w:sz w:val="22"/>
                <w:szCs w:val="22"/>
              </w:rPr>
              <w:t>Period</w:t>
            </w:r>
          </w:p>
        </w:tc>
        <w:tc>
          <w:tcPr>
            <w:tcW w:w="5386" w:type="dxa"/>
            <w:tcBorders>
              <w:top w:val="nil"/>
              <w:left w:val="nil"/>
              <w:bottom w:val="single" w:sz="4" w:space="0" w:color="auto"/>
              <w:right w:val="single" w:sz="4" w:space="0" w:color="auto"/>
            </w:tcBorders>
            <w:vAlign w:val="center"/>
            <w:hideMark/>
          </w:tcPr>
          <w:p w14:paraId="3A9BACC3" w14:textId="77777777" w:rsidR="00407C29" w:rsidRPr="00407C29" w:rsidRDefault="00407C29" w:rsidP="000F221E">
            <w:pPr>
              <w:spacing w:line="240" w:lineRule="atLeast"/>
              <w:jc w:val="both"/>
              <w:rPr>
                <w:rFonts w:asciiTheme="majorHAnsi" w:hAnsiTheme="majorHAnsi" w:cstheme="minorHAnsi"/>
                <w:b/>
                <w:bCs/>
                <w:sz w:val="22"/>
                <w:szCs w:val="22"/>
              </w:rPr>
            </w:pPr>
            <w:r w:rsidRPr="00407C29">
              <w:rPr>
                <w:rFonts w:asciiTheme="majorHAnsi" w:hAnsiTheme="majorHAnsi" w:cstheme="minorHAnsi"/>
                <w:b/>
                <w:bCs/>
                <w:sz w:val="22"/>
                <w:szCs w:val="22"/>
              </w:rPr>
              <w:t>FY 2026-27</w:t>
            </w:r>
          </w:p>
        </w:tc>
      </w:tr>
      <w:tr w:rsidR="00407C29" w:rsidRPr="00407C29" w14:paraId="0CC6ADED" w14:textId="77777777" w:rsidTr="00431984">
        <w:trPr>
          <w:trHeight w:val="315"/>
          <w:jc w:val="center"/>
        </w:trPr>
        <w:tc>
          <w:tcPr>
            <w:tcW w:w="2552" w:type="dxa"/>
            <w:tcBorders>
              <w:top w:val="nil"/>
              <w:left w:val="single" w:sz="4" w:space="0" w:color="auto"/>
              <w:bottom w:val="single" w:sz="4" w:space="0" w:color="auto"/>
              <w:right w:val="single" w:sz="4" w:space="0" w:color="auto"/>
            </w:tcBorders>
            <w:vAlign w:val="center"/>
            <w:hideMark/>
          </w:tcPr>
          <w:p w14:paraId="7B82DB36" w14:textId="77777777" w:rsidR="00407C29" w:rsidRPr="00407C29" w:rsidRDefault="00407C29" w:rsidP="000F221E">
            <w:pPr>
              <w:spacing w:line="240" w:lineRule="atLeast"/>
              <w:jc w:val="both"/>
              <w:rPr>
                <w:rFonts w:asciiTheme="majorHAnsi" w:hAnsiTheme="majorHAnsi" w:cstheme="minorHAnsi"/>
                <w:sz w:val="22"/>
                <w:szCs w:val="22"/>
              </w:rPr>
            </w:pPr>
            <w:r w:rsidRPr="00407C29">
              <w:rPr>
                <w:rFonts w:asciiTheme="majorHAnsi" w:hAnsiTheme="majorHAnsi" w:cstheme="minorHAnsi"/>
                <w:sz w:val="22"/>
                <w:szCs w:val="22"/>
              </w:rPr>
              <w:t>No. of Teams</w:t>
            </w:r>
          </w:p>
        </w:tc>
        <w:tc>
          <w:tcPr>
            <w:tcW w:w="5386" w:type="dxa"/>
            <w:tcBorders>
              <w:top w:val="nil"/>
              <w:left w:val="nil"/>
              <w:bottom w:val="single" w:sz="4" w:space="0" w:color="auto"/>
              <w:right w:val="single" w:sz="4" w:space="0" w:color="auto"/>
            </w:tcBorders>
            <w:vAlign w:val="center"/>
            <w:hideMark/>
          </w:tcPr>
          <w:p w14:paraId="6620A0D3" w14:textId="77777777" w:rsidR="00407C29" w:rsidRPr="00407C29" w:rsidRDefault="00407C29" w:rsidP="000F221E">
            <w:pPr>
              <w:spacing w:line="240" w:lineRule="atLeast"/>
              <w:jc w:val="both"/>
              <w:rPr>
                <w:rFonts w:asciiTheme="majorHAnsi" w:hAnsiTheme="majorHAnsi" w:cstheme="minorHAnsi"/>
                <w:sz w:val="22"/>
                <w:szCs w:val="22"/>
              </w:rPr>
            </w:pPr>
            <w:r w:rsidRPr="00407C29">
              <w:rPr>
                <w:rFonts w:asciiTheme="majorHAnsi" w:hAnsiTheme="majorHAnsi" w:cstheme="minorHAnsi"/>
                <w:sz w:val="22"/>
                <w:szCs w:val="22"/>
              </w:rPr>
              <w:t>5</w:t>
            </w:r>
          </w:p>
        </w:tc>
      </w:tr>
      <w:tr w:rsidR="00407C29" w:rsidRPr="00407C29" w14:paraId="044C400E" w14:textId="77777777" w:rsidTr="00431984">
        <w:trPr>
          <w:trHeight w:hRule="exact" w:val="315"/>
          <w:jc w:val="center"/>
        </w:trPr>
        <w:tc>
          <w:tcPr>
            <w:tcW w:w="2552" w:type="dxa"/>
            <w:tcBorders>
              <w:top w:val="nil"/>
              <w:left w:val="single" w:sz="4" w:space="0" w:color="auto"/>
              <w:bottom w:val="single" w:sz="4" w:space="0" w:color="auto"/>
              <w:right w:val="single" w:sz="4" w:space="0" w:color="auto"/>
            </w:tcBorders>
            <w:vAlign w:val="center"/>
            <w:hideMark/>
          </w:tcPr>
          <w:p w14:paraId="3D0B0675" w14:textId="77777777" w:rsidR="00407C29" w:rsidRPr="00407C29" w:rsidRDefault="00407C29" w:rsidP="000F221E">
            <w:pPr>
              <w:spacing w:line="240" w:lineRule="atLeast"/>
              <w:jc w:val="both"/>
              <w:rPr>
                <w:rFonts w:asciiTheme="majorHAnsi" w:hAnsiTheme="majorHAnsi" w:cstheme="minorHAnsi"/>
                <w:sz w:val="22"/>
                <w:szCs w:val="22"/>
              </w:rPr>
            </w:pPr>
            <w:r w:rsidRPr="00407C29">
              <w:rPr>
                <w:rFonts w:asciiTheme="majorHAnsi" w:hAnsiTheme="majorHAnsi" w:cstheme="minorHAnsi"/>
                <w:sz w:val="22"/>
                <w:szCs w:val="22"/>
              </w:rPr>
              <w:t>Monthly Expense/Team</w:t>
            </w:r>
          </w:p>
        </w:tc>
        <w:tc>
          <w:tcPr>
            <w:tcW w:w="5386" w:type="dxa"/>
            <w:tcBorders>
              <w:top w:val="nil"/>
              <w:left w:val="nil"/>
              <w:bottom w:val="single" w:sz="4" w:space="0" w:color="auto"/>
              <w:right w:val="single" w:sz="4" w:space="0" w:color="auto"/>
            </w:tcBorders>
            <w:vAlign w:val="center"/>
            <w:hideMark/>
          </w:tcPr>
          <w:p w14:paraId="6B039A88" w14:textId="25E6FC8F" w:rsidR="00407C29" w:rsidRPr="00407C29" w:rsidRDefault="00407C29" w:rsidP="000F221E">
            <w:pPr>
              <w:spacing w:line="240" w:lineRule="atLeast"/>
              <w:jc w:val="both"/>
              <w:rPr>
                <w:rFonts w:asciiTheme="majorHAnsi" w:hAnsiTheme="majorHAnsi" w:cstheme="minorHAnsi"/>
                <w:sz w:val="22"/>
                <w:szCs w:val="22"/>
              </w:rPr>
            </w:pPr>
            <w:r w:rsidRPr="00407C29">
              <w:rPr>
                <w:rFonts w:asciiTheme="majorHAnsi" w:hAnsiTheme="majorHAnsi" w:cstheme="minorHAnsi"/>
                <w:sz w:val="22"/>
                <w:szCs w:val="22"/>
              </w:rPr>
              <w:t>2.42 L</w:t>
            </w:r>
            <w:r w:rsidR="001440EC">
              <w:rPr>
                <w:rFonts w:asciiTheme="majorHAnsi" w:hAnsiTheme="majorHAnsi" w:cstheme="minorHAnsi"/>
                <w:sz w:val="22"/>
                <w:szCs w:val="22"/>
              </w:rPr>
              <w:t>akh</w:t>
            </w:r>
          </w:p>
        </w:tc>
      </w:tr>
      <w:tr w:rsidR="00407C29" w:rsidRPr="00407C29" w14:paraId="464FCCA8" w14:textId="77777777" w:rsidTr="00431984">
        <w:trPr>
          <w:trHeight w:hRule="exact" w:val="315"/>
          <w:jc w:val="center"/>
        </w:trPr>
        <w:tc>
          <w:tcPr>
            <w:tcW w:w="2552" w:type="dxa"/>
            <w:tcBorders>
              <w:top w:val="nil"/>
              <w:left w:val="single" w:sz="4" w:space="0" w:color="auto"/>
              <w:bottom w:val="single" w:sz="4" w:space="0" w:color="auto"/>
              <w:right w:val="single" w:sz="4" w:space="0" w:color="auto"/>
            </w:tcBorders>
            <w:vAlign w:val="center"/>
            <w:hideMark/>
          </w:tcPr>
          <w:p w14:paraId="7C421B3F" w14:textId="77777777" w:rsidR="00407C29" w:rsidRPr="00407C29" w:rsidRDefault="00407C29" w:rsidP="000F221E">
            <w:pPr>
              <w:spacing w:line="240" w:lineRule="atLeast"/>
              <w:jc w:val="both"/>
              <w:rPr>
                <w:rFonts w:asciiTheme="majorHAnsi" w:hAnsiTheme="majorHAnsi" w:cstheme="minorHAnsi"/>
                <w:b/>
                <w:bCs/>
                <w:sz w:val="22"/>
                <w:szCs w:val="22"/>
              </w:rPr>
            </w:pPr>
            <w:r w:rsidRPr="00407C29">
              <w:rPr>
                <w:rFonts w:asciiTheme="majorHAnsi" w:hAnsiTheme="majorHAnsi" w:cstheme="minorHAnsi"/>
                <w:b/>
                <w:bCs/>
                <w:sz w:val="22"/>
                <w:szCs w:val="22"/>
              </w:rPr>
              <w:t>Total Rs. In Cr.</w:t>
            </w:r>
          </w:p>
        </w:tc>
        <w:tc>
          <w:tcPr>
            <w:tcW w:w="5386" w:type="dxa"/>
            <w:tcBorders>
              <w:top w:val="nil"/>
              <w:left w:val="nil"/>
              <w:bottom w:val="single" w:sz="4" w:space="0" w:color="auto"/>
              <w:right w:val="single" w:sz="4" w:space="0" w:color="auto"/>
            </w:tcBorders>
            <w:vAlign w:val="center"/>
            <w:hideMark/>
          </w:tcPr>
          <w:p w14:paraId="0F1C28A4" w14:textId="77777777" w:rsidR="00407C29" w:rsidRPr="00407C29" w:rsidRDefault="00407C29" w:rsidP="000F221E">
            <w:pPr>
              <w:spacing w:line="240" w:lineRule="atLeast"/>
              <w:jc w:val="both"/>
              <w:rPr>
                <w:rFonts w:asciiTheme="majorHAnsi" w:hAnsiTheme="majorHAnsi" w:cstheme="minorHAnsi"/>
                <w:b/>
                <w:bCs/>
                <w:sz w:val="22"/>
                <w:szCs w:val="22"/>
              </w:rPr>
            </w:pPr>
            <w:r w:rsidRPr="00407C29">
              <w:rPr>
                <w:rFonts w:asciiTheme="majorHAnsi" w:hAnsiTheme="majorHAnsi" w:cstheme="minorHAnsi"/>
                <w:b/>
                <w:bCs/>
                <w:sz w:val="22"/>
                <w:szCs w:val="22"/>
              </w:rPr>
              <w:t>1.45</w:t>
            </w:r>
          </w:p>
        </w:tc>
      </w:tr>
    </w:tbl>
    <w:p w14:paraId="6064A899" w14:textId="77777777" w:rsidR="00A24E90" w:rsidRDefault="00A24E90" w:rsidP="003661AA">
      <w:pPr>
        <w:pStyle w:val="ListParagraph"/>
        <w:spacing w:line="360" w:lineRule="auto"/>
        <w:ind w:left="709"/>
        <w:jc w:val="both"/>
        <w:rPr>
          <w:rFonts w:asciiTheme="majorHAnsi" w:hAnsiTheme="majorHAnsi"/>
          <w:b/>
          <w:bCs/>
          <w:u w:val="single"/>
        </w:rPr>
      </w:pPr>
    </w:p>
    <w:p w14:paraId="7205C74C" w14:textId="2CDEED1F" w:rsidR="00A3114E" w:rsidRPr="000C07DE" w:rsidRDefault="00C838FB" w:rsidP="001972DE">
      <w:pPr>
        <w:pStyle w:val="ListParagraph"/>
        <w:numPr>
          <w:ilvl w:val="0"/>
          <w:numId w:val="13"/>
        </w:numPr>
        <w:spacing w:line="360" w:lineRule="auto"/>
        <w:ind w:left="709"/>
        <w:jc w:val="both"/>
        <w:rPr>
          <w:rFonts w:asciiTheme="majorHAnsi" w:hAnsiTheme="majorHAnsi"/>
          <w:b/>
          <w:bCs/>
          <w:u w:val="single"/>
        </w:rPr>
      </w:pPr>
      <w:r w:rsidRPr="00E13D3C">
        <w:rPr>
          <w:rFonts w:asciiTheme="majorHAnsi" w:hAnsiTheme="majorHAnsi" w:cstheme="minorHAnsi"/>
          <w:b/>
          <w:bCs/>
          <w:sz w:val="24"/>
          <w:szCs w:val="24"/>
          <w:u w:val="single"/>
          <w:lang w:val="en-GB"/>
        </w:rPr>
        <w:t>Calibration of Instruments:</w:t>
      </w:r>
      <w:r w:rsidR="009D4A53" w:rsidRPr="00E13D3C">
        <w:rPr>
          <w:rFonts w:asciiTheme="majorHAnsi" w:hAnsiTheme="majorHAnsi" w:cstheme="minorHAnsi"/>
          <w:b/>
          <w:bCs/>
          <w:sz w:val="24"/>
          <w:szCs w:val="24"/>
          <w:u w:val="single"/>
          <w:lang w:val="en-GB"/>
        </w:rPr>
        <w:t xml:space="preserve"> </w:t>
      </w:r>
      <w:r w:rsidR="009D4A53" w:rsidRPr="00E13D3C">
        <w:rPr>
          <w:rFonts w:asciiTheme="majorHAnsi" w:hAnsiTheme="majorHAnsi" w:cstheme="minorHAnsi"/>
          <w:sz w:val="24"/>
          <w:szCs w:val="24"/>
        </w:rPr>
        <w:t>As per ISO 9001, all testing instruments are required to be calibrated at defined intervals, at least once a year through the NABL Certified Statutory Agency. Instruments like meggers, earth testers, clamp-on meters, multimeters, on-site accuracy testers, CTPT testers, etc. are being used for maintaining metering at operational standards. Accordingly, the following recurring cost shall also be incurred during FY 26-27.</w:t>
      </w:r>
    </w:p>
    <w:tbl>
      <w:tblPr>
        <w:tblW w:w="5924" w:type="dxa"/>
        <w:jc w:val="center"/>
        <w:tblLook w:val="04A0" w:firstRow="1" w:lastRow="0" w:firstColumn="1" w:lastColumn="0" w:noHBand="0" w:noVBand="1"/>
      </w:tblPr>
      <w:tblGrid>
        <w:gridCol w:w="2663"/>
        <w:gridCol w:w="3261"/>
      </w:tblGrid>
      <w:tr w:rsidR="00DC6DCA" w:rsidRPr="00DC6DCA" w14:paraId="2D967EA8" w14:textId="77777777" w:rsidTr="00DC6DCA">
        <w:trPr>
          <w:trHeight w:val="50"/>
          <w:jc w:val="center"/>
        </w:trPr>
        <w:tc>
          <w:tcPr>
            <w:tcW w:w="2663" w:type="dxa"/>
            <w:tcBorders>
              <w:top w:val="single" w:sz="4" w:space="0" w:color="auto"/>
              <w:left w:val="single" w:sz="4" w:space="0" w:color="auto"/>
              <w:bottom w:val="single" w:sz="4" w:space="0" w:color="auto"/>
              <w:right w:val="single" w:sz="4" w:space="0" w:color="auto"/>
            </w:tcBorders>
            <w:vAlign w:val="center"/>
            <w:hideMark/>
          </w:tcPr>
          <w:p w14:paraId="75191578" w14:textId="77777777" w:rsidR="00DC6DCA" w:rsidRPr="00DC6DCA" w:rsidRDefault="00DC6DCA" w:rsidP="000F221E">
            <w:pPr>
              <w:spacing w:line="240" w:lineRule="atLeast"/>
              <w:jc w:val="both"/>
              <w:rPr>
                <w:rFonts w:asciiTheme="majorHAnsi" w:hAnsiTheme="majorHAnsi" w:cstheme="minorHAnsi"/>
                <w:b/>
                <w:bCs/>
                <w:sz w:val="22"/>
                <w:szCs w:val="22"/>
              </w:rPr>
            </w:pPr>
            <w:r w:rsidRPr="00DC6DCA">
              <w:rPr>
                <w:rFonts w:asciiTheme="majorHAnsi" w:hAnsiTheme="majorHAnsi" w:cstheme="minorHAnsi"/>
                <w:b/>
                <w:bCs/>
                <w:sz w:val="22"/>
                <w:szCs w:val="22"/>
              </w:rPr>
              <w:t>Activity</w:t>
            </w:r>
          </w:p>
        </w:tc>
        <w:tc>
          <w:tcPr>
            <w:tcW w:w="3261" w:type="dxa"/>
            <w:tcBorders>
              <w:top w:val="single" w:sz="4" w:space="0" w:color="auto"/>
              <w:left w:val="nil"/>
              <w:bottom w:val="single" w:sz="4" w:space="0" w:color="auto"/>
              <w:right w:val="single" w:sz="4" w:space="0" w:color="auto"/>
            </w:tcBorders>
            <w:vAlign w:val="center"/>
            <w:hideMark/>
          </w:tcPr>
          <w:p w14:paraId="5E59942E" w14:textId="77777777" w:rsidR="00DC6DCA" w:rsidRPr="00DC6DCA" w:rsidRDefault="00DC6DCA" w:rsidP="000F221E">
            <w:pPr>
              <w:spacing w:line="240" w:lineRule="atLeast"/>
              <w:jc w:val="both"/>
              <w:rPr>
                <w:rFonts w:asciiTheme="majorHAnsi" w:hAnsiTheme="majorHAnsi" w:cstheme="minorHAnsi"/>
                <w:b/>
                <w:bCs/>
                <w:sz w:val="22"/>
                <w:szCs w:val="22"/>
              </w:rPr>
            </w:pPr>
            <w:r w:rsidRPr="00DC6DCA">
              <w:rPr>
                <w:rFonts w:asciiTheme="majorHAnsi" w:hAnsiTheme="majorHAnsi" w:cstheme="minorHAnsi"/>
                <w:b/>
                <w:bCs/>
                <w:sz w:val="22"/>
                <w:szCs w:val="22"/>
              </w:rPr>
              <w:t>Calibration Of Equipment</w:t>
            </w:r>
          </w:p>
        </w:tc>
      </w:tr>
      <w:tr w:rsidR="00DC6DCA" w:rsidRPr="00DC6DCA" w14:paraId="5AD2A5CF" w14:textId="77777777" w:rsidTr="00DC6DCA">
        <w:trPr>
          <w:trHeight w:val="50"/>
          <w:jc w:val="center"/>
        </w:trPr>
        <w:tc>
          <w:tcPr>
            <w:tcW w:w="2663" w:type="dxa"/>
            <w:tcBorders>
              <w:top w:val="nil"/>
              <w:left w:val="single" w:sz="4" w:space="0" w:color="auto"/>
              <w:bottom w:val="single" w:sz="4" w:space="0" w:color="auto"/>
              <w:right w:val="single" w:sz="4" w:space="0" w:color="auto"/>
            </w:tcBorders>
            <w:vAlign w:val="center"/>
            <w:hideMark/>
          </w:tcPr>
          <w:p w14:paraId="0185B3A0" w14:textId="77777777" w:rsidR="00DC6DCA" w:rsidRPr="00DC6DCA" w:rsidRDefault="00DC6DCA" w:rsidP="000F221E">
            <w:pPr>
              <w:spacing w:line="240" w:lineRule="atLeast"/>
              <w:jc w:val="both"/>
              <w:rPr>
                <w:rFonts w:asciiTheme="majorHAnsi" w:hAnsiTheme="majorHAnsi" w:cstheme="minorHAnsi"/>
                <w:sz w:val="22"/>
                <w:szCs w:val="22"/>
              </w:rPr>
            </w:pPr>
            <w:r w:rsidRPr="00DC6DCA">
              <w:rPr>
                <w:rFonts w:asciiTheme="majorHAnsi" w:hAnsiTheme="majorHAnsi" w:cstheme="minorHAnsi"/>
                <w:sz w:val="22"/>
                <w:szCs w:val="22"/>
              </w:rPr>
              <w:t>Period</w:t>
            </w:r>
          </w:p>
        </w:tc>
        <w:tc>
          <w:tcPr>
            <w:tcW w:w="3261" w:type="dxa"/>
            <w:tcBorders>
              <w:top w:val="nil"/>
              <w:left w:val="nil"/>
              <w:bottom w:val="single" w:sz="4" w:space="0" w:color="auto"/>
              <w:right w:val="single" w:sz="4" w:space="0" w:color="auto"/>
            </w:tcBorders>
            <w:vAlign w:val="center"/>
            <w:hideMark/>
          </w:tcPr>
          <w:p w14:paraId="0148A445" w14:textId="77777777" w:rsidR="00DC6DCA" w:rsidRPr="00DC6DCA" w:rsidRDefault="00DC6DCA" w:rsidP="000F221E">
            <w:pPr>
              <w:spacing w:line="240" w:lineRule="atLeast"/>
              <w:jc w:val="both"/>
              <w:rPr>
                <w:rFonts w:asciiTheme="majorHAnsi" w:hAnsiTheme="majorHAnsi" w:cstheme="minorHAnsi"/>
                <w:sz w:val="22"/>
                <w:szCs w:val="22"/>
              </w:rPr>
            </w:pPr>
            <w:r w:rsidRPr="00DC6DCA">
              <w:rPr>
                <w:rFonts w:asciiTheme="majorHAnsi" w:hAnsiTheme="majorHAnsi" w:cstheme="minorHAnsi"/>
                <w:sz w:val="22"/>
                <w:szCs w:val="22"/>
              </w:rPr>
              <w:t>FY 2026-27</w:t>
            </w:r>
          </w:p>
        </w:tc>
      </w:tr>
      <w:tr w:rsidR="00DC6DCA" w:rsidRPr="00DC6DCA" w14:paraId="3469C5D7" w14:textId="77777777" w:rsidTr="00DC6DCA">
        <w:trPr>
          <w:trHeight w:val="50"/>
          <w:jc w:val="center"/>
        </w:trPr>
        <w:tc>
          <w:tcPr>
            <w:tcW w:w="2663" w:type="dxa"/>
            <w:tcBorders>
              <w:top w:val="nil"/>
              <w:left w:val="single" w:sz="4" w:space="0" w:color="auto"/>
              <w:bottom w:val="single" w:sz="4" w:space="0" w:color="auto"/>
              <w:right w:val="single" w:sz="4" w:space="0" w:color="auto"/>
            </w:tcBorders>
            <w:vAlign w:val="center"/>
            <w:hideMark/>
          </w:tcPr>
          <w:p w14:paraId="5E2FEB1F" w14:textId="77777777" w:rsidR="00DC6DCA" w:rsidRPr="00DC6DCA" w:rsidRDefault="00DC6DCA" w:rsidP="000F221E">
            <w:pPr>
              <w:spacing w:line="240" w:lineRule="atLeast"/>
              <w:jc w:val="both"/>
              <w:rPr>
                <w:rFonts w:asciiTheme="majorHAnsi" w:hAnsiTheme="majorHAnsi" w:cstheme="minorHAnsi"/>
                <w:b/>
                <w:bCs/>
                <w:sz w:val="22"/>
                <w:szCs w:val="22"/>
              </w:rPr>
            </w:pPr>
            <w:r w:rsidRPr="00DC6DCA">
              <w:rPr>
                <w:rFonts w:asciiTheme="majorHAnsi" w:hAnsiTheme="majorHAnsi" w:cstheme="minorHAnsi"/>
                <w:b/>
                <w:bCs/>
                <w:sz w:val="22"/>
                <w:szCs w:val="22"/>
              </w:rPr>
              <w:t>Total Rs. In Cr.</w:t>
            </w:r>
          </w:p>
        </w:tc>
        <w:tc>
          <w:tcPr>
            <w:tcW w:w="3261" w:type="dxa"/>
            <w:tcBorders>
              <w:top w:val="nil"/>
              <w:left w:val="nil"/>
              <w:bottom w:val="single" w:sz="4" w:space="0" w:color="auto"/>
              <w:right w:val="single" w:sz="4" w:space="0" w:color="auto"/>
            </w:tcBorders>
            <w:vAlign w:val="center"/>
            <w:hideMark/>
          </w:tcPr>
          <w:p w14:paraId="6F5BEB96" w14:textId="77777777" w:rsidR="00DC6DCA" w:rsidRPr="00DC6DCA" w:rsidRDefault="00DC6DCA" w:rsidP="000F221E">
            <w:pPr>
              <w:spacing w:line="240" w:lineRule="atLeast"/>
              <w:jc w:val="both"/>
              <w:rPr>
                <w:rFonts w:asciiTheme="majorHAnsi" w:hAnsiTheme="majorHAnsi" w:cstheme="minorHAnsi"/>
                <w:b/>
                <w:bCs/>
                <w:sz w:val="22"/>
                <w:szCs w:val="22"/>
              </w:rPr>
            </w:pPr>
            <w:r w:rsidRPr="00DC6DCA">
              <w:rPr>
                <w:rFonts w:asciiTheme="majorHAnsi" w:hAnsiTheme="majorHAnsi" w:cstheme="minorHAnsi"/>
                <w:b/>
                <w:bCs/>
                <w:sz w:val="22"/>
                <w:szCs w:val="22"/>
              </w:rPr>
              <w:t>0.09</w:t>
            </w:r>
          </w:p>
        </w:tc>
      </w:tr>
    </w:tbl>
    <w:p w14:paraId="24AE5E2B" w14:textId="77777777" w:rsidR="00F33361" w:rsidRDefault="00F33361" w:rsidP="00F33361">
      <w:pPr>
        <w:pStyle w:val="ListParagraph"/>
        <w:spacing w:line="360" w:lineRule="auto"/>
        <w:ind w:left="709"/>
        <w:jc w:val="both"/>
        <w:rPr>
          <w:rFonts w:asciiTheme="majorHAnsi" w:hAnsiTheme="majorHAnsi" w:cstheme="minorHAnsi"/>
          <w:b/>
          <w:bCs/>
          <w:u w:val="single"/>
          <w:lang w:val="en-GB"/>
        </w:rPr>
      </w:pPr>
    </w:p>
    <w:p w14:paraId="6D963AAB" w14:textId="760D3144" w:rsidR="000C07DE" w:rsidRPr="00E13D3C" w:rsidRDefault="00F33361" w:rsidP="001972DE">
      <w:pPr>
        <w:pStyle w:val="ListParagraph"/>
        <w:numPr>
          <w:ilvl w:val="0"/>
          <w:numId w:val="13"/>
        </w:numPr>
        <w:spacing w:line="360" w:lineRule="auto"/>
        <w:ind w:left="709"/>
        <w:jc w:val="both"/>
        <w:rPr>
          <w:rFonts w:asciiTheme="majorHAnsi" w:hAnsiTheme="majorHAnsi" w:cstheme="minorHAnsi"/>
          <w:b/>
          <w:bCs/>
          <w:sz w:val="24"/>
          <w:szCs w:val="24"/>
          <w:u w:val="single"/>
          <w:lang w:val="en-GB"/>
        </w:rPr>
      </w:pPr>
      <w:r w:rsidRPr="00E13D3C">
        <w:rPr>
          <w:rFonts w:asciiTheme="majorHAnsi" w:hAnsiTheme="majorHAnsi" w:cstheme="minorHAnsi"/>
          <w:b/>
          <w:bCs/>
          <w:sz w:val="24"/>
          <w:szCs w:val="24"/>
          <w:u w:val="single"/>
          <w:lang w:val="en-GB"/>
        </w:rPr>
        <w:t>Rental for SIMs for Smart Meters:</w:t>
      </w:r>
      <w:r w:rsidR="00325577" w:rsidRPr="00E13D3C">
        <w:rPr>
          <w:rFonts w:asciiTheme="majorHAnsi" w:hAnsiTheme="majorHAnsi" w:cstheme="minorHAnsi"/>
          <w:b/>
          <w:bCs/>
          <w:sz w:val="24"/>
          <w:szCs w:val="24"/>
          <w:u w:val="single"/>
          <w:lang w:val="en-GB"/>
        </w:rPr>
        <w:t xml:space="preserve"> </w:t>
      </w:r>
      <w:r w:rsidR="00325577" w:rsidRPr="00E13D3C">
        <w:rPr>
          <w:rFonts w:asciiTheme="majorHAnsi" w:hAnsiTheme="majorHAnsi" w:cstheme="minorHAnsi"/>
          <w:sz w:val="24"/>
          <w:szCs w:val="24"/>
          <w:lang w:val="en-GB"/>
        </w:rPr>
        <w:t>6.20 lakh Smart Meters have already been installed, and it will increase to 10 lakhs next FY. The required recurring cost (FY 26-27) for this activity is as follows:</w:t>
      </w:r>
    </w:p>
    <w:tbl>
      <w:tblPr>
        <w:tblW w:w="6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0"/>
        <w:gridCol w:w="4543"/>
      </w:tblGrid>
      <w:tr w:rsidR="00AC1BBA" w:rsidRPr="00AC1BBA" w14:paraId="288B9B40" w14:textId="77777777" w:rsidTr="00E45E83">
        <w:trPr>
          <w:trHeight w:hRule="exact" w:val="475"/>
          <w:jc w:val="center"/>
        </w:trPr>
        <w:tc>
          <w:tcPr>
            <w:tcW w:w="1840" w:type="dxa"/>
            <w:vAlign w:val="center"/>
            <w:hideMark/>
          </w:tcPr>
          <w:p w14:paraId="5678531D" w14:textId="77777777" w:rsidR="00AC1BBA" w:rsidRPr="00AC1BBA" w:rsidRDefault="00AC1BBA" w:rsidP="00E45E83">
            <w:pPr>
              <w:spacing w:line="360" w:lineRule="auto"/>
              <w:rPr>
                <w:rFonts w:asciiTheme="majorHAnsi" w:hAnsiTheme="majorHAnsi" w:cstheme="minorHAnsi"/>
                <w:b/>
                <w:bCs/>
                <w:sz w:val="22"/>
                <w:szCs w:val="22"/>
              </w:rPr>
            </w:pPr>
            <w:r w:rsidRPr="00AC1BBA">
              <w:rPr>
                <w:rFonts w:asciiTheme="majorHAnsi" w:hAnsiTheme="majorHAnsi" w:cstheme="minorHAnsi"/>
                <w:b/>
                <w:bCs/>
                <w:sz w:val="22"/>
                <w:szCs w:val="22"/>
              </w:rPr>
              <w:t>Activity</w:t>
            </w:r>
          </w:p>
        </w:tc>
        <w:tc>
          <w:tcPr>
            <w:tcW w:w="4543" w:type="dxa"/>
            <w:vAlign w:val="center"/>
            <w:hideMark/>
          </w:tcPr>
          <w:p w14:paraId="61197432" w14:textId="77777777" w:rsidR="00AC1BBA" w:rsidRPr="00AC1BBA" w:rsidRDefault="00AC1BBA" w:rsidP="00E45E83">
            <w:pPr>
              <w:spacing w:line="360" w:lineRule="auto"/>
              <w:rPr>
                <w:rFonts w:asciiTheme="majorHAnsi" w:hAnsiTheme="majorHAnsi" w:cstheme="minorHAnsi"/>
                <w:b/>
                <w:bCs/>
                <w:sz w:val="22"/>
                <w:szCs w:val="22"/>
              </w:rPr>
            </w:pPr>
            <w:r w:rsidRPr="00AC1BBA">
              <w:rPr>
                <w:rFonts w:asciiTheme="majorHAnsi" w:hAnsiTheme="majorHAnsi" w:cstheme="minorHAnsi"/>
                <w:b/>
                <w:bCs/>
                <w:sz w:val="22"/>
                <w:szCs w:val="22"/>
              </w:rPr>
              <w:t>Rental for SIMs for Modems/Smart Meters</w:t>
            </w:r>
          </w:p>
        </w:tc>
      </w:tr>
      <w:tr w:rsidR="00AC1BBA" w:rsidRPr="00AC1BBA" w14:paraId="39E9142D" w14:textId="77777777" w:rsidTr="00E45E83">
        <w:trPr>
          <w:trHeight w:hRule="exact" w:val="356"/>
          <w:jc w:val="center"/>
        </w:trPr>
        <w:tc>
          <w:tcPr>
            <w:tcW w:w="1840" w:type="dxa"/>
            <w:vAlign w:val="center"/>
            <w:hideMark/>
          </w:tcPr>
          <w:p w14:paraId="0ECFAE1C" w14:textId="77777777" w:rsidR="00AC1BBA" w:rsidRPr="00AC1BBA" w:rsidRDefault="00AC1BBA" w:rsidP="00E45E83">
            <w:pPr>
              <w:spacing w:line="360" w:lineRule="auto"/>
              <w:rPr>
                <w:rFonts w:asciiTheme="majorHAnsi" w:hAnsiTheme="majorHAnsi" w:cstheme="minorHAnsi"/>
                <w:sz w:val="22"/>
                <w:szCs w:val="22"/>
              </w:rPr>
            </w:pPr>
            <w:r w:rsidRPr="00AC1BBA">
              <w:rPr>
                <w:rFonts w:asciiTheme="majorHAnsi" w:hAnsiTheme="majorHAnsi" w:cstheme="minorHAnsi"/>
                <w:sz w:val="22"/>
                <w:szCs w:val="22"/>
              </w:rPr>
              <w:t>Period</w:t>
            </w:r>
          </w:p>
        </w:tc>
        <w:tc>
          <w:tcPr>
            <w:tcW w:w="4543" w:type="dxa"/>
            <w:vAlign w:val="center"/>
            <w:hideMark/>
          </w:tcPr>
          <w:p w14:paraId="50572311" w14:textId="77777777" w:rsidR="00AC1BBA" w:rsidRPr="00AC1BBA" w:rsidRDefault="00AC1BBA" w:rsidP="00E45E83">
            <w:pPr>
              <w:spacing w:line="360" w:lineRule="auto"/>
              <w:rPr>
                <w:rFonts w:asciiTheme="majorHAnsi" w:hAnsiTheme="majorHAnsi" w:cstheme="minorHAnsi"/>
                <w:b/>
                <w:bCs/>
                <w:sz w:val="22"/>
                <w:szCs w:val="22"/>
              </w:rPr>
            </w:pPr>
            <w:r w:rsidRPr="00AC1BBA">
              <w:rPr>
                <w:rFonts w:asciiTheme="majorHAnsi" w:hAnsiTheme="majorHAnsi" w:cstheme="minorHAnsi"/>
                <w:b/>
                <w:bCs/>
                <w:sz w:val="22"/>
                <w:szCs w:val="22"/>
              </w:rPr>
              <w:t>FY 2026-27</w:t>
            </w:r>
          </w:p>
        </w:tc>
      </w:tr>
      <w:tr w:rsidR="00AC1BBA" w:rsidRPr="00AC1BBA" w14:paraId="2B84F4C1" w14:textId="77777777" w:rsidTr="00E45E83">
        <w:trPr>
          <w:trHeight w:hRule="exact" w:val="356"/>
          <w:jc w:val="center"/>
        </w:trPr>
        <w:tc>
          <w:tcPr>
            <w:tcW w:w="1840" w:type="dxa"/>
            <w:vAlign w:val="center"/>
            <w:hideMark/>
          </w:tcPr>
          <w:p w14:paraId="3DB7C363" w14:textId="77777777" w:rsidR="00AC1BBA" w:rsidRPr="00AC1BBA" w:rsidRDefault="00AC1BBA" w:rsidP="00E45E83">
            <w:pPr>
              <w:spacing w:line="360" w:lineRule="auto"/>
              <w:rPr>
                <w:rFonts w:asciiTheme="majorHAnsi" w:hAnsiTheme="majorHAnsi" w:cstheme="minorHAnsi"/>
                <w:sz w:val="22"/>
                <w:szCs w:val="22"/>
              </w:rPr>
            </w:pPr>
            <w:r w:rsidRPr="00AC1BBA">
              <w:rPr>
                <w:rFonts w:asciiTheme="majorHAnsi" w:hAnsiTheme="majorHAnsi" w:cstheme="minorHAnsi"/>
                <w:sz w:val="22"/>
                <w:szCs w:val="22"/>
              </w:rPr>
              <w:t>Qty.</w:t>
            </w:r>
          </w:p>
        </w:tc>
        <w:tc>
          <w:tcPr>
            <w:tcW w:w="4543" w:type="dxa"/>
            <w:vAlign w:val="center"/>
            <w:hideMark/>
          </w:tcPr>
          <w:p w14:paraId="4DCF79EA" w14:textId="182B99C8" w:rsidR="00AC1BBA" w:rsidRPr="00AC1BBA" w:rsidRDefault="00AC1BBA" w:rsidP="00E45E83">
            <w:pPr>
              <w:spacing w:line="360" w:lineRule="auto"/>
              <w:rPr>
                <w:rFonts w:asciiTheme="majorHAnsi" w:hAnsiTheme="majorHAnsi" w:cstheme="minorHAnsi"/>
                <w:sz w:val="22"/>
                <w:szCs w:val="22"/>
              </w:rPr>
            </w:pPr>
            <w:r w:rsidRPr="00AC1BBA">
              <w:rPr>
                <w:rFonts w:asciiTheme="majorHAnsi" w:hAnsiTheme="majorHAnsi" w:cstheme="minorHAnsi"/>
                <w:sz w:val="22"/>
                <w:szCs w:val="22"/>
              </w:rPr>
              <w:t>1200000</w:t>
            </w:r>
          </w:p>
        </w:tc>
      </w:tr>
      <w:tr w:rsidR="00AC1BBA" w:rsidRPr="00AC1BBA" w14:paraId="42AD8B69" w14:textId="77777777" w:rsidTr="00E45E83">
        <w:trPr>
          <w:trHeight w:hRule="exact" w:val="356"/>
          <w:jc w:val="center"/>
        </w:trPr>
        <w:tc>
          <w:tcPr>
            <w:tcW w:w="1840" w:type="dxa"/>
            <w:vAlign w:val="center"/>
            <w:hideMark/>
          </w:tcPr>
          <w:p w14:paraId="26AE556C" w14:textId="77777777" w:rsidR="00AC1BBA" w:rsidRPr="00AC1BBA" w:rsidRDefault="00AC1BBA" w:rsidP="00E45E83">
            <w:pPr>
              <w:spacing w:line="360" w:lineRule="auto"/>
              <w:rPr>
                <w:rFonts w:asciiTheme="majorHAnsi" w:hAnsiTheme="majorHAnsi" w:cstheme="minorHAnsi"/>
                <w:sz w:val="22"/>
                <w:szCs w:val="22"/>
              </w:rPr>
            </w:pPr>
            <w:r w:rsidRPr="00AC1BBA">
              <w:rPr>
                <w:rFonts w:asciiTheme="majorHAnsi" w:hAnsiTheme="majorHAnsi" w:cstheme="minorHAnsi"/>
                <w:sz w:val="22"/>
                <w:szCs w:val="22"/>
              </w:rPr>
              <w:t>Base Price in Rs.</w:t>
            </w:r>
          </w:p>
        </w:tc>
        <w:tc>
          <w:tcPr>
            <w:tcW w:w="4543" w:type="dxa"/>
            <w:vAlign w:val="center"/>
            <w:hideMark/>
          </w:tcPr>
          <w:p w14:paraId="090FEAC0" w14:textId="77777777" w:rsidR="00AC1BBA" w:rsidRPr="00AC1BBA" w:rsidRDefault="00AC1BBA" w:rsidP="00E45E83">
            <w:pPr>
              <w:spacing w:line="360" w:lineRule="auto"/>
              <w:rPr>
                <w:rFonts w:asciiTheme="majorHAnsi" w:hAnsiTheme="majorHAnsi" w:cstheme="minorHAnsi"/>
                <w:sz w:val="22"/>
                <w:szCs w:val="22"/>
              </w:rPr>
            </w:pPr>
            <w:r w:rsidRPr="00AC1BBA">
              <w:rPr>
                <w:rFonts w:asciiTheme="majorHAnsi" w:hAnsiTheme="majorHAnsi" w:cstheme="minorHAnsi"/>
                <w:sz w:val="22"/>
                <w:szCs w:val="22"/>
              </w:rPr>
              <w:t>Rs. 10.62/-</w:t>
            </w:r>
          </w:p>
        </w:tc>
      </w:tr>
      <w:tr w:rsidR="00AC1BBA" w:rsidRPr="00AC1BBA" w14:paraId="3D079F88" w14:textId="77777777" w:rsidTr="00E45E83">
        <w:trPr>
          <w:trHeight w:hRule="exact" w:val="356"/>
          <w:jc w:val="center"/>
        </w:trPr>
        <w:tc>
          <w:tcPr>
            <w:tcW w:w="1840" w:type="dxa"/>
            <w:vAlign w:val="center"/>
            <w:hideMark/>
          </w:tcPr>
          <w:p w14:paraId="16CA15D0" w14:textId="11819044" w:rsidR="00AC1BBA" w:rsidRPr="00AC1BBA" w:rsidRDefault="00AC1BBA" w:rsidP="00E45E83">
            <w:pPr>
              <w:spacing w:line="360" w:lineRule="auto"/>
              <w:rPr>
                <w:rFonts w:asciiTheme="majorHAnsi" w:hAnsiTheme="majorHAnsi" w:cstheme="minorHAnsi"/>
                <w:b/>
                <w:bCs/>
                <w:sz w:val="22"/>
                <w:szCs w:val="22"/>
              </w:rPr>
            </w:pPr>
            <w:r w:rsidRPr="00AC1BBA">
              <w:rPr>
                <w:rFonts w:asciiTheme="majorHAnsi" w:hAnsiTheme="majorHAnsi" w:cstheme="minorHAnsi"/>
                <w:b/>
                <w:bCs/>
                <w:sz w:val="22"/>
                <w:szCs w:val="22"/>
              </w:rPr>
              <w:t>Total Rs. In Cr.</w:t>
            </w:r>
          </w:p>
        </w:tc>
        <w:tc>
          <w:tcPr>
            <w:tcW w:w="4543" w:type="dxa"/>
            <w:vAlign w:val="center"/>
            <w:hideMark/>
          </w:tcPr>
          <w:p w14:paraId="61B377CB" w14:textId="77777777" w:rsidR="00AC1BBA" w:rsidRPr="00AC1BBA" w:rsidRDefault="00AC1BBA" w:rsidP="00E45E83">
            <w:pPr>
              <w:spacing w:line="360" w:lineRule="auto"/>
              <w:rPr>
                <w:rFonts w:asciiTheme="majorHAnsi" w:hAnsiTheme="majorHAnsi" w:cstheme="minorHAnsi"/>
                <w:b/>
                <w:bCs/>
                <w:sz w:val="22"/>
                <w:szCs w:val="22"/>
              </w:rPr>
            </w:pPr>
            <w:r w:rsidRPr="00AC1BBA">
              <w:rPr>
                <w:rFonts w:asciiTheme="majorHAnsi" w:hAnsiTheme="majorHAnsi" w:cstheme="minorHAnsi"/>
                <w:b/>
                <w:bCs/>
                <w:sz w:val="22"/>
                <w:szCs w:val="22"/>
              </w:rPr>
              <w:t>12.75</w:t>
            </w:r>
          </w:p>
        </w:tc>
      </w:tr>
    </w:tbl>
    <w:p w14:paraId="0C2716DD" w14:textId="77777777" w:rsidR="00AC1BBA" w:rsidRPr="00F33361" w:rsidRDefault="00AC1BBA" w:rsidP="00AC1BBA">
      <w:pPr>
        <w:pStyle w:val="ListParagraph"/>
        <w:spacing w:line="360" w:lineRule="auto"/>
        <w:ind w:left="709"/>
        <w:jc w:val="both"/>
        <w:rPr>
          <w:rFonts w:asciiTheme="majorHAnsi" w:hAnsiTheme="majorHAnsi" w:cstheme="minorHAnsi"/>
          <w:b/>
          <w:bCs/>
          <w:u w:val="single"/>
          <w:lang w:val="en-GB"/>
        </w:rPr>
      </w:pPr>
    </w:p>
    <w:p w14:paraId="52052D51" w14:textId="5D050E21" w:rsidR="00DD0AEC" w:rsidRPr="00E13D3C" w:rsidRDefault="00F67E29" w:rsidP="001972DE">
      <w:pPr>
        <w:pStyle w:val="ListParagraph"/>
        <w:numPr>
          <w:ilvl w:val="0"/>
          <w:numId w:val="13"/>
        </w:numPr>
        <w:spacing w:line="360" w:lineRule="auto"/>
        <w:ind w:left="709"/>
        <w:jc w:val="both"/>
        <w:rPr>
          <w:rFonts w:asciiTheme="majorHAnsi" w:hAnsiTheme="majorHAnsi" w:cstheme="minorHAnsi"/>
          <w:b/>
          <w:bCs/>
          <w:sz w:val="24"/>
          <w:szCs w:val="24"/>
          <w:u w:val="single"/>
          <w:lang w:val="en-GB"/>
        </w:rPr>
      </w:pPr>
      <w:r w:rsidRPr="00E13D3C">
        <w:rPr>
          <w:rFonts w:asciiTheme="majorHAnsi" w:hAnsiTheme="majorHAnsi" w:cstheme="minorHAnsi"/>
          <w:b/>
          <w:bCs/>
          <w:sz w:val="24"/>
          <w:szCs w:val="24"/>
          <w:u w:val="single"/>
          <w:lang w:val="en-GB"/>
        </w:rPr>
        <w:t>Manpower Services Cost for attending Non</w:t>
      </w:r>
      <w:r w:rsidR="00F92D5E">
        <w:rPr>
          <w:rFonts w:asciiTheme="majorHAnsi" w:hAnsiTheme="majorHAnsi" w:cstheme="minorHAnsi"/>
          <w:b/>
          <w:bCs/>
          <w:sz w:val="24"/>
          <w:szCs w:val="24"/>
          <w:u w:val="single"/>
          <w:lang w:val="en-GB"/>
        </w:rPr>
        <w:t>-</w:t>
      </w:r>
      <w:r w:rsidRPr="00E13D3C">
        <w:rPr>
          <w:rFonts w:asciiTheme="majorHAnsi" w:hAnsiTheme="majorHAnsi" w:cstheme="minorHAnsi"/>
          <w:b/>
          <w:bCs/>
          <w:sz w:val="24"/>
          <w:szCs w:val="24"/>
          <w:u w:val="single"/>
          <w:lang w:val="en-GB"/>
        </w:rPr>
        <w:t>Comm</w:t>
      </w:r>
      <w:r w:rsidR="007C3279">
        <w:rPr>
          <w:rFonts w:asciiTheme="majorHAnsi" w:hAnsiTheme="majorHAnsi" w:cstheme="minorHAnsi"/>
          <w:b/>
          <w:bCs/>
          <w:sz w:val="24"/>
          <w:szCs w:val="24"/>
          <w:u w:val="single"/>
          <w:lang w:val="en-GB"/>
        </w:rPr>
        <w:t>unication</w:t>
      </w:r>
      <w:r w:rsidRPr="00E13D3C">
        <w:rPr>
          <w:rFonts w:asciiTheme="majorHAnsi" w:hAnsiTheme="majorHAnsi" w:cstheme="minorHAnsi"/>
          <w:b/>
          <w:bCs/>
          <w:sz w:val="24"/>
          <w:szCs w:val="24"/>
          <w:u w:val="single"/>
          <w:lang w:val="en-GB"/>
        </w:rPr>
        <w:t xml:space="preserve"> cases of smart meter</w:t>
      </w:r>
      <w:r w:rsidR="001474D0" w:rsidRPr="00E13D3C">
        <w:rPr>
          <w:rFonts w:asciiTheme="majorHAnsi" w:hAnsiTheme="majorHAnsi" w:cstheme="minorHAnsi"/>
          <w:b/>
          <w:bCs/>
          <w:sz w:val="24"/>
          <w:szCs w:val="24"/>
          <w:u w:val="single"/>
          <w:lang w:val="en-GB"/>
        </w:rPr>
        <w:t>:</w:t>
      </w:r>
      <w:r w:rsidR="00C534D8" w:rsidRPr="00C534D8">
        <w:rPr>
          <w:rFonts w:asciiTheme="majorHAnsi" w:hAnsiTheme="majorHAnsi" w:cstheme="minorHAnsi"/>
          <w:b/>
          <w:bCs/>
          <w:sz w:val="24"/>
          <w:szCs w:val="24"/>
          <w:lang w:val="en-GB"/>
        </w:rPr>
        <w:t xml:space="preserve"> </w:t>
      </w:r>
      <w:r w:rsidR="00CE74C5" w:rsidRPr="00E13D3C">
        <w:rPr>
          <w:rFonts w:asciiTheme="majorHAnsi" w:hAnsiTheme="majorHAnsi" w:cstheme="minorHAnsi"/>
          <w:sz w:val="24"/>
          <w:szCs w:val="24"/>
          <w:lang w:val="en-GB"/>
        </w:rPr>
        <w:t xml:space="preserve">Around 6.20 Lakh Smart Meters have been installed out of which 30 </w:t>
      </w:r>
      <w:r w:rsidR="009F0C05" w:rsidRPr="00E13D3C">
        <w:rPr>
          <w:rFonts w:asciiTheme="majorHAnsi" w:hAnsiTheme="majorHAnsi" w:cstheme="minorHAnsi"/>
          <w:sz w:val="24"/>
          <w:szCs w:val="24"/>
          <w:lang w:val="en-GB"/>
        </w:rPr>
        <w:t>thousand</w:t>
      </w:r>
      <w:r w:rsidR="00CE74C5" w:rsidRPr="00E13D3C">
        <w:rPr>
          <w:rFonts w:asciiTheme="majorHAnsi" w:hAnsiTheme="majorHAnsi" w:cstheme="minorHAnsi"/>
          <w:sz w:val="24"/>
          <w:szCs w:val="24"/>
          <w:lang w:val="en-GB"/>
        </w:rPr>
        <w:t xml:space="preserve"> are not communicating due to several factors. Further 5</w:t>
      </w:r>
      <w:r w:rsidR="00FC3B88" w:rsidRPr="00E13D3C">
        <w:rPr>
          <w:rFonts w:asciiTheme="majorHAnsi" w:hAnsiTheme="majorHAnsi" w:cstheme="minorHAnsi"/>
          <w:sz w:val="24"/>
          <w:szCs w:val="24"/>
          <w:lang w:val="en-GB"/>
        </w:rPr>
        <w:t xml:space="preserve"> thousand</w:t>
      </w:r>
      <w:r w:rsidR="00CE74C5" w:rsidRPr="00E13D3C">
        <w:rPr>
          <w:rFonts w:asciiTheme="majorHAnsi" w:hAnsiTheme="majorHAnsi" w:cstheme="minorHAnsi"/>
          <w:sz w:val="24"/>
          <w:szCs w:val="24"/>
          <w:lang w:val="en-GB"/>
        </w:rPr>
        <w:t xml:space="preserve"> new cases are </w:t>
      </w:r>
      <w:r w:rsidR="00DE77AC">
        <w:rPr>
          <w:rFonts w:asciiTheme="majorHAnsi" w:hAnsiTheme="majorHAnsi" w:cstheme="minorHAnsi"/>
          <w:sz w:val="24"/>
          <w:szCs w:val="24"/>
          <w:lang w:val="en-GB"/>
        </w:rPr>
        <w:t xml:space="preserve">being </w:t>
      </w:r>
      <w:r w:rsidR="00CE74C5" w:rsidRPr="00E13D3C">
        <w:rPr>
          <w:rFonts w:asciiTheme="majorHAnsi" w:hAnsiTheme="majorHAnsi" w:cstheme="minorHAnsi"/>
          <w:sz w:val="24"/>
          <w:szCs w:val="24"/>
          <w:lang w:val="en-GB"/>
        </w:rPr>
        <w:t>added every month</w:t>
      </w:r>
      <w:r w:rsidR="00DE77AC">
        <w:rPr>
          <w:rFonts w:asciiTheme="majorHAnsi" w:hAnsiTheme="majorHAnsi" w:cstheme="minorHAnsi"/>
          <w:sz w:val="24"/>
          <w:szCs w:val="24"/>
          <w:lang w:val="en-GB"/>
        </w:rPr>
        <w:t>, hence</w:t>
      </w:r>
      <w:r w:rsidR="00CE74C5" w:rsidRPr="00E13D3C">
        <w:rPr>
          <w:rFonts w:asciiTheme="majorHAnsi" w:hAnsiTheme="majorHAnsi" w:cstheme="minorHAnsi"/>
          <w:sz w:val="24"/>
          <w:szCs w:val="24"/>
          <w:lang w:val="en-GB"/>
        </w:rPr>
        <w:t xml:space="preserve"> to resolve the non-Comm</w:t>
      </w:r>
      <w:r w:rsidR="0094793D" w:rsidRPr="00E13D3C">
        <w:rPr>
          <w:rFonts w:asciiTheme="majorHAnsi" w:hAnsiTheme="majorHAnsi" w:cstheme="minorHAnsi"/>
          <w:sz w:val="24"/>
          <w:szCs w:val="24"/>
          <w:lang w:val="en-GB"/>
        </w:rPr>
        <w:t>unication</w:t>
      </w:r>
      <w:r w:rsidR="00CE74C5" w:rsidRPr="00E13D3C">
        <w:rPr>
          <w:rFonts w:asciiTheme="majorHAnsi" w:hAnsiTheme="majorHAnsi" w:cstheme="minorHAnsi"/>
          <w:sz w:val="24"/>
          <w:szCs w:val="24"/>
          <w:lang w:val="en-GB"/>
        </w:rPr>
        <w:t xml:space="preserve"> issue, teams will be deployed in the field. Accordingly, the following recurring cost shall also be incurred during FY 26-27.</w:t>
      </w:r>
    </w:p>
    <w:tbl>
      <w:tblPr>
        <w:tblW w:w="8222" w:type="dxa"/>
        <w:jc w:val="center"/>
        <w:tblLook w:val="04A0" w:firstRow="1" w:lastRow="0" w:firstColumn="1" w:lastColumn="0" w:noHBand="0" w:noVBand="1"/>
      </w:tblPr>
      <w:tblGrid>
        <w:gridCol w:w="2127"/>
        <w:gridCol w:w="6095"/>
      </w:tblGrid>
      <w:tr w:rsidR="00754C33" w:rsidRPr="00754C33" w14:paraId="774D70FD" w14:textId="77777777" w:rsidTr="00754C33">
        <w:trPr>
          <w:trHeight w:val="50"/>
          <w:tblHeade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3C17A849" w14:textId="77777777" w:rsidR="00754C33" w:rsidRPr="00754C33" w:rsidRDefault="00754C33" w:rsidP="00754C33">
            <w:pPr>
              <w:spacing w:line="240" w:lineRule="atLeast"/>
              <w:jc w:val="both"/>
              <w:rPr>
                <w:rFonts w:asciiTheme="majorHAnsi" w:hAnsiTheme="majorHAnsi" w:cstheme="minorHAnsi"/>
                <w:b/>
                <w:bCs/>
                <w:sz w:val="22"/>
                <w:szCs w:val="22"/>
              </w:rPr>
            </w:pPr>
            <w:r w:rsidRPr="00754C33">
              <w:rPr>
                <w:rFonts w:asciiTheme="majorHAnsi" w:hAnsiTheme="majorHAnsi" w:cstheme="minorHAnsi"/>
                <w:b/>
                <w:bCs/>
                <w:sz w:val="22"/>
                <w:szCs w:val="22"/>
              </w:rPr>
              <w:t>Activity</w:t>
            </w:r>
          </w:p>
        </w:tc>
        <w:tc>
          <w:tcPr>
            <w:tcW w:w="6095" w:type="dxa"/>
            <w:tcBorders>
              <w:top w:val="single" w:sz="4" w:space="0" w:color="auto"/>
              <w:left w:val="nil"/>
              <w:bottom w:val="single" w:sz="4" w:space="0" w:color="auto"/>
              <w:right w:val="single" w:sz="4" w:space="0" w:color="auto"/>
            </w:tcBorders>
            <w:vAlign w:val="center"/>
            <w:hideMark/>
          </w:tcPr>
          <w:p w14:paraId="729FCB76" w14:textId="7D0FFDFB" w:rsidR="00754C33" w:rsidRPr="00754C33" w:rsidRDefault="00754C33" w:rsidP="00754C33">
            <w:pPr>
              <w:spacing w:line="240" w:lineRule="atLeast"/>
              <w:jc w:val="both"/>
              <w:rPr>
                <w:rFonts w:asciiTheme="majorHAnsi" w:hAnsiTheme="majorHAnsi" w:cstheme="minorHAnsi"/>
                <w:b/>
                <w:bCs/>
                <w:sz w:val="22"/>
                <w:szCs w:val="22"/>
                <w:lang w:val="en-GB"/>
              </w:rPr>
            </w:pPr>
            <w:r w:rsidRPr="00754C33">
              <w:rPr>
                <w:rFonts w:asciiTheme="majorHAnsi" w:hAnsiTheme="majorHAnsi" w:cstheme="minorHAnsi"/>
                <w:b/>
                <w:bCs/>
                <w:sz w:val="22"/>
                <w:szCs w:val="22"/>
                <w:lang w:val="en-GB"/>
              </w:rPr>
              <w:t>Attending Non</w:t>
            </w:r>
            <w:r w:rsidR="00F92D5E">
              <w:rPr>
                <w:rFonts w:asciiTheme="majorHAnsi" w:hAnsiTheme="majorHAnsi" w:cstheme="minorHAnsi"/>
                <w:b/>
                <w:bCs/>
                <w:sz w:val="22"/>
                <w:szCs w:val="22"/>
                <w:lang w:val="en-GB"/>
              </w:rPr>
              <w:t>-</w:t>
            </w:r>
            <w:r w:rsidRPr="00754C33">
              <w:rPr>
                <w:rFonts w:asciiTheme="majorHAnsi" w:hAnsiTheme="majorHAnsi" w:cstheme="minorHAnsi"/>
                <w:b/>
                <w:bCs/>
                <w:sz w:val="22"/>
                <w:szCs w:val="22"/>
                <w:lang w:val="en-GB"/>
              </w:rPr>
              <w:t>Comm</w:t>
            </w:r>
            <w:r w:rsidR="002A708B">
              <w:rPr>
                <w:rFonts w:asciiTheme="majorHAnsi" w:hAnsiTheme="majorHAnsi" w:cstheme="minorHAnsi"/>
                <w:b/>
                <w:bCs/>
                <w:sz w:val="22"/>
                <w:szCs w:val="22"/>
                <w:lang w:val="en-GB"/>
              </w:rPr>
              <w:t>unication</w:t>
            </w:r>
            <w:r w:rsidRPr="00754C33">
              <w:rPr>
                <w:rFonts w:asciiTheme="majorHAnsi" w:hAnsiTheme="majorHAnsi" w:cstheme="minorHAnsi"/>
                <w:b/>
                <w:bCs/>
                <w:sz w:val="22"/>
                <w:szCs w:val="22"/>
                <w:lang w:val="en-GB"/>
              </w:rPr>
              <w:t xml:space="preserve"> cases of Smart Meter</w:t>
            </w:r>
          </w:p>
        </w:tc>
      </w:tr>
      <w:tr w:rsidR="00754C33" w:rsidRPr="00754C33" w14:paraId="16B45D97" w14:textId="77777777" w:rsidTr="00754C33">
        <w:trPr>
          <w:trHeight w:val="300"/>
          <w:tblHeader/>
          <w:jc w:val="center"/>
        </w:trPr>
        <w:tc>
          <w:tcPr>
            <w:tcW w:w="2127" w:type="dxa"/>
            <w:tcBorders>
              <w:top w:val="nil"/>
              <w:left w:val="single" w:sz="4" w:space="0" w:color="auto"/>
              <w:bottom w:val="single" w:sz="4" w:space="0" w:color="auto"/>
              <w:right w:val="single" w:sz="4" w:space="0" w:color="auto"/>
            </w:tcBorders>
            <w:vAlign w:val="center"/>
            <w:hideMark/>
          </w:tcPr>
          <w:p w14:paraId="70F49550" w14:textId="77777777" w:rsidR="00754C33" w:rsidRPr="00754C33" w:rsidRDefault="00754C33" w:rsidP="00754C33">
            <w:pPr>
              <w:spacing w:line="240" w:lineRule="atLeast"/>
              <w:jc w:val="both"/>
              <w:rPr>
                <w:rFonts w:asciiTheme="majorHAnsi" w:hAnsiTheme="majorHAnsi" w:cstheme="minorHAnsi"/>
                <w:sz w:val="22"/>
                <w:szCs w:val="22"/>
              </w:rPr>
            </w:pPr>
            <w:r w:rsidRPr="00754C33">
              <w:rPr>
                <w:rFonts w:asciiTheme="majorHAnsi" w:hAnsiTheme="majorHAnsi" w:cstheme="minorHAnsi"/>
                <w:sz w:val="22"/>
                <w:szCs w:val="22"/>
              </w:rPr>
              <w:t>Period</w:t>
            </w:r>
          </w:p>
        </w:tc>
        <w:tc>
          <w:tcPr>
            <w:tcW w:w="6095" w:type="dxa"/>
            <w:tcBorders>
              <w:top w:val="nil"/>
              <w:left w:val="nil"/>
              <w:bottom w:val="single" w:sz="4" w:space="0" w:color="auto"/>
              <w:right w:val="single" w:sz="4" w:space="0" w:color="auto"/>
            </w:tcBorders>
            <w:vAlign w:val="center"/>
            <w:hideMark/>
          </w:tcPr>
          <w:p w14:paraId="7211248E" w14:textId="77777777" w:rsidR="00754C33" w:rsidRPr="00754C33" w:rsidRDefault="00754C33" w:rsidP="00754C33">
            <w:pPr>
              <w:spacing w:line="240" w:lineRule="atLeast"/>
              <w:jc w:val="both"/>
              <w:rPr>
                <w:rFonts w:asciiTheme="majorHAnsi" w:hAnsiTheme="majorHAnsi" w:cstheme="minorHAnsi"/>
                <w:sz w:val="22"/>
                <w:szCs w:val="22"/>
              </w:rPr>
            </w:pPr>
            <w:r w:rsidRPr="00754C33">
              <w:rPr>
                <w:rFonts w:asciiTheme="majorHAnsi" w:hAnsiTheme="majorHAnsi" w:cstheme="minorHAnsi"/>
                <w:sz w:val="22"/>
                <w:szCs w:val="22"/>
              </w:rPr>
              <w:t>FY 2026-27</w:t>
            </w:r>
          </w:p>
        </w:tc>
      </w:tr>
      <w:tr w:rsidR="00754C33" w:rsidRPr="00754C33" w14:paraId="0C54C54E" w14:textId="77777777" w:rsidTr="00754C33">
        <w:trPr>
          <w:trHeight w:val="300"/>
          <w:tblHeader/>
          <w:jc w:val="center"/>
        </w:trPr>
        <w:tc>
          <w:tcPr>
            <w:tcW w:w="2127" w:type="dxa"/>
            <w:tcBorders>
              <w:top w:val="nil"/>
              <w:left w:val="single" w:sz="4" w:space="0" w:color="auto"/>
              <w:bottom w:val="single" w:sz="4" w:space="0" w:color="auto"/>
              <w:right w:val="single" w:sz="4" w:space="0" w:color="auto"/>
            </w:tcBorders>
            <w:vAlign w:val="center"/>
            <w:hideMark/>
          </w:tcPr>
          <w:p w14:paraId="20772307" w14:textId="77777777" w:rsidR="00754C33" w:rsidRPr="00754C33" w:rsidRDefault="00754C33" w:rsidP="00754C33">
            <w:pPr>
              <w:spacing w:line="240" w:lineRule="atLeast"/>
              <w:jc w:val="both"/>
              <w:rPr>
                <w:rFonts w:asciiTheme="majorHAnsi" w:hAnsiTheme="majorHAnsi" w:cstheme="minorHAnsi"/>
                <w:sz w:val="22"/>
                <w:szCs w:val="22"/>
              </w:rPr>
            </w:pPr>
            <w:r w:rsidRPr="00754C33">
              <w:rPr>
                <w:rFonts w:asciiTheme="majorHAnsi" w:hAnsiTheme="majorHAnsi" w:cstheme="minorHAnsi"/>
                <w:sz w:val="22"/>
                <w:szCs w:val="22"/>
              </w:rPr>
              <w:t xml:space="preserve">Qty. </w:t>
            </w:r>
          </w:p>
        </w:tc>
        <w:tc>
          <w:tcPr>
            <w:tcW w:w="6095" w:type="dxa"/>
            <w:tcBorders>
              <w:top w:val="nil"/>
              <w:left w:val="nil"/>
              <w:bottom w:val="single" w:sz="4" w:space="0" w:color="auto"/>
              <w:right w:val="single" w:sz="4" w:space="0" w:color="auto"/>
            </w:tcBorders>
            <w:vAlign w:val="center"/>
            <w:hideMark/>
          </w:tcPr>
          <w:p w14:paraId="15878DBA" w14:textId="77777777" w:rsidR="00754C33" w:rsidRPr="00754C33" w:rsidRDefault="00754C33" w:rsidP="00754C33">
            <w:pPr>
              <w:spacing w:line="240" w:lineRule="atLeast"/>
              <w:jc w:val="both"/>
              <w:rPr>
                <w:rFonts w:asciiTheme="majorHAnsi" w:hAnsiTheme="majorHAnsi" w:cstheme="minorHAnsi"/>
                <w:sz w:val="22"/>
                <w:szCs w:val="22"/>
              </w:rPr>
            </w:pPr>
            <w:r w:rsidRPr="00754C33">
              <w:rPr>
                <w:rFonts w:asciiTheme="majorHAnsi" w:hAnsiTheme="majorHAnsi" w:cstheme="minorHAnsi"/>
                <w:sz w:val="22"/>
                <w:szCs w:val="22"/>
              </w:rPr>
              <w:t>90000</w:t>
            </w:r>
          </w:p>
        </w:tc>
      </w:tr>
      <w:tr w:rsidR="00754C33" w:rsidRPr="00754C33" w14:paraId="684E6595" w14:textId="77777777" w:rsidTr="00754C33">
        <w:trPr>
          <w:trHeight w:val="300"/>
          <w:tblHeader/>
          <w:jc w:val="center"/>
        </w:trPr>
        <w:tc>
          <w:tcPr>
            <w:tcW w:w="2127" w:type="dxa"/>
            <w:tcBorders>
              <w:top w:val="nil"/>
              <w:left w:val="single" w:sz="4" w:space="0" w:color="auto"/>
              <w:bottom w:val="single" w:sz="4" w:space="0" w:color="auto"/>
              <w:right w:val="single" w:sz="4" w:space="0" w:color="auto"/>
            </w:tcBorders>
            <w:vAlign w:val="center"/>
            <w:hideMark/>
          </w:tcPr>
          <w:p w14:paraId="2B2205AC" w14:textId="77777777" w:rsidR="00754C33" w:rsidRPr="00754C33" w:rsidRDefault="00754C33" w:rsidP="00754C33">
            <w:pPr>
              <w:spacing w:line="240" w:lineRule="atLeast"/>
              <w:jc w:val="both"/>
              <w:rPr>
                <w:rFonts w:asciiTheme="majorHAnsi" w:hAnsiTheme="majorHAnsi" w:cstheme="minorHAnsi"/>
                <w:sz w:val="22"/>
                <w:szCs w:val="22"/>
              </w:rPr>
            </w:pPr>
            <w:r w:rsidRPr="00754C33">
              <w:rPr>
                <w:rFonts w:asciiTheme="majorHAnsi" w:hAnsiTheme="majorHAnsi" w:cstheme="minorHAnsi"/>
                <w:sz w:val="22"/>
                <w:szCs w:val="22"/>
              </w:rPr>
              <w:t>Per unit Price in Rs.</w:t>
            </w:r>
          </w:p>
        </w:tc>
        <w:tc>
          <w:tcPr>
            <w:tcW w:w="6095" w:type="dxa"/>
            <w:tcBorders>
              <w:top w:val="nil"/>
              <w:left w:val="nil"/>
              <w:bottom w:val="single" w:sz="4" w:space="0" w:color="auto"/>
              <w:right w:val="single" w:sz="4" w:space="0" w:color="auto"/>
            </w:tcBorders>
            <w:vAlign w:val="center"/>
            <w:hideMark/>
          </w:tcPr>
          <w:p w14:paraId="53406423" w14:textId="77777777" w:rsidR="00754C33" w:rsidRPr="00754C33" w:rsidRDefault="00754C33" w:rsidP="00754C33">
            <w:pPr>
              <w:spacing w:line="240" w:lineRule="atLeast"/>
              <w:jc w:val="both"/>
              <w:rPr>
                <w:rFonts w:asciiTheme="majorHAnsi" w:hAnsiTheme="majorHAnsi" w:cstheme="minorHAnsi"/>
                <w:sz w:val="22"/>
                <w:szCs w:val="22"/>
              </w:rPr>
            </w:pPr>
            <w:r w:rsidRPr="00754C33">
              <w:rPr>
                <w:rFonts w:asciiTheme="majorHAnsi" w:hAnsiTheme="majorHAnsi" w:cstheme="minorHAnsi"/>
                <w:sz w:val="22"/>
                <w:szCs w:val="22"/>
              </w:rPr>
              <w:t>309</w:t>
            </w:r>
          </w:p>
        </w:tc>
      </w:tr>
      <w:tr w:rsidR="00754C33" w:rsidRPr="00754C33" w14:paraId="12D52785" w14:textId="77777777" w:rsidTr="00754C33">
        <w:trPr>
          <w:trHeight w:val="300"/>
          <w:tblHeader/>
          <w:jc w:val="center"/>
        </w:trPr>
        <w:tc>
          <w:tcPr>
            <w:tcW w:w="2127" w:type="dxa"/>
            <w:tcBorders>
              <w:top w:val="nil"/>
              <w:left w:val="single" w:sz="4" w:space="0" w:color="auto"/>
              <w:bottom w:val="single" w:sz="4" w:space="0" w:color="auto"/>
              <w:right w:val="single" w:sz="4" w:space="0" w:color="auto"/>
            </w:tcBorders>
            <w:vAlign w:val="center"/>
            <w:hideMark/>
          </w:tcPr>
          <w:p w14:paraId="229C014A" w14:textId="77777777" w:rsidR="00754C33" w:rsidRPr="00754C33" w:rsidRDefault="00754C33" w:rsidP="00754C33">
            <w:pPr>
              <w:spacing w:line="240" w:lineRule="atLeast"/>
              <w:jc w:val="both"/>
              <w:rPr>
                <w:rFonts w:asciiTheme="majorHAnsi" w:hAnsiTheme="majorHAnsi" w:cstheme="minorHAnsi"/>
                <w:b/>
                <w:bCs/>
                <w:sz w:val="22"/>
                <w:szCs w:val="22"/>
              </w:rPr>
            </w:pPr>
            <w:r w:rsidRPr="00754C33">
              <w:rPr>
                <w:rFonts w:asciiTheme="majorHAnsi" w:hAnsiTheme="majorHAnsi" w:cstheme="minorHAnsi"/>
                <w:b/>
                <w:bCs/>
                <w:sz w:val="22"/>
                <w:szCs w:val="22"/>
              </w:rPr>
              <w:t xml:space="preserve">Total Rs. In Cr. </w:t>
            </w:r>
          </w:p>
        </w:tc>
        <w:tc>
          <w:tcPr>
            <w:tcW w:w="6095" w:type="dxa"/>
            <w:tcBorders>
              <w:top w:val="nil"/>
              <w:left w:val="nil"/>
              <w:bottom w:val="single" w:sz="4" w:space="0" w:color="auto"/>
              <w:right w:val="single" w:sz="4" w:space="0" w:color="auto"/>
            </w:tcBorders>
            <w:vAlign w:val="center"/>
            <w:hideMark/>
          </w:tcPr>
          <w:p w14:paraId="55EA2689" w14:textId="77777777" w:rsidR="00754C33" w:rsidRPr="00754C33" w:rsidRDefault="00754C33" w:rsidP="00754C33">
            <w:pPr>
              <w:spacing w:line="240" w:lineRule="atLeast"/>
              <w:jc w:val="both"/>
              <w:rPr>
                <w:rFonts w:asciiTheme="majorHAnsi" w:hAnsiTheme="majorHAnsi" w:cstheme="minorHAnsi"/>
                <w:b/>
                <w:bCs/>
                <w:sz w:val="22"/>
                <w:szCs w:val="22"/>
              </w:rPr>
            </w:pPr>
            <w:r w:rsidRPr="00754C33">
              <w:rPr>
                <w:rFonts w:asciiTheme="majorHAnsi" w:hAnsiTheme="majorHAnsi" w:cstheme="minorHAnsi"/>
                <w:b/>
                <w:bCs/>
                <w:sz w:val="22"/>
                <w:szCs w:val="22"/>
              </w:rPr>
              <w:t>2.78</w:t>
            </w:r>
          </w:p>
        </w:tc>
      </w:tr>
    </w:tbl>
    <w:p w14:paraId="550AF397" w14:textId="77777777" w:rsidR="00754C33" w:rsidRPr="00754C33" w:rsidRDefault="00754C33" w:rsidP="00754C33">
      <w:pPr>
        <w:spacing w:line="360" w:lineRule="auto"/>
        <w:jc w:val="both"/>
        <w:rPr>
          <w:rFonts w:asciiTheme="majorHAnsi" w:hAnsiTheme="majorHAnsi" w:cstheme="minorHAnsi"/>
          <w:b/>
          <w:bCs/>
          <w:u w:val="single"/>
          <w:lang w:val="en-GB"/>
        </w:rPr>
      </w:pPr>
    </w:p>
    <w:p w14:paraId="27CC31ED" w14:textId="6876C3B1" w:rsidR="0094793D" w:rsidRPr="00E13D3C" w:rsidRDefault="00E3124D" w:rsidP="001972DE">
      <w:pPr>
        <w:pStyle w:val="ListParagraph"/>
        <w:numPr>
          <w:ilvl w:val="0"/>
          <w:numId w:val="13"/>
        </w:numPr>
        <w:spacing w:line="360" w:lineRule="auto"/>
        <w:ind w:left="709"/>
        <w:jc w:val="both"/>
        <w:rPr>
          <w:rFonts w:asciiTheme="majorHAnsi" w:hAnsiTheme="majorHAnsi" w:cstheme="minorHAnsi"/>
          <w:b/>
          <w:bCs/>
          <w:u w:val="single"/>
          <w:lang w:val="en-GB"/>
        </w:rPr>
      </w:pPr>
      <w:r w:rsidRPr="00E13D3C">
        <w:rPr>
          <w:rFonts w:asciiTheme="majorHAnsi" w:hAnsiTheme="majorHAnsi" w:cstheme="minorHAnsi"/>
          <w:b/>
          <w:bCs/>
          <w:sz w:val="24"/>
          <w:szCs w:val="24"/>
          <w:u w:val="single"/>
          <w:lang w:val="en-GB"/>
        </w:rPr>
        <w:t>Replacement of NIC in Smart Meters</w:t>
      </w:r>
      <w:r w:rsidR="00BB1D46" w:rsidRPr="00E13D3C">
        <w:rPr>
          <w:rFonts w:asciiTheme="majorHAnsi" w:hAnsiTheme="majorHAnsi" w:cstheme="minorHAnsi"/>
          <w:b/>
          <w:bCs/>
          <w:sz w:val="24"/>
          <w:szCs w:val="24"/>
          <w:u w:val="single"/>
          <w:lang w:val="en-GB"/>
        </w:rPr>
        <w:t xml:space="preserve">: </w:t>
      </w:r>
      <w:r w:rsidR="00BB1D46" w:rsidRPr="00E13D3C">
        <w:rPr>
          <w:rFonts w:asciiTheme="majorHAnsi" w:hAnsiTheme="majorHAnsi" w:cstheme="minorHAnsi"/>
          <w:sz w:val="24"/>
          <w:szCs w:val="24"/>
          <w:lang w:val="en-GB"/>
        </w:rPr>
        <w:t xml:space="preserve">While attending the Non-Communicating Smart Meters, sometimes NIC needs to be replaced to </w:t>
      </w:r>
      <w:r w:rsidR="00DE77AC">
        <w:rPr>
          <w:rFonts w:asciiTheme="majorHAnsi" w:hAnsiTheme="majorHAnsi" w:cstheme="minorHAnsi"/>
          <w:sz w:val="24"/>
          <w:szCs w:val="24"/>
          <w:lang w:val="en-GB"/>
        </w:rPr>
        <w:t xml:space="preserve">enable </w:t>
      </w:r>
      <w:r w:rsidR="00BB1D46" w:rsidRPr="00E13D3C">
        <w:rPr>
          <w:rFonts w:asciiTheme="majorHAnsi" w:hAnsiTheme="majorHAnsi" w:cstheme="minorHAnsi"/>
          <w:sz w:val="24"/>
          <w:szCs w:val="24"/>
          <w:lang w:val="en-GB"/>
        </w:rPr>
        <w:t>the Smart Meter communicate with HES. Accordingly, the following recurring cost shall also be incurred during FY 26-27.</w:t>
      </w:r>
    </w:p>
    <w:tbl>
      <w:tblPr>
        <w:tblW w:w="5954" w:type="dxa"/>
        <w:jc w:val="center"/>
        <w:tblLook w:val="04A0" w:firstRow="1" w:lastRow="0" w:firstColumn="1" w:lastColumn="0" w:noHBand="0" w:noVBand="1"/>
      </w:tblPr>
      <w:tblGrid>
        <w:gridCol w:w="2127"/>
        <w:gridCol w:w="3827"/>
      </w:tblGrid>
      <w:tr w:rsidR="00E13D3C" w:rsidRPr="00E13D3C" w14:paraId="75E9BA32" w14:textId="77777777" w:rsidTr="00E13D3C">
        <w:trPr>
          <w:trHeight w:val="50"/>
          <w:tblHeade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3CE39F76" w14:textId="77777777" w:rsidR="00E13D3C" w:rsidRPr="00E13D3C" w:rsidRDefault="00E13D3C" w:rsidP="000F221E">
            <w:pPr>
              <w:spacing w:line="240" w:lineRule="atLeast"/>
              <w:jc w:val="both"/>
              <w:rPr>
                <w:rFonts w:asciiTheme="majorHAnsi" w:hAnsiTheme="majorHAnsi" w:cstheme="minorHAnsi"/>
                <w:b/>
                <w:bCs/>
                <w:sz w:val="22"/>
                <w:szCs w:val="22"/>
              </w:rPr>
            </w:pPr>
            <w:r w:rsidRPr="00E13D3C">
              <w:rPr>
                <w:rFonts w:asciiTheme="majorHAnsi" w:hAnsiTheme="majorHAnsi" w:cstheme="minorHAnsi"/>
                <w:b/>
                <w:bCs/>
                <w:sz w:val="22"/>
                <w:szCs w:val="22"/>
              </w:rPr>
              <w:t>Activity</w:t>
            </w:r>
          </w:p>
        </w:tc>
        <w:tc>
          <w:tcPr>
            <w:tcW w:w="3827" w:type="dxa"/>
            <w:tcBorders>
              <w:top w:val="single" w:sz="4" w:space="0" w:color="auto"/>
              <w:left w:val="nil"/>
              <w:bottom w:val="single" w:sz="4" w:space="0" w:color="auto"/>
              <w:right w:val="single" w:sz="4" w:space="0" w:color="auto"/>
            </w:tcBorders>
            <w:vAlign w:val="center"/>
            <w:hideMark/>
          </w:tcPr>
          <w:p w14:paraId="03693382" w14:textId="77777777" w:rsidR="00E13D3C" w:rsidRPr="00E13D3C" w:rsidRDefault="00E13D3C" w:rsidP="000F221E">
            <w:pPr>
              <w:jc w:val="both"/>
              <w:rPr>
                <w:rFonts w:asciiTheme="majorHAnsi" w:hAnsiTheme="majorHAnsi" w:cstheme="minorHAnsi"/>
                <w:b/>
                <w:bCs/>
                <w:sz w:val="22"/>
                <w:szCs w:val="22"/>
                <w:lang w:val="en-GB"/>
              </w:rPr>
            </w:pPr>
            <w:r w:rsidRPr="00E13D3C">
              <w:rPr>
                <w:rFonts w:asciiTheme="majorHAnsi" w:hAnsiTheme="majorHAnsi" w:cstheme="minorHAnsi"/>
                <w:b/>
                <w:bCs/>
                <w:sz w:val="22"/>
                <w:szCs w:val="22"/>
                <w:lang w:val="en-GB"/>
              </w:rPr>
              <w:t>Replacement of NIC in Smart Meters</w:t>
            </w:r>
          </w:p>
        </w:tc>
      </w:tr>
      <w:tr w:rsidR="00E13D3C" w:rsidRPr="00E13D3C" w14:paraId="32F6F406" w14:textId="77777777" w:rsidTr="00E13D3C">
        <w:trPr>
          <w:trHeight w:val="300"/>
          <w:tblHeader/>
          <w:jc w:val="center"/>
        </w:trPr>
        <w:tc>
          <w:tcPr>
            <w:tcW w:w="2127" w:type="dxa"/>
            <w:tcBorders>
              <w:top w:val="nil"/>
              <w:left w:val="single" w:sz="4" w:space="0" w:color="auto"/>
              <w:bottom w:val="single" w:sz="4" w:space="0" w:color="auto"/>
              <w:right w:val="single" w:sz="4" w:space="0" w:color="auto"/>
            </w:tcBorders>
            <w:vAlign w:val="center"/>
            <w:hideMark/>
          </w:tcPr>
          <w:p w14:paraId="2299044E" w14:textId="77777777" w:rsidR="00E13D3C" w:rsidRPr="00E13D3C" w:rsidRDefault="00E13D3C" w:rsidP="000F221E">
            <w:pPr>
              <w:spacing w:line="240" w:lineRule="atLeast"/>
              <w:jc w:val="both"/>
              <w:rPr>
                <w:rFonts w:asciiTheme="majorHAnsi" w:hAnsiTheme="majorHAnsi" w:cstheme="minorHAnsi"/>
                <w:sz w:val="22"/>
                <w:szCs w:val="22"/>
              </w:rPr>
            </w:pPr>
            <w:r w:rsidRPr="00E13D3C">
              <w:rPr>
                <w:rFonts w:asciiTheme="majorHAnsi" w:hAnsiTheme="majorHAnsi" w:cstheme="minorHAnsi"/>
                <w:sz w:val="22"/>
                <w:szCs w:val="22"/>
              </w:rPr>
              <w:t>Period</w:t>
            </w:r>
          </w:p>
        </w:tc>
        <w:tc>
          <w:tcPr>
            <w:tcW w:w="3827" w:type="dxa"/>
            <w:tcBorders>
              <w:top w:val="nil"/>
              <w:left w:val="nil"/>
              <w:bottom w:val="single" w:sz="4" w:space="0" w:color="auto"/>
              <w:right w:val="single" w:sz="4" w:space="0" w:color="auto"/>
            </w:tcBorders>
            <w:vAlign w:val="center"/>
            <w:hideMark/>
          </w:tcPr>
          <w:p w14:paraId="6346ECCA" w14:textId="77777777" w:rsidR="00E13D3C" w:rsidRPr="00E13D3C" w:rsidRDefault="00E13D3C" w:rsidP="000F221E">
            <w:pPr>
              <w:spacing w:line="240" w:lineRule="atLeast"/>
              <w:jc w:val="both"/>
              <w:rPr>
                <w:rFonts w:asciiTheme="majorHAnsi" w:hAnsiTheme="majorHAnsi" w:cstheme="minorHAnsi"/>
                <w:sz w:val="22"/>
                <w:szCs w:val="22"/>
              </w:rPr>
            </w:pPr>
            <w:r w:rsidRPr="00E13D3C">
              <w:rPr>
                <w:rFonts w:asciiTheme="majorHAnsi" w:hAnsiTheme="majorHAnsi" w:cstheme="minorHAnsi"/>
                <w:sz w:val="22"/>
                <w:szCs w:val="22"/>
              </w:rPr>
              <w:t>FY 2026-27</w:t>
            </w:r>
          </w:p>
        </w:tc>
      </w:tr>
      <w:tr w:rsidR="00E13D3C" w:rsidRPr="00E13D3C" w14:paraId="4FEABED4" w14:textId="77777777" w:rsidTr="00E13D3C">
        <w:trPr>
          <w:trHeight w:val="300"/>
          <w:tblHeader/>
          <w:jc w:val="center"/>
        </w:trPr>
        <w:tc>
          <w:tcPr>
            <w:tcW w:w="2127" w:type="dxa"/>
            <w:tcBorders>
              <w:top w:val="nil"/>
              <w:left w:val="single" w:sz="4" w:space="0" w:color="auto"/>
              <w:bottom w:val="single" w:sz="4" w:space="0" w:color="auto"/>
              <w:right w:val="single" w:sz="4" w:space="0" w:color="auto"/>
            </w:tcBorders>
            <w:vAlign w:val="center"/>
            <w:hideMark/>
          </w:tcPr>
          <w:p w14:paraId="46FC6092" w14:textId="77777777" w:rsidR="00E13D3C" w:rsidRPr="00E13D3C" w:rsidRDefault="00E13D3C" w:rsidP="000F221E">
            <w:pPr>
              <w:spacing w:line="240" w:lineRule="atLeast"/>
              <w:jc w:val="both"/>
              <w:rPr>
                <w:rFonts w:asciiTheme="majorHAnsi" w:hAnsiTheme="majorHAnsi" w:cstheme="minorHAnsi"/>
                <w:sz w:val="22"/>
                <w:szCs w:val="22"/>
              </w:rPr>
            </w:pPr>
            <w:r w:rsidRPr="00E13D3C">
              <w:rPr>
                <w:rFonts w:asciiTheme="majorHAnsi" w:hAnsiTheme="majorHAnsi" w:cstheme="minorHAnsi"/>
                <w:sz w:val="22"/>
                <w:szCs w:val="22"/>
              </w:rPr>
              <w:t xml:space="preserve">Qty. </w:t>
            </w:r>
          </w:p>
        </w:tc>
        <w:tc>
          <w:tcPr>
            <w:tcW w:w="3827" w:type="dxa"/>
            <w:tcBorders>
              <w:top w:val="nil"/>
              <w:left w:val="nil"/>
              <w:bottom w:val="single" w:sz="4" w:space="0" w:color="auto"/>
              <w:right w:val="single" w:sz="4" w:space="0" w:color="auto"/>
            </w:tcBorders>
            <w:vAlign w:val="center"/>
            <w:hideMark/>
          </w:tcPr>
          <w:p w14:paraId="5B11AB70" w14:textId="77777777" w:rsidR="00E13D3C" w:rsidRPr="00E13D3C" w:rsidRDefault="00E13D3C" w:rsidP="000F221E">
            <w:pPr>
              <w:spacing w:line="240" w:lineRule="atLeast"/>
              <w:jc w:val="both"/>
              <w:rPr>
                <w:rFonts w:asciiTheme="majorHAnsi" w:hAnsiTheme="majorHAnsi" w:cstheme="minorHAnsi"/>
                <w:sz w:val="22"/>
                <w:szCs w:val="22"/>
              </w:rPr>
            </w:pPr>
            <w:r w:rsidRPr="00E13D3C">
              <w:rPr>
                <w:rFonts w:asciiTheme="majorHAnsi" w:hAnsiTheme="majorHAnsi" w:cstheme="minorHAnsi"/>
                <w:sz w:val="22"/>
                <w:szCs w:val="22"/>
              </w:rPr>
              <w:t>1500</w:t>
            </w:r>
          </w:p>
        </w:tc>
      </w:tr>
      <w:tr w:rsidR="00E13D3C" w:rsidRPr="00E13D3C" w14:paraId="2C7E3404" w14:textId="77777777" w:rsidTr="00E13D3C">
        <w:trPr>
          <w:trHeight w:val="300"/>
          <w:tblHeader/>
          <w:jc w:val="center"/>
        </w:trPr>
        <w:tc>
          <w:tcPr>
            <w:tcW w:w="2127" w:type="dxa"/>
            <w:tcBorders>
              <w:top w:val="nil"/>
              <w:left w:val="single" w:sz="4" w:space="0" w:color="auto"/>
              <w:bottom w:val="single" w:sz="4" w:space="0" w:color="auto"/>
              <w:right w:val="single" w:sz="4" w:space="0" w:color="auto"/>
            </w:tcBorders>
            <w:vAlign w:val="center"/>
            <w:hideMark/>
          </w:tcPr>
          <w:p w14:paraId="7BA7AE5E" w14:textId="77777777" w:rsidR="00E13D3C" w:rsidRPr="00E13D3C" w:rsidRDefault="00E13D3C" w:rsidP="000F221E">
            <w:pPr>
              <w:spacing w:line="240" w:lineRule="atLeast"/>
              <w:jc w:val="both"/>
              <w:rPr>
                <w:rFonts w:asciiTheme="majorHAnsi" w:hAnsiTheme="majorHAnsi" w:cstheme="minorHAnsi"/>
                <w:sz w:val="22"/>
                <w:szCs w:val="22"/>
              </w:rPr>
            </w:pPr>
            <w:r w:rsidRPr="00E13D3C">
              <w:rPr>
                <w:rFonts w:asciiTheme="majorHAnsi" w:hAnsiTheme="majorHAnsi" w:cstheme="minorHAnsi"/>
                <w:sz w:val="22"/>
                <w:szCs w:val="22"/>
              </w:rPr>
              <w:t>Per unit Price in Rs.</w:t>
            </w:r>
          </w:p>
        </w:tc>
        <w:tc>
          <w:tcPr>
            <w:tcW w:w="3827" w:type="dxa"/>
            <w:tcBorders>
              <w:top w:val="nil"/>
              <w:left w:val="nil"/>
              <w:bottom w:val="single" w:sz="4" w:space="0" w:color="auto"/>
              <w:right w:val="single" w:sz="4" w:space="0" w:color="auto"/>
            </w:tcBorders>
            <w:vAlign w:val="center"/>
            <w:hideMark/>
          </w:tcPr>
          <w:p w14:paraId="6AD946CE" w14:textId="77777777" w:rsidR="00E13D3C" w:rsidRPr="00E13D3C" w:rsidRDefault="00E13D3C" w:rsidP="000F221E">
            <w:pPr>
              <w:spacing w:line="240" w:lineRule="atLeast"/>
              <w:jc w:val="both"/>
              <w:rPr>
                <w:rFonts w:asciiTheme="majorHAnsi" w:hAnsiTheme="majorHAnsi" w:cstheme="minorHAnsi"/>
                <w:sz w:val="22"/>
                <w:szCs w:val="22"/>
              </w:rPr>
            </w:pPr>
            <w:r w:rsidRPr="00E13D3C">
              <w:rPr>
                <w:rFonts w:asciiTheme="majorHAnsi" w:hAnsiTheme="majorHAnsi" w:cstheme="minorHAnsi"/>
                <w:sz w:val="22"/>
                <w:szCs w:val="22"/>
              </w:rPr>
              <w:t>1000</w:t>
            </w:r>
          </w:p>
        </w:tc>
      </w:tr>
      <w:tr w:rsidR="00E13D3C" w:rsidRPr="00E13D3C" w14:paraId="78C852F6" w14:textId="77777777" w:rsidTr="00E13D3C">
        <w:trPr>
          <w:trHeight w:val="300"/>
          <w:tblHeader/>
          <w:jc w:val="center"/>
        </w:trPr>
        <w:tc>
          <w:tcPr>
            <w:tcW w:w="2127" w:type="dxa"/>
            <w:tcBorders>
              <w:top w:val="nil"/>
              <w:left w:val="single" w:sz="4" w:space="0" w:color="auto"/>
              <w:bottom w:val="single" w:sz="4" w:space="0" w:color="auto"/>
              <w:right w:val="single" w:sz="4" w:space="0" w:color="auto"/>
            </w:tcBorders>
            <w:vAlign w:val="center"/>
            <w:hideMark/>
          </w:tcPr>
          <w:p w14:paraId="009E3594" w14:textId="77777777" w:rsidR="00E13D3C" w:rsidRPr="00E13D3C" w:rsidRDefault="00E13D3C" w:rsidP="000F221E">
            <w:pPr>
              <w:spacing w:line="240" w:lineRule="atLeast"/>
              <w:jc w:val="both"/>
              <w:rPr>
                <w:rFonts w:asciiTheme="majorHAnsi" w:hAnsiTheme="majorHAnsi" w:cstheme="minorHAnsi"/>
                <w:b/>
                <w:bCs/>
                <w:sz w:val="22"/>
                <w:szCs w:val="22"/>
              </w:rPr>
            </w:pPr>
            <w:r w:rsidRPr="00E13D3C">
              <w:rPr>
                <w:rFonts w:asciiTheme="majorHAnsi" w:hAnsiTheme="majorHAnsi" w:cstheme="minorHAnsi"/>
                <w:b/>
                <w:bCs/>
                <w:sz w:val="22"/>
                <w:szCs w:val="22"/>
              </w:rPr>
              <w:t xml:space="preserve">Total Rs. In Cr. </w:t>
            </w:r>
          </w:p>
        </w:tc>
        <w:tc>
          <w:tcPr>
            <w:tcW w:w="3827" w:type="dxa"/>
            <w:tcBorders>
              <w:top w:val="nil"/>
              <w:left w:val="nil"/>
              <w:bottom w:val="single" w:sz="4" w:space="0" w:color="auto"/>
              <w:right w:val="single" w:sz="4" w:space="0" w:color="auto"/>
            </w:tcBorders>
            <w:vAlign w:val="center"/>
            <w:hideMark/>
          </w:tcPr>
          <w:p w14:paraId="507A241D" w14:textId="77777777" w:rsidR="00E13D3C" w:rsidRPr="00E13D3C" w:rsidRDefault="00E13D3C" w:rsidP="000F221E">
            <w:pPr>
              <w:spacing w:line="240" w:lineRule="atLeast"/>
              <w:jc w:val="both"/>
              <w:rPr>
                <w:rFonts w:asciiTheme="majorHAnsi" w:hAnsiTheme="majorHAnsi" w:cstheme="minorHAnsi"/>
                <w:b/>
                <w:bCs/>
                <w:sz w:val="22"/>
                <w:szCs w:val="22"/>
              </w:rPr>
            </w:pPr>
            <w:r w:rsidRPr="00E13D3C">
              <w:rPr>
                <w:rFonts w:asciiTheme="majorHAnsi" w:hAnsiTheme="majorHAnsi" w:cstheme="minorHAnsi"/>
                <w:b/>
                <w:bCs/>
                <w:sz w:val="22"/>
                <w:szCs w:val="22"/>
              </w:rPr>
              <w:t>0.15</w:t>
            </w:r>
          </w:p>
        </w:tc>
      </w:tr>
    </w:tbl>
    <w:p w14:paraId="58E53BFB" w14:textId="77777777" w:rsidR="00B5430D" w:rsidRDefault="00B5430D" w:rsidP="00B5430D">
      <w:pPr>
        <w:pStyle w:val="ListParagraph"/>
        <w:spacing w:line="360" w:lineRule="auto"/>
        <w:ind w:left="709"/>
        <w:jc w:val="both"/>
        <w:rPr>
          <w:rFonts w:asciiTheme="majorHAnsi" w:hAnsiTheme="majorHAnsi" w:cstheme="minorHAnsi"/>
          <w:b/>
          <w:bCs/>
          <w:u w:val="single"/>
          <w:lang w:val="en-GB"/>
        </w:rPr>
      </w:pPr>
    </w:p>
    <w:p w14:paraId="25558DAF" w14:textId="5E8196ED" w:rsidR="00E13D3C" w:rsidRPr="00503006" w:rsidRDefault="00B5430D" w:rsidP="001972DE">
      <w:pPr>
        <w:pStyle w:val="ListParagraph"/>
        <w:numPr>
          <w:ilvl w:val="0"/>
          <w:numId w:val="13"/>
        </w:numPr>
        <w:spacing w:line="360" w:lineRule="auto"/>
        <w:ind w:left="709"/>
        <w:jc w:val="both"/>
        <w:rPr>
          <w:rFonts w:asciiTheme="majorHAnsi" w:hAnsiTheme="majorHAnsi" w:cstheme="minorHAnsi"/>
          <w:b/>
          <w:bCs/>
          <w:sz w:val="24"/>
          <w:szCs w:val="24"/>
          <w:u w:val="single"/>
          <w:lang w:val="en-GB"/>
        </w:rPr>
      </w:pPr>
      <w:r w:rsidRPr="00D64AA1">
        <w:rPr>
          <w:rFonts w:asciiTheme="majorHAnsi" w:hAnsiTheme="majorHAnsi" w:cstheme="minorHAnsi"/>
          <w:b/>
          <w:bCs/>
          <w:sz w:val="24"/>
          <w:szCs w:val="24"/>
          <w:u w:val="single"/>
          <w:lang w:val="en-GB"/>
        </w:rPr>
        <w:t xml:space="preserve">Replacement of Seals for attending </w:t>
      </w:r>
      <w:r w:rsidR="00C534D8" w:rsidRPr="00D64AA1">
        <w:rPr>
          <w:rFonts w:asciiTheme="majorHAnsi" w:hAnsiTheme="majorHAnsi" w:cstheme="minorHAnsi"/>
          <w:b/>
          <w:bCs/>
          <w:sz w:val="24"/>
          <w:szCs w:val="24"/>
          <w:u w:val="single"/>
          <w:lang w:val="en-GB"/>
        </w:rPr>
        <w:t>Non-Communication</w:t>
      </w:r>
      <w:r w:rsidRPr="00D64AA1">
        <w:rPr>
          <w:rFonts w:asciiTheme="majorHAnsi" w:hAnsiTheme="majorHAnsi" w:cstheme="minorHAnsi"/>
          <w:b/>
          <w:bCs/>
          <w:sz w:val="24"/>
          <w:szCs w:val="24"/>
          <w:u w:val="single"/>
          <w:lang w:val="en-GB"/>
        </w:rPr>
        <w:t xml:space="preserve"> cases of smart meter</w:t>
      </w:r>
      <w:r w:rsidR="00D64AA1" w:rsidRPr="00D64AA1">
        <w:rPr>
          <w:rFonts w:asciiTheme="majorHAnsi" w:hAnsiTheme="majorHAnsi" w:cstheme="minorHAnsi"/>
          <w:b/>
          <w:bCs/>
          <w:sz w:val="24"/>
          <w:szCs w:val="24"/>
          <w:u w:val="single"/>
          <w:lang w:val="en-GB"/>
        </w:rPr>
        <w:t>:</w:t>
      </w:r>
      <w:r w:rsidR="00D64AA1" w:rsidRPr="00D64AA1">
        <w:rPr>
          <w:rFonts w:asciiTheme="majorHAnsi" w:hAnsiTheme="majorHAnsi" w:cstheme="minorHAnsi"/>
          <w:sz w:val="24"/>
          <w:szCs w:val="24"/>
          <w:lang w:val="en-GB"/>
        </w:rPr>
        <w:t xml:space="preserve"> While attending the Non-Communicating Smart Meters, polycarbonate seals will be installed on Meter and Meter Box. Accordingly, the following recurring cost shall also be incurred during FY 26-27.</w:t>
      </w:r>
    </w:p>
    <w:tbl>
      <w:tblPr>
        <w:tblW w:w="9072" w:type="dxa"/>
        <w:jc w:val="center"/>
        <w:tblLook w:val="04A0" w:firstRow="1" w:lastRow="0" w:firstColumn="1" w:lastColumn="0" w:noHBand="0" w:noVBand="1"/>
      </w:tblPr>
      <w:tblGrid>
        <w:gridCol w:w="2127"/>
        <w:gridCol w:w="6945"/>
      </w:tblGrid>
      <w:tr w:rsidR="00503006" w:rsidRPr="00503006" w14:paraId="3E0EAEEA" w14:textId="77777777" w:rsidTr="00503006">
        <w:trPr>
          <w:trHeight w:val="50"/>
          <w:tblHeader/>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11FAED20" w14:textId="77777777" w:rsidR="00503006" w:rsidRPr="00503006" w:rsidRDefault="00503006" w:rsidP="000F221E">
            <w:pPr>
              <w:spacing w:line="240" w:lineRule="atLeast"/>
              <w:jc w:val="both"/>
              <w:rPr>
                <w:rFonts w:asciiTheme="majorHAnsi" w:hAnsiTheme="majorHAnsi" w:cstheme="minorHAnsi"/>
                <w:b/>
                <w:bCs/>
                <w:sz w:val="22"/>
                <w:szCs w:val="22"/>
              </w:rPr>
            </w:pPr>
            <w:r w:rsidRPr="00503006">
              <w:rPr>
                <w:rFonts w:asciiTheme="majorHAnsi" w:hAnsiTheme="majorHAnsi" w:cstheme="minorHAnsi"/>
                <w:b/>
                <w:bCs/>
                <w:sz w:val="22"/>
                <w:szCs w:val="22"/>
              </w:rPr>
              <w:t>Activity</w:t>
            </w:r>
          </w:p>
        </w:tc>
        <w:tc>
          <w:tcPr>
            <w:tcW w:w="6945" w:type="dxa"/>
            <w:tcBorders>
              <w:top w:val="single" w:sz="4" w:space="0" w:color="auto"/>
              <w:left w:val="nil"/>
              <w:bottom w:val="single" w:sz="4" w:space="0" w:color="auto"/>
              <w:right w:val="single" w:sz="4" w:space="0" w:color="auto"/>
            </w:tcBorders>
            <w:vAlign w:val="center"/>
            <w:hideMark/>
          </w:tcPr>
          <w:p w14:paraId="6267AAC2" w14:textId="156AE831" w:rsidR="00503006" w:rsidRPr="00503006" w:rsidRDefault="00503006" w:rsidP="000F221E">
            <w:pPr>
              <w:jc w:val="both"/>
              <w:rPr>
                <w:rFonts w:asciiTheme="majorHAnsi" w:hAnsiTheme="majorHAnsi" w:cstheme="minorHAnsi"/>
                <w:b/>
                <w:bCs/>
                <w:sz w:val="22"/>
                <w:szCs w:val="22"/>
                <w:lang w:val="en-GB"/>
              </w:rPr>
            </w:pPr>
            <w:r w:rsidRPr="00503006">
              <w:rPr>
                <w:rFonts w:asciiTheme="majorHAnsi" w:hAnsiTheme="majorHAnsi" w:cstheme="minorHAnsi"/>
                <w:b/>
                <w:bCs/>
                <w:sz w:val="22"/>
                <w:szCs w:val="22"/>
                <w:lang w:val="en-GB"/>
              </w:rPr>
              <w:t xml:space="preserve">Replacement of </w:t>
            </w:r>
            <w:r w:rsidR="003C36DC" w:rsidRPr="00503006">
              <w:rPr>
                <w:rFonts w:asciiTheme="majorHAnsi" w:hAnsiTheme="majorHAnsi" w:cstheme="minorHAnsi"/>
                <w:b/>
                <w:bCs/>
                <w:sz w:val="22"/>
                <w:szCs w:val="22"/>
                <w:lang w:val="en-GB"/>
              </w:rPr>
              <w:t>Seals</w:t>
            </w:r>
            <w:r w:rsidRPr="00503006">
              <w:rPr>
                <w:rFonts w:asciiTheme="majorHAnsi" w:hAnsiTheme="majorHAnsi" w:cstheme="minorHAnsi"/>
                <w:b/>
                <w:bCs/>
                <w:sz w:val="22"/>
                <w:szCs w:val="22"/>
                <w:lang w:val="en-GB"/>
              </w:rPr>
              <w:t xml:space="preserve"> for attending Non Comm cases of smart meter</w:t>
            </w:r>
          </w:p>
        </w:tc>
      </w:tr>
      <w:tr w:rsidR="00503006" w:rsidRPr="00503006" w14:paraId="17CB6CCF" w14:textId="77777777" w:rsidTr="00503006">
        <w:trPr>
          <w:trHeight w:val="300"/>
          <w:tblHeader/>
          <w:jc w:val="center"/>
        </w:trPr>
        <w:tc>
          <w:tcPr>
            <w:tcW w:w="2127" w:type="dxa"/>
            <w:tcBorders>
              <w:top w:val="nil"/>
              <w:left w:val="single" w:sz="4" w:space="0" w:color="auto"/>
              <w:bottom w:val="single" w:sz="4" w:space="0" w:color="auto"/>
              <w:right w:val="single" w:sz="4" w:space="0" w:color="auto"/>
            </w:tcBorders>
            <w:vAlign w:val="center"/>
            <w:hideMark/>
          </w:tcPr>
          <w:p w14:paraId="54592A10" w14:textId="77777777" w:rsidR="00503006" w:rsidRPr="00503006" w:rsidRDefault="00503006" w:rsidP="000F221E">
            <w:pPr>
              <w:spacing w:line="240" w:lineRule="atLeast"/>
              <w:jc w:val="both"/>
              <w:rPr>
                <w:rFonts w:asciiTheme="majorHAnsi" w:hAnsiTheme="majorHAnsi" w:cstheme="minorHAnsi"/>
                <w:sz w:val="22"/>
                <w:szCs w:val="22"/>
              </w:rPr>
            </w:pPr>
            <w:r w:rsidRPr="00503006">
              <w:rPr>
                <w:rFonts w:asciiTheme="majorHAnsi" w:hAnsiTheme="majorHAnsi" w:cstheme="minorHAnsi"/>
                <w:sz w:val="22"/>
                <w:szCs w:val="22"/>
              </w:rPr>
              <w:t>Period</w:t>
            </w:r>
          </w:p>
        </w:tc>
        <w:tc>
          <w:tcPr>
            <w:tcW w:w="6945" w:type="dxa"/>
            <w:tcBorders>
              <w:top w:val="nil"/>
              <w:left w:val="nil"/>
              <w:bottom w:val="single" w:sz="4" w:space="0" w:color="auto"/>
              <w:right w:val="single" w:sz="4" w:space="0" w:color="auto"/>
            </w:tcBorders>
            <w:vAlign w:val="center"/>
            <w:hideMark/>
          </w:tcPr>
          <w:p w14:paraId="7BAF8698" w14:textId="77777777" w:rsidR="00503006" w:rsidRPr="00503006" w:rsidRDefault="00503006" w:rsidP="000F221E">
            <w:pPr>
              <w:spacing w:line="240" w:lineRule="atLeast"/>
              <w:jc w:val="both"/>
              <w:rPr>
                <w:rFonts w:asciiTheme="majorHAnsi" w:hAnsiTheme="majorHAnsi" w:cstheme="minorHAnsi"/>
                <w:sz w:val="22"/>
                <w:szCs w:val="22"/>
              </w:rPr>
            </w:pPr>
            <w:r w:rsidRPr="00503006">
              <w:rPr>
                <w:rFonts w:asciiTheme="majorHAnsi" w:hAnsiTheme="majorHAnsi" w:cstheme="minorHAnsi"/>
                <w:sz w:val="22"/>
                <w:szCs w:val="22"/>
              </w:rPr>
              <w:t>FY 2026-27</w:t>
            </w:r>
          </w:p>
        </w:tc>
      </w:tr>
      <w:tr w:rsidR="00503006" w:rsidRPr="00503006" w14:paraId="1D9EDF8B" w14:textId="77777777" w:rsidTr="00503006">
        <w:trPr>
          <w:trHeight w:val="300"/>
          <w:tblHeader/>
          <w:jc w:val="center"/>
        </w:trPr>
        <w:tc>
          <w:tcPr>
            <w:tcW w:w="2127" w:type="dxa"/>
            <w:tcBorders>
              <w:top w:val="nil"/>
              <w:left w:val="single" w:sz="4" w:space="0" w:color="auto"/>
              <w:bottom w:val="single" w:sz="4" w:space="0" w:color="auto"/>
              <w:right w:val="single" w:sz="4" w:space="0" w:color="auto"/>
            </w:tcBorders>
            <w:vAlign w:val="center"/>
            <w:hideMark/>
          </w:tcPr>
          <w:p w14:paraId="7219F0C7" w14:textId="77777777" w:rsidR="00503006" w:rsidRPr="00503006" w:rsidRDefault="00503006" w:rsidP="000F221E">
            <w:pPr>
              <w:spacing w:line="240" w:lineRule="atLeast"/>
              <w:jc w:val="both"/>
              <w:rPr>
                <w:rFonts w:asciiTheme="majorHAnsi" w:hAnsiTheme="majorHAnsi" w:cstheme="minorHAnsi"/>
                <w:sz w:val="22"/>
                <w:szCs w:val="22"/>
              </w:rPr>
            </w:pPr>
            <w:r w:rsidRPr="00503006">
              <w:rPr>
                <w:rFonts w:asciiTheme="majorHAnsi" w:hAnsiTheme="majorHAnsi" w:cstheme="minorHAnsi"/>
                <w:sz w:val="22"/>
                <w:szCs w:val="22"/>
              </w:rPr>
              <w:t xml:space="preserve">Qty. </w:t>
            </w:r>
          </w:p>
        </w:tc>
        <w:tc>
          <w:tcPr>
            <w:tcW w:w="6945" w:type="dxa"/>
            <w:tcBorders>
              <w:top w:val="nil"/>
              <w:left w:val="nil"/>
              <w:bottom w:val="single" w:sz="4" w:space="0" w:color="auto"/>
              <w:right w:val="single" w:sz="4" w:space="0" w:color="auto"/>
            </w:tcBorders>
            <w:vAlign w:val="center"/>
            <w:hideMark/>
          </w:tcPr>
          <w:p w14:paraId="6836E93E" w14:textId="77777777" w:rsidR="00503006" w:rsidRPr="00503006" w:rsidRDefault="00503006" w:rsidP="000F221E">
            <w:pPr>
              <w:spacing w:line="240" w:lineRule="atLeast"/>
              <w:jc w:val="both"/>
              <w:rPr>
                <w:rFonts w:asciiTheme="majorHAnsi" w:hAnsiTheme="majorHAnsi" w:cstheme="minorHAnsi"/>
                <w:sz w:val="22"/>
                <w:szCs w:val="22"/>
              </w:rPr>
            </w:pPr>
            <w:r w:rsidRPr="00503006">
              <w:rPr>
                <w:rFonts w:asciiTheme="majorHAnsi" w:hAnsiTheme="majorHAnsi" w:cstheme="minorHAnsi"/>
                <w:sz w:val="22"/>
                <w:szCs w:val="22"/>
              </w:rPr>
              <w:t>270000</w:t>
            </w:r>
          </w:p>
        </w:tc>
      </w:tr>
      <w:tr w:rsidR="00503006" w:rsidRPr="00503006" w14:paraId="1B7B8E83" w14:textId="77777777" w:rsidTr="00503006">
        <w:trPr>
          <w:trHeight w:val="300"/>
          <w:tblHeader/>
          <w:jc w:val="center"/>
        </w:trPr>
        <w:tc>
          <w:tcPr>
            <w:tcW w:w="2127" w:type="dxa"/>
            <w:tcBorders>
              <w:top w:val="nil"/>
              <w:left w:val="single" w:sz="4" w:space="0" w:color="auto"/>
              <w:bottom w:val="single" w:sz="4" w:space="0" w:color="auto"/>
              <w:right w:val="single" w:sz="4" w:space="0" w:color="auto"/>
            </w:tcBorders>
            <w:vAlign w:val="center"/>
            <w:hideMark/>
          </w:tcPr>
          <w:p w14:paraId="72F2A02C" w14:textId="77777777" w:rsidR="00503006" w:rsidRPr="00503006" w:rsidRDefault="00503006" w:rsidP="000F221E">
            <w:pPr>
              <w:spacing w:line="240" w:lineRule="atLeast"/>
              <w:jc w:val="both"/>
              <w:rPr>
                <w:rFonts w:asciiTheme="majorHAnsi" w:hAnsiTheme="majorHAnsi" w:cstheme="minorHAnsi"/>
                <w:sz w:val="22"/>
                <w:szCs w:val="22"/>
              </w:rPr>
            </w:pPr>
            <w:r w:rsidRPr="00503006">
              <w:rPr>
                <w:rFonts w:asciiTheme="majorHAnsi" w:hAnsiTheme="majorHAnsi" w:cstheme="minorHAnsi"/>
                <w:sz w:val="22"/>
                <w:szCs w:val="22"/>
              </w:rPr>
              <w:t>Per unit Price in Rs.</w:t>
            </w:r>
          </w:p>
        </w:tc>
        <w:tc>
          <w:tcPr>
            <w:tcW w:w="6945" w:type="dxa"/>
            <w:tcBorders>
              <w:top w:val="nil"/>
              <w:left w:val="nil"/>
              <w:bottom w:val="single" w:sz="4" w:space="0" w:color="auto"/>
              <w:right w:val="single" w:sz="4" w:space="0" w:color="auto"/>
            </w:tcBorders>
            <w:vAlign w:val="center"/>
            <w:hideMark/>
          </w:tcPr>
          <w:p w14:paraId="60F7BF87" w14:textId="77777777" w:rsidR="00503006" w:rsidRPr="00503006" w:rsidRDefault="00503006" w:rsidP="000F221E">
            <w:pPr>
              <w:spacing w:line="240" w:lineRule="atLeast"/>
              <w:jc w:val="both"/>
              <w:rPr>
                <w:rFonts w:asciiTheme="majorHAnsi" w:hAnsiTheme="majorHAnsi" w:cstheme="minorHAnsi"/>
                <w:sz w:val="22"/>
                <w:szCs w:val="22"/>
              </w:rPr>
            </w:pPr>
            <w:r w:rsidRPr="00503006">
              <w:rPr>
                <w:rFonts w:asciiTheme="majorHAnsi" w:hAnsiTheme="majorHAnsi" w:cstheme="minorHAnsi"/>
                <w:sz w:val="22"/>
                <w:szCs w:val="22"/>
              </w:rPr>
              <w:t>4</w:t>
            </w:r>
          </w:p>
        </w:tc>
      </w:tr>
      <w:tr w:rsidR="00503006" w:rsidRPr="00503006" w14:paraId="208BC054" w14:textId="77777777" w:rsidTr="00503006">
        <w:trPr>
          <w:trHeight w:val="300"/>
          <w:tblHeader/>
          <w:jc w:val="center"/>
        </w:trPr>
        <w:tc>
          <w:tcPr>
            <w:tcW w:w="2127" w:type="dxa"/>
            <w:tcBorders>
              <w:top w:val="nil"/>
              <w:left w:val="single" w:sz="4" w:space="0" w:color="auto"/>
              <w:bottom w:val="single" w:sz="4" w:space="0" w:color="auto"/>
              <w:right w:val="single" w:sz="4" w:space="0" w:color="auto"/>
            </w:tcBorders>
            <w:vAlign w:val="center"/>
            <w:hideMark/>
          </w:tcPr>
          <w:p w14:paraId="6E1703B7" w14:textId="77777777" w:rsidR="00503006" w:rsidRPr="00503006" w:rsidRDefault="00503006" w:rsidP="000F221E">
            <w:pPr>
              <w:spacing w:line="240" w:lineRule="atLeast"/>
              <w:jc w:val="both"/>
              <w:rPr>
                <w:rFonts w:asciiTheme="majorHAnsi" w:hAnsiTheme="majorHAnsi" w:cstheme="minorHAnsi"/>
                <w:b/>
                <w:bCs/>
                <w:sz w:val="22"/>
                <w:szCs w:val="22"/>
              </w:rPr>
            </w:pPr>
            <w:r w:rsidRPr="00503006">
              <w:rPr>
                <w:rFonts w:asciiTheme="majorHAnsi" w:hAnsiTheme="majorHAnsi" w:cstheme="minorHAnsi"/>
                <w:b/>
                <w:bCs/>
                <w:sz w:val="22"/>
                <w:szCs w:val="22"/>
              </w:rPr>
              <w:t xml:space="preserve">Total Rs. In Cr. </w:t>
            </w:r>
          </w:p>
        </w:tc>
        <w:tc>
          <w:tcPr>
            <w:tcW w:w="6945" w:type="dxa"/>
            <w:tcBorders>
              <w:top w:val="nil"/>
              <w:left w:val="nil"/>
              <w:bottom w:val="single" w:sz="4" w:space="0" w:color="auto"/>
              <w:right w:val="single" w:sz="4" w:space="0" w:color="auto"/>
            </w:tcBorders>
            <w:vAlign w:val="center"/>
            <w:hideMark/>
          </w:tcPr>
          <w:p w14:paraId="03F6724E" w14:textId="77777777" w:rsidR="00503006" w:rsidRPr="00503006" w:rsidRDefault="00503006" w:rsidP="000F221E">
            <w:pPr>
              <w:spacing w:line="240" w:lineRule="atLeast"/>
              <w:jc w:val="both"/>
              <w:rPr>
                <w:rFonts w:asciiTheme="majorHAnsi" w:hAnsiTheme="majorHAnsi" w:cstheme="minorHAnsi"/>
                <w:b/>
                <w:bCs/>
                <w:sz w:val="22"/>
                <w:szCs w:val="22"/>
              </w:rPr>
            </w:pPr>
            <w:r w:rsidRPr="00503006">
              <w:rPr>
                <w:rFonts w:asciiTheme="majorHAnsi" w:hAnsiTheme="majorHAnsi" w:cstheme="minorHAnsi"/>
                <w:b/>
                <w:bCs/>
                <w:sz w:val="22"/>
                <w:szCs w:val="22"/>
              </w:rPr>
              <w:t>0.11</w:t>
            </w:r>
          </w:p>
        </w:tc>
      </w:tr>
    </w:tbl>
    <w:p w14:paraId="4C1A55A9" w14:textId="77777777" w:rsidR="00503006" w:rsidRDefault="00503006" w:rsidP="00503006">
      <w:pPr>
        <w:pStyle w:val="ListParagraph"/>
        <w:spacing w:line="360" w:lineRule="auto"/>
        <w:ind w:left="709"/>
        <w:jc w:val="both"/>
        <w:rPr>
          <w:rFonts w:asciiTheme="majorHAnsi" w:hAnsiTheme="majorHAnsi" w:cstheme="minorHAnsi"/>
          <w:b/>
          <w:bCs/>
          <w:sz w:val="24"/>
          <w:szCs w:val="24"/>
          <w:u w:val="single"/>
          <w:lang w:val="en-GB"/>
        </w:rPr>
      </w:pPr>
    </w:p>
    <w:p w14:paraId="7481D50F" w14:textId="48DFE37D" w:rsidR="000127DA" w:rsidRPr="00775CF7" w:rsidRDefault="000127DA" w:rsidP="001972DE">
      <w:pPr>
        <w:pStyle w:val="ListParagraph"/>
        <w:numPr>
          <w:ilvl w:val="0"/>
          <w:numId w:val="13"/>
        </w:numPr>
        <w:spacing w:line="360" w:lineRule="auto"/>
        <w:ind w:left="709"/>
        <w:jc w:val="both"/>
        <w:rPr>
          <w:rFonts w:asciiTheme="majorHAnsi" w:hAnsiTheme="majorHAnsi" w:cstheme="minorHAnsi"/>
          <w:b/>
          <w:bCs/>
          <w:sz w:val="24"/>
          <w:szCs w:val="24"/>
          <w:u w:val="single"/>
          <w:lang w:val="en-GB"/>
        </w:rPr>
      </w:pPr>
      <w:r w:rsidRPr="000127DA">
        <w:rPr>
          <w:rFonts w:asciiTheme="majorHAnsi" w:hAnsiTheme="majorHAnsi" w:cstheme="minorHAnsi"/>
          <w:b/>
          <w:bCs/>
          <w:sz w:val="24"/>
          <w:szCs w:val="24"/>
          <w:u w:val="single"/>
          <w:lang w:val="en-GB"/>
        </w:rPr>
        <w:t>Manpower Services Cost for Shifting of Old Meters installed Inside/At Height</w:t>
      </w:r>
      <w:r>
        <w:rPr>
          <w:rFonts w:asciiTheme="majorHAnsi" w:hAnsiTheme="majorHAnsi" w:cstheme="minorHAnsi"/>
          <w:b/>
          <w:bCs/>
          <w:sz w:val="24"/>
          <w:szCs w:val="24"/>
          <w:u w:val="single"/>
          <w:lang w:val="en-GB"/>
        </w:rPr>
        <w:t xml:space="preserve">: </w:t>
      </w:r>
      <w:r w:rsidR="00775CF7" w:rsidRPr="00775CF7">
        <w:rPr>
          <w:rFonts w:asciiTheme="majorHAnsi" w:hAnsiTheme="majorHAnsi" w:cstheme="minorHAnsi"/>
          <w:sz w:val="24"/>
          <w:szCs w:val="24"/>
          <w:lang w:val="en-GB"/>
        </w:rPr>
        <w:t>Around 2.60 Lakhs consumers have meters installed either inside their premise or at height due to which Meters readers are unable to take the Meter readings properly. These meters need to be shifted outside the consumer premises and installed at suitable height for proper meter reading. Accordingly, the following recurring cost shall also be incurred in this activity during FY 26-27.</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2"/>
        <w:gridCol w:w="3118"/>
      </w:tblGrid>
      <w:tr w:rsidR="00F64B4C" w:rsidRPr="00F64B4C" w14:paraId="02B961F5" w14:textId="77777777" w:rsidTr="00F64B4C">
        <w:trPr>
          <w:trHeight w:hRule="exact" w:val="280"/>
          <w:jc w:val="center"/>
        </w:trPr>
        <w:tc>
          <w:tcPr>
            <w:tcW w:w="2122" w:type="dxa"/>
            <w:tcMar>
              <w:top w:w="0" w:type="dxa"/>
              <w:left w:w="108" w:type="dxa"/>
              <w:bottom w:w="0" w:type="dxa"/>
              <w:right w:w="108" w:type="dxa"/>
            </w:tcMar>
            <w:vAlign w:val="center"/>
            <w:hideMark/>
          </w:tcPr>
          <w:p w14:paraId="37F484E9" w14:textId="77777777" w:rsidR="00F64B4C" w:rsidRPr="00F64B4C" w:rsidRDefault="00F64B4C" w:rsidP="000F221E">
            <w:pPr>
              <w:rPr>
                <w:rFonts w:asciiTheme="majorHAnsi" w:hAnsiTheme="majorHAnsi" w:cstheme="minorHAnsi"/>
                <w:b/>
                <w:bCs/>
                <w:sz w:val="22"/>
                <w:szCs w:val="22"/>
              </w:rPr>
            </w:pPr>
            <w:r w:rsidRPr="00F64B4C">
              <w:rPr>
                <w:rFonts w:asciiTheme="majorHAnsi" w:hAnsiTheme="majorHAnsi" w:cstheme="minorHAnsi"/>
                <w:b/>
                <w:bCs/>
                <w:sz w:val="22"/>
                <w:szCs w:val="22"/>
              </w:rPr>
              <w:t>Activity</w:t>
            </w:r>
          </w:p>
        </w:tc>
        <w:tc>
          <w:tcPr>
            <w:tcW w:w="3118" w:type="dxa"/>
            <w:tcMar>
              <w:top w:w="0" w:type="dxa"/>
              <w:left w:w="108" w:type="dxa"/>
              <w:bottom w:w="0" w:type="dxa"/>
              <w:right w:w="108" w:type="dxa"/>
            </w:tcMar>
            <w:vAlign w:val="center"/>
            <w:hideMark/>
          </w:tcPr>
          <w:p w14:paraId="3A9BB69C" w14:textId="19C0D7E4" w:rsidR="00F64B4C" w:rsidRPr="00F64B4C" w:rsidRDefault="00292D6F" w:rsidP="000F221E">
            <w:pPr>
              <w:rPr>
                <w:rFonts w:asciiTheme="majorHAnsi" w:hAnsiTheme="majorHAnsi" w:cstheme="minorHAnsi"/>
                <w:b/>
                <w:bCs/>
                <w:sz w:val="22"/>
                <w:szCs w:val="22"/>
              </w:rPr>
            </w:pPr>
            <w:r>
              <w:rPr>
                <w:rFonts w:asciiTheme="majorHAnsi" w:hAnsiTheme="majorHAnsi" w:cstheme="minorHAnsi"/>
                <w:b/>
                <w:bCs/>
                <w:sz w:val="22"/>
                <w:szCs w:val="22"/>
              </w:rPr>
              <w:t>Shifting of Meters</w:t>
            </w:r>
          </w:p>
        </w:tc>
      </w:tr>
      <w:tr w:rsidR="00F64B4C" w:rsidRPr="00F64B4C" w14:paraId="687ADEB5" w14:textId="77777777" w:rsidTr="00F64B4C">
        <w:trPr>
          <w:trHeight w:hRule="exact" w:val="318"/>
          <w:jc w:val="center"/>
        </w:trPr>
        <w:tc>
          <w:tcPr>
            <w:tcW w:w="2122" w:type="dxa"/>
            <w:tcMar>
              <w:top w:w="0" w:type="dxa"/>
              <w:left w:w="108" w:type="dxa"/>
              <w:bottom w:w="0" w:type="dxa"/>
              <w:right w:w="108" w:type="dxa"/>
            </w:tcMar>
            <w:vAlign w:val="center"/>
            <w:hideMark/>
          </w:tcPr>
          <w:p w14:paraId="1CEF9AF8" w14:textId="77777777" w:rsidR="00F64B4C" w:rsidRPr="00F64B4C" w:rsidRDefault="00F64B4C" w:rsidP="000F221E">
            <w:pPr>
              <w:rPr>
                <w:rFonts w:asciiTheme="majorHAnsi" w:hAnsiTheme="majorHAnsi" w:cstheme="minorHAnsi"/>
                <w:sz w:val="22"/>
                <w:szCs w:val="22"/>
              </w:rPr>
            </w:pPr>
            <w:r w:rsidRPr="00F64B4C">
              <w:rPr>
                <w:rFonts w:asciiTheme="majorHAnsi" w:hAnsiTheme="majorHAnsi" w:cstheme="minorHAnsi"/>
                <w:sz w:val="22"/>
                <w:szCs w:val="22"/>
              </w:rPr>
              <w:t>Period</w:t>
            </w:r>
          </w:p>
        </w:tc>
        <w:tc>
          <w:tcPr>
            <w:tcW w:w="3118" w:type="dxa"/>
            <w:tcMar>
              <w:top w:w="0" w:type="dxa"/>
              <w:left w:w="108" w:type="dxa"/>
              <w:bottom w:w="0" w:type="dxa"/>
              <w:right w:w="108" w:type="dxa"/>
            </w:tcMar>
            <w:vAlign w:val="center"/>
            <w:hideMark/>
          </w:tcPr>
          <w:p w14:paraId="2F18E0F5" w14:textId="77777777" w:rsidR="00F64B4C" w:rsidRPr="00F64B4C" w:rsidRDefault="00F64B4C" w:rsidP="000F221E">
            <w:pPr>
              <w:rPr>
                <w:rFonts w:asciiTheme="majorHAnsi" w:hAnsiTheme="majorHAnsi" w:cstheme="minorHAnsi"/>
                <w:b/>
                <w:bCs/>
                <w:sz w:val="22"/>
                <w:szCs w:val="22"/>
              </w:rPr>
            </w:pPr>
            <w:r w:rsidRPr="00F64B4C">
              <w:rPr>
                <w:rFonts w:asciiTheme="majorHAnsi" w:hAnsiTheme="majorHAnsi" w:cstheme="minorHAnsi"/>
                <w:b/>
                <w:bCs/>
                <w:sz w:val="22"/>
                <w:szCs w:val="22"/>
              </w:rPr>
              <w:t>FY 2026-27</w:t>
            </w:r>
          </w:p>
        </w:tc>
      </w:tr>
      <w:tr w:rsidR="00F64B4C" w:rsidRPr="00F64B4C" w14:paraId="668E3FBE" w14:textId="77777777" w:rsidTr="00F64B4C">
        <w:trPr>
          <w:trHeight w:hRule="exact" w:val="318"/>
          <w:jc w:val="center"/>
        </w:trPr>
        <w:tc>
          <w:tcPr>
            <w:tcW w:w="2122" w:type="dxa"/>
            <w:tcMar>
              <w:top w:w="0" w:type="dxa"/>
              <w:left w:w="108" w:type="dxa"/>
              <w:bottom w:w="0" w:type="dxa"/>
              <w:right w:w="108" w:type="dxa"/>
            </w:tcMar>
            <w:vAlign w:val="center"/>
            <w:hideMark/>
          </w:tcPr>
          <w:p w14:paraId="4CBEBF70" w14:textId="77777777" w:rsidR="00F64B4C" w:rsidRPr="00F64B4C" w:rsidRDefault="00F64B4C" w:rsidP="000F221E">
            <w:pPr>
              <w:rPr>
                <w:rFonts w:asciiTheme="majorHAnsi" w:hAnsiTheme="majorHAnsi" w:cstheme="minorHAnsi"/>
                <w:sz w:val="22"/>
                <w:szCs w:val="22"/>
              </w:rPr>
            </w:pPr>
            <w:r w:rsidRPr="00F64B4C">
              <w:rPr>
                <w:rFonts w:asciiTheme="majorHAnsi" w:hAnsiTheme="majorHAnsi" w:cstheme="minorHAnsi"/>
                <w:sz w:val="22"/>
                <w:szCs w:val="22"/>
              </w:rPr>
              <w:t>Qty.</w:t>
            </w:r>
          </w:p>
        </w:tc>
        <w:tc>
          <w:tcPr>
            <w:tcW w:w="3118" w:type="dxa"/>
            <w:tcMar>
              <w:top w:w="0" w:type="dxa"/>
              <w:left w:w="108" w:type="dxa"/>
              <w:bottom w:w="0" w:type="dxa"/>
              <w:right w:w="108" w:type="dxa"/>
            </w:tcMar>
            <w:vAlign w:val="center"/>
            <w:hideMark/>
          </w:tcPr>
          <w:p w14:paraId="4CC304ED" w14:textId="77777777" w:rsidR="00F64B4C" w:rsidRPr="00F64B4C" w:rsidRDefault="00F64B4C" w:rsidP="000F221E">
            <w:pPr>
              <w:rPr>
                <w:rFonts w:asciiTheme="majorHAnsi" w:hAnsiTheme="majorHAnsi" w:cstheme="minorHAnsi"/>
                <w:sz w:val="22"/>
                <w:szCs w:val="22"/>
              </w:rPr>
            </w:pPr>
            <w:r w:rsidRPr="00F64B4C">
              <w:rPr>
                <w:rFonts w:asciiTheme="majorHAnsi" w:hAnsiTheme="majorHAnsi" w:cstheme="minorHAnsi"/>
                <w:sz w:val="22"/>
                <w:szCs w:val="22"/>
              </w:rPr>
              <w:t>260000</w:t>
            </w:r>
          </w:p>
          <w:p w14:paraId="70A0DEBF" w14:textId="77777777" w:rsidR="00F64B4C" w:rsidRPr="00F64B4C" w:rsidRDefault="00F64B4C" w:rsidP="000F221E">
            <w:pPr>
              <w:rPr>
                <w:rFonts w:asciiTheme="majorHAnsi" w:hAnsiTheme="majorHAnsi" w:cstheme="minorHAnsi"/>
                <w:sz w:val="22"/>
                <w:szCs w:val="22"/>
              </w:rPr>
            </w:pPr>
          </w:p>
        </w:tc>
      </w:tr>
      <w:tr w:rsidR="00F64B4C" w:rsidRPr="00F64B4C" w14:paraId="59CD899F" w14:textId="77777777" w:rsidTr="00F64B4C">
        <w:trPr>
          <w:trHeight w:hRule="exact" w:val="318"/>
          <w:jc w:val="center"/>
        </w:trPr>
        <w:tc>
          <w:tcPr>
            <w:tcW w:w="2122" w:type="dxa"/>
            <w:tcMar>
              <w:top w:w="0" w:type="dxa"/>
              <w:left w:w="108" w:type="dxa"/>
              <w:bottom w:w="0" w:type="dxa"/>
              <w:right w:w="108" w:type="dxa"/>
            </w:tcMar>
            <w:vAlign w:val="center"/>
            <w:hideMark/>
          </w:tcPr>
          <w:p w14:paraId="7A304DB0" w14:textId="77777777" w:rsidR="00F64B4C" w:rsidRPr="00F64B4C" w:rsidRDefault="00F64B4C" w:rsidP="000F221E">
            <w:pPr>
              <w:rPr>
                <w:rFonts w:asciiTheme="majorHAnsi" w:hAnsiTheme="majorHAnsi" w:cstheme="minorHAnsi"/>
                <w:sz w:val="22"/>
                <w:szCs w:val="22"/>
              </w:rPr>
            </w:pPr>
            <w:r w:rsidRPr="00F64B4C">
              <w:rPr>
                <w:rFonts w:asciiTheme="majorHAnsi" w:hAnsiTheme="majorHAnsi" w:cstheme="minorHAnsi"/>
                <w:sz w:val="22"/>
                <w:szCs w:val="22"/>
              </w:rPr>
              <w:t>Per unit Price in Rs.</w:t>
            </w:r>
          </w:p>
        </w:tc>
        <w:tc>
          <w:tcPr>
            <w:tcW w:w="3118" w:type="dxa"/>
            <w:tcMar>
              <w:top w:w="0" w:type="dxa"/>
              <w:left w:w="108" w:type="dxa"/>
              <w:bottom w:w="0" w:type="dxa"/>
              <w:right w:w="108" w:type="dxa"/>
            </w:tcMar>
            <w:vAlign w:val="center"/>
            <w:hideMark/>
          </w:tcPr>
          <w:p w14:paraId="2A2147D5" w14:textId="77777777" w:rsidR="00F64B4C" w:rsidRPr="00F64B4C" w:rsidRDefault="00F64B4C" w:rsidP="000F221E">
            <w:pPr>
              <w:rPr>
                <w:rFonts w:asciiTheme="majorHAnsi" w:hAnsiTheme="majorHAnsi" w:cstheme="minorHAnsi"/>
                <w:sz w:val="22"/>
                <w:szCs w:val="22"/>
              </w:rPr>
            </w:pPr>
            <w:r w:rsidRPr="00F64B4C">
              <w:rPr>
                <w:rFonts w:asciiTheme="majorHAnsi" w:hAnsiTheme="majorHAnsi" w:cstheme="minorHAnsi"/>
                <w:sz w:val="22"/>
                <w:szCs w:val="22"/>
              </w:rPr>
              <w:t>Rs. 519/-</w:t>
            </w:r>
          </w:p>
        </w:tc>
      </w:tr>
      <w:tr w:rsidR="00F64B4C" w:rsidRPr="00F64B4C" w14:paraId="0BC93ADB" w14:textId="77777777" w:rsidTr="00F64B4C">
        <w:trPr>
          <w:trHeight w:hRule="exact" w:val="318"/>
          <w:jc w:val="center"/>
        </w:trPr>
        <w:tc>
          <w:tcPr>
            <w:tcW w:w="2122" w:type="dxa"/>
            <w:tcMar>
              <w:top w:w="0" w:type="dxa"/>
              <w:left w:w="108" w:type="dxa"/>
              <w:bottom w:w="0" w:type="dxa"/>
              <w:right w:w="108" w:type="dxa"/>
            </w:tcMar>
            <w:vAlign w:val="center"/>
            <w:hideMark/>
          </w:tcPr>
          <w:p w14:paraId="3D259166" w14:textId="77777777" w:rsidR="00F64B4C" w:rsidRPr="00F64B4C" w:rsidRDefault="00F64B4C" w:rsidP="000F221E">
            <w:pPr>
              <w:rPr>
                <w:rFonts w:asciiTheme="majorHAnsi" w:hAnsiTheme="majorHAnsi" w:cstheme="minorHAnsi"/>
                <w:b/>
                <w:bCs/>
                <w:sz w:val="22"/>
                <w:szCs w:val="22"/>
              </w:rPr>
            </w:pPr>
            <w:r w:rsidRPr="00F64B4C">
              <w:rPr>
                <w:rFonts w:asciiTheme="majorHAnsi" w:hAnsiTheme="majorHAnsi" w:cstheme="minorHAnsi"/>
                <w:b/>
                <w:bCs/>
                <w:sz w:val="22"/>
                <w:szCs w:val="22"/>
              </w:rPr>
              <w:t>Total Rs. In Cr.</w:t>
            </w:r>
          </w:p>
        </w:tc>
        <w:tc>
          <w:tcPr>
            <w:tcW w:w="3118" w:type="dxa"/>
            <w:tcMar>
              <w:top w:w="0" w:type="dxa"/>
              <w:left w:w="108" w:type="dxa"/>
              <w:bottom w:w="0" w:type="dxa"/>
              <w:right w:w="108" w:type="dxa"/>
            </w:tcMar>
            <w:vAlign w:val="center"/>
            <w:hideMark/>
          </w:tcPr>
          <w:p w14:paraId="6547BA76" w14:textId="77777777" w:rsidR="00F64B4C" w:rsidRPr="00F64B4C" w:rsidRDefault="00F64B4C" w:rsidP="000F221E">
            <w:pPr>
              <w:rPr>
                <w:rFonts w:asciiTheme="majorHAnsi" w:hAnsiTheme="majorHAnsi" w:cstheme="minorHAnsi"/>
                <w:b/>
                <w:bCs/>
                <w:sz w:val="22"/>
                <w:szCs w:val="22"/>
              </w:rPr>
            </w:pPr>
            <w:r w:rsidRPr="00F64B4C">
              <w:rPr>
                <w:rFonts w:asciiTheme="majorHAnsi" w:hAnsiTheme="majorHAnsi" w:cstheme="minorHAnsi"/>
                <w:b/>
                <w:bCs/>
                <w:sz w:val="22"/>
                <w:szCs w:val="22"/>
              </w:rPr>
              <w:t>13.50</w:t>
            </w:r>
          </w:p>
        </w:tc>
      </w:tr>
    </w:tbl>
    <w:p w14:paraId="71B5372F" w14:textId="77777777" w:rsidR="00775CF7" w:rsidRPr="00D64AA1" w:rsidRDefault="00775CF7" w:rsidP="00775CF7">
      <w:pPr>
        <w:pStyle w:val="ListParagraph"/>
        <w:spacing w:line="360" w:lineRule="auto"/>
        <w:ind w:left="709"/>
        <w:jc w:val="both"/>
        <w:rPr>
          <w:rFonts w:asciiTheme="majorHAnsi" w:hAnsiTheme="majorHAnsi" w:cstheme="minorHAnsi"/>
          <w:b/>
          <w:bCs/>
          <w:sz w:val="24"/>
          <w:szCs w:val="24"/>
          <w:u w:val="single"/>
          <w:lang w:val="en-GB"/>
        </w:rPr>
      </w:pPr>
    </w:p>
    <w:p w14:paraId="1E056A04" w14:textId="5A7E6858" w:rsidR="00066131" w:rsidRDefault="00032FA8" w:rsidP="001972DE">
      <w:pPr>
        <w:pStyle w:val="ListParagraph"/>
        <w:numPr>
          <w:ilvl w:val="0"/>
          <w:numId w:val="13"/>
        </w:numPr>
        <w:spacing w:line="360" w:lineRule="auto"/>
        <w:ind w:left="709"/>
        <w:jc w:val="both"/>
        <w:rPr>
          <w:rFonts w:asciiTheme="majorHAnsi" w:hAnsiTheme="majorHAnsi" w:cstheme="minorHAnsi"/>
          <w:b/>
          <w:bCs/>
          <w:sz w:val="24"/>
          <w:szCs w:val="24"/>
          <w:u w:val="single"/>
          <w:lang w:val="en-GB"/>
        </w:rPr>
      </w:pPr>
      <w:r w:rsidRPr="00032FA8">
        <w:rPr>
          <w:rFonts w:asciiTheme="majorHAnsi" w:hAnsiTheme="majorHAnsi" w:cstheme="minorHAnsi"/>
          <w:b/>
          <w:bCs/>
          <w:sz w:val="24"/>
          <w:szCs w:val="24"/>
          <w:u w:val="single"/>
          <w:lang w:val="en-GB"/>
        </w:rPr>
        <w:t>Meter Testing Lab</w:t>
      </w:r>
      <w:r>
        <w:rPr>
          <w:rFonts w:asciiTheme="majorHAnsi" w:hAnsiTheme="majorHAnsi" w:cstheme="minorHAnsi"/>
          <w:b/>
          <w:bCs/>
          <w:sz w:val="24"/>
          <w:szCs w:val="24"/>
          <w:u w:val="single"/>
          <w:lang w:val="en-GB"/>
        </w:rPr>
        <w:t xml:space="preserve">: </w:t>
      </w:r>
    </w:p>
    <w:p w14:paraId="5D35984A" w14:textId="724B3F44" w:rsidR="00027F54" w:rsidRDefault="00027F54" w:rsidP="00027F54">
      <w:pPr>
        <w:spacing w:line="360" w:lineRule="auto"/>
        <w:jc w:val="both"/>
        <w:rPr>
          <w:rFonts w:asciiTheme="majorHAnsi" w:hAnsiTheme="majorHAnsi" w:cstheme="minorHAnsi"/>
          <w:lang w:val="en-GB"/>
        </w:rPr>
      </w:pPr>
      <w:r w:rsidRPr="00027F54">
        <w:rPr>
          <w:rFonts w:asciiTheme="majorHAnsi" w:hAnsiTheme="majorHAnsi" w:cstheme="minorHAnsi"/>
          <w:lang w:val="en-GB"/>
        </w:rPr>
        <w:t>TPWODL has established three numbers of Meter Testing Lab in FY23. These are at Burla, Rajga</w:t>
      </w:r>
      <w:r w:rsidR="00C534D8">
        <w:rPr>
          <w:rFonts w:asciiTheme="majorHAnsi" w:hAnsiTheme="majorHAnsi" w:cstheme="minorHAnsi"/>
          <w:lang w:val="en-GB"/>
        </w:rPr>
        <w:t>n</w:t>
      </w:r>
      <w:r w:rsidRPr="00027F54">
        <w:rPr>
          <w:rFonts w:asciiTheme="majorHAnsi" w:hAnsiTheme="majorHAnsi" w:cstheme="minorHAnsi"/>
          <w:lang w:val="en-GB"/>
        </w:rPr>
        <w:t>gpur &amp; B</w:t>
      </w:r>
      <w:r w:rsidR="00C534D8">
        <w:rPr>
          <w:rFonts w:asciiTheme="majorHAnsi" w:hAnsiTheme="majorHAnsi" w:cstheme="minorHAnsi"/>
          <w:lang w:val="en-GB"/>
        </w:rPr>
        <w:t>o</w:t>
      </w:r>
      <w:r w:rsidRPr="00027F54">
        <w:rPr>
          <w:rFonts w:asciiTheme="majorHAnsi" w:hAnsiTheme="majorHAnsi" w:cstheme="minorHAnsi"/>
          <w:lang w:val="en-GB"/>
        </w:rPr>
        <w:t xml:space="preserve">langir locations. All three labs are fully equipped to test all type of Energy Meters, CT &amp; PT. All three labs awarded Accreditation by NABL for Meter testing. </w:t>
      </w:r>
      <w:r>
        <w:rPr>
          <w:rFonts w:asciiTheme="majorHAnsi" w:hAnsiTheme="majorHAnsi" w:cstheme="minorHAnsi"/>
          <w:lang w:val="en-GB"/>
        </w:rPr>
        <w:t xml:space="preserve"> </w:t>
      </w:r>
      <w:r w:rsidRPr="00027F54">
        <w:rPr>
          <w:rFonts w:asciiTheme="majorHAnsi" w:hAnsiTheme="majorHAnsi" w:cstheme="minorHAnsi"/>
          <w:lang w:val="en-GB"/>
        </w:rPr>
        <w:t>Till Oct 2025 month in C</w:t>
      </w:r>
      <w:r w:rsidR="00BF5178">
        <w:rPr>
          <w:rFonts w:asciiTheme="majorHAnsi" w:hAnsiTheme="majorHAnsi" w:cstheme="minorHAnsi"/>
          <w:lang w:val="en-GB"/>
        </w:rPr>
        <w:t xml:space="preserve">urrent </w:t>
      </w:r>
      <w:r w:rsidRPr="00027F54">
        <w:rPr>
          <w:rFonts w:asciiTheme="majorHAnsi" w:hAnsiTheme="majorHAnsi" w:cstheme="minorHAnsi"/>
          <w:lang w:val="en-GB"/>
        </w:rPr>
        <w:t>FY, all three Labs have cumulative tested approx. 80</w:t>
      </w:r>
      <w:r w:rsidR="00711CF6">
        <w:rPr>
          <w:rFonts w:asciiTheme="majorHAnsi" w:hAnsiTheme="majorHAnsi" w:cstheme="minorHAnsi"/>
          <w:lang w:val="en-GB"/>
        </w:rPr>
        <w:t xml:space="preserve"> </w:t>
      </w:r>
      <w:r w:rsidR="001B2198">
        <w:rPr>
          <w:rFonts w:asciiTheme="majorHAnsi" w:hAnsiTheme="majorHAnsi" w:cstheme="minorHAnsi"/>
          <w:lang w:val="en-GB"/>
        </w:rPr>
        <w:t>thousand</w:t>
      </w:r>
      <w:r w:rsidRPr="00027F54">
        <w:rPr>
          <w:rFonts w:asciiTheme="majorHAnsi" w:hAnsiTheme="majorHAnsi" w:cstheme="minorHAnsi"/>
          <w:lang w:val="en-GB"/>
        </w:rPr>
        <w:t xml:space="preserve"> Meters, including consumer complaint Meters etc. 1000 Nos of CTs &amp; 200 Nos of </w:t>
      </w:r>
      <w:proofErr w:type="spellStart"/>
      <w:r w:rsidRPr="00027F54">
        <w:rPr>
          <w:rFonts w:asciiTheme="majorHAnsi" w:hAnsiTheme="majorHAnsi" w:cstheme="minorHAnsi"/>
          <w:lang w:val="en-GB"/>
        </w:rPr>
        <w:t>PTs.</w:t>
      </w:r>
      <w:proofErr w:type="spellEnd"/>
      <w:r w:rsidR="00C95F1A">
        <w:rPr>
          <w:rFonts w:asciiTheme="majorHAnsi" w:hAnsiTheme="majorHAnsi" w:cstheme="minorHAnsi"/>
          <w:lang w:val="en-GB"/>
        </w:rPr>
        <w:t xml:space="preserve"> </w:t>
      </w:r>
      <w:r w:rsidRPr="00027F54">
        <w:rPr>
          <w:rFonts w:asciiTheme="majorHAnsi" w:hAnsiTheme="majorHAnsi" w:cstheme="minorHAnsi"/>
          <w:lang w:val="en-GB"/>
        </w:rPr>
        <w:t>Therefore, for the operation of all three Labs, Maintenance, Calibration of Equipment’s and Accreditation Fee &amp; Assessment Charges by NABL etc. following cost envisages for smooth functioning of all 3 Labs for Period of FY 26-27.</w:t>
      </w:r>
    </w:p>
    <w:tbl>
      <w:tblPr>
        <w:tblStyle w:val="TableGrid"/>
        <w:tblW w:w="9209" w:type="dxa"/>
        <w:tblLook w:val="04A0" w:firstRow="1" w:lastRow="0" w:firstColumn="1" w:lastColumn="0" w:noHBand="0" w:noVBand="1"/>
      </w:tblPr>
      <w:tblGrid>
        <w:gridCol w:w="7225"/>
        <w:gridCol w:w="1984"/>
      </w:tblGrid>
      <w:tr w:rsidR="00D67EE5" w:rsidRPr="00D67EE5" w14:paraId="324C85EF" w14:textId="77777777" w:rsidTr="00D67EE5">
        <w:tc>
          <w:tcPr>
            <w:tcW w:w="7225" w:type="dxa"/>
          </w:tcPr>
          <w:p w14:paraId="3CC64F66" w14:textId="1C0B722C" w:rsidR="00D67EE5" w:rsidRPr="00D67EE5" w:rsidRDefault="00D67EE5" w:rsidP="000F221E">
            <w:pPr>
              <w:jc w:val="both"/>
              <w:rPr>
                <w:rFonts w:asciiTheme="majorHAnsi" w:hAnsiTheme="majorHAnsi" w:cstheme="minorHAnsi"/>
                <w:b/>
                <w:bCs/>
              </w:rPr>
            </w:pPr>
            <w:r w:rsidRPr="00D67EE5">
              <w:rPr>
                <w:rFonts w:asciiTheme="majorHAnsi" w:hAnsiTheme="majorHAnsi" w:cstheme="minorHAnsi"/>
                <w:b/>
                <w:bCs/>
              </w:rPr>
              <w:t>Activit</w:t>
            </w:r>
            <w:r w:rsidR="0077635D">
              <w:rPr>
                <w:rFonts w:asciiTheme="majorHAnsi" w:hAnsiTheme="majorHAnsi" w:cstheme="minorHAnsi"/>
                <w:b/>
                <w:bCs/>
              </w:rPr>
              <w:t>ies</w:t>
            </w:r>
            <w:r w:rsidR="0012669B">
              <w:rPr>
                <w:rFonts w:asciiTheme="majorHAnsi" w:hAnsiTheme="majorHAnsi" w:cstheme="minorHAnsi"/>
                <w:b/>
                <w:bCs/>
              </w:rPr>
              <w:t xml:space="preserve"> during FY 2026-27</w:t>
            </w:r>
          </w:p>
        </w:tc>
        <w:tc>
          <w:tcPr>
            <w:tcW w:w="1984" w:type="dxa"/>
          </w:tcPr>
          <w:p w14:paraId="1EE0D4B2" w14:textId="77777777" w:rsidR="00D67EE5" w:rsidRPr="00D67EE5" w:rsidRDefault="00D67EE5" w:rsidP="000F221E">
            <w:pPr>
              <w:jc w:val="both"/>
              <w:rPr>
                <w:rFonts w:asciiTheme="majorHAnsi" w:hAnsiTheme="majorHAnsi" w:cstheme="minorHAnsi"/>
                <w:b/>
                <w:bCs/>
              </w:rPr>
            </w:pPr>
            <w:r w:rsidRPr="00D67EE5">
              <w:rPr>
                <w:rFonts w:asciiTheme="majorHAnsi" w:hAnsiTheme="majorHAnsi" w:cstheme="minorHAnsi"/>
                <w:b/>
                <w:bCs/>
              </w:rPr>
              <w:t>Amount Rs (Cr)</w:t>
            </w:r>
          </w:p>
        </w:tc>
      </w:tr>
      <w:tr w:rsidR="00D67EE5" w:rsidRPr="00D67EE5" w14:paraId="09049BC1" w14:textId="77777777" w:rsidTr="00D67EE5">
        <w:tc>
          <w:tcPr>
            <w:tcW w:w="7225" w:type="dxa"/>
            <w:vAlign w:val="center"/>
          </w:tcPr>
          <w:p w14:paraId="3CBAF06D" w14:textId="77777777" w:rsidR="00D67EE5" w:rsidRPr="00D67EE5" w:rsidRDefault="00D67EE5" w:rsidP="000F221E">
            <w:pPr>
              <w:jc w:val="both"/>
              <w:rPr>
                <w:rFonts w:asciiTheme="majorHAnsi" w:hAnsiTheme="majorHAnsi" w:cstheme="minorHAnsi"/>
                <w:color w:val="000000"/>
              </w:rPr>
            </w:pPr>
            <w:r w:rsidRPr="00D67EE5">
              <w:rPr>
                <w:rFonts w:asciiTheme="majorHAnsi" w:hAnsiTheme="majorHAnsi" w:cstheme="minorHAnsi"/>
                <w:color w:val="000000"/>
              </w:rPr>
              <w:t>Assessment Audit conducted by NABL</w:t>
            </w:r>
          </w:p>
        </w:tc>
        <w:tc>
          <w:tcPr>
            <w:tcW w:w="1984" w:type="dxa"/>
            <w:vAlign w:val="center"/>
          </w:tcPr>
          <w:p w14:paraId="6AA64DD4" w14:textId="1C77400D" w:rsidR="00D67EE5" w:rsidRPr="00D67EE5" w:rsidRDefault="00D67EE5" w:rsidP="00BD3B47">
            <w:pPr>
              <w:jc w:val="center"/>
              <w:rPr>
                <w:rFonts w:asciiTheme="majorHAnsi" w:hAnsiTheme="majorHAnsi" w:cstheme="minorHAnsi"/>
              </w:rPr>
            </w:pPr>
            <w:r w:rsidRPr="00D67EE5">
              <w:rPr>
                <w:rFonts w:asciiTheme="majorHAnsi" w:hAnsiTheme="majorHAnsi" w:cstheme="minorHAnsi"/>
              </w:rPr>
              <w:t>0.09</w:t>
            </w:r>
          </w:p>
        </w:tc>
      </w:tr>
      <w:tr w:rsidR="00D67EE5" w:rsidRPr="00D67EE5" w14:paraId="32E8956C" w14:textId="77777777" w:rsidTr="00D67EE5">
        <w:tc>
          <w:tcPr>
            <w:tcW w:w="7225" w:type="dxa"/>
            <w:vAlign w:val="center"/>
          </w:tcPr>
          <w:p w14:paraId="10D7F782" w14:textId="77777777" w:rsidR="00D67EE5" w:rsidRPr="00D67EE5" w:rsidRDefault="00D67EE5" w:rsidP="000F221E">
            <w:pPr>
              <w:jc w:val="both"/>
              <w:rPr>
                <w:rFonts w:asciiTheme="majorHAnsi" w:hAnsiTheme="majorHAnsi" w:cstheme="minorHAnsi"/>
                <w:color w:val="000000"/>
              </w:rPr>
            </w:pPr>
            <w:r w:rsidRPr="00D67EE5">
              <w:rPr>
                <w:rFonts w:asciiTheme="majorHAnsi" w:hAnsiTheme="majorHAnsi" w:cstheme="minorHAnsi"/>
                <w:color w:val="000000"/>
              </w:rPr>
              <w:t>Calibration of Meter Testing Lab Equipment’s</w:t>
            </w:r>
          </w:p>
        </w:tc>
        <w:tc>
          <w:tcPr>
            <w:tcW w:w="1984" w:type="dxa"/>
            <w:vAlign w:val="center"/>
          </w:tcPr>
          <w:p w14:paraId="483EF923" w14:textId="25E0F3C3" w:rsidR="00D67EE5" w:rsidRPr="00D67EE5" w:rsidRDefault="00D67EE5" w:rsidP="00BD3B47">
            <w:pPr>
              <w:jc w:val="center"/>
              <w:rPr>
                <w:rFonts w:asciiTheme="majorHAnsi" w:hAnsiTheme="majorHAnsi" w:cstheme="minorHAnsi"/>
              </w:rPr>
            </w:pPr>
            <w:r w:rsidRPr="00D67EE5">
              <w:rPr>
                <w:rFonts w:asciiTheme="majorHAnsi" w:hAnsiTheme="majorHAnsi" w:cstheme="minorHAnsi"/>
              </w:rPr>
              <w:t>0.06</w:t>
            </w:r>
          </w:p>
        </w:tc>
      </w:tr>
      <w:tr w:rsidR="00D67EE5" w:rsidRPr="00D67EE5" w14:paraId="31A5D4AA" w14:textId="77777777" w:rsidTr="00D67EE5">
        <w:tc>
          <w:tcPr>
            <w:tcW w:w="7225" w:type="dxa"/>
            <w:vAlign w:val="center"/>
          </w:tcPr>
          <w:p w14:paraId="1FB924AE" w14:textId="77777777" w:rsidR="00D67EE5" w:rsidRPr="00D67EE5" w:rsidRDefault="00D67EE5" w:rsidP="000F221E">
            <w:pPr>
              <w:jc w:val="both"/>
              <w:rPr>
                <w:rFonts w:asciiTheme="majorHAnsi" w:hAnsiTheme="majorHAnsi" w:cstheme="minorHAnsi"/>
                <w:color w:val="000000"/>
              </w:rPr>
            </w:pPr>
            <w:r w:rsidRPr="00D67EE5">
              <w:rPr>
                <w:rFonts w:asciiTheme="majorHAnsi" w:hAnsiTheme="majorHAnsi" w:cstheme="minorHAnsi"/>
                <w:color w:val="000000"/>
              </w:rPr>
              <w:t>Annual Accreditation Fee</w:t>
            </w:r>
          </w:p>
        </w:tc>
        <w:tc>
          <w:tcPr>
            <w:tcW w:w="1984" w:type="dxa"/>
            <w:vAlign w:val="center"/>
          </w:tcPr>
          <w:p w14:paraId="1CC0F5E3" w14:textId="3C67474C" w:rsidR="00D67EE5" w:rsidRPr="00D67EE5" w:rsidRDefault="00D67EE5" w:rsidP="00BD3B47">
            <w:pPr>
              <w:jc w:val="center"/>
              <w:rPr>
                <w:rFonts w:asciiTheme="majorHAnsi" w:hAnsiTheme="majorHAnsi" w:cstheme="minorHAnsi"/>
              </w:rPr>
            </w:pPr>
            <w:r w:rsidRPr="00D67EE5">
              <w:rPr>
                <w:rFonts w:asciiTheme="majorHAnsi" w:hAnsiTheme="majorHAnsi" w:cstheme="minorHAnsi"/>
              </w:rPr>
              <w:t>0.0</w:t>
            </w:r>
            <w:r w:rsidR="00BD3B47">
              <w:rPr>
                <w:rFonts w:asciiTheme="majorHAnsi" w:hAnsiTheme="majorHAnsi" w:cstheme="minorHAnsi"/>
              </w:rPr>
              <w:t>1</w:t>
            </w:r>
          </w:p>
        </w:tc>
      </w:tr>
      <w:tr w:rsidR="00D67EE5" w:rsidRPr="00D67EE5" w14:paraId="45D50B55" w14:textId="77777777" w:rsidTr="00D67EE5">
        <w:tc>
          <w:tcPr>
            <w:tcW w:w="7225" w:type="dxa"/>
          </w:tcPr>
          <w:p w14:paraId="41DC575F" w14:textId="77777777" w:rsidR="00D67EE5" w:rsidRPr="00D67EE5" w:rsidRDefault="00D67EE5" w:rsidP="000F221E">
            <w:pPr>
              <w:jc w:val="both"/>
              <w:rPr>
                <w:rFonts w:asciiTheme="majorHAnsi" w:hAnsiTheme="majorHAnsi" w:cstheme="minorHAnsi"/>
              </w:rPr>
            </w:pPr>
            <w:r w:rsidRPr="00D67EE5">
              <w:rPr>
                <w:rFonts w:asciiTheme="majorHAnsi" w:hAnsiTheme="majorHAnsi" w:cstheme="minorHAnsi"/>
                <w:color w:val="000000"/>
              </w:rPr>
              <w:t xml:space="preserve">Outsourced </w:t>
            </w:r>
            <w:r w:rsidRPr="00BA099A">
              <w:rPr>
                <w:rFonts w:asciiTheme="majorHAnsi" w:hAnsiTheme="majorHAnsi" w:cstheme="minorHAnsi"/>
                <w:color w:val="000000" w:themeColor="text1"/>
              </w:rPr>
              <w:t xml:space="preserve">employees for Meter Testing Lab for non-technical </w:t>
            </w:r>
            <w:r w:rsidRPr="00D67EE5">
              <w:rPr>
                <w:rFonts w:asciiTheme="majorHAnsi" w:hAnsiTheme="majorHAnsi" w:cstheme="minorHAnsi"/>
                <w:color w:val="000000"/>
              </w:rPr>
              <w:t>work</w:t>
            </w:r>
          </w:p>
        </w:tc>
        <w:tc>
          <w:tcPr>
            <w:tcW w:w="1984" w:type="dxa"/>
            <w:vAlign w:val="center"/>
          </w:tcPr>
          <w:p w14:paraId="3D10BAA4" w14:textId="6127091F" w:rsidR="00D67EE5" w:rsidRPr="00D67EE5" w:rsidRDefault="00D67EE5" w:rsidP="00BD3B47">
            <w:pPr>
              <w:jc w:val="center"/>
              <w:rPr>
                <w:rFonts w:asciiTheme="majorHAnsi" w:hAnsiTheme="majorHAnsi" w:cstheme="minorHAnsi"/>
              </w:rPr>
            </w:pPr>
            <w:r w:rsidRPr="00D67EE5">
              <w:rPr>
                <w:rFonts w:asciiTheme="majorHAnsi" w:hAnsiTheme="majorHAnsi" w:cstheme="minorHAnsi"/>
              </w:rPr>
              <w:t>0.64</w:t>
            </w:r>
          </w:p>
        </w:tc>
      </w:tr>
      <w:tr w:rsidR="00D67EE5" w:rsidRPr="00D67EE5" w14:paraId="3078A0EE" w14:textId="77777777" w:rsidTr="00D67EE5">
        <w:tc>
          <w:tcPr>
            <w:tcW w:w="7225" w:type="dxa"/>
          </w:tcPr>
          <w:p w14:paraId="192088FC" w14:textId="25CF5018" w:rsidR="00D67EE5" w:rsidRPr="00D67EE5" w:rsidRDefault="00D67EE5" w:rsidP="000F221E">
            <w:pPr>
              <w:jc w:val="both"/>
              <w:rPr>
                <w:rFonts w:asciiTheme="majorHAnsi" w:hAnsiTheme="majorHAnsi" w:cstheme="minorHAnsi"/>
                <w:color w:val="000000"/>
              </w:rPr>
            </w:pPr>
            <w:r w:rsidRPr="00D67EE5">
              <w:rPr>
                <w:rFonts w:asciiTheme="majorHAnsi" w:hAnsiTheme="majorHAnsi" w:cstheme="minorHAnsi"/>
                <w:color w:val="000000"/>
              </w:rPr>
              <w:t>Consumable and maintenance charges of Meter Testing Equipment</w:t>
            </w:r>
          </w:p>
        </w:tc>
        <w:tc>
          <w:tcPr>
            <w:tcW w:w="1984" w:type="dxa"/>
            <w:vAlign w:val="center"/>
          </w:tcPr>
          <w:p w14:paraId="1033DB81" w14:textId="3195D449" w:rsidR="00D67EE5" w:rsidRPr="00D67EE5" w:rsidRDefault="00D67EE5" w:rsidP="00BD3B47">
            <w:pPr>
              <w:jc w:val="center"/>
              <w:rPr>
                <w:rFonts w:asciiTheme="majorHAnsi" w:hAnsiTheme="majorHAnsi" w:cstheme="minorHAnsi"/>
              </w:rPr>
            </w:pPr>
            <w:r w:rsidRPr="00D67EE5">
              <w:rPr>
                <w:rFonts w:asciiTheme="majorHAnsi" w:hAnsiTheme="majorHAnsi" w:cstheme="minorHAnsi"/>
              </w:rPr>
              <w:t>0.08</w:t>
            </w:r>
          </w:p>
        </w:tc>
      </w:tr>
      <w:tr w:rsidR="00D67EE5" w:rsidRPr="00D67EE5" w14:paraId="75A14240" w14:textId="77777777" w:rsidTr="00D67EE5">
        <w:tc>
          <w:tcPr>
            <w:tcW w:w="7225" w:type="dxa"/>
          </w:tcPr>
          <w:p w14:paraId="1EC2A5BA" w14:textId="77777777" w:rsidR="00D67EE5" w:rsidRPr="00D67EE5" w:rsidRDefault="00D67EE5" w:rsidP="000F221E">
            <w:pPr>
              <w:jc w:val="both"/>
              <w:rPr>
                <w:rFonts w:asciiTheme="majorHAnsi" w:hAnsiTheme="majorHAnsi" w:cstheme="minorHAnsi"/>
                <w:color w:val="000000"/>
              </w:rPr>
            </w:pPr>
            <w:r w:rsidRPr="00D67EE5">
              <w:rPr>
                <w:rFonts w:asciiTheme="majorHAnsi" w:hAnsiTheme="majorHAnsi" w:cstheme="minorHAnsi"/>
                <w:color w:val="000000"/>
              </w:rPr>
              <w:t>Sealing of Tested Meters</w:t>
            </w:r>
          </w:p>
        </w:tc>
        <w:tc>
          <w:tcPr>
            <w:tcW w:w="1984" w:type="dxa"/>
            <w:vAlign w:val="center"/>
          </w:tcPr>
          <w:p w14:paraId="2C5C8D30" w14:textId="5BFDCF2E" w:rsidR="00D67EE5" w:rsidRPr="00D67EE5" w:rsidRDefault="00D67EE5" w:rsidP="00BD3B47">
            <w:pPr>
              <w:jc w:val="center"/>
              <w:rPr>
                <w:rFonts w:asciiTheme="majorHAnsi" w:hAnsiTheme="majorHAnsi" w:cstheme="minorHAnsi"/>
              </w:rPr>
            </w:pPr>
            <w:r w:rsidRPr="00D67EE5">
              <w:rPr>
                <w:rFonts w:asciiTheme="majorHAnsi" w:hAnsiTheme="majorHAnsi" w:cstheme="minorHAnsi"/>
              </w:rPr>
              <w:t>0.12</w:t>
            </w:r>
          </w:p>
        </w:tc>
      </w:tr>
      <w:tr w:rsidR="00D67EE5" w:rsidRPr="00D67EE5" w14:paraId="61267362" w14:textId="77777777" w:rsidTr="00D67EE5">
        <w:tc>
          <w:tcPr>
            <w:tcW w:w="7225" w:type="dxa"/>
          </w:tcPr>
          <w:p w14:paraId="46778CF5" w14:textId="77777777" w:rsidR="00D67EE5" w:rsidRPr="00D67EE5" w:rsidRDefault="00D67EE5" w:rsidP="000F221E">
            <w:pPr>
              <w:jc w:val="both"/>
              <w:rPr>
                <w:rFonts w:asciiTheme="majorHAnsi" w:hAnsiTheme="majorHAnsi" w:cstheme="minorHAnsi"/>
                <w:color w:val="000000"/>
              </w:rPr>
            </w:pPr>
            <w:r w:rsidRPr="00D67EE5">
              <w:rPr>
                <w:rFonts w:asciiTheme="majorHAnsi" w:hAnsiTheme="majorHAnsi" w:cstheme="minorHAnsi"/>
                <w:color w:val="000000"/>
              </w:rPr>
              <w:t>SIM Card rental for Modem installed meters</w:t>
            </w:r>
          </w:p>
        </w:tc>
        <w:tc>
          <w:tcPr>
            <w:tcW w:w="1984" w:type="dxa"/>
            <w:vAlign w:val="center"/>
          </w:tcPr>
          <w:p w14:paraId="736768A5" w14:textId="757595A0" w:rsidR="00D67EE5" w:rsidRPr="00D67EE5" w:rsidRDefault="00D67EE5" w:rsidP="00BD3B47">
            <w:pPr>
              <w:jc w:val="center"/>
              <w:rPr>
                <w:rFonts w:asciiTheme="majorHAnsi" w:hAnsiTheme="majorHAnsi" w:cstheme="minorHAnsi"/>
              </w:rPr>
            </w:pPr>
            <w:r w:rsidRPr="00D67EE5">
              <w:rPr>
                <w:rFonts w:asciiTheme="majorHAnsi" w:hAnsiTheme="majorHAnsi" w:cstheme="minorHAnsi"/>
              </w:rPr>
              <w:t>0.0</w:t>
            </w:r>
            <w:r w:rsidR="00BD3B47">
              <w:rPr>
                <w:rFonts w:asciiTheme="majorHAnsi" w:hAnsiTheme="majorHAnsi" w:cstheme="minorHAnsi"/>
              </w:rPr>
              <w:t>8</w:t>
            </w:r>
          </w:p>
        </w:tc>
      </w:tr>
      <w:tr w:rsidR="00D67EE5" w:rsidRPr="00D67EE5" w14:paraId="24ECCA29" w14:textId="77777777" w:rsidTr="00D67EE5">
        <w:tc>
          <w:tcPr>
            <w:tcW w:w="7225" w:type="dxa"/>
          </w:tcPr>
          <w:p w14:paraId="1B2550BE" w14:textId="77777777" w:rsidR="00D67EE5" w:rsidRPr="00D67EE5" w:rsidRDefault="00D67EE5" w:rsidP="000F221E">
            <w:pPr>
              <w:jc w:val="both"/>
              <w:rPr>
                <w:rFonts w:asciiTheme="majorHAnsi" w:hAnsiTheme="majorHAnsi" w:cstheme="minorHAnsi"/>
                <w:b/>
              </w:rPr>
            </w:pPr>
            <w:r w:rsidRPr="00D67EE5">
              <w:rPr>
                <w:rFonts w:asciiTheme="majorHAnsi" w:hAnsiTheme="majorHAnsi" w:cstheme="minorHAnsi"/>
                <w:b/>
              </w:rPr>
              <w:t>Total Rs in Cr.</w:t>
            </w:r>
          </w:p>
        </w:tc>
        <w:tc>
          <w:tcPr>
            <w:tcW w:w="1984" w:type="dxa"/>
          </w:tcPr>
          <w:p w14:paraId="01975036" w14:textId="3AFA0CF1" w:rsidR="00D67EE5" w:rsidRPr="00D67EE5" w:rsidRDefault="00D67EE5" w:rsidP="00BD3B47">
            <w:pPr>
              <w:jc w:val="center"/>
              <w:rPr>
                <w:rFonts w:asciiTheme="majorHAnsi" w:hAnsiTheme="majorHAnsi" w:cstheme="minorHAnsi"/>
                <w:b/>
              </w:rPr>
            </w:pPr>
            <w:r w:rsidRPr="00D67EE5">
              <w:rPr>
                <w:rFonts w:asciiTheme="majorHAnsi" w:hAnsiTheme="majorHAnsi" w:cstheme="minorHAnsi"/>
                <w:b/>
              </w:rPr>
              <w:t>1.08</w:t>
            </w:r>
          </w:p>
        </w:tc>
      </w:tr>
    </w:tbl>
    <w:p w14:paraId="3A9B79CB" w14:textId="77777777" w:rsidR="00431B83" w:rsidRDefault="00431B83" w:rsidP="00027F54">
      <w:pPr>
        <w:spacing w:line="360" w:lineRule="auto"/>
        <w:jc w:val="both"/>
        <w:rPr>
          <w:rFonts w:asciiTheme="majorHAnsi" w:hAnsiTheme="majorHAnsi" w:cstheme="minorHAnsi"/>
          <w:b/>
          <w:bCs/>
          <w:u w:val="single"/>
          <w:lang w:val="en-GB"/>
        </w:rPr>
      </w:pPr>
    </w:p>
    <w:p w14:paraId="22D65FD4" w14:textId="5549E423" w:rsidR="00905091" w:rsidRPr="00AD3E49" w:rsidRDefault="00905091" w:rsidP="00AD3E49">
      <w:pPr>
        <w:pStyle w:val="Heading3"/>
        <w:numPr>
          <w:ilvl w:val="2"/>
          <w:numId w:val="1"/>
        </w:numPr>
        <w:shd w:val="clear" w:color="auto" w:fill="002060"/>
        <w:rPr>
          <w:rFonts w:asciiTheme="majorHAnsi" w:hAnsiTheme="majorHAnsi"/>
          <w:sz w:val="24"/>
          <w:szCs w:val="24"/>
        </w:rPr>
      </w:pPr>
      <w:bookmarkStart w:id="42" w:name="_Toc215250614"/>
      <w:r w:rsidRPr="00AD3E49">
        <w:rPr>
          <w:rFonts w:asciiTheme="majorHAnsi" w:hAnsiTheme="majorHAnsi"/>
          <w:sz w:val="24"/>
          <w:szCs w:val="24"/>
        </w:rPr>
        <w:t>Meter Reading, Billing &amp; Collection (MBC)</w:t>
      </w:r>
      <w:bookmarkEnd w:id="38"/>
      <w:bookmarkEnd w:id="39"/>
      <w:bookmarkEnd w:id="42"/>
    </w:p>
    <w:p w14:paraId="6A0989DE" w14:textId="2747F807" w:rsidR="003C789B" w:rsidRDefault="00AE7C52" w:rsidP="00923A86">
      <w:pPr>
        <w:spacing w:beforeLines="100" w:before="240" w:afterLines="100" w:after="240" w:line="360" w:lineRule="auto"/>
        <w:jc w:val="both"/>
        <w:rPr>
          <w:rFonts w:asciiTheme="majorHAnsi" w:hAnsiTheme="majorHAnsi"/>
        </w:rPr>
      </w:pPr>
      <w:r w:rsidRPr="00AE7C52">
        <w:rPr>
          <w:rFonts w:asciiTheme="majorHAnsi" w:hAnsiTheme="majorHAnsi"/>
        </w:rPr>
        <w:t>With the vision of initiating the structured and proper course of the reform process, the TPWODL has introduced a system of competitive bidding with proper checks and balances for the appointment of Division wise Metering and Billing Agencies.  Thereby, after going through the complete process of competitive bidding in a transparent manner, 13 (Thirteen) Agencies were appointed and started their Metering and Billing activity from 1st August 2025 in a phased manner to carry out performance-based tasks of Meter reading and billing activities in their assigned Divisions. Besides, the primary activities of Meter reading and billing, the incentives are attached with other supporting and loss reduction activities such as reporting of extra-connections, Theft/ Unauthorized Extension, Misuse cases, reporting of unethical activities, OCR-based billing, etc.</w:t>
      </w:r>
      <w:r w:rsidR="00B92B32">
        <w:rPr>
          <w:rFonts w:asciiTheme="majorHAnsi" w:hAnsiTheme="majorHAnsi"/>
        </w:rPr>
        <w:t xml:space="preserve"> The Licensee has projected Rs. 85.43 Cr. for Metering &amp; Billing </w:t>
      </w:r>
      <w:r w:rsidR="00B557BB">
        <w:rPr>
          <w:rFonts w:asciiTheme="majorHAnsi" w:hAnsiTheme="majorHAnsi"/>
        </w:rPr>
        <w:t>expenses and Rs. 79.70 Cr. towards Collection expenses for ensuing year FY 26-27.</w:t>
      </w:r>
    </w:p>
    <w:p w14:paraId="0AFAF9F8" w14:textId="4031BED1" w:rsidR="003C789B" w:rsidRPr="003C789B" w:rsidRDefault="00907301" w:rsidP="00923A86">
      <w:pPr>
        <w:pStyle w:val="ListParagraph"/>
        <w:spacing w:beforeLines="100" w:before="240" w:afterLines="100" w:after="240" w:line="360" w:lineRule="auto"/>
        <w:ind w:left="0"/>
        <w:jc w:val="both"/>
        <w:rPr>
          <w:rFonts w:asciiTheme="majorHAnsi" w:hAnsiTheme="majorHAnsi"/>
          <w:sz w:val="24"/>
          <w:szCs w:val="24"/>
        </w:rPr>
      </w:pPr>
      <w:r w:rsidRPr="00907301">
        <w:rPr>
          <w:rFonts w:asciiTheme="majorHAnsi" w:hAnsiTheme="majorHAnsi"/>
          <w:sz w:val="24"/>
          <w:szCs w:val="24"/>
        </w:rPr>
        <w:t>With the vision of accommodating the future requirements and dynamic needs of the organization, the broader spectrum of performance parameters such as training &amp; development of BA employees on the new billing system namely the Fluent Grid (FG) billing system are taken into consideration while deciding the scope of service level agreements with the agencies. The Division wise detail of the Agencies appointed is as follows:</w:t>
      </w:r>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2856"/>
        <w:gridCol w:w="6"/>
      </w:tblGrid>
      <w:tr w:rsidR="00EC2A06" w:rsidRPr="00EC2A06" w14:paraId="02FC7D9B" w14:textId="77777777" w:rsidTr="00125F60">
        <w:trPr>
          <w:trHeight w:val="290"/>
          <w:jc w:val="center"/>
        </w:trPr>
        <w:tc>
          <w:tcPr>
            <w:tcW w:w="7257" w:type="dxa"/>
            <w:gridSpan w:val="3"/>
            <w:noWrap/>
            <w:vAlign w:val="bottom"/>
            <w:hideMark/>
          </w:tcPr>
          <w:p w14:paraId="05CC2036" w14:textId="77777777" w:rsidR="00EC2A06" w:rsidRPr="00F11461" w:rsidRDefault="00EC2A06" w:rsidP="000F221E">
            <w:pPr>
              <w:jc w:val="center"/>
              <w:rPr>
                <w:rFonts w:asciiTheme="majorHAnsi" w:hAnsiTheme="majorHAnsi"/>
                <w:b/>
                <w:bCs/>
                <w:color w:val="000000"/>
                <w:sz w:val="22"/>
                <w:szCs w:val="22"/>
                <w:lang w:val="en-IN"/>
              </w:rPr>
            </w:pPr>
            <w:r w:rsidRPr="00F11461">
              <w:rPr>
                <w:rFonts w:asciiTheme="majorHAnsi" w:eastAsia="Calibri" w:hAnsiTheme="majorHAnsi"/>
                <w:b/>
                <w:bCs/>
                <w:sz w:val="22"/>
                <w:szCs w:val="22"/>
              </w:rPr>
              <w:t>DIVISION WISE METERING &amp; BILLING AGENCIES APPOINTED</w:t>
            </w:r>
            <w:r w:rsidRPr="00F11461">
              <w:rPr>
                <w:rFonts w:asciiTheme="majorHAnsi" w:hAnsiTheme="majorHAnsi"/>
                <w:b/>
                <w:bCs/>
                <w:color w:val="000000"/>
                <w:sz w:val="22"/>
                <w:szCs w:val="22"/>
              </w:rPr>
              <w:t xml:space="preserve"> </w:t>
            </w:r>
          </w:p>
        </w:tc>
      </w:tr>
      <w:tr w:rsidR="00EC2A06" w:rsidRPr="00EC2A06" w14:paraId="5CD7BB5C" w14:textId="77777777" w:rsidTr="00EC2A06">
        <w:trPr>
          <w:gridAfter w:val="1"/>
          <w:wAfter w:w="6" w:type="dxa"/>
          <w:trHeight w:val="290"/>
          <w:jc w:val="center"/>
        </w:trPr>
        <w:tc>
          <w:tcPr>
            <w:tcW w:w="4395" w:type="dxa"/>
            <w:vMerge w:val="restart"/>
            <w:noWrap/>
            <w:vAlign w:val="center"/>
            <w:hideMark/>
          </w:tcPr>
          <w:p w14:paraId="2B6B6071" w14:textId="77777777"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BKS Enterprise</w:t>
            </w:r>
          </w:p>
        </w:tc>
        <w:tc>
          <w:tcPr>
            <w:tcW w:w="2856" w:type="dxa"/>
            <w:noWrap/>
            <w:vAlign w:val="center"/>
            <w:hideMark/>
          </w:tcPr>
          <w:p w14:paraId="515FA207" w14:textId="77777777"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 xml:space="preserve">KEED </w:t>
            </w:r>
            <w:proofErr w:type="spellStart"/>
            <w:r w:rsidRPr="00EC2A06">
              <w:rPr>
                <w:rFonts w:asciiTheme="majorHAnsi" w:eastAsia="Calibri" w:hAnsiTheme="majorHAnsi"/>
                <w:sz w:val="22"/>
                <w:szCs w:val="22"/>
              </w:rPr>
              <w:t>Bhawanipatna</w:t>
            </w:r>
            <w:proofErr w:type="spellEnd"/>
            <w:r w:rsidRPr="00EC2A06">
              <w:rPr>
                <w:rFonts w:asciiTheme="majorHAnsi" w:eastAsia="Calibri" w:hAnsiTheme="majorHAnsi"/>
                <w:sz w:val="22"/>
                <w:szCs w:val="22"/>
              </w:rPr>
              <w:t xml:space="preserve"> </w:t>
            </w:r>
          </w:p>
        </w:tc>
      </w:tr>
      <w:tr w:rsidR="00EC2A06" w:rsidRPr="00EC2A06" w14:paraId="007D8FEF" w14:textId="77777777" w:rsidTr="00EC2A06">
        <w:trPr>
          <w:gridAfter w:val="1"/>
          <w:wAfter w:w="6" w:type="dxa"/>
          <w:trHeight w:val="290"/>
          <w:jc w:val="center"/>
        </w:trPr>
        <w:tc>
          <w:tcPr>
            <w:tcW w:w="4395" w:type="dxa"/>
            <w:vMerge/>
            <w:vAlign w:val="center"/>
            <w:hideMark/>
          </w:tcPr>
          <w:p w14:paraId="5B3BA9F0" w14:textId="77777777" w:rsidR="00EC2A06" w:rsidRPr="00EC2A06" w:rsidRDefault="00EC2A06" w:rsidP="000F221E">
            <w:pPr>
              <w:rPr>
                <w:rFonts w:asciiTheme="majorHAnsi" w:eastAsia="Calibri" w:hAnsiTheme="majorHAnsi"/>
                <w:sz w:val="22"/>
                <w:szCs w:val="22"/>
              </w:rPr>
            </w:pPr>
          </w:p>
        </w:tc>
        <w:tc>
          <w:tcPr>
            <w:tcW w:w="2856" w:type="dxa"/>
            <w:noWrap/>
            <w:vAlign w:val="center"/>
            <w:hideMark/>
          </w:tcPr>
          <w:p w14:paraId="1AF33D26" w14:textId="77777777"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 xml:space="preserve">KWED </w:t>
            </w:r>
            <w:proofErr w:type="spellStart"/>
            <w:r w:rsidRPr="00EC2A06">
              <w:rPr>
                <w:rFonts w:asciiTheme="majorHAnsi" w:eastAsia="Calibri" w:hAnsiTheme="majorHAnsi"/>
                <w:sz w:val="22"/>
                <w:szCs w:val="22"/>
              </w:rPr>
              <w:t>Bhawanipatna</w:t>
            </w:r>
            <w:proofErr w:type="spellEnd"/>
            <w:r w:rsidRPr="00EC2A06">
              <w:rPr>
                <w:rFonts w:asciiTheme="majorHAnsi" w:eastAsia="Calibri" w:hAnsiTheme="majorHAnsi"/>
                <w:sz w:val="22"/>
                <w:szCs w:val="22"/>
              </w:rPr>
              <w:t xml:space="preserve"> </w:t>
            </w:r>
          </w:p>
        </w:tc>
      </w:tr>
      <w:tr w:rsidR="00EC2A06" w:rsidRPr="00EC2A06" w14:paraId="5DB03314" w14:textId="77777777" w:rsidTr="00EC2A06">
        <w:trPr>
          <w:gridAfter w:val="1"/>
          <w:wAfter w:w="6" w:type="dxa"/>
          <w:trHeight w:val="290"/>
          <w:jc w:val="center"/>
        </w:trPr>
        <w:tc>
          <w:tcPr>
            <w:tcW w:w="4395" w:type="dxa"/>
            <w:noWrap/>
            <w:vAlign w:val="center"/>
            <w:hideMark/>
          </w:tcPr>
          <w:p w14:paraId="6C076EFB" w14:textId="77777777"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BPDM Power Projects</w:t>
            </w:r>
          </w:p>
        </w:tc>
        <w:tc>
          <w:tcPr>
            <w:tcW w:w="2856" w:type="dxa"/>
            <w:noWrap/>
            <w:vAlign w:val="center"/>
            <w:hideMark/>
          </w:tcPr>
          <w:p w14:paraId="743984FF" w14:textId="77777777"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 xml:space="preserve">SED </w:t>
            </w:r>
            <w:proofErr w:type="spellStart"/>
            <w:r w:rsidRPr="00EC2A06">
              <w:rPr>
                <w:rFonts w:asciiTheme="majorHAnsi" w:eastAsia="Calibri" w:hAnsiTheme="majorHAnsi"/>
                <w:sz w:val="22"/>
                <w:szCs w:val="22"/>
              </w:rPr>
              <w:t>Sonepur</w:t>
            </w:r>
            <w:proofErr w:type="spellEnd"/>
          </w:p>
        </w:tc>
      </w:tr>
      <w:tr w:rsidR="00EC2A06" w:rsidRPr="00EC2A06" w14:paraId="085BEA00" w14:textId="77777777" w:rsidTr="00EC2A06">
        <w:trPr>
          <w:gridAfter w:val="1"/>
          <w:wAfter w:w="6" w:type="dxa"/>
          <w:trHeight w:val="290"/>
          <w:jc w:val="center"/>
        </w:trPr>
        <w:tc>
          <w:tcPr>
            <w:tcW w:w="4395" w:type="dxa"/>
            <w:noWrap/>
            <w:vAlign w:val="center"/>
            <w:hideMark/>
          </w:tcPr>
          <w:p w14:paraId="4BA47DA0" w14:textId="77777777" w:rsidR="00EC2A06" w:rsidRPr="00EC2A06" w:rsidRDefault="00EC2A06" w:rsidP="000F221E">
            <w:pPr>
              <w:jc w:val="center"/>
              <w:rPr>
                <w:rFonts w:asciiTheme="majorHAnsi" w:eastAsia="Calibri" w:hAnsiTheme="majorHAnsi"/>
                <w:sz w:val="22"/>
                <w:szCs w:val="22"/>
              </w:rPr>
            </w:pPr>
            <w:proofErr w:type="spellStart"/>
            <w:r w:rsidRPr="00EC2A06">
              <w:rPr>
                <w:rFonts w:asciiTheme="majorHAnsi" w:eastAsia="Calibri" w:hAnsiTheme="majorHAnsi"/>
                <w:sz w:val="22"/>
                <w:szCs w:val="22"/>
              </w:rPr>
              <w:t>Darubhrahma</w:t>
            </w:r>
            <w:proofErr w:type="spellEnd"/>
            <w:r w:rsidRPr="00EC2A06">
              <w:rPr>
                <w:rFonts w:asciiTheme="majorHAnsi" w:eastAsia="Calibri" w:hAnsiTheme="majorHAnsi"/>
                <w:sz w:val="22"/>
                <w:szCs w:val="22"/>
              </w:rPr>
              <w:t xml:space="preserve"> Energy &amp; Power Pvt. Ltd</w:t>
            </w:r>
          </w:p>
        </w:tc>
        <w:tc>
          <w:tcPr>
            <w:tcW w:w="2856" w:type="dxa"/>
            <w:noWrap/>
            <w:vAlign w:val="center"/>
            <w:hideMark/>
          </w:tcPr>
          <w:p w14:paraId="00744A88" w14:textId="474B2F28"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 xml:space="preserve">BED </w:t>
            </w:r>
            <w:r w:rsidR="00C534D8">
              <w:rPr>
                <w:rFonts w:asciiTheme="majorHAnsi" w:eastAsia="Calibri" w:hAnsiTheme="majorHAnsi"/>
                <w:sz w:val="22"/>
                <w:szCs w:val="22"/>
              </w:rPr>
              <w:t>BOLANGIR</w:t>
            </w:r>
          </w:p>
        </w:tc>
      </w:tr>
      <w:tr w:rsidR="00EC2A06" w:rsidRPr="00EC2A06" w14:paraId="3792F753" w14:textId="77777777" w:rsidTr="00EC2A06">
        <w:trPr>
          <w:gridAfter w:val="1"/>
          <w:wAfter w:w="6" w:type="dxa"/>
          <w:trHeight w:val="290"/>
          <w:jc w:val="center"/>
        </w:trPr>
        <w:tc>
          <w:tcPr>
            <w:tcW w:w="4395" w:type="dxa"/>
            <w:vMerge w:val="restart"/>
            <w:noWrap/>
            <w:vAlign w:val="center"/>
            <w:hideMark/>
          </w:tcPr>
          <w:p w14:paraId="492CA405" w14:textId="00EAD668"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Data Ingenious Global Ltd</w:t>
            </w:r>
          </w:p>
        </w:tc>
        <w:tc>
          <w:tcPr>
            <w:tcW w:w="2856" w:type="dxa"/>
            <w:noWrap/>
            <w:vAlign w:val="center"/>
            <w:hideMark/>
          </w:tcPr>
          <w:p w14:paraId="509D24A0" w14:textId="77777777"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BWED Bargarh</w:t>
            </w:r>
          </w:p>
        </w:tc>
      </w:tr>
      <w:tr w:rsidR="00EC2A06" w:rsidRPr="00EC2A06" w14:paraId="19F5F4FE" w14:textId="77777777" w:rsidTr="00EC2A06">
        <w:trPr>
          <w:gridAfter w:val="1"/>
          <w:wAfter w:w="6" w:type="dxa"/>
          <w:trHeight w:val="290"/>
          <w:jc w:val="center"/>
        </w:trPr>
        <w:tc>
          <w:tcPr>
            <w:tcW w:w="4395" w:type="dxa"/>
            <w:vMerge/>
            <w:vAlign w:val="center"/>
            <w:hideMark/>
          </w:tcPr>
          <w:p w14:paraId="1C2705E5" w14:textId="77777777" w:rsidR="00EC2A06" w:rsidRPr="00EC2A06" w:rsidRDefault="00EC2A06" w:rsidP="000F221E">
            <w:pPr>
              <w:rPr>
                <w:rFonts w:asciiTheme="majorHAnsi" w:eastAsia="Calibri" w:hAnsiTheme="majorHAnsi"/>
                <w:sz w:val="22"/>
                <w:szCs w:val="22"/>
              </w:rPr>
            </w:pPr>
          </w:p>
        </w:tc>
        <w:tc>
          <w:tcPr>
            <w:tcW w:w="2856" w:type="dxa"/>
            <w:noWrap/>
            <w:vAlign w:val="center"/>
            <w:hideMark/>
          </w:tcPr>
          <w:p w14:paraId="2019D465" w14:textId="77777777"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RSED Rourkela</w:t>
            </w:r>
          </w:p>
        </w:tc>
      </w:tr>
      <w:tr w:rsidR="00EC2A06" w:rsidRPr="00EC2A06" w14:paraId="5C953F07" w14:textId="77777777" w:rsidTr="00EC2A06">
        <w:trPr>
          <w:gridAfter w:val="1"/>
          <w:wAfter w:w="6" w:type="dxa"/>
          <w:trHeight w:val="290"/>
          <w:jc w:val="center"/>
        </w:trPr>
        <w:tc>
          <w:tcPr>
            <w:tcW w:w="4395" w:type="dxa"/>
            <w:noWrap/>
            <w:vAlign w:val="center"/>
            <w:hideMark/>
          </w:tcPr>
          <w:p w14:paraId="0BC486FF" w14:textId="77777777"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Diversified Energy Sol Pvt Ltd</w:t>
            </w:r>
          </w:p>
        </w:tc>
        <w:tc>
          <w:tcPr>
            <w:tcW w:w="2856" w:type="dxa"/>
            <w:noWrap/>
            <w:vAlign w:val="center"/>
            <w:hideMark/>
          </w:tcPr>
          <w:p w14:paraId="0D7BAC7F" w14:textId="77777777"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BNED Brajrajnagar</w:t>
            </w:r>
          </w:p>
        </w:tc>
      </w:tr>
      <w:tr w:rsidR="00EC2A06" w:rsidRPr="00EC2A06" w14:paraId="3173FDBE" w14:textId="77777777" w:rsidTr="00EC2A06">
        <w:trPr>
          <w:gridAfter w:val="1"/>
          <w:wAfter w:w="6" w:type="dxa"/>
          <w:trHeight w:val="290"/>
          <w:jc w:val="center"/>
        </w:trPr>
        <w:tc>
          <w:tcPr>
            <w:tcW w:w="4395" w:type="dxa"/>
            <w:vMerge w:val="restart"/>
            <w:noWrap/>
            <w:vAlign w:val="center"/>
            <w:hideMark/>
          </w:tcPr>
          <w:p w14:paraId="649FE6E7" w14:textId="77777777" w:rsidR="00EC2A06" w:rsidRPr="00EC2A06" w:rsidRDefault="00EC2A06" w:rsidP="000F221E">
            <w:pPr>
              <w:jc w:val="center"/>
              <w:rPr>
                <w:rFonts w:asciiTheme="majorHAnsi" w:eastAsia="Calibri" w:hAnsiTheme="majorHAnsi"/>
                <w:sz w:val="22"/>
                <w:szCs w:val="22"/>
              </w:rPr>
            </w:pPr>
            <w:proofErr w:type="spellStart"/>
            <w:r w:rsidRPr="00EC2A06">
              <w:rPr>
                <w:rFonts w:asciiTheme="majorHAnsi" w:eastAsia="Calibri" w:hAnsiTheme="majorHAnsi"/>
                <w:sz w:val="22"/>
                <w:szCs w:val="22"/>
              </w:rPr>
              <w:t>Hindusthan</w:t>
            </w:r>
            <w:proofErr w:type="spellEnd"/>
            <w:r w:rsidRPr="00EC2A06">
              <w:rPr>
                <w:rFonts w:asciiTheme="majorHAnsi" w:eastAsia="Calibri" w:hAnsiTheme="majorHAnsi"/>
                <w:sz w:val="22"/>
                <w:szCs w:val="22"/>
              </w:rPr>
              <w:t xml:space="preserve"> </w:t>
            </w:r>
            <w:proofErr w:type="spellStart"/>
            <w:r w:rsidRPr="00EC2A06">
              <w:rPr>
                <w:rFonts w:asciiTheme="majorHAnsi" w:eastAsia="Calibri" w:hAnsiTheme="majorHAnsi"/>
                <w:sz w:val="22"/>
                <w:szCs w:val="22"/>
              </w:rPr>
              <w:t>Engg</w:t>
            </w:r>
            <w:proofErr w:type="spellEnd"/>
            <w:r w:rsidRPr="00EC2A06">
              <w:rPr>
                <w:rFonts w:asciiTheme="majorHAnsi" w:eastAsia="Calibri" w:hAnsiTheme="majorHAnsi"/>
                <w:sz w:val="22"/>
                <w:szCs w:val="22"/>
              </w:rPr>
              <w:t xml:space="preserve"> Corporation</w:t>
            </w:r>
          </w:p>
        </w:tc>
        <w:tc>
          <w:tcPr>
            <w:tcW w:w="2856" w:type="dxa"/>
            <w:noWrap/>
            <w:vAlign w:val="center"/>
            <w:hideMark/>
          </w:tcPr>
          <w:p w14:paraId="656A1351" w14:textId="77777777"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BED Bargarh</w:t>
            </w:r>
          </w:p>
        </w:tc>
      </w:tr>
      <w:tr w:rsidR="00EC2A06" w:rsidRPr="00EC2A06" w14:paraId="0D2C55DF" w14:textId="77777777" w:rsidTr="00EC2A06">
        <w:trPr>
          <w:gridAfter w:val="1"/>
          <w:wAfter w:w="6" w:type="dxa"/>
          <w:trHeight w:val="290"/>
          <w:jc w:val="center"/>
        </w:trPr>
        <w:tc>
          <w:tcPr>
            <w:tcW w:w="4395" w:type="dxa"/>
            <w:vMerge/>
            <w:vAlign w:val="center"/>
            <w:hideMark/>
          </w:tcPr>
          <w:p w14:paraId="49DA2A67" w14:textId="77777777" w:rsidR="00EC2A06" w:rsidRPr="00EC2A06" w:rsidRDefault="00EC2A06" w:rsidP="000F221E">
            <w:pPr>
              <w:rPr>
                <w:rFonts w:asciiTheme="majorHAnsi" w:eastAsia="Calibri" w:hAnsiTheme="majorHAnsi"/>
                <w:sz w:val="22"/>
                <w:szCs w:val="22"/>
              </w:rPr>
            </w:pPr>
          </w:p>
        </w:tc>
        <w:tc>
          <w:tcPr>
            <w:tcW w:w="2856" w:type="dxa"/>
            <w:noWrap/>
            <w:vAlign w:val="center"/>
            <w:hideMark/>
          </w:tcPr>
          <w:p w14:paraId="51999D17" w14:textId="77777777"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RED Rourkela</w:t>
            </w:r>
          </w:p>
        </w:tc>
      </w:tr>
      <w:tr w:rsidR="00EC2A06" w:rsidRPr="00EC2A06" w14:paraId="687EC78D" w14:textId="77777777" w:rsidTr="00EC2A06">
        <w:trPr>
          <w:gridAfter w:val="1"/>
          <w:wAfter w:w="6" w:type="dxa"/>
          <w:trHeight w:val="290"/>
          <w:jc w:val="center"/>
        </w:trPr>
        <w:tc>
          <w:tcPr>
            <w:tcW w:w="4395" w:type="dxa"/>
            <w:noWrap/>
            <w:vAlign w:val="center"/>
            <w:hideMark/>
          </w:tcPr>
          <w:p w14:paraId="78E70FAB" w14:textId="77777777" w:rsidR="00EC2A06" w:rsidRPr="00EC2A06" w:rsidRDefault="00EC2A06" w:rsidP="000F221E">
            <w:pPr>
              <w:jc w:val="center"/>
              <w:rPr>
                <w:rFonts w:asciiTheme="majorHAnsi" w:eastAsia="Calibri" w:hAnsiTheme="majorHAnsi"/>
                <w:sz w:val="22"/>
                <w:szCs w:val="22"/>
              </w:rPr>
            </w:pPr>
            <w:proofErr w:type="spellStart"/>
            <w:r w:rsidRPr="00EC2A06">
              <w:rPr>
                <w:rFonts w:asciiTheme="majorHAnsi" w:eastAsia="Calibri" w:hAnsiTheme="majorHAnsi"/>
                <w:sz w:val="22"/>
                <w:szCs w:val="22"/>
              </w:rPr>
              <w:t>Impelco</w:t>
            </w:r>
            <w:proofErr w:type="spellEnd"/>
            <w:r w:rsidRPr="00EC2A06">
              <w:rPr>
                <w:rFonts w:asciiTheme="majorHAnsi" w:eastAsia="Calibri" w:hAnsiTheme="majorHAnsi"/>
                <w:sz w:val="22"/>
                <w:szCs w:val="22"/>
              </w:rPr>
              <w:t xml:space="preserve"> Electric Company</w:t>
            </w:r>
          </w:p>
        </w:tc>
        <w:tc>
          <w:tcPr>
            <w:tcW w:w="2856" w:type="dxa"/>
            <w:noWrap/>
            <w:vAlign w:val="center"/>
            <w:hideMark/>
          </w:tcPr>
          <w:p w14:paraId="53511426" w14:textId="77777777"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SEED Sambalpur</w:t>
            </w:r>
          </w:p>
        </w:tc>
      </w:tr>
      <w:tr w:rsidR="00EC2A06" w:rsidRPr="00EC2A06" w14:paraId="6FAD5BEC" w14:textId="77777777" w:rsidTr="00EC2A06">
        <w:trPr>
          <w:gridAfter w:val="1"/>
          <w:wAfter w:w="6" w:type="dxa"/>
          <w:trHeight w:val="290"/>
          <w:jc w:val="center"/>
        </w:trPr>
        <w:tc>
          <w:tcPr>
            <w:tcW w:w="4395" w:type="dxa"/>
            <w:vMerge w:val="restart"/>
            <w:noWrap/>
            <w:vAlign w:val="center"/>
            <w:hideMark/>
          </w:tcPr>
          <w:p w14:paraId="62BA4C94" w14:textId="77777777"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MDSG Construction</w:t>
            </w:r>
          </w:p>
        </w:tc>
        <w:tc>
          <w:tcPr>
            <w:tcW w:w="2856" w:type="dxa"/>
            <w:noWrap/>
            <w:vAlign w:val="center"/>
            <w:hideMark/>
          </w:tcPr>
          <w:p w14:paraId="2018BA3C" w14:textId="77777777"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 xml:space="preserve">TED </w:t>
            </w:r>
            <w:proofErr w:type="spellStart"/>
            <w:r w:rsidRPr="00EC2A06">
              <w:rPr>
                <w:rFonts w:asciiTheme="majorHAnsi" w:eastAsia="Calibri" w:hAnsiTheme="majorHAnsi"/>
                <w:sz w:val="22"/>
                <w:szCs w:val="22"/>
              </w:rPr>
              <w:t>Titilagarh</w:t>
            </w:r>
            <w:proofErr w:type="spellEnd"/>
            <w:r w:rsidRPr="00EC2A06">
              <w:rPr>
                <w:rFonts w:asciiTheme="majorHAnsi" w:eastAsia="Calibri" w:hAnsiTheme="majorHAnsi"/>
                <w:sz w:val="22"/>
                <w:szCs w:val="22"/>
              </w:rPr>
              <w:t xml:space="preserve"> </w:t>
            </w:r>
          </w:p>
        </w:tc>
      </w:tr>
      <w:tr w:rsidR="00EC2A06" w:rsidRPr="00EC2A06" w14:paraId="58E62E8C" w14:textId="77777777" w:rsidTr="00EC2A06">
        <w:trPr>
          <w:gridAfter w:val="1"/>
          <w:wAfter w:w="6" w:type="dxa"/>
          <w:trHeight w:val="290"/>
          <w:jc w:val="center"/>
        </w:trPr>
        <w:tc>
          <w:tcPr>
            <w:tcW w:w="4395" w:type="dxa"/>
            <w:vMerge/>
            <w:vAlign w:val="center"/>
            <w:hideMark/>
          </w:tcPr>
          <w:p w14:paraId="68AC5B8D" w14:textId="77777777" w:rsidR="00EC2A06" w:rsidRPr="00EC2A06" w:rsidRDefault="00EC2A06" w:rsidP="000F221E">
            <w:pPr>
              <w:rPr>
                <w:rFonts w:asciiTheme="majorHAnsi" w:eastAsia="Calibri" w:hAnsiTheme="majorHAnsi"/>
                <w:sz w:val="22"/>
                <w:szCs w:val="22"/>
              </w:rPr>
            </w:pPr>
          </w:p>
        </w:tc>
        <w:tc>
          <w:tcPr>
            <w:tcW w:w="2856" w:type="dxa"/>
            <w:noWrap/>
            <w:vAlign w:val="center"/>
            <w:hideMark/>
          </w:tcPr>
          <w:p w14:paraId="374122F0" w14:textId="77777777"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 xml:space="preserve">NED </w:t>
            </w:r>
            <w:proofErr w:type="spellStart"/>
            <w:r w:rsidRPr="00EC2A06">
              <w:rPr>
                <w:rFonts w:asciiTheme="majorHAnsi" w:eastAsia="Calibri" w:hAnsiTheme="majorHAnsi"/>
                <w:sz w:val="22"/>
                <w:szCs w:val="22"/>
              </w:rPr>
              <w:t>Nuapada</w:t>
            </w:r>
            <w:proofErr w:type="spellEnd"/>
            <w:r w:rsidRPr="00EC2A06">
              <w:rPr>
                <w:rFonts w:asciiTheme="majorHAnsi" w:eastAsia="Calibri" w:hAnsiTheme="majorHAnsi"/>
                <w:sz w:val="22"/>
                <w:szCs w:val="22"/>
              </w:rPr>
              <w:t xml:space="preserve"> </w:t>
            </w:r>
          </w:p>
        </w:tc>
      </w:tr>
      <w:tr w:rsidR="00EC2A06" w:rsidRPr="00EC2A06" w14:paraId="4A114444" w14:textId="77777777" w:rsidTr="00EC2A06">
        <w:trPr>
          <w:gridAfter w:val="1"/>
          <w:wAfter w:w="6" w:type="dxa"/>
          <w:trHeight w:val="290"/>
          <w:jc w:val="center"/>
        </w:trPr>
        <w:tc>
          <w:tcPr>
            <w:tcW w:w="4395" w:type="dxa"/>
            <w:noWrap/>
            <w:vAlign w:val="center"/>
            <w:hideMark/>
          </w:tcPr>
          <w:p w14:paraId="11949724" w14:textId="77777777" w:rsidR="00EC2A06" w:rsidRPr="00EC2A06" w:rsidRDefault="00EC2A06" w:rsidP="000F221E">
            <w:pPr>
              <w:jc w:val="center"/>
              <w:rPr>
                <w:rFonts w:asciiTheme="majorHAnsi" w:eastAsia="Calibri" w:hAnsiTheme="majorHAnsi"/>
                <w:sz w:val="22"/>
                <w:szCs w:val="22"/>
              </w:rPr>
            </w:pPr>
            <w:proofErr w:type="spellStart"/>
            <w:r w:rsidRPr="00EC2A06">
              <w:rPr>
                <w:rFonts w:asciiTheme="majorHAnsi" w:eastAsia="Calibri" w:hAnsiTheme="majorHAnsi"/>
                <w:sz w:val="22"/>
                <w:szCs w:val="22"/>
              </w:rPr>
              <w:t>MegaCalibre</w:t>
            </w:r>
            <w:proofErr w:type="spellEnd"/>
            <w:r w:rsidRPr="00EC2A06">
              <w:rPr>
                <w:rFonts w:asciiTheme="majorHAnsi" w:eastAsia="Calibri" w:hAnsiTheme="majorHAnsi"/>
                <w:sz w:val="22"/>
                <w:szCs w:val="22"/>
              </w:rPr>
              <w:t xml:space="preserve"> Enterprises Pvt Ltd</w:t>
            </w:r>
          </w:p>
        </w:tc>
        <w:tc>
          <w:tcPr>
            <w:tcW w:w="2856" w:type="dxa"/>
            <w:noWrap/>
            <w:vAlign w:val="center"/>
            <w:hideMark/>
          </w:tcPr>
          <w:p w14:paraId="0C76F13C" w14:textId="77777777"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JED Jharsuguda</w:t>
            </w:r>
          </w:p>
        </w:tc>
      </w:tr>
      <w:tr w:rsidR="00EC2A06" w:rsidRPr="00EC2A06" w14:paraId="64B53330" w14:textId="77777777" w:rsidTr="00EC2A06">
        <w:trPr>
          <w:gridAfter w:val="1"/>
          <w:wAfter w:w="6" w:type="dxa"/>
          <w:trHeight w:val="290"/>
          <w:jc w:val="center"/>
        </w:trPr>
        <w:tc>
          <w:tcPr>
            <w:tcW w:w="4395" w:type="dxa"/>
            <w:noWrap/>
            <w:vAlign w:val="center"/>
            <w:hideMark/>
          </w:tcPr>
          <w:p w14:paraId="1374CAC2" w14:textId="77777777"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Nirmal Kumar Samantaray</w:t>
            </w:r>
          </w:p>
        </w:tc>
        <w:tc>
          <w:tcPr>
            <w:tcW w:w="2856" w:type="dxa"/>
            <w:noWrap/>
            <w:vAlign w:val="center"/>
            <w:hideMark/>
          </w:tcPr>
          <w:p w14:paraId="02933718" w14:textId="77777777"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SED Sambalpur</w:t>
            </w:r>
          </w:p>
        </w:tc>
      </w:tr>
      <w:tr w:rsidR="00EC2A06" w:rsidRPr="00EC2A06" w14:paraId="066781BD" w14:textId="77777777" w:rsidTr="00EC2A06">
        <w:trPr>
          <w:gridAfter w:val="1"/>
          <w:wAfter w:w="6" w:type="dxa"/>
          <w:trHeight w:val="290"/>
          <w:jc w:val="center"/>
        </w:trPr>
        <w:tc>
          <w:tcPr>
            <w:tcW w:w="4395" w:type="dxa"/>
            <w:noWrap/>
            <w:vAlign w:val="center"/>
            <w:hideMark/>
          </w:tcPr>
          <w:p w14:paraId="16799D5F" w14:textId="77777777"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SR Electricals</w:t>
            </w:r>
          </w:p>
        </w:tc>
        <w:tc>
          <w:tcPr>
            <w:tcW w:w="2856" w:type="dxa"/>
            <w:noWrap/>
            <w:vAlign w:val="center"/>
            <w:hideMark/>
          </w:tcPr>
          <w:p w14:paraId="52970354" w14:textId="77777777"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RED Rajgangpur</w:t>
            </w:r>
          </w:p>
        </w:tc>
      </w:tr>
      <w:tr w:rsidR="00EC2A06" w:rsidRPr="00EC2A06" w14:paraId="3497792C" w14:textId="77777777" w:rsidTr="00EC2A06">
        <w:trPr>
          <w:gridAfter w:val="1"/>
          <w:wAfter w:w="6" w:type="dxa"/>
          <w:trHeight w:val="290"/>
          <w:jc w:val="center"/>
        </w:trPr>
        <w:tc>
          <w:tcPr>
            <w:tcW w:w="4395" w:type="dxa"/>
            <w:noWrap/>
            <w:vAlign w:val="center"/>
            <w:hideMark/>
          </w:tcPr>
          <w:p w14:paraId="4BE8E96E" w14:textId="77777777"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Swastik Engineering</w:t>
            </w:r>
          </w:p>
        </w:tc>
        <w:tc>
          <w:tcPr>
            <w:tcW w:w="2856" w:type="dxa"/>
            <w:noWrap/>
            <w:vAlign w:val="center"/>
            <w:hideMark/>
          </w:tcPr>
          <w:p w14:paraId="414FFC86" w14:textId="77777777"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 xml:space="preserve">DED </w:t>
            </w:r>
            <w:proofErr w:type="spellStart"/>
            <w:r w:rsidRPr="00EC2A06">
              <w:rPr>
                <w:rFonts w:asciiTheme="majorHAnsi" w:eastAsia="Calibri" w:hAnsiTheme="majorHAnsi"/>
                <w:sz w:val="22"/>
                <w:szCs w:val="22"/>
              </w:rPr>
              <w:t>Deogarh</w:t>
            </w:r>
            <w:proofErr w:type="spellEnd"/>
          </w:p>
        </w:tc>
      </w:tr>
      <w:tr w:rsidR="00EC2A06" w:rsidRPr="00EC2A06" w14:paraId="311BE48D" w14:textId="77777777" w:rsidTr="00EC2A06">
        <w:trPr>
          <w:gridAfter w:val="1"/>
          <w:wAfter w:w="6" w:type="dxa"/>
          <w:trHeight w:val="290"/>
          <w:jc w:val="center"/>
        </w:trPr>
        <w:tc>
          <w:tcPr>
            <w:tcW w:w="4395" w:type="dxa"/>
            <w:noWrap/>
            <w:vAlign w:val="center"/>
            <w:hideMark/>
          </w:tcPr>
          <w:p w14:paraId="32105451" w14:textId="77777777" w:rsidR="00EC2A06" w:rsidRPr="00EC2A06" w:rsidRDefault="00EC2A06" w:rsidP="000F221E">
            <w:pPr>
              <w:jc w:val="center"/>
              <w:rPr>
                <w:rFonts w:asciiTheme="majorHAnsi" w:eastAsia="Calibri" w:hAnsiTheme="majorHAnsi"/>
                <w:sz w:val="22"/>
                <w:szCs w:val="22"/>
              </w:rPr>
            </w:pPr>
            <w:proofErr w:type="spellStart"/>
            <w:r w:rsidRPr="00EC2A06">
              <w:rPr>
                <w:rFonts w:asciiTheme="majorHAnsi" w:eastAsia="Calibri" w:hAnsiTheme="majorHAnsi"/>
                <w:sz w:val="22"/>
                <w:szCs w:val="22"/>
              </w:rPr>
              <w:t>Niyatee</w:t>
            </w:r>
            <w:proofErr w:type="spellEnd"/>
            <w:r w:rsidRPr="00EC2A06">
              <w:rPr>
                <w:rFonts w:asciiTheme="majorHAnsi" w:eastAsia="Calibri" w:hAnsiTheme="majorHAnsi"/>
                <w:sz w:val="22"/>
                <w:szCs w:val="22"/>
              </w:rPr>
              <w:t xml:space="preserve"> Foundation</w:t>
            </w:r>
          </w:p>
        </w:tc>
        <w:tc>
          <w:tcPr>
            <w:tcW w:w="2856" w:type="dxa"/>
            <w:noWrap/>
            <w:vAlign w:val="center"/>
            <w:hideMark/>
          </w:tcPr>
          <w:p w14:paraId="377F7E45" w14:textId="77777777" w:rsidR="00EC2A06" w:rsidRPr="00EC2A06" w:rsidRDefault="00EC2A06" w:rsidP="000F221E">
            <w:pPr>
              <w:jc w:val="center"/>
              <w:rPr>
                <w:rFonts w:asciiTheme="majorHAnsi" w:eastAsia="Calibri" w:hAnsiTheme="majorHAnsi"/>
                <w:sz w:val="22"/>
                <w:szCs w:val="22"/>
              </w:rPr>
            </w:pPr>
            <w:r w:rsidRPr="00EC2A06">
              <w:rPr>
                <w:rFonts w:asciiTheme="majorHAnsi" w:eastAsia="Calibri" w:hAnsiTheme="majorHAnsi"/>
                <w:sz w:val="22"/>
                <w:szCs w:val="22"/>
              </w:rPr>
              <w:t>SED Sundargarh</w:t>
            </w:r>
          </w:p>
        </w:tc>
      </w:tr>
    </w:tbl>
    <w:p w14:paraId="5533D139" w14:textId="77777777" w:rsidR="003C789B" w:rsidRPr="0084255F" w:rsidRDefault="003C789B" w:rsidP="003C789B">
      <w:pPr>
        <w:spacing w:line="240" w:lineRule="atLeast"/>
        <w:jc w:val="center"/>
        <w:rPr>
          <w:rFonts w:ascii="Cambria" w:hAnsi="Cambria"/>
          <w:b/>
          <w:bCs/>
        </w:rPr>
      </w:pPr>
    </w:p>
    <w:p w14:paraId="0ADA8639" w14:textId="77777777" w:rsidR="00B260F3" w:rsidRDefault="00B260F3" w:rsidP="003C789B">
      <w:pPr>
        <w:spacing w:line="240" w:lineRule="atLeast"/>
        <w:rPr>
          <w:rFonts w:ascii="Cambria" w:hAnsi="Cambria"/>
          <w:b/>
          <w:bCs/>
        </w:rPr>
      </w:pPr>
    </w:p>
    <w:p w14:paraId="1E6353BF" w14:textId="77777777" w:rsidR="00C534D8" w:rsidRDefault="00C534D8" w:rsidP="003C789B">
      <w:pPr>
        <w:spacing w:line="240" w:lineRule="atLeast"/>
        <w:rPr>
          <w:rFonts w:ascii="Cambria" w:hAnsi="Cambria"/>
          <w:b/>
          <w:bCs/>
        </w:rPr>
      </w:pPr>
    </w:p>
    <w:p w14:paraId="59810579" w14:textId="0A55F34C" w:rsidR="003C789B" w:rsidRDefault="003C789B" w:rsidP="003C789B">
      <w:pPr>
        <w:spacing w:line="240" w:lineRule="atLeast"/>
        <w:rPr>
          <w:rFonts w:ascii="Cambria" w:hAnsi="Cambria"/>
          <w:b/>
          <w:bCs/>
        </w:rPr>
      </w:pPr>
      <w:r w:rsidRPr="0084255F">
        <w:rPr>
          <w:rFonts w:ascii="Cambria" w:hAnsi="Cambria"/>
          <w:b/>
          <w:bCs/>
        </w:rPr>
        <w:t>Coverage Area/ Extent of Applicability:</w:t>
      </w:r>
    </w:p>
    <w:p w14:paraId="6F99DE9E" w14:textId="77777777" w:rsidR="008A3963" w:rsidRPr="0084255F" w:rsidRDefault="008A3963" w:rsidP="003C789B">
      <w:pPr>
        <w:spacing w:line="240" w:lineRule="atLeast"/>
        <w:rPr>
          <w:rFonts w:ascii="Cambria" w:hAnsi="Cambria"/>
          <w:b/>
          <w:bCs/>
        </w:rPr>
      </w:pPr>
    </w:p>
    <w:p w14:paraId="052593CC" w14:textId="77777777" w:rsidR="003C789B" w:rsidRPr="0084255F" w:rsidRDefault="003C789B" w:rsidP="003C789B">
      <w:pPr>
        <w:spacing w:line="360" w:lineRule="auto"/>
        <w:jc w:val="both"/>
        <w:rPr>
          <w:rFonts w:ascii="Cambria" w:hAnsi="Cambria"/>
        </w:rPr>
      </w:pPr>
      <w:r w:rsidRPr="0084255F">
        <w:rPr>
          <w:rFonts w:ascii="Cambria" w:hAnsi="Cambria"/>
        </w:rPr>
        <w:t>This includes a complete operating area of TPWODL which includes:</w:t>
      </w:r>
    </w:p>
    <w:tbl>
      <w:tblPr>
        <w:tblpPr w:leftFromText="180" w:rightFromText="180" w:vertAnchor="text" w:horzAnchor="margin" w:tblpXSpec="center" w:tblpY="145"/>
        <w:tblW w:w="5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1241"/>
        <w:gridCol w:w="1559"/>
        <w:gridCol w:w="1134"/>
      </w:tblGrid>
      <w:tr w:rsidR="00E72273" w:rsidRPr="0084255F" w14:paraId="3C4D87F1" w14:textId="77777777" w:rsidTr="001F21DF">
        <w:trPr>
          <w:trHeight w:val="254"/>
          <w:tblHeader/>
        </w:trPr>
        <w:tc>
          <w:tcPr>
            <w:tcW w:w="1448" w:type="dxa"/>
            <w:noWrap/>
            <w:vAlign w:val="center"/>
            <w:hideMark/>
          </w:tcPr>
          <w:p w14:paraId="02CEEDCA" w14:textId="77777777" w:rsidR="00E72273" w:rsidRPr="0084255F" w:rsidRDefault="00E72273" w:rsidP="001F21DF">
            <w:pPr>
              <w:spacing w:line="240" w:lineRule="atLeast"/>
              <w:jc w:val="center"/>
              <w:rPr>
                <w:rFonts w:ascii="Cambria" w:hAnsi="Cambria"/>
                <w:b/>
                <w:bCs/>
                <w:sz w:val="22"/>
                <w:szCs w:val="22"/>
              </w:rPr>
            </w:pPr>
            <w:r w:rsidRPr="0084255F">
              <w:rPr>
                <w:rFonts w:ascii="Cambria" w:hAnsi="Cambria"/>
                <w:b/>
                <w:bCs/>
                <w:sz w:val="22"/>
                <w:szCs w:val="22"/>
              </w:rPr>
              <w:t>C</w:t>
            </w:r>
            <w:r>
              <w:rPr>
                <w:rFonts w:ascii="Cambria" w:hAnsi="Cambria"/>
                <w:b/>
                <w:bCs/>
                <w:sz w:val="22"/>
                <w:szCs w:val="22"/>
              </w:rPr>
              <w:t>ircle Name</w:t>
            </w:r>
          </w:p>
        </w:tc>
        <w:tc>
          <w:tcPr>
            <w:tcW w:w="1241" w:type="dxa"/>
            <w:noWrap/>
            <w:vAlign w:val="center"/>
            <w:hideMark/>
          </w:tcPr>
          <w:p w14:paraId="578515D4" w14:textId="77777777" w:rsidR="00E72273" w:rsidRPr="0084255F" w:rsidRDefault="00E72273" w:rsidP="001F21DF">
            <w:pPr>
              <w:spacing w:line="240" w:lineRule="atLeast"/>
              <w:jc w:val="center"/>
              <w:rPr>
                <w:rFonts w:ascii="Cambria" w:hAnsi="Cambria"/>
                <w:b/>
                <w:bCs/>
                <w:sz w:val="22"/>
                <w:szCs w:val="22"/>
              </w:rPr>
            </w:pPr>
            <w:r>
              <w:rPr>
                <w:rFonts w:ascii="Cambria" w:hAnsi="Cambria"/>
                <w:b/>
                <w:bCs/>
                <w:sz w:val="22"/>
                <w:szCs w:val="22"/>
              </w:rPr>
              <w:t>Division</w:t>
            </w:r>
          </w:p>
        </w:tc>
        <w:tc>
          <w:tcPr>
            <w:tcW w:w="1559" w:type="dxa"/>
            <w:noWrap/>
            <w:vAlign w:val="center"/>
            <w:hideMark/>
          </w:tcPr>
          <w:p w14:paraId="27A34FBE" w14:textId="77777777" w:rsidR="00E72273" w:rsidRPr="0084255F" w:rsidRDefault="00E72273" w:rsidP="001F21DF">
            <w:pPr>
              <w:spacing w:line="240" w:lineRule="atLeast"/>
              <w:jc w:val="center"/>
              <w:rPr>
                <w:rFonts w:ascii="Cambria" w:hAnsi="Cambria"/>
                <w:b/>
                <w:bCs/>
                <w:sz w:val="22"/>
                <w:szCs w:val="22"/>
              </w:rPr>
            </w:pPr>
            <w:r w:rsidRPr="0084255F">
              <w:rPr>
                <w:rFonts w:ascii="Cambria" w:hAnsi="Cambria"/>
                <w:b/>
                <w:bCs/>
                <w:sz w:val="22"/>
                <w:szCs w:val="22"/>
              </w:rPr>
              <w:t>S</w:t>
            </w:r>
            <w:r>
              <w:rPr>
                <w:rFonts w:ascii="Cambria" w:hAnsi="Cambria"/>
                <w:b/>
                <w:bCs/>
                <w:sz w:val="22"/>
                <w:szCs w:val="22"/>
              </w:rPr>
              <w:t>ub-Division</w:t>
            </w:r>
          </w:p>
        </w:tc>
        <w:tc>
          <w:tcPr>
            <w:tcW w:w="1134" w:type="dxa"/>
            <w:noWrap/>
            <w:vAlign w:val="center"/>
            <w:hideMark/>
          </w:tcPr>
          <w:p w14:paraId="3F3701D1" w14:textId="77777777" w:rsidR="00E72273" w:rsidRPr="0084255F" w:rsidRDefault="00E72273" w:rsidP="001F21DF">
            <w:pPr>
              <w:spacing w:line="240" w:lineRule="atLeast"/>
              <w:jc w:val="center"/>
              <w:rPr>
                <w:rFonts w:ascii="Cambria" w:hAnsi="Cambria"/>
                <w:b/>
                <w:bCs/>
                <w:sz w:val="22"/>
                <w:szCs w:val="22"/>
              </w:rPr>
            </w:pPr>
            <w:r>
              <w:rPr>
                <w:rFonts w:ascii="Cambria" w:hAnsi="Cambria"/>
                <w:b/>
                <w:bCs/>
                <w:sz w:val="22"/>
                <w:szCs w:val="22"/>
              </w:rPr>
              <w:t>Section</w:t>
            </w:r>
          </w:p>
        </w:tc>
      </w:tr>
      <w:tr w:rsidR="00E72273" w:rsidRPr="0084255F" w14:paraId="3E66A27D" w14:textId="77777777" w:rsidTr="001F21DF">
        <w:trPr>
          <w:trHeight w:val="254"/>
        </w:trPr>
        <w:tc>
          <w:tcPr>
            <w:tcW w:w="1448" w:type="dxa"/>
            <w:noWrap/>
            <w:vAlign w:val="bottom"/>
            <w:hideMark/>
          </w:tcPr>
          <w:p w14:paraId="0564FA4D" w14:textId="77777777" w:rsidR="00E72273" w:rsidRPr="001608D7" w:rsidRDefault="00E72273" w:rsidP="001F21DF">
            <w:pPr>
              <w:spacing w:line="240" w:lineRule="atLeast"/>
              <w:jc w:val="center"/>
              <w:rPr>
                <w:rFonts w:ascii="Cambria" w:hAnsi="Cambria"/>
                <w:bCs/>
                <w:sz w:val="22"/>
                <w:szCs w:val="22"/>
              </w:rPr>
            </w:pPr>
            <w:r w:rsidRPr="001608D7">
              <w:rPr>
                <w:rFonts w:ascii="Cambria" w:hAnsi="Cambria"/>
                <w:bCs/>
                <w:sz w:val="22"/>
                <w:szCs w:val="22"/>
              </w:rPr>
              <w:t>Rourkela</w:t>
            </w:r>
          </w:p>
        </w:tc>
        <w:tc>
          <w:tcPr>
            <w:tcW w:w="1241" w:type="dxa"/>
            <w:noWrap/>
            <w:vAlign w:val="center"/>
            <w:hideMark/>
          </w:tcPr>
          <w:p w14:paraId="0DE315F8" w14:textId="77777777" w:rsidR="00E72273" w:rsidRPr="00483071" w:rsidRDefault="00E72273" w:rsidP="001F21DF">
            <w:pPr>
              <w:spacing w:line="240" w:lineRule="atLeast"/>
              <w:jc w:val="center"/>
              <w:rPr>
                <w:rFonts w:ascii="Cambria" w:hAnsi="Cambria"/>
                <w:sz w:val="22"/>
                <w:szCs w:val="22"/>
              </w:rPr>
            </w:pPr>
            <w:r w:rsidRPr="00483071">
              <w:rPr>
                <w:rFonts w:ascii="Cambria" w:hAnsi="Cambria"/>
                <w:sz w:val="22"/>
                <w:szCs w:val="22"/>
              </w:rPr>
              <w:t>4</w:t>
            </w:r>
          </w:p>
        </w:tc>
        <w:tc>
          <w:tcPr>
            <w:tcW w:w="1559" w:type="dxa"/>
            <w:noWrap/>
            <w:vAlign w:val="center"/>
            <w:hideMark/>
          </w:tcPr>
          <w:p w14:paraId="5BCE9532" w14:textId="77777777" w:rsidR="00E72273" w:rsidRPr="00483071" w:rsidRDefault="00E72273" w:rsidP="001F21DF">
            <w:pPr>
              <w:spacing w:line="240" w:lineRule="atLeast"/>
              <w:jc w:val="center"/>
              <w:rPr>
                <w:rFonts w:ascii="Cambria" w:hAnsi="Cambria"/>
                <w:sz w:val="22"/>
                <w:szCs w:val="22"/>
              </w:rPr>
            </w:pPr>
            <w:r w:rsidRPr="00483071">
              <w:rPr>
                <w:rFonts w:ascii="Cambria" w:hAnsi="Cambria"/>
                <w:sz w:val="22"/>
                <w:szCs w:val="22"/>
              </w:rPr>
              <w:t>13</w:t>
            </w:r>
          </w:p>
        </w:tc>
        <w:tc>
          <w:tcPr>
            <w:tcW w:w="1134" w:type="dxa"/>
            <w:noWrap/>
            <w:vAlign w:val="center"/>
            <w:hideMark/>
          </w:tcPr>
          <w:p w14:paraId="1F3E91A8" w14:textId="77777777" w:rsidR="00E72273" w:rsidRPr="00483071" w:rsidRDefault="00E72273" w:rsidP="001F21DF">
            <w:pPr>
              <w:spacing w:line="240" w:lineRule="atLeast"/>
              <w:jc w:val="center"/>
              <w:rPr>
                <w:rFonts w:ascii="Cambria" w:hAnsi="Cambria"/>
                <w:sz w:val="22"/>
                <w:szCs w:val="22"/>
              </w:rPr>
            </w:pPr>
            <w:r w:rsidRPr="00483071">
              <w:rPr>
                <w:rFonts w:ascii="Cambria" w:hAnsi="Cambria"/>
                <w:sz w:val="22"/>
                <w:szCs w:val="22"/>
              </w:rPr>
              <w:t>45</w:t>
            </w:r>
          </w:p>
        </w:tc>
      </w:tr>
      <w:tr w:rsidR="00E72273" w:rsidRPr="0084255F" w14:paraId="55E01475" w14:textId="77777777" w:rsidTr="001F21DF">
        <w:trPr>
          <w:trHeight w:val="254"/>
        </w:trPr>
        <w:tc>
          <w:tcPr>
            <w:tcW w:w="1448" w:type="dxa"/>
            <w:noWrap/>
            <w:vAlign w:val="bottom"/>
            <w:hideMark/>
          </w:tcPr>
          <w:p w14:paraId="027461B1" w14:textId="77777777" w:rsidR="00E72273" w:rsidRPr="001608D7" w:rsidRDefault="00E72273" w:rsidP="001F21DF">
            <w:pPr>
              <w:spacing w:line="240" w:lineRule="atLeast"/>
              <w:jc w:val="center"/>
              <w:rPr>
                <w:rFonts w:ascii="Cambria" w:hAnsi="Cambria"/>
                <w:bCs/>
                <w:sz w:val="22"/>
                <w:szCs w:val="22"/>
              </w:rPr>
            </w:pPr>
            <w:r w:rsidRPr="001608D7">
              <w:rPr>
                <w:rFonts w:ascii="Cambria" w:hAnsi="Cambria"/>
                <w:bCs/>
                <w:sz w:val="22"/>
                <w:szCs w:val="22"/>
              </w:rPr>
              <w:t>Sambalpur</w:t>
            </w:r>
          </w:p>
        </w:tc>
        <w:tc>
          <w:tcPr>
            <w:tcW w:w="1241" w:type="dxa"/>
            <w:noWrap/>
            <w:vAlign w:val="center"/>
            <w:hideMark/>
          </w:tcPr>
          <w:p w14:paraId="45D47354" w14:textId="77777777" w:rsidR="00E72273" w:rsidRPr="00483071" w:rsidRDefault="00E72273" w:rsidP="001F21DF">
            <w:pPr>
              <w:spacing w:line="240" w:lineRule="atLeast"/>
              <w:jc w:val="center"/>
              <w:rPr>
                <w:rFonts w:ascii="Cambria" w:hAnsi="Cambria"/>
                <w:sz w:val="22"/>
                <w:szCs w:val="22"/>
              </w:rPr>
            </w:pPr>
            <w:r w:rsidRPr="00483071">
              <w:rPr>
                <w:rFonts w:ascii="Cambria" w:hAnsi="Cambria"/>
                <w:sz w:val="22"/>
                <w:szCs w:val="22"/>
              </w:rPr>
              <w:t>5</w:t>
            </w:r>
          </w:p>
        </w:tc>
        <w:tc>
          <w:tcPr>
            <w:tcW w:w="1559" w:type="dxa"/>
            <w:noWrap/>
            <w:vAlign w:val="center"/>
            <w:hideMark/>
          </w:tcPr>
          <w:p w14:paraId="025947EC" w14:textId="77777777" w:rsidR="00E72273" w:rsidRPr="00483071" w:rsidRDefault="00E72273" w:rsidP="001F21DF">
            <w:pPr>
              <w:spacing w:line="240" w:lineRule="atLeast"/>
              <w:jc w:val="center"/>
              <w:rPr>
                <w:rFonts w:ascii="Cambria" w:hAnsi="Cambria"/>
                <w:sz w:val="22"/>
                <w:szCs w:val="22"/>
              </w:rPr>
            </w:pPr>
            <w:r w:rsidRPr="00483071">
              <w:rPr>
                <w:rFonts w:ascii="Cambria" w:hAnsi="Cambria"/>
                <w:sz w:val="22"/>
                <w:szCs w:val="22"/>
              </w:rPr>
              <w:t>14</w:t>
            </w:r>
          </w:p>
        </w:tc>
        <w:tc>
          <w:tcPr>
            <w:tcW w:w="1134" w:type="dxa"/>
            <w:noWrap/>
            <w:vAlign w:val="center"/>
            <w:hideMark/>
          </w:tcPr>
          <w:p w14:paraId="3628CA27" w14:textId="77777777" w:rsidR="00E72273" w:rsidRPr="00483071" w:rsidRDefault="00E72273" w:rsidP="001F21DF">
            <w:pPr>
              <w:spacing w:line="240" w:lineRule="atLeast"/>
              <w:jc w:val="center"/>
              <w:rPr>
                <w:rFonts w:ascii="Cambria" w:hAnsi="Cambria"/>
                <w:sz w:val="22"/>
                <w:szCs w:val="22"/>
              </w:rPr>
            </w:pPr>
            <w:r w:rsidRPr="00483071">
              <w:rPr>
                <w:rFonts w:ascii="Cambria" w:hAnsi="Cambria"/>
                <w:sz w:val="22"/>
                <w:szCs w:val="22"/>
              </w:rPr>
              <w:t>57</w:t>
            </w:r>
          </w:p>
        </w:tc>
      </w:tr>
      <w:tr w:rsidR="00E72273" w:rsidRPr="0084255F" w14:paraId="2D23CA94" w14:textId="77777777" w:rsidTr="001F21DF">
        <w:trPr>
          <w:trHeight w:val="254"/>
        </w:trPr>
        <w:tc>
          <w:tcPr>
            <w:tcW w:w="1448" w:type="dxa"/>
            <w:noWrap/>
            <w:vAlign w:val="bottom"/>
            <w:hideMark/>
          </w:tcPr>
          <w:p w14:paraId="107DB8A1" w14:textId="77777777" w:rsidR="00E72273" w:rsidRPr="001608D7" w:rsidRDefault="00E72273" w:rsidP="001F21DF">
            <w:pPr>
              <w:spacing w:line="240" w:lineRule="atLeast"/>
              <w:jc w:val="center"/>
              <w:rPr>
                <w:rFonts w:ascii="Cambria" w:hAnsi="Cambria"/>
                <w:bCs/>
                <w:sz w:val="22"/>
                <w:szCs w:val="22"/>
              </w:rPr>
            </w:pPr>
            <w:r w:rsidRPr="001608D7">
              <w:rPr>
                <w:rFonts w:ascii="Cambria" w:hAnsi="Cambria"/>
                <w:bCs/>
                <w:sz w:val="22"/>
                <w:szCs w:val="22"/>
              </w:rPr>
              <w:t>Bargarh</w:t>
            </w:r>
          </w:p>
        </w:tc>
        <w:tc>
          <w:tcPr>
            <w:tcW w:w="1241" w:type="dxa"/>
            <w:noWrap/>
            <w:vAlign w:val="center"/>
            <w:hideMark/>
          </w:tcPr>
          <w:p w14:paraId="4220B016" w14:textId="77777777" w:rsidR="00E72273" w:rsidRPr="00483071" w:rsidRDefault="00E72273" w:rsidP="001F21DF">
            <w:pPr>
              <w:spacing w:line="240" w:lineRule="atLeast"/>
              <w:jc w:val="center"/>
              <w:rPr>
                <w:rFonts w:ascii="Cambria" w:hAnsi="Cambria"/>
                <w:sz w:val="22"/>
                <w:szCs w:val="22"/>
              </w:rPr>
            </w:pPr>
            <w:r w:rsidRPr="00483071">
              <w:rPr>
                <w:rFonts w:ascii="Cambria" w:hAnsi="Cambria"/>
                <w:sz w:val="22"/>
                <w:szCs w:val="22"/>
              </w:rPr>
              <w:t>2</w:t>
            </w:r>
          </w:p>
        </w:tc>
        <w:tc>
          <w:tcPr>
            <w:tcW w:w="1559" w:type="dxa"/>
            <w:noWrap/>
            <w:vAlign w:val="center"/>
            <w:hideMark/>
          </w:tcPr>
          <w:p w14:paraId="7B100D49" w14:textId="77777777" w:rsidR="00E72273" w:rsidRPr="00483071" w:rsidRDefault="00E72273" w:rsidP="001F21DF">
            <w:pPr>
              <w:spacing w:line="240" w:lineRule="atLeast"/>
              <w:jc w:val="center"/>
              <w:rPr>
                <w:rFonts w:ascii="Cambria" w:hAnsi="Cambria"/>
                <w:sz w:val="22"/>
                <w:szCs w:val="22"/>
              </w:rPr>
            </w:pPr>
            <w:r w:rsidRPr="00483071">
              <w:rPr>
                <w:rFonts w:ascii="Cambria" w:hAnsi="Cambria"/>
                <w:sz w:val="22"/>
                <w:szCs w:val="22"/>
              </w:rPr>
              <w:t>9</w:t>
            </w:r>
          </w:p>
        </w:tc>
        <w:tc>
          <w:tcPr>
            <w:tcW w:w="1134" w:type="dxa"/>
            <w:noWrap/>
            <w:vAlign w:val="center"/>
            <w:hideMark/>
          </w:tcPr>
          <w:p w14:paraId="31DAACCC" w14:textId="77777777" w:rsidR="00E72273" w:rsidRPr="00483071" w:rsidRDefault="00E72273" w:rsidP="001F21DF">
            <w:pPr>
              <w:spacing w:line="240" w:lineRule="atLeast"/>
              <w:jc w:val="center"/>
              <w:rPr>
                <w:rFonts w:ascii="Cambria" w:hAnsi="Cambria"/>
                <w:sz w:val="22"/>
                <w:szCs w:val="22"/>
              </w:rPr>
            </w:pPr>
            <w:r w:rsidRPr="00483071">
              <w:rPr>
                <w:rFonts w:ascii="Cambria" w:hAnsi="Cambria"/>
                <w:sz w:val="22"/>
                <w:szCs w:val="22"/>
              </w:rPr>
              <w:t>31</w:t>
            </w:r>
          </w:p>
        </w:tc>
      </w:tr>
      <w:tr w:rsidR="00E72273" w:rsidRPr="0084255F" w14:paraId="0383B1A6" w14:textId="77777777" w:rsidTr="001F21DF">
        <w:trPr>
          <w:trHeight w:val="254"/>
        </w:trPr>
        <w:tc>
          <w:tcPr>
            <w:tcW w:w="1448" w:type="dxa"/>
            <w:noWrap/>
            <w:vAlign w:val="bottom"/>
          </w:tcPr>
          <w:p w14:paraId="511F59A5" w14:textId="77777777" w:rsidR="00E72273" w:rsidRPr="001608D7" w:rsidRDefault="00E72273" w:rsidP="001F21DF">
            <w:pPr>
              <w:spacing w:line="240" w:lineRule="atLeast"/>
              <w:jc w:val="center"/>
              <w:rPr>
                <w:rFonts w:ascii="Cambria" w:hAnsi="Cambria"/>
                <w:bCs/>
                <w:sz w:val="22"/>
                <w:szCs w:val="22"/>
              </w:rPr>
            </w:pPr>
            <w:r w:rsidRPr="001608D7">
              <w:rPr>
                <w:rFonts w:ascii="Cambria" w:hAnsi="Cambria"/>
                <w:bCs/>
                <w:sz w:val="22"/>
                <w:szCs w:val="22"/>
              </w:rPr>
              <w:t>Bolangir</w:t>
            </w:r>
          </w:p>
        </w:tc>
        <w:tc>
          <w:tcPr>
            <w:tcW w:w="1241" w:type="dxa"/>
            <w:noWrap/>
            <w:vAlign w:val="center"/>
          </w:tcPr>
          <w:p w14:paraId="3ABEEC87" w14:textId="77777777" w:rsidR="00E72273" w:rsidRPr="00483071" w:rsidRDefault="00E72273" w:rsidP="001F21DF">
            <w:pPr>
              <w:spacing w:line="240" w:lineRule="atLeast"/>
              <w:jc w:val="center"/>
              <w:rPr>
                <w:rFonts w:ascii="Cambria" w:hAnsi="Cambria"/>
                <w:sz w:val="22"/>
                <w:szCs w:val="22"/>
              </w:rPr>
            </w:pPr>
            <w:r w:rsidRPr="00483071">
              <w:rPr>
                <w:rFonts w:ascii="Cambria" w:hAnsi="Cambria"/>
                <w:sz w:val="22"/>
                <w:szCs w:val="22"/>
              </w:rPr>
              <w:t>3</w:t>
            </w:r>
          </w:p>
        </w:tc>
        <w:tc>
          <w:tcPr>
            <w:tcW w:w="1559" w:type="dxa"/>
            <w:noWrap/>
            <w:vAlign w:val="center"/>
          </w:tcPr>
          <w:p w14:paraId="4984CBDD" w14:textId="77777777" w:rsidR="00E72273" w:rsidRPr="00483071" w:rsidRDefault="00E72273" w:rsidP="001F21DF">
            <w:pPr>
              <w:spacing w:line="240" w:lineRule="atLeast"/>
              <w:jc w:val="center"/>
              <w:rPr>
                <w:rFonts w:ascii="Cambria" w:hAnsi="Cambria"/>
                <w:sz w:val="22"/>
                <w:szCs w:val="22"/>
              </w:rPr>
            </w:pPr>
            <w:r w:rsidRPr="00483071">
              <w:rPr>
                <w:rFonts w:ascii="Cambria" w:hAnsi="Cambria"/>
                <w:sz w:val="22"/>
                <w:szCs w:val="22"/>
              </w:rPr>
              <w:t>11</w:t>
            </w:r>
          </w:p>
        </w:tc>
        <w:tc>
          <w:tcPr>
            <w:tcW w:w="1134" w:type="dxa"/>
            <w:noWrap/>
            <w:vAlign w:val="center"/>
          </w:tcPr>
          <w:p w14:paraId="068DA871" w14:textId="77777777" w:rsidR="00E72273" w:rsidRPr="00483071" w:rsidRDefault="00E72273" w:rsidP="001F21DF">
            <w:pPr>
              <w:spacing w:line="240" w:lineRule="atLeast"/>
              <w:jc w:val="center"/>
              <w:rPr>
                <w:rFonts w:ascii="Cambria" w:hAnsi="Cambria"/>
                <w:sz w:val="22"/>
                <w:szCs w:val="22"/>
              </w:rPr>
            </w:pPr>
            <w:r w:rsidRPr="00483071">
              <w:rPr>
                <w:rFonts w:ascii="Cambria" w:hAnsi="Cambria"/>
                <w:sz w:val="22"/>
                <w:szCs w:val="22"/>
              </w:rPr>
              <w:t>36</w:t>
            </w:r>
          </w:p>
        </w:tc>
      </w:tr>
      <w:tr w:rsidR="00E72273" w:rsidRPr="0084255F" w14:paraId="5C30CC18" w14:textId="77777777" w:rsidTr="001F21DF">
        <w:trPr>
          <w:trHeight w:val="254"/>
        </w:trPr>
        <w:tc>
          <w:tcPr>
            <w:tcW w:w="1448" w:type="dxa"/>
            <w:noWrap/>
            <w:vAlign w:val="bottom"/>
          </w:tcPr>
          <w:p w14:paraId="6E42E26D" w14:textId="77777777" w:rsidR="00E72273" w:rsidRPr="001608D7" w:rsidRDefault="00E72273" w:rsidP="001F21DF">
            <w:pPr>
              <w:spacing w:line="240" w:lineRule="atLeast"/>
              <w:jc w:val="center"/>
              <w:rPr>
                <w:rFonts w:ascii="Cambria" w:hAnsi="Cambria"/>
                <w:bCs/>
                <w:sz w:val="22"/>
                <w:szCs w:val="22"/>
              </w:rPr>
            </w:pPr>
            <w:r w:rsidRPr="001608D7">
              <w:rPr>
                <w:rFonts w:ascii="Cambria" w:hAnsi="Cambria"/>
                <w:bCs/>
                <w:sz w:val="22"/>
                <w:szCs w:val="22"/>
              </w:rPr>
              <w:t>Kalahandi</w:t>
            </w:r>
          </w:p>
        </w:tc>
        <w:tc>
          <w:tcPr>
            <w:tcW w:w="1241" w:type="dxa"/>
            <w:noWrap/>
            <w:vAlign w:val="center"/>
          </w:tcPr>
          <w:p w14:paraId="16F5677C" w14:textId="77777777" w:rsidR="00E72273" w:rsidRPr="00483071" w:rsidRDefault="00E72273" w:rsidP="001F21DF">
            <w:pPr>
              <w:spacing w:line="240" w:lineRule="atLeast"/>
              <w:jc w:val="center"/>
              <w:rPr>
                <w:rFonts w:ascii="Cambria" w:hAnsi="Cambria"/>
                <w:sz w:val="22"/>
                <w:szCs w:val="22"/>
              </w:rPr>
            </w:pPr>
            <w:r w:rsidRPr="00483071">
              <w:rPr>
                <w:rFonts w:ascii="Cambria" w:hAnsi="Cambria"/>
                <w:sz w:val="22"/>
                <w:szCs w:val="22"/>
              </w:rPr>
              <w:t>3</w:t>
            </w:r>
          </w:p>
        </w:tc>
        <w:tc>
          <w:tcPr>
            <w:tcW w:w="1559" w:type="dxa"/>
            <w:noWrap/>
            <w:vAlign w:val="center"/>
          </w:tcPr>
          <w:p w14:paraId="5F8FCB80" w14:textId="77777777" w:rsidR="00E72273" w:rsidRPr="00483071" w:rsidRDefault="00E72273" w:rsidP="001F21DF">
            <w:pPr>
              <w:spacing w:line="240" w:lineRule="atLeast"/>
              <w:jc w:val="center"/>
              <w:rPr>
                <w:rFonts w:ascii="Cambria" w:hAnsi="Cambria"/>
                <w:sz w:val="22"/>
                <w:szCs w:val="22"/>
              </w:rPr>
            </w:pPr>
            <w:r w:rsidRPr="00483071">
              <w:rPr>
                <w:rFonts w:ascii="Cambria" w:hAnsi="Cambria"/>
                <w:sz w:val="22"/>
                <w:szCs w:val="22"/>
              </w:rPr>
              <w:t>10</w:t>
            </w:r>
          </w:p>
        </w:tc>
        <w:tc>
          <w:tcPr>
            <w:tcW w:w="1134" w:type="dxa"/>
            <w:noWrap/>
            <w:vAlign w:val="center"/>
          </w:tcPr>
          <w:p w14:paraId="2A7EC3F8" w14:textId="77777777" w:rsidR="00E72273" w:rsidRPr="00483071" w:rsidRDefault="00E72273" w:rsidP="001F21DF">
            <w:pPr>
              <w:spacing w:line="240" w:lineRule="atLeast"/>
              <w:jc w:val="center"/>
              <w:rPr>
                <w:rFonts w:ascii="Cambria" w:hAnsi="Cambria"/>
                <w:sz w:val="22"/>
                <w:szCs w:val="22"/>
              </w:rPr>
            </w:pPr>
            <w:r w:rsidRPr="00483071">
              <w:rPr>
                <w:rFonts w:ascii="Cambria" w:hAnsi="Cambria"/>
                <w:sz w:val="22"/>
                <w:szCs w:val="22"/>
              </w:rPr>
              <w:t>32</w:t>
            </w:r>
          </w:p>
        </w:tc>
      </w:tr>
      <w:tr w:rsidR="00E72273" w:rsidRPr="0084255F" w14:paraId="15B87FCC" w14:textId="77777777" w:rsidTr="001F21DF">
        <w:trPr>
          <w:trHeight w:val="254"/>
        </w:trPr>
        <w:tc>
          <w:tcPr>
            <w:tcW w:w="1448" w:type="dxa"/>
            <w:noWrap/>
            <w:vAlign w:val="bottom"/>
          </w:tcPr>
          <w:p w14:paraId="5712AE1A" w14:textId="77777777" w:rsidR="00E72273" w:rsidRPr="0084255F" w:rsidRDefault="00E72273" w:rsidP="001F21DF">
            <w:pPr>
              <w:spacing w:line="240" w:lineRule="atLeast"/>
              <w:jc w:val="center"/>
              <w:rPr>
                <w:rFonts w:ascii="Cambria" w:hAnsi="Cambria"/>
                <w:b/>
                <w:bCs/>
                <w:sz w:val="22"/>
                <w:szCs w:val="22"/>
              </w:rPr>
            </w:pPr>
            <w:r>
              <w:rPr>
                <w:rFonts w:ascii="Cambria" w:hAnsi="Cambria"/>
                <w:b/>
                <w:bCs/>
                <w:sz w:val="22"/>
                <w:szCs w:val="22"/>
              </w:rPr>
              <w:t>Total</w:t>
            </w:r>
          </w:p>
        </w:tc>
        <w:tc>
          <w:tcPr>
            <w:tcW w:w="1241" w:type="dxa"/>
            <w:noWrap/>
            <w:vAlign w:val="center"/>
          </w:tcPr>
          <w:p w14:paraId="02ADFF2E" w14:textId="77777777" w:rsidR="00E72273" w:rsidRPr="001608D7" w:rsidRDefault="00E72273" w:rsidP="001F21DF">
            <w:pPr>
              <w:spacing w:line="240" w:lineRule="atLeast"/>
              <w:jc w:val="center"/>
              <w:rPr>
                <w:rFonts w:ascii="Cambria" w:hAnsi="Cambria"/>
                <w:b/>
                <w:sz w:val="22"/>
                <w:szCs w:val="22"/>
              </w:rPr>
            </w:pPr>
            <w:r w:rsidRPr="001608D7">
              <w:rPr>
                <w:rFonts w:ascii="Cambria" w:hAnsi="Cambria"/>
                <w:b/>
                <w:sz w:val="22"/>
                <w:szCs w:val="22"/>
              </w:rPr>
              <w:t>17</w:t>
            </w:r>
          </w:p>
        </w:tc>
        <w:tc>
          <w:tcPr>
            <w:tcW w:w="1559" w:type="dxa"/>
            <w:noWrap/>
            <w:vAlign w:val="center"/>
          </w:tcPr>
          <w:p w14:paraId="6823321E" w14:textId="77777777" w:rsidR="00E72273" w:rsidRPr="001608D7" w:rsidRDefault="00E72273" w:rsidP="001F21DF">
            <w:pPr>
              <w:spacing w:line="240" w:lineRule="atLeast"/>
              <w:jc w:val="center"/>
              <w:rPr>
                <w:rFonts w:ascii="Cambria" w:hAnsi="Cambria"/>
                <w:b/>
                <w:sz w:val="22"/>
                <w:szCs w:val="22"/>
              </w:rPr>
            </w:pPr>
            <w:r w:rsidRPr="001608D7">
              <w:rPr>
                <w:rFonts w:ascii="Cambria" w:hAnsi="Cambria"/>
                <w:b/>
                <w:sz w:val="22"/>
                <w:szCs w:val="22"/>
              </w:rPr>
              <w:t>5</w:t>
            </w:r>
            <w:r>
              <w:rPr>
                <w:rFonts w:ascii="Cambria" w:hAnsi="Cambria"/>
                <w:b/>
                <w:sz w:val="22"/>
                <w:szCs w:val="22"/>
              </w:rPr>
              <w:t>7</w:t>
            </w:r>
          </w:p>
        </w:tc>
        <w:tc>
          <w:tcPr>
            <w:tcW w:w="1134" w:type="dxa"/>
            <w:noWrap/>
            <w:vAlign w:val="center"/>
          </w:tcPr>
          <w:p w14:paraId="2946A1C3" w14:textId="77777777" w:rsidR="00E72273" w:rsidRPr="001608D7" w:rsidRDefault="00E72273" w:rsidP="001F21DF">
            <w:pPr>
              <w:spacing w:line="240" w:lineRule="atLeast"/>
              <w:jc w:val="center"/>
              <w:rPr>
                <w:rFonts w:ascii="Cambria" w:hAnsi="Cambria"/>
                <w:b/>
                <w:sz w:val="22"/>
                <w:szCs w:val="22"/>
              </w:rPr>
            </w:pPr>
            <w:r w:rsidRPr="001608D7">
              <w:rPr>
                <w:rFonts w:ascii="Cambria" w:hAnsi="Cambria"/>
                <w:b/>
                <w:sz w:val="22"/>
                <w:szCs w:val="22"/>
              </w:rPr>
              <w:t>20</w:t>
            </w:r>
            <w:r>
              <w:rPr>
                <w:rFonts w:ascii="Cambria" w:hAnsi="Cambria"/>
                <w:b/>
                <w:sz w:val="22"/>
                <w:szCs w:val="22"/>
              </w:rPr>
              <w:t>1</w:t>
            </w:r>
          </w:p>
        </w:tc>
      </w:tr>
    </w:tbl>
    <w:p w14:paraId="4858CE7C" w14:textId="77777777" w:rsidR="001608D7" w:rsidRDefault="001608D7" w:rsidP="003C789B">
      <w:pPr>
        <w:spacing w:line="240" w:lineRule="atLeast"/>
        <w:rPr>
          <w:rFonts w:ascii="Cambria" w:hAnsi="Cambria"/>
          <w:b/>
          <w:bCs/>
        </w:rPr>
      </w:pPr>
    </w:p>
    <w:p w14:paraId="2F13F1C5" w14:textId="77777777" w:rsidR="001608D7" w:rsidRDefault="001608D7" w:rsidP="003C789B">
      <w:pPr>
        <w:spacing w:line="240" w:lineRule="atLeast"/>
        <w:rPr>
          <w:rFonts w:ascii="Cambria" w:hAnsi="Cambria"/>
          <w:b/>
          <w:bCs/>
        </w:rPr>
      </w:pPr>
    </w:p>
    <w:p w14:paraId="3E507012" w14:textId="77777777" w:rsidR="001608D7" w:rsidRDefault="001608D7" w:rsidP="003C789B">
      <w:pPr>
        <w:spacing w:line="240" w:lineRule="atLeast"/>
        <w:rPr>
          <w:rFonts w:ascii="Cambria" w:hAnsi="Cambria"/>
          <w:b/>
          <w:bCs/>
        </w:rPr>
      </w:pPr>
    </w:p>
    <w:p w14:paraId="1EA903AE" w14:textId="77777777" w:rsidR="001608D7" w:rsidRDefault="001608D7" w:rsidP="003C789B">
      <w:pPr>
        <w:spacing w:line="240" w:lineRule="atLeast"/>
        <w:rPr>
          <w:rFonts w:ascii="Cambria" w:hAnsi="Cambria"/>
          <w:b/>
          <w:bCs/>
        </w:rPr>
      </w:pPr>
    </w:p>
    <w:p w14:paraId="52490690" w14:textId="77777777" w:rsidR="001608D7" w:rsidRDefault="001608D7" w:rsidP="003C789B">
      <w:pPr>
        <w:spacing w:line="240" w:lineRule="atLeast"/>
        <w:rPr>
          <w:rFonts w:ascii="Cambria" w:hAnsi="Cambria"/>
          <w:b/>
          <w:bCs/>
        </w:rPr>
      </w:pPr>
    </w:p>
    <w:p w14:paraId="139D9F78" w14:textId="77777777" w:rsidR="001608D7" w:rsidRDefault="001608D7" w:rsidP="003C789B">
      <w:pPr>
        <w:spacing w:line="240" w:lineRule="atLeast"/>
        <w:rPr>
          <w:rFonts w:ascii="Cambria" w:hAnsi="Cambria"/>
          <w:b/>
          <w:bCs/>
        </w:rPr>
      </w:pPr>
    </w:p>
    <w:p w14:paraId="6BA6F370" w14:textId="77777777" w:rsidR="001608D7" w:rsidRDefault="001608D7" w:rsidP="003C789B">
      <w:pPr>
        <w:spacing w:line="240" w:lineRule="atLeast"/>
        <w:rPr>
          <w:rFonts w:ascii="Cambria" w:hAnsi="Cambria"/>
          <w:b/>
          <w:bCs/>
        </w:rPr>
      </w:pPr>
    </w:p>
    <w:p w14:paraId="28EC74AB" w14:textId="77777777" w:rsidR="0073499A" w:rsidRDefault="0073499A" w:rsidP="003C789B">
      <w:pPr>
        <w:spacing w:line="240" w:lineRule="atLeast"/>
        <w:rPr>
          <w:rFonts w:ascii="Cambria" w:hAnsi="Cambria"/>
          <w:b/>
          <w:bCs/>
        </w:rPr>
      </w:pPr>
    </w:p>
    <w:p w14:paraId="3D5E4387" w14:textId="77777777" w:rsidR="00E72273" w:rsidRDefault="00E72273" w:rsidP="003C789B">
      <w:pPr>
        <w:spacing w:line="240" w:lineRule="atLeast"/>
        <w:rPr>
          <w:rFonts w:ascii="Cambria" w:hAnsi="Cambria"/>
          <w:b/>
          <w:bCs/>
        </w:rPr>
      </w:pPr>
    </w:p>
    <w:p w14:paraId="2AD1523D" w14:textId="4C3F8F03" w:rsidR="003C789B" w:rsidRDefault="003C789B" w:rsidP="003C789B">
      <w:pPr>
        <w:spacing w:line="240" w:lineRule="atLeast"/>
        <w:rPr>
          <w:rFonts w:ascii="Cambria" w:hAnsi="Cambria"/>
          <w:b/>
          <w:bCs/>
        </w:rPr>
      </w:pPr>
      <w:r w:rsidRPr="0084255F">
        <w:rPr>
          <w:rFonts w:ascii="Cambria" w:hAnsi="Cambria"/>
          <w:b/>
          <w:bCs/>
        </w:rPr>
        <w:t>Scope of work:</w:t>
      </w:r>
    </w:p>
    <w:p w14:paraId="42335E5B" w14:textId="77777777" w:rsidR="003C789B" w:rsidRPr="0084255F" w:rsidRDefault="003C789B" w:rsidP="003C789B">
      <w:pPr>
        <w:spacing w:line="240" w:lineRule="atLeast"/>
        <w:rPr>
          <w:rFonts w:ascii="Cambria" w:hAnsi="Cambria"/>
          <w:b/>
          <w:bCs/>
        </w:rPr>
      </w:pPr>
    </w:p>
    <w:p w14:paraId="3B4CB03F" w14:textId="77777777" w:rsidR="003C789B" w:rsidRPr="003C789B" w:rsidRDefault="003C789B" w:rsidP="003C789B">
      <w:pPr>
        <w:spacing w:line="360" w:lineRule="auto"/>
        <w:jc w:val="both"/>
        <w:rPr>
          <w:rFonts w:asciiTheme="majorHAnsi" w:hAnsiTheme="majorHAnsi"/>
        </w:rPr>
      </w:pPr>
      <w:r w:rsidRPr="003C789B">
        <w:rPr>
          <w:rFonts w:asciiTheme="majorHAnsi" w:hAnsiTheme="majorHAnsi"/>
        </w:rPr>
        <w:t>The scope of work extends to the whole operating area of TPWODL and includes-</w:t>
      </w:r>
    </w:p>
    <w:p w14:paraId="081242AC" w14:textId="77777777" w:rsidR="003C789B" w:rsidRPr="003C789B" w:rsidRDefault="003C789B" w:rsidP="00BD3B47">
      <w:pPr>
        <w:pStyle w:val="ListParagraph"/>
        <w:numPr>
          <w:ilvl w:val="0"/>
          <w:numId w:val="6"/>
        </w:numPr>
        <w:spacing w:after="0" w:line="240" w:lineRule="auto"/>
        <w:jc w:val="both"/>
        <w:rPr>
          <w:rFonts w:asciiTheme="majorHAnsi" w:hAnsiTheme="majorHAnsi"/>
          <w:sz w:val="24"/>
          <w:szCs w:val="24"/>
        </w:rPr>
      </w:pPr>
      <w:r w:rsidRPr="003C789B">
        <w:rPr>
          <w:rFonts w:asciiTheme="majorHAnsi" w:hAnsiTheme="majorHAnsi"/>
          <w:sz w:val="24"/>
          <w:szCs w:val="24"/>
        </w:rPr>
        <w:t>Meter reading for spot billing of consumers</w:t>
      </w:r>
    </w:p>
    <w:p w14:paraId="3F947589" w14:textId="77777777" w:rsidR="003C789B" w:rsidRPr="003C789B" w:rsidRDefault="003C789B" w:rsidP="00BD3B47">
      <w:pPr>
        <w:pStyle w:val="ListParagraph"/>
        <w:numPr>
          <w:ilvl w:val="0"/>
          <w:numId w:val="6"/>
        </w:numPr>
        <w:spacing w:after="0" w:line="240" w:lineRule="auto"/>
        <w:jc w:val="both"/>
        <w:rPr>
          <w:rFonts w:asciiTheme="majorHAnsi" w:hAnsiTheme="majorHAnsi"/>
          <w:sz w:val="24"/>
          <w:szCs w:val="24"/>
        </w:rPr>
      </w:pPr>
      <w:r w:rsidRPr="003C789B">
        <w:rPr>
          <w:rFonts w:asciiTheme="majorHAnsi" w:hAnsiTheme="majorHAnsi"/>
          <w:sz w:val="24"/>
          <w:szCs w:val="24"/>
        </w:rPr>
        <w:t>Meter reading for non-spot billing consumers</w:t>
      </w:r>
    </w:p>
    <w:p w14:paraId="3D6DD353" w14:textId="77777777" w:rsidR="003C789B" w:rsidRPr="003C789B" w:rsidRDefault="003C789B" w:rsidP="00BD3B47">
      <w:pPr>
        <w:pStyle w:val="ListParagraph"/>
        <w:numPr>
          <w:ilvl w:val="0"/>
          <w:numId w:val="6"/>
        </w:numPr>
        <w:spacing w:after="0" w:line="240" w:lineRule="auto"/>
        <w:jc w:val="both"/>
        <w:rPr>
          <w:rFonts w:asciiTheme="majorHAnsi" w:hAnsiTheme="majorHAnsi"/>
          <w:sz w:val="24"/>
          <w:szCs w:val="24"/>
        </w:rPr>
      </w:pPr>
      <w:r w:rsidRPr="003C789B">
        <w:rPr>
          <w:rFonts w:asciiTheme="majorHAnsi" w:hAnsiTheme="majorHAnsi"/>
          <w:sz w:val="24"/>
          <w:szCs w:val="24"/>
        </w:rPr>
        <w:t>Special meter readings</w:t>
      </w:r>
    </w:p>
    <w:p w14:paraId="3950E6BA" w14:textId="77777777" w:rsidR="003C789B" w:rsidRPr="003C789B" w:rsidRDefault="003C789B" w:rsidP="00BD3B47">
      <w:pPr>
        <w:pStyle w:val="ListParagraph"/>
        <w:numPr>
          <w:ilvl w:val="0"/>
          <w:numId w:val="6"/>
        </w:numPr>
        <w:spacing w:after="0" w:line="240" w:lineRule="auto"/>
        <w:jc w:val="both"/>
        <w:rPr>
          <w:rFonts w:asciiTheme="majorHAnsi" w:hAnsiTheme="majorHAnsi"/>
          <w:sz w:val="24"/>
          <w:szCs w:val="24"/>
        </w:rPr>
      </w:pPr>
      <w:r w:rsidRPr="003C789B">
        <w:rPr>
          <w:rFonts w:asciiTheme="majorHAnsi" w:hAnsiTheme="majorHAnsi"/>
          <w:sz w:val="24"/>
          <w:szCs w:val="24"/>
        </w:rPr>
        <w:t>Bill Distribution, with collection of consumers contact details.</w:t>
      </w:r>
    </w:p>
    <w:p w14:paraId="6FB043A9" w14:textId="77777777" w:rsidR="003C789B" w:rsidRPr="003C789B" w:rsidRDefault="003C789B" w:rsidP="00BD3B47">
      <w:pPr>
        <w:pStyle w:val="ListParagraph"/>
        <w:numPr>
          <w:ilvl w:val="0"/>
          <w:numId w:val="6"/>
        </w:numPr>
        <w:spacing w:after="0" w:line="240" w:lineRule="auto"/>
        <w:jc w:val="both"/>
        <w:rPr>
          <w:rFonts w:asciiTheme="majorHAnsi" w:hAnsiTheme="majorHAnsi"/>
          <w:sz w:val="24"/>
          <w:szCs w:val="24"/>
        </w:rPr>
      </w:pPr>
      <w:r w:rsidRPr="003C789B">
        <w:rPr>
          <w:rFonts w:asciiTheme="majorHAnsi" w:hAnsiTheme="majorHAnsi"/>
          <w:sz w:val="24"/>
          <w:szCs w:val="24"/>
        </w:rPr>
        <w:t xml:space="preserve">Painting of walk-in sequence </w:t>
      </w:r>
    </w:p>
    <w:p w14:paraId="58209F48" w14:textId="77777777" w:rsidR="003C789B" w:rsidRPr="003C789B" w:rsidRDefault="003C789B" w:rsidP="00BD3B47">
      <w:pPr>
        <w:pStyle w:val="ListParagraph"/>
        <w:numPr>
          <w:ilvl w:val="0"/>
          <w:numId w:val="6"/>
        </w:numPr>
        <w:spacing w:after="0" w:line="240" w:lineRule="auto"/>
        <w:jc w:val="both"/>
        <w:rPr>
          <w:rFonts w:asciiTheme="majorHAnsi" w:hAnsiTheme="majorHAnsi"/>
          <w:sz w:val="24"/>
          <w:szCs w:val="24"/>
        </w:rPr>
      </w:pPr>
      <w:r w:rsidRPr="003C789B">
        <w:rPr>
          <w:rFonts w:asciiTheme="majorHAnsi" w:hAnsiTheme="majorHAnsi"/>
          <w:sz w:val="24"/>
          <w:szCs w:val="24"/>
        </w:rPr>
        <w:t xml:space="preserve">Training &amp; development of BA employees </w:t>
      </w:r>
    </w:p>
    <w:p w14:paraId="768B74C7" w14:textId="15B09245" w:rsidR="003C789B" w:rsidRPr="003C789B" w:rsidRDefault="003C789B" w:rsidP="003C789B">
      <w:pPr>
        <w:spacing w:line="360" w:lineRule="auto"/>
        <w:jc w:val="both"/>
        <w:rPr>
          <w:rFonts w:asciiTheme="majorHAnsi" w:hAnsiTheme="majorHAnsi"/>
        </w:rPr>
      </w:pPr>
      <w:r w:rsidRPr="003C789B">
        <w:rPr>
          <w:rFonts w:asciiTheme="majorHAnsi" w:hAnsiTheme="majorHAnsi"/>
        </w:rPr>
        <w:t xml:space="preserve">Besides the above, following additional initiatives have </w:t>
      </w:r>
      <w:r w:rsidR="001608D7">
        <w:rPr>
          <w:rFonts w:asciiTheme="majorHAnsi" w:hAnsiTheme="majorHAnsi"/>
        </w:rPr>
        <w:t xml:space="preserve">also </w:t>
      </w:r>
      <w:r w:rsidRPr="003C789B">
        <w:rPr>
          <w:rFonts w:asciiTheme="majorHAnsi" w:hAnsiTheme="majorHAnsi"/>
        </w:rPr>
        <w:t>been taken to improve billing efficiency: -</w:t>
      </w:r>
    </w:p>
    <w:p w14:paraId="5F0BFE83" w14:textId="77777777" w:rsidR="003C789B" w:rsidRPr="003C789B" w:rsidRDefault="003C789B" w:rsidP="00056389">
      <w:pPr>
        <w:pStyle w:val="ListParagraph"/>
        <w:numPr>
          <w:ilvl w:val="0"/>
          <w:numId w:val="60"/>
        </w:numPr>
        <w:spacing w:after="0" w:line="240" w:lineRule="auto"/>
        <w:jc w:val="both"/>
        <w:rPr>
          <w:rFonts w:asciiTheme="majorHAnsi" w:hAnsiTheme="majorHAnsi"/>
          <w:sz w:val="24"/>
          <w:szCs w:val="24"/>
        </w:rPr>
      </w:pPr>
      <w:r w:rsidRPr="003C789B">
        <w:rPr>
          <w:rFonts w:asciiTheme="majorHAnsi" w:hAnsiTheme="majorHAnsi"/>
          <w:sz w:val="24"/>
          <w:szCs w:val="24"/>
        </w:rPr>
        <w:t>OCR Based Billing</w:t>
      </w:r>
    </w:p>
    <w:p w14:paraId="6A2FCA1E" w14:textId="77777777" w:rsidR="003C789B" w:rsidRPr="003C789B" w:rsidRDefault="003C789B" w:rsidP="00056389">
      <w:pPr>
        <w:pStyle w:val="ListParagraph"/>
        <w:numPr>
          <w:ilvl w:val="0"/>
          <w:numId w:val="60"/>
        </w:numPr>
        <w:spacing w:after="0" w:line="240" w:lineRule="auto"/>
        <w:jc w:val="both"/>
        <w:rPr>
          <w:rFonts w:asciiTheme="majorHAnsi" w:hAnsiTheme="majorHAnsi"/>
          <w:sz w:val="24"/>
          <w:szCs w:val="24"/>
        </w:rPr>
      </w:pPr>
      <w:r w:rsidRPr="003C789B">
        <w:rPr>
          <w:rFonts w:asciiTheme="majorHAnsi" w:hAnsiTheme="majorHAnsi"/>
          <w:sz w:val="24"/>
          <w:szCs w:val="24"/>
        </w:rPr>
        <w:t>Installation of Smart Meters in Single Phase consumers</w:t>
      </w:r>
    </w:p>
    <w:p w14:paraId="4669DBA2" w14:textId="77777777" w:rsidR="003C789B" w:rsidRPr="003C789B" w:rsidRDefault="003C789B" w:rsidP="00056389">
      <w:pPr>
        <w:pStyle w:val="ListParagraph"/>
        <w:numPr>
          <w:ilvl w:val="0"/>
          <w:numId w:val="60"/>
        </w:numPr>
        <w:spacing w:after="0" w:line="240" w:lineRule="auto"/>
        <w:jc w:val="both"/>
        <w:rPr>
          <w:rFonts w:asciiTheme="majorHAnsi" w:hAnsiTheme="majorHAnsi"/>
          <w:sz w:val="24"/>
          <w:szCs w:val="24"/>
        </w:rPr>
      </w:pPr>
      <w:r w:rsidRPr="003C789B">
        <w:rPr>
          <w:rFonts w:asciiTheme="majorHAnsi" w:hAnsiTheme="majorHAnsi"/>
          <w:sz w:val="24"/>
          <w:szCs w:val="24"/>
        </w:rPr>
        <w:t>Installation of Smart Meters in Agriculture Consumers.</w:t>
      </w:r>
    </w:p>
    <w:p w14:paraId="661B9D8E" w14:textId="77777777" w:rsidR="003C789B" w:rsidRPr="003C789B" w:rsidRDefault="003C789B" w:rsidP="00056389">
      <w:pPr>
        <w:pStyle w:val="ListParagraph"/>
        <w:numPr>
          <w:ilvl w:val="0"/>
          <w:numId w:val="60"/>
        </w:numPr>
        <w:spacing w:after="0" w:line="240" w:lineRule="auto"/>
        <w:jc w:val="both"/>
        <w:rPr>
          <w:rFonts w:asciiTheme="majorHAnsi" w:hAnsiTheme="majorHAnsi"/>
          <w:sz w:val="24"/>
          <w:szCs w:val="24"/>
        </w:rPr>
      </w:pPr>
      <w:r w:rsidRPr="003C789B">
        <w:rPr>
          <w:rFonts w:asciiTheme="majorHAnsi" w:hAnsiTheme="majorHAnsi"/>
          <w:sz w:val="24"/>
          <w:szCs w:val="24"/>
        </w:rPr>
        <w:t xml:space="preserve">Replacement of defective and aging meters </w:t>
      </w:r>
    </w:p>
    <w:p w14:paraId="4C784A45" w14:textId="77777777" w:rsidR="003C789B" w:rsidRPr="003C789B" w:rsidRDefault="003C789B" w:rsidP="00056389">
      <w:pPr>
        <w:pStyle w:val="ListParagraph"/>
        <w:numPr>
          <w:ilvl w:val="0"/>
          <w:numId w:val="60"/>
        </w:numPr>
        <w:spacing w:after="0" w:line="240" w:lineRule="auto"/>
        <w:jc w:val="both"/>
        <w:rPr>
          <w:rFonts w:asciiTheme="majorHAnsi" w:hAnsiTheme="majorHAnsi"/>
          <w:sz w:val="24"/>
          <w:szCs w:val="24"/>
        </w:rPr>
      </w:pPr>
      <w:r w:rsidRPr="003C789B">
        <w:rPr>
          <w:rFonts w:asciiTheme="majorHAnsi" w:hAnsiTheme="majorHAnsi"/>
          <w:sz w:val="24"/>
          <w:szCs w:val="24"/>
        </w:rPr>
        <w:t>Expedite the Bill Revision process for error-free billing.</w:t>
      </w:r>
    </w:p>
    <w:p w14:paraId="3DC6124E" w14:textId="77777777" w:rsidR="003C789B" w:rsidRPr="003C789B" w:rsidRDefault="003C789B" w:rsidP="00056389">
      <w:pPr>
        <w:pStyle w:val="ListParagraph"/>
        <w:numPr>
          <w:ilvl w:val="0"/>
          <w:numId w:val="60"/>
        </w:numPr>
        <w:spacing w:after="0" w:line="240" w:lineRule="auto"/>
        <w:jc w:val="both"/>
        <w:rPr>
          <w:rFonts w:asciiTheme="majorHAnsi" w:hAnsiTheme="majorHAnsi"/>
          <w:sz w:val="24"/>
          <w:szCs w:val="24"/>
        </w:rPr>
      </w:pPr>
      <w:r w:rsidRPr="003C789B">
        <w:rPr>
          <w:rFonts w:asciiTheme="majorHAnsi" w:hAnsiTheme="majorHAnsi"/>
          <w:sz w:val="24"/>
          <w:szCs w:val="24"/>
        </w:rPr>
        <w:t>Efforts to reduce provisional billing.</w:t>
      </w:r>
    </w:p>
    <w:p w14:paraId="72B920FC" w14:textId="77777777" w:rsidR="003C789B" w:rsidRPr="003C789B" w:rsidRDefault="003C789B" w:rsidP="00056389">
      <w:pPr>
        <w:pStyle w:val="ListParagraph"/>
        <w:numPr>
          <w:ilvl w:val="0"/>
          <w:numId w:val="60"/>
        </w:numPr>
        <w:spacing w:after="0" w:line="240" w:lineRule="auto"/>
        <w:jc w:val="both"/>
        <w:rPr>
          <w:rFonts w:asciiTheme="majorHAnsi" w:hAnsiTheme="majorHAnsi"/>
          <w:sz w:val="24"/>
          <w:szCs w:val="24"/>
        </w:rPr>
      </w:pPr>
      <w:r w:rsidRPr="003C789B">
        <w:rPr>
          <w:rFonts w:asciiTheme="majorHAnsi" w:hAnsiTheme="majorHAnsi"/>
          <w:sz w:val="24"/>
          <w:szCs w:val="24"/>
        </w:rPr>
        <w:t>Onsite statutory testing of consumer meters.</w:t>
      </w:r>
    </w:p>
    <w:p w14:paraId="43335DE8" w14:textId="77777777" w:rsidR="003C789B" w:rsidRPr="003C789B" w:rsidRDefault="003C789B" w:rsidP="00056389">
      <w:pPr>
        <w:pStyle w:val="ListParagraph"/>
        <w:numPr>
          <w:ilvl w:val="0"/>
          <w:numId w:val="60"/>
        </w:numPr>
        <w:spacing w:after="0" w:line="240" w:lineRule="auto"/>
        <w:jc w:val="both"/>
        <w:rPr>
          <w:rFonts w:asciiTheme="majorHAnsi" w:hAnsiTheme="majorHAnsi"/>
          <w:sz w:val="24"/>
          <w:szCs w:val="24"/>
        </w:rPr>
      </w:pPr>
      <w:r w:rsidRPr="003C789B">
        <w:rPr>
          <w:rFonts w:asciiTheme="majorHAnsi" w:hAnsiTheme="majorHAnsi"/>
          <w:sz w:val="24"/>
          <w:szCs w:val="24"/>
        </w:rPr>
        <w:t>Hiring extra manpower to expedite the meter replacement activities.</w:t>
      </w:r>
    </w:p>
    <w:p w14:paraId="24A65896" w14:textId="77777777" w:rsidR="003C789B" w:rsidRPr="003C789B" w:rsidRDefault="003C789B" w:rsidP="00056389">
      <w:pPr>
        <w:pStyle w:val="ListParagraph"/>
        <w:numPr>
          <w:ilvl w:val="0"/>
          <w:numId w:val="60"/>
        </w:numPr>
        <w:spacing w:after="0" w:line="240" w:lineRule="auto"/>
        <w:jc w:val="both"/>
        <w:rPr>
          <w:rFonts w:asciiTheme="majorHAnsi" w:hAnsiTheme="majorHAnsi"/>
          <w:sz w:val="24"/>
          <w:szCs w:val="24"/>
        </w:rPr>
      </w:pPr>
      <w:r w:rsidRPr="003C789B">
        <w:rPr>
          <w:rFonts w:asciiTheme="majorHAnsi" w:hAnsiTheme="majorHAnsi"/>
          <w:sz w:val="24"/>
          <w:szCs w:val="24"/>
        </w:rPr>
        <w:t>Lead of theft/misuse.</w:t>
      </w:r>
    </w:p>
    <w:p w14:paraId="1CA13B06" w14:textId="3CC4953C" w:rsidR="003C789B" w:rsidRPr="003C789B" w:rsidRDefault="003C789B" w:rsidP="00056389">
      <w:pPr>
        <w:pStyle w:val="ListParagraph"/>
        <w:numPr>
          <w:ilvl w:val="0"/>
          <w:numId w:val="60"/>
        </w:numPr>
        <w:spacing w:after="0" w:line="240" w:lineRule="auto"/>
        <w:jc w:val="both"/>
        <w:rPr>
          <w:rFonts w:asciiTheme="majorHAnsi" w:hAnsiTheme="majorHAnsi"/>
          <w:sz w:val="24"/>
          <w:szCs w:val="24"/>
        </w:rPr>
      </w:pPr>
      <w:r w:rsidRPr="003C789B">
        <w:rPr>
          <w:rFonts w:asciiTheme="majorHAnsi" w:hAnsiTheme="majorHAnsi"/>
          <w:sz w:val="24"/>
          <w:szCs w:val="24"/>
        </w:rPr>
        <w:t xml:space="preserve">Capturing the count of ACs installed in a </w:t>
      </w:r>
      <w:r w:rsidR="00C534D8" w:rsidRPr="003C789B">
        <w:rPr>
          <w:rFonts w:asciiTheme="majorHAnsi" w:hAnsiTheme="majorHAnsi"/>
          <w:sz w:val="24"/>
          <w:szCs w:val="24"/>
        </w:rPr>
        <w:t>premise</w:t>
      </w:r>
      <w:r w:rsidRPr="003C789B">
        <w:rPr>
          <w:rFonts w:asciiTheme="majorHAnsi" w:hAnsiTheme="majorHAnsi"/>
          <w:sz w:val="24"/>
          <w:szCs w:val="24"/>
        </w:rPr>
        <w:t>.</w:t>
      </w:r>
    </w:p>
    <w:p w14:paraId="7062286C" w14:textId="77777777" w:rsidR="003C789B" w:rsidRPr="003C789B" w:rsidRDefault="003C789B" w:rsidP="00056389">
      <w:pPr>
        <w:pStyle w:val="ListParagraph"/>
        <w:numPr>
          <w:ilvl w:val="0"/>
          <w:numId w:val="60"/>
        </w:numPr>
        <w:spacing w:after="0" w:line="240" w:lineRule="auto"/>
        <w:jc w:val="both"/>
        <w:rPr>
          <w:rFonts w:asciiTheme="majorHAnsi" w:hAnsiTheme="majorHAnsi"/>
          <w:sz w:val="24"/>
          <w:szCs w:val="24"/>
        </w:rPr>
      </w:pPr>
      <w:r w:rsidRPr="003C789B">
        <w:rPr>
          <w:rFonts w:asciiTheme="majorHAnsi" w:hAnsiTheme="majorHAnsi"/>
          <w:sz w:val="24"/>
          <w:szCs w:val="24"/>
        </w:rPr>
        <w:t>Establishment type capturing through bill distributors.</w:t>
      </w:r>
    </w:p>
    <w:p w14:paraId="00B5AFE0" w14:textId="77777777" w:rsidR="003C789B" w:rsidRPr="003C789B" w:rsidRDefault="003C789B" w:rsidP="00056389">
      <w:pPr>
        <w:pStyle w:val="ListParagraph"/>
        <w:numPr>
          <w:ilvl w:val="0"/>
          <w:numId w:val="60"/>
        </w:numPr>
        <w:spacing w:after="0" w:line="240" w:lineRule="auto"/>
        <w:jc w:val="both"/>
        <w:rPr>
          <w:rFonts w:asciiTheme="majorHAnsi" w:hAnsiTheme="majorHAnsi"/>
          <w:sz w:val="24"/>
          <w:szCs w:val="24"/>
        </w:rPr>
      </w:pPr>
      <w:r w:rsidRPr="003C789B">
        <w:rPr>
          <w:rFonts w:asciiTheme="majorHAnsi" w:hAnsiTheme="majorHAnsi"/>
          <w:sz w:val="24"/>
          <w:szCs w:val="24"/>
        </w:rPr>
        <w:t>Survey/Surveillance of Bill Stopped cases.</w:t>
      </w:r>
    </w:p>
    <w:p w14:paraId="157C760B" w14:textId="77777777" w:rsidR="00923A86" w:rsidRDefault="00923A86" w:rsidP="003C789B">
      <w:pPr>
        <w:spacing w:line="360" w:lineRule="auto"/>
        <w:jc w:val="both"/>
        <w:rPr>
          <w:rFonts w:asciiTheme="majorHAnsi" w:hAnsiTheme="majorHAnsi" w:cstheme="minorHAnsi"/>
        </w:rPr>
      </w:pPr>
    </w:p>
    <w:p w14:paraId="3FD7EC0D" w14:textId="337832DB" w:rsidR="001834C4" w:rsidRPr="00E433FD" w:rsidRDefault="00F163F7" w:rsidP="003C789B">
      <w:pPr>
        <w:spacing w:line="360" w:lineRule="auto"/>
        <w:jc w:val="both"/>
        <w:rPr>
          <w:rFonts w:asciiTheme="majorHAnsi" w:hAnsiTheme="majorHAnsi"/>
          <w:b/>
          <w:bCs/>
          <w:u w:val="single"/>
        </w:rPr>
      </w:pPr>
      <w:r w:rsidRPr="00E433FD">
        <w:rPr>
          <w:rFonts w:asciiTheme="majorHAnsi" w:hAnsiTheme="majorHAnsi"/>
          <w:b/>
          <w:bCs/>
          <w:u w:val="single"/>
        </w:rPr>
        <w:t xml:space="preserve">To perform all the necessary billing activities, a total budget of Rs. </w:t>
      </w:r>
      <w:r w:rsidR="00F93B0C">
        <w:rPr>
          <w:rFonts w:asciiTheme="majorHAnsi" w:hAnsiTheme="majorHAnsi"/>
          <w:b/>
          <w:bCs/>
          <w:u w:val="single"/>
        </w:rPr>
        <w:t>85.43</w:t>
      </w:r>
      <w:r w:rsidRPr="00E433FD">
        <w:rPr>
          <w:rFonts w:asciiTheme="majorHAnsi" w:hAnsiTheme="majorHAnsi"/>
          <w:b/>
          <w:bCs/>
          <w:u w:val="single"/>
        </w:rPr>
        <w:t xml:space="preserve"> Cr. is proposed. The break-up of </w:t>
      </w:r>
      <w:r w:rsidR="00032D80">
        <w:rPr>
          <w:rFonts w:asciiTheme="majorHAnsi" w:hAnsiTheme="majorHAnsi"/>
          <w:b/>
          <w:bCs/>
          <w:u w:val="single"/>
        </w:rPr>
        <w:t xml:space="preserve">certain </w:t>
      </w:r>
      <w:r w:rsidR="00DF1984">
        <w:rPr>
          <w:rFonts w:asciiTheme="majorHAnsi" w:hAnsiTheme="majorHAnsi"/>
          <w:b/>
          <w:bCs/>
          <w:u w:val="single"/>
        </w:rPr>
        <w:t>billing-related</w:t>
      </w:r>
      <w:r w:rsidR="00032D80">
        <w:rPr>
          <w:rFonts w:asciiTheme="majorHAnsi" w:hAnsiTheme="majorHAnsi"/>
          <w:b/>
          <w:bCs/>
          <w:u w:val="single"/>
        </w:rPr>
        <w:t xml:space="preserve"> costs</w:t>
      </w:r>
      <w:r w:rsidRPr="00E433FD">
        <w:rPr>
          <w:rFonts w:asciiTheme="majorHAnsi" w:hAnsiTheme="majorHAnsi"/>
          <w:b/>
          <w:bCs/>
          <w:u w:val="single"/>
        </w:rPr>
        <w:t xml:space="preserve"> is given below:</w:t>
      </w:r>
    </w:p>
    <w:p w14:paraId="4865433F" w14:textId="08D997A5" w:rsidR="0095419B" w:rsidRPr="0095419B" w:rsidRDefault="0095419B" w:rsidP="006F5A2E">
      <w:pPr>
        <w:spacing w:before="240" w:after="120" w:line="360" w:lineRule="auto"/>
        <w:jc w:val="both"/>
        <w:rPr>
          <w:rFonts w:asciiTheme="majorHAnsi" w:hAnsiTheme="majorHAnsi"/>
        </w:rPr>
      </w:pPr>
      <w:r w:rsidRPr="0095419B">
        <w:rPr>
          <w:rFonts w:asciiTheme="majorHAnsi" w:hAnsiTheme="majorHAnsi"/>
        </w:rPr>
        <w:t xml:space="preserve">Estimated cost involved in carrying out core functions of Revenue Cycle Management Departments </w:t>
      </w:r>
      <w:r w:rsidR="00C534D8">
        <w:rPr>
          <w:rFonts w:asciiTheme="majorHAnsi" w:hAnsiTheme="majorHAnsi"/>
        </w:rPr>
        <w:t>i.</w:t>
      </w:r>
      <w:r w:rsidR="00C534D8" w:rsidRPr="0095419B">
        <w:rPr>
          <w:rFonts w:asciiTheme="majorHAnsi" w:hAnsiTheme="majorHAnsi"/>
        </w:rPr>
        <w:t>e.</w:t>
      </w:r>
      <w:r w:rsidRPr="0095419B">
        <w:rPr>
          <w:rFonts w:asciiTheme="majorHAnsi" w:hAnsiTheme="majorHAnsi"/>
        </w:rPr>
        <w:t xml:space="preserve"> Meter Reading &amp; Billing for FY 26-27 on the basis of consumer data up to O</w:t>
      </w:r>
      <w:r w:rsidR="00F942F3">
        <w:rPr>
          <w:rFonts w:asciiTheme="majorHAnsi" w:hAnsiTheme="majorHAnsi"/>
        </w:rPr>
        <w:t>ct</w:t>
      </w:r>
      <w:r w:rsidR="006F2CBF">
        <w:rPr>
          <w:rFonts w:asciiTheme="majorHAnsi" w:hAnsiTheme="majorHAnsi"/>
        </w:rPr>
        <w:t>’</w:t>
      </w:r>
      <w:r w:rsidRPr="0095419B">
        <w:rPr>
          <w:rFonts w:asciiTheme="majorHAnsi" w:hAnsiTheme="majorHAnsi"/>
        </w:rPr>
        <w:t>25 enumerated below:</w:t>
      </w:r>
    </w:p>
    <w:p w14:paraId="3938713F" w14:textId="77777777" w:rsidR="006F5A2E" w:rsidRPr="0095419B" w:rsidRDefault="006F5A2E" w:rsidP="0095419B">
      <w:pPr>
        <w:spacing w:line="240" w:lineRule="atLeast"/>
        <w:jc w:val="both"/>
        <w:rPr>
          <w:rFonts w:asciiTheme="majorHAnsi" w:hAnsiTheme="majorHAns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3448"/>
        <w:gridCol w:w="1130"/>
        <w:gridCol w:w="2657"/>
      </w:tblGrid>
      <w:tr w:rsidR="0095419B" w:rsidRPr="0095419B" w14:paraId="44DBFCC4" w14:textId="77777777" w:rsidTr="00125F60">
        <w:trPr>
          <w:trHeight w:val="560"/>
        </w:trPr>
        <w:tc>
          <w:tcPr>
            <w:tcW w:w="5000" w:type="pct"/>
            <w:gridSpan w:val="4"/>
            <w:vAlign w:val="center"/>
            <w:hideMark/>
          </w:tcPr>
          <w:p w14:paraId="5ACB507F" w14:textId="77777777" w:rsidR="0095419B" w:rsidRPr="00125F60" w:rsidRDefault="0095419B" w:rsidP="000F221E">
            <w:pPr>
              <w:jc w:val="center"/>
              <w:rPr>
                <w:rFonts w:asciiTheme="majorHAnsi" w:hAnsiTheme="majorHAnsi"/>
                <w:b/>
                <w:bCs/>
                <w:color w:val="000000"/>
                <w:lang w:val="en-IN"/>
              </w:rPr>
            </w:pPr>
            <w:r w:rsidRPr="00125F60">
              <w:rPr>
                <w:rFonts w:asciiTheme="majorHAnsi" w:hAnsiTheme="majorHAnsi"/>
                <w:b/>
                <w:bCs/>
                <w:color w:val="000000"/>
              </w:rPr>
              <w:t>Estimated Monthly Cost of Scheduled Spot Meter Reading, Billing, Bill Printing and Bill Distribution per consumer</w:t>
            </w:r>
          </w:p>
        </w:tc>
      </w:tr>
      <w:tr w:rsidR="0095419B" w:rsidRPr="0095419B" w14:paraId="4E2033FA" w14:textId="77777777" w:rsidTr="00125F60">
        <w:trPr>
          <w:trHeight w:val="290"/>
        </w:trPr>
        <w:tc>
          <w:tcPr>
            <w:tcW w:w="1068" w:type="pct"/>
            <w:noWrap/>
            <w:vAlign w:val="center"/>
            <w:hideMark/>
          </w:tcPr>
          <w:p w14:paraId="467CC2DF" w14:textId="17EA9934" w:rsidR="0095419B" w:rsidRPr="00125F60" w:rsidRDefault="00125F60" w:rsidP="000F221E">
            <w:pPr>
              <w:jc w:val="center"/>
              <w:rPr>
                <w:rFonts w:asciiTheme="majorHAnsi" w:hAnsiTheme="majorHAnsi"/>
                <w:b/>
                <w:bCs/>
                <w:color w:val="000000"/>
              </w:rPr>
            </w:pPr>
            <w:r>
              <w:rPr>
                <w:rFonts w:asciiTheme="majorHAnsi" w:hAnsiTheme="majorHAnsi"/>
                <w:b/>
                <w:bCs/>
                <w:color w:val="000000"/>
              </w:rPr>
              <w:t>CIRCLE</w:t>
            </w:r>
          </w:p>
        </w:tc>
        <w:tc>
          <w:tcPr>
            <w:tcW w:w="1874" w:type="pct"/>
            <w:noWrap/>
            <w:vAlign w:val="center"/>
            <w:hideMark/>
          </w:tcPr>
          <w:p w14:paraId="3B4CAC6B" w14:textId="77777777" w:rsidR="0095419B" w:rsidRPr="00125F60" w:rsidRDefault="0095419B" w:rsidP="000F221E">
            <w:pPr>
              <w:jc w:val="center"/>
              <w:rPr>
                <w:rFonts w:asciiTheme="majorHAnsi" w:hAnsiTheme="majorHAnsi"/>
                <w:b/>
                <w:bCs/>
                <w:color w:val="000000"/>
              </w:rPr>
            </w:pPr>
            <w:r w:rsidRPr="00125F60">
              <w:rPr>
                <w:rFonts w:asciiTheme="majorHAnsi" w:hAnsiTheme="majorHAnsi"/>
                <w:b/>
                <w:bCs/>
                <w:color w:val="000000"/>
              </w:rPr>
              <w:t>Total No. of Consumers</w:t>
            </w:r>
          </w:p>
        </w:tc>
        <w:tc>
          <w:tcPr>
            <w:tcW w:w="614" w:type="pct"/>
            <w:noWrap/>
            <w:vAlign w:val="center"/>
            <w:hideMark/>
          </w:tcPr>
          <w:p w14:paraId="077F62AF" w14:textId="77777777" w:rsidR="0095419B" w:rsidRPr="00125F60" w:rsidRDefault="0095419B" w:rsidP="000F221E">
            <w:pPr>
              <w:jc w:val="center"/>
              <w:rPr>
                <w:rFonts w:asciiTheme="majorHAnsi" w:hAnsiTheme="majorHAnsi"/>
                <w:b/>
                <w:bCs/>
                <w:color w:val="000000"/>
              </w:rPr>
            </w:pPr>
            <w:r w:rsidRPr="00125F60">
              <w:rPr>
                <w:rFonts w:asciiTheme="majorHAnsi" w:hAnsiTheme="majorHAnsi"/>
                <w:b/>
                <w:bCs/>
                <w:color w:val="000000"/>
              </w:rPr>
              <w:t>Rate</w:t>
            </w:r>
          </w:p>
        </w:tc>
        <w:tc>
          <w:tcPr>
            <w:tcW w:w="1444" w:type="pct"/>
            <w:noWrap/>
            <w:vAlign w:val="center"/>
            <w:hideMark/>
          </w:tcPr>
          <w:p w14:paraId="3CF996EF" w14:textId="77777777" w:rsidR="0095419B" w:rsidRPr="00125F60" w:rsidRDefault="0095419B" w:rsidP="000F221E">
            <w:pPr>
              <w:jc w:val="center"/>
              <w:rPr>
                <w:rFonts w:asciiTheme="majorHAnsi" w:hAnsiTheme="majorHAnsi"/>
                <w:b/>
                <w:bCs/>
                <w:color w:val="000000"/>
              </w:rPr>
            </w:pPr>
            <w:r w:rsidRPr="00125F60">
              <w:rPr>
                <w:rFonts w:asciiTheme="majorHAnsi" w:hAnsiTheme="majorHAnsi"/>
                <w:b/>
                <w:bCs/>
                <w:color w:val="000000"/>
              </w:rPr>
              <w:t>Total Cost (in Rs.)</w:t>
            </w:r>
          </w:p>
        </w:tc>
      </w:tr>
      <w:tr w:rsidR="0095419B" w:rsidRPr="0095419B" w14:paraId="50DBE942" w14:textId="77777777" w:rsidTr="006278A2">
        <w:trPr>
          <w:trHeight w:val="290"/>
        </w:trPr>
        <w:tc>
          <w:tcPr>
            <w:tcW w:w="1068" w:type="pct"/>
            <w:noWrap/>
            <w:vAlign w:val="center"/>
            <w:hideMark/>
          </w:tcPr>
          <w:p w14:paraId="4476DFE7" w14:textId="4B061E71" w:rsidR="0095419B" w:rsidRPr="00125F60" w:rsidRDefault="00C534D8" w:rsidP="000F221E">
            <w:pPr>
              <w:jc w:val="center"/>
              <w:rPr>
                <w:rFonts w:asciiTheme="majorHAnsi" w:hAnsiTheme="majorHAnsi"/>
                <w:color w:val="000000"/>
              </w:rPr>
            </w:pPr>
            <w:r>
              <w:rPr>
                <w:rFonts w:asciiTheme="majorHAnsi" w:hAnsiTheme="majorHAnsi" w:cs="Arial"/>
                <w:color w:val="000000"/>
              </w:rPr>
              <w:t>BOLANGIR</w:t>
            </w:r>
          </w:p>
        </w:tc>
        <w:tc>
          <w:tcPr>
            <w:tcW w:w="1874" w:type="pct"/>
            <w:noWrap/>
            <w:vAlign w:val="center"/>
            <w:hideMark/>
          </w:tcPr>
          <w:p w14:paraId="1F7871D8" w14:textId="77777777" w:rsidR="0095419B" w:rsidRPr="00125F60" w:rsidRDefault="0095419B" w:rsidP="000F221E">
            <w:pPr>
              <w:jc w:val="center"/>
              <w:rPr>
                <w:rFonts w:asciiTheme="majorHAnsi" w:hAnsiTheme="majorHAnsi"/>
                <w:color w:val="000000"/>
              </w:rPr>
            </w:pPr>
            <w:r w:rsidRPr="00125F60">
              <w:rPr>
                <w:rFonts w:asciiTheme="majorHAnsi" w:hAnsiTheme="majorHAnsi" w:cs="Arial"/>
                <w:color w:val="000000"/>
              </w:rPr>
              <w:t>4,10,630</w:t>
            </w:r>
          </w:p>
        </w:tc>
        <w:tc>
          <w:tcPr>
            <w:tcW w:w="614" w:type="pct"/>
            <w:noWrap/>
            <w:vAlign w:val="center"/>
            <w:hideMark/>
          </w:tcPr>
          <w:p w14:paraId="6AB42589" w14:textId="77777777" w:rsidR="0095419B" w:rsidRPr="00125F60" w:rsidRDefault="0095419B" w:rsidP="000F221E">
            <w:pPr>
              <w:jc w:val="center"/>
              <w:rPr>
                <w:rFonts w:asciiTheme="majorHAnsi" w:hAnsiTheme="majorHAnsi"/>
                <w:color w:val="000000"/>
              </w:rPr>
            </w:pPr>
            <w:r w:rsidRPr="00125F60">
              <w:rPr>
                <w:rFonts w:asciiTheme="majorHAnsi" w:hAnsiTheme="majorHAnsi" w:cs="Arial"/>
                <w:color w:val="000000"/>
              </w:rPr>
              <w:t>₹ 19.29</w:t>
            </w:r>
          </w:p>
        </w:tc>
        <w:tc>
          <w:tcPr>
            <w:tcW w:w="1444" w:type="pct"/>
            <w:noWrap/>
            <w:vAlign w:val="center"/>
            <w:hideMark/>
          </w:tcPr>
          <w:p w14:paraId="1C10F035" w14:textId="77777777" w:rsidR="0095419B" w:rsidRPr="00125F60" w:rsidRDefault="0095419B" w:rsidP="000F221E">
            <w:pPr>
              <w:jc w:val="center"/>
              <w:rPr>
                <w:rFonts w:asciiTheme="majorHAnsi" w:hAnsiTheme="majorHAnsi"/>
                <w:color w:val="000000"/>
              </w:rPr>
            </w:pPr>
            <w:r w:rsidRPr="00125F60">
              <w:rPr>
                <w:rFonts w:asciiTheme="majorHAnsi" w:hAnsiTheme="majorHAnsi" w:cs="Arial"/>
                <w:color w:val="000000"/>
              </w:rPr>
              <w:t>₹ 79,21,963.50</w:t>
            </w:r>
          </w:p>
        </w:tc>
      </w:tr>
      <w:tr w:rsidR="0095419B" w:rsidRPr="0095419B" w14:paraId="38A6D67E" w14:textId="77777777" w:rsidTr="006278A2">
        <w:trPr>
          <w:trHeight w:val="290"/>
        </w:trPr>
        <w:tc>
          <w:tcPr>
            <w:tcW w:w="1068" w:type="pct"/>
            <w:noWrap/>
            <w:vAlign w:val="center"/>
            <w:hideMark/>
          </w:tcPr>
          <w:p w14:paraId="1F90782C" w14:textId="77777777" w:rsidR="0095419B" w:rsidRPr="00125F60" w:rsidRDefault="0095419B" w:rsidP="000F221E">
            <w:pPr>
              <w:jc w:val="center"/>
              <w:rPr>
                <w:rFonts w:asciiTheme="majorHAnsi" w:hAnsiTheme="majorHAnsi"/>
                <w:color w:val="000000"/>
              </w:rPr>
            </w:pPr>
            <w:r w:rsidRPr="00125F60">
              <w:rPr>
                <w:rFonts w:asciiTheme="majorHAnsi" w:hAnsiTheme="majorHAnsi" w:cs="Arial"/>
                <w:color w:val="000000"/>
              </w:rPr>
              <w:t>BARGARH</w:t>
            </w:r>
          </w:p>
        </w:tc>
        <w:tc>
          <w:tcPr>
            <w:tcW w:w="1874" w:type="pct"/>
            <w:noWrap/>
            <w:vAlign w:val="center"/>
            <w:hideMark/>
          </w:tcPr>
          <w:p w14:paraId="045EF8BE" w14:textId="77777777" w:rsidR="0095419B" w:rsidRPr="00125F60" w:rsidRDefault="0095419B" w:rsidP="000F221E">
            <w:pPr>
              <w:jc w:val="center"/>
              <w:rPr>
                <w:rFonts w:asciiTheme="majorHAnsi" w:hAnsiTheme="majorHAnsi"/>
                <w:color w:val="000000"/>
              </w:rPr>
            </w:pPr>
            <w:r w:rsidRPr="00125F60">
              <w:rPr>
                <w:rFonts w:asciiTheme="majorHAnsi" w:hAnsiTheme="majorHAnsi"/>
                <w:color w:val="000000"/>
              </w:rPr>
              <w:t>2,05,239</w:t>
            </w:r>
          </w:p>
        </w:tc>
        <w:tc>
          <w:tcPr>
            <w:tcW w:w="614" w:type="pct"/>
            <w:noWrap/>
            <w:vAlign w:val="center"/>
            <w:hideMark/>
          </w:tcPr>
          <w:p w14:paraId="4A7952CF" w14:textId="77777777" w:rsidR="0095419B" w:rsidRPr="00125F60" w:rsidRDefault="0095419B" w:rsidP="000F221E">
            <w:pPr>
              <w:jc w:val="center"/>
              <w:rPr>
                <w:rFonts w:asciiTheme="majorHAnsi" w:hAnsiTheme="majorHAnsi"/>
                <w:color w:val="000000"/>
              </w:rPr>
            </w:pPr>
            <w:r w:rsidRPr="00125F60">
              <w:rPr>
                <w:rFonts w:asciiTheme="majorHAnsi" w:hAnsiTheme="majorHAnsi" w:cs="Arial"/>
                <w:color w:val="000000"/>
              </w:rPr>
              <w:t>₹ 22.30</w:t>
            </w:r>
          </w:p>
        </w:tc>
        <w:tc>
          <w:tcPr>
            <w:tcW w:w="1444" w:type="pct"/>
            <w:noWrap/>
            <w:vAlign w:val="center"/>
            <w:hideMark/>
          </w:tcPr>
          <w:p w14:paraId="2B6ABB79" w14:textId="77777777" w:rsidR="0095419B" w:rsidRPr="00125F60" w:rsidRDefault="0095419B" w:rsidP="000F221E">
            <w:pPr>
              <w:jc w:val="center"/>
              <w:rPr>
                <w:rFonts w:asciiTheme="majorHAnsi" w:hAnsiTheme="majorHAnsi"/>
                <w:color w:val="000000"/>
              </w:rPr>
            </w:pPr>
            <w:r w:rsidRPr="00125F60">
              <w:rPr>
                <w:rFonts w:asciiTheme="majorHAnsi" w:hAnsiTheme="majorHAnsi"/>
                <w:color w:val="000000"/>
              </w:rPr>
              <w:t>₹ 45,76,807.40</w:t>
            </w:r>
          </w:p>
        </w:tc>
      </w:tr>
      <w:tr w:rsidR="0095419B" w:rsidRPr="0095419B" w14:paraId="7F4803F1" w14:textId="77777777" w:rsidTr="006278A2">
        <w:trPr>
          <w:trHeight w:val="290"/>
        </w:trPr>
        <w:tc>
          <w:tcPr>
            <w:tcW w:w="1068" w:type="pct"/>
            <w:noWrap/>
            <w:vAlign w:val="center"/>
            <w:hideMark/>
          </w:tcPr>
          <w:p w14:paraId="737F68D3" w14:textId="77777777" w:rsidR="0095419B" w:rsidRPr="00125F60" w:rsidRDefault="0095419B" w:rsidP="000F221E">
            <w:pPr>
              <w:jc w:val="center"/>
              <w:rPr>
                <w:rFonts w:asciiTheme="majorHAnsi" w:hAnsiTheme="majorHAnsi"/>
                <w:color w:val="000000"/>
              </w:rPr>
            </w:pPr>
            <w:r w:rsidRPr="00125F60">
              <w:rPr>
                <w:rFonts w:asciiTheme="majorHAnsi" w:hAnsiTheme="majorHAnsi" w:cs="Arial"/>
                <w:color w:val="000000"/>
              </w:rPr>
              <w:t>KALAHANDI</w:t>
            </w:r>
          </w:p>
        </w:tc>
        <w:tc>
          <w:tcPr>
            <w:tcW w:w="1874" w:type="pct"/>
            <w:noWrap/>
            <w:vAlign w:val="center"/>
            <w:hideMark/>
          </w:tcPr>
          <w:p w14:paraId="79E56AAC" w14:textId="77777777" w:rsidR="0095419B" w:rsidRPr="00125F60" w:rsidRDefault="0095419B" w:rsidP="000F221E">
            <w:pPr>
              <w:jc w:val="center"/>
              <w:rPr>
                <w:rFonts w:asciiTheme="majorHAnsi" w:hAnsiTheme="majorHAnsi"/>
                <w:color w:val="000000"/>
              </w:rPr>
            </w:pPr>
            <w:r w:rsidRPr="00125F60">
              <w:rPr>
                <w:rFonts w:asciiTheme="majorHAnsi" w:hAnsiTheme="majorHAnsi"/>
                <w:color w:val="000000"/>
              </w:rPr>
              <w:t>3,84,067</w:t>
            </w:r>
          </w:p>
        </w:tc>
        <w:tc>
          <w:tcPr>
            <w:tcW w:w="614" w:type="pct"/>
            <w:noWrap/>
            <w:vAlign w:val="center"/>
            <w:hideMark/>
          </w:tcPr>
          <w:p w14:paraId="713A4AC8" w14:textId="77777777" w:rsidR="0095419B" w:rsidRPr="00125F60" w:rsidRDefault="0095419B" w:rsidP="000F221E">
            <w:pPr>
              <w:jc w:val="center"/>
              <w:rPr>
                <w:rFonts w:asciiTheme="majorHAnsi" w:hAnsiTheme="majorHAnsi"/>
                <w:color w:val="000000"/>
              </w:rPr>
            </w:pPr>
            <w:r w:rsidRPr="00125F60">
              <w:rPr>
                <w:rFonts w:asciiTheme="majorHAnsi" w:hAnsiTheme="majorHAnsi" w:cs="Arial"/>
                <w:color w:val="000000"/>
              </w:rPr>
              <w:t>₹ 21.00</w:t>
            </w:r>
          </w:p>
        </w:tc>
        <w:tc>
          <w:tcPr>
            <w:tcW w:w="1444" w:type="pct"/>
            <w:noWrap/>
            <w:vAlign w:val="center"/>
            <w:hideMark/>
          </w:tcPr>
          <w:p w14:paraId="6453D610" w14:textId="77777777" w:rsidR="0095419B" w:rsidRPr="00125F60" w:rsidRDefault="0095419B" w:rsidP="000F221E">
            <w:pPr>
              <w:jc w:val="center"/>
              <w:rPr>
                <w:rFonts w:asciiTheme="majorHAnsi" w:hAnsiTheme="majorHAnsi"/>
                <w:color w:val="000000"/>
              </w:rPr>
            </w:pPr>
            <w:r w:rsidRPr="00125F60">
              <w:rPr>
                <w:rFonts w:asciiTheme="majorHAnsi" w:hAnsiTheme="majorHAnsi"/>
                <w:color w:val="000000"/>
              </w:rPr>
              <w:t>₹ 80,65,352.90</w:t>
            </w:r>
          </w:p>
        </w:tc>
      </w:tr>
      <w:tr w:rsidR="0095419B" w:rsidRPr="0095419B" w14:paraId="27F10129" w14:textId="77777777" w:rsidTr="006278A2">
        <w:trPr>
          <w:trHeight w:val="290"/>
        </w:trPr>
        <w:tc>
          <w:tcPr>
            <w:tcW w:w="1068" w:type="pct"/>
            <w:noWrap/>
            <w:vAlign w:val="center"/>
            <w:hideMark/>
          </w:tcPr>
          <w:p w14:paraId="08CC367B" w14:textId="77777777" w:rsidR="0095419B" w:rsidRPr="00125F60" w:rsidRDefault="0095419B" w:rsidP="000F221E">
            <w:pPr>
              <w:jc w:val="center"/>
              <w:rPr>
                <w:rFonts w:asciiTheme="majorHAnsi" w:hAnsiTheme="majorHAnsi"/>
                <w:color w:val="000000"/>
              </w:rPr>
            </w:pPr>
            <w:r w:rsidRPr="00125F60">
              <w:rPr>
                <w:rFonts w:asciiTheme="majorHAnsi" w:hAnsiTheme="majorHAnsi" w:cs="Arial"/>
                <w:color w:val="000000"/>
              </w:rPr>
              <w:t>ROURKELA</w:t>
            </w:r>
          </w:p>
        </w:tc>
        <w:tc>
          <w:tcPr>
            <w:tcW w:w="1874" w:type="pct"/>
            <w:noWrap/>
            <w:vAlign w:val="center"/>
            <w:hideMark/>
          </w:tcPr>
          <w:p w14:paraId="1D52BEF7" w14:textId="77777777" w:rsidR="0095419B" w:rsidRPr="00125F60" w:rsidRDefault="0095419B" w:rsidP="000F221E">
            <w:pPr>
              <w:jc w:val="center"/>
              <w:rPr>
                <w:rFonts w:asciiTheme="majorHAnsi" w:hAnsiTheme="majorHAnsi"/>
                <w:color w:val="000000"/>
              </w:rPr>
            </w:pPr>
            <w:r w:rsidRPr="00125F60">
              <w:rPr>
                <w:rFonts w:asciiTheme="majorHAnsi" w:hAnsiTheme="majorHAnsi"/>
                <w:color w:val="000000"/>
              </w:rPr>
              <w:t>3,34,550</w:t>
            </w:r>
          </w:p>
        </w:tc>
        <w:tc>
          <w:tcPr>
            <w:tcW w:w="614" w:type="pct"/>
            <w:noWrap/>
            <w:vAlign w:val="center"/>
            <w:hideMark/>
          </w:tcPr>
          <w:p w14:paraId="0A74B8A4" w14:textId="77777777" w:rsidR="0095419B" w:rsidRPr="00125F60" w:rsidRDefault="0095419B" w:rsidP="000F221E">
            <w:pPr>
              <w:jc w:val="center"/>
              <w:rPr>
                <w:rFonts w:asciiTheme="majorHAnsi" w:hAnsiTheme="majorHAnsi"/>
                <w:color w:val="000000"/>
              </w:rPr>
            </w:pPr>
            <w:r w:rsidRPr="00125F60">
              <w:rPr>
                <w:rFonts w:asciiTheme="majorHAnsi" w:hAnsiTheme="majorHAnsi" w:cs="Arial"/>
                <w:color w:val="000000"/>
              </w:rPr>
              <w:t>₹ 19.77</w:t>
            </w:r>
          </w:p>
        </w:tc>
        <w:tc>
          <w:tcPr>
            <w:tcW w:w="1444" w:type="pct"/>
            <w:noWrap/>
            <w:vAlign w:val="center"/>
            <w:hideMark/>
          </w:tcPr>
          <w:p w14:paraId="3ADC13D1" w14:textId="77777777" w:rsidR="0095419B" w:rsidRPr="00125F60" w:rsidRDefault="0095419B" w:rsidP="000F221E">
            <w:pPr>
              <w:jc w:val="center"/>
              <w:rPr>
                <w:rFonts w:asciiTheme="majorHAnsi" w:hAnsiTheme="majorHAnsi"/>
                <w:color w:val="000000"/>
              </w:rPr>
            </w:pPr>
            <w:r w:rsidRPr="00125F60">
              <w:rPr>
                <w:rFonts w:asciiTheme="majorHAnsi" w:hAnsiTheme="majorHAnsi"/>
                <w:color w:val="000000"/>
              </w:rPr>
              <w:t>₹ 66,15,077.72</w:t>
            </w:r>
          </w:p>
        </w:tc>
      </w:tr>
      <w:tr w:rsidR="0095419B" w:rsidRPr="0095419B" w14:paraId="70AAD971" w14:textId="77777777" w:rsidTr="006278A2">
        <w:trPr>
          <w:trHeight w:val="290"/>
        </w:trPr>
        <w:tc>
          <w:tcPr>
            <w:tcW w:w="1068" w:type="pct"/>
            <w:noWrap/>
            <w:vAlign w:val="center"/>
            <w:hideMark/>
          </w:tcPr>
          <w:p w14:paraId="63C63944" w14:textId="77777777" w:rsidR="0095419B" w:rsidRPr="00125F60" w:rsidRDefault="0095419B" w:rsidP="000F221E">
            <w:pPr>
              <w:jc w:val="center"/>
              <w:rPr>
                <w:rFonts w:asciiTheme="majorHAnsi" w:hAnsiTheme="majorHAnsi"/>
                <w:color w:val="000000"/>
              </w:rPr>
            </w:pPr>
            <w:r w:rsidRPr="00125F60">
              <w:rPr>
                <w:rFonts w:asciiTheme="majorHAnsi" w:hAnsiTheme="majorHAnsi" w:cs="Arial"/>
                <w:color w:val="000000"/>
              </w:rPr>
              <w:t>SAMBALPUR</w:t>
            </w:r>
          </w:p>
        </w:tc>
        <w:tc>
          <w:tcPr>
            <w:tcW w:w="1874" w:type="pct"/>
            <w:noWrap/>
            <w:vAlign w:val="center"/>
            <w:hideMark/>
          </w:tcPr>
          <w:p w14:paraId="468FC875" w14:textId="77777777" w:rsidR="0095419B" w:rsidRPr="00125F60" w:rsidRDefault="0095419B" w:rsidP="000F221E">
            <w:pPr>
              <w:jc w:val="center"/>
              <w:rPr>
                <w:rFonts w:asciiTheme="majorHAnsi" w:hAnsiTheme="majorHAnsi"/>
                <w:color w:val="000000"/>
              </w:rPr>
            </w:pPr>
            <w:r w:rsidRPr="00125F60">
              <w:rPr>
                <w:rFonts w:asciiTheme="majorHAnsi" w:hAnsiTheme="majorHAnsi"/>
                <w:color w:val="000000"/>
              </w:rPr>
              <w:t>3,48,715</w:t>
            </w:r>
          </w:p>
        </w:tc>
        <w:tc>
          <w:tcPr>
            <w:tcW w:w="614" w:type="pct"/>
            <w:noWrap/>
            <w:vAlign w:val="center"/>
            <w:hideMark/>
          </w:tcPr>
          <w:p w14:paraId="150A19C8" w14:textId="77777777" w:rsidR="0095419B" w:rsidRPr="00125F60" w:rsidRDefault="0095419B" w:rsidP="000F221E">
            <w:pPr>
              <w:jc w:val="center"/>
              <w:rPr>
                <w:rFonts w:asciiTheme="majorHAnsi" w:hAnsiTheme="majorHAnsi"/>
                <w:color w:val="000000"/>
              </w:rPr>
            </w:pPr>
            <w:r w:rsidRPr="00125F60">
              <w:rPr>
                <w:rFonts w:asciiTheme="majorHAnsi" w:hAnsiTheme="majorHAnsi" w:cs="Arial"/>
                <w:color w:val="000000"/>
              </w:rPr>
              <w:t>₹ 19.71</w:t>
            </w:r>
          </w:p>
        </w:tc>
        <w:tc>
          <w:tcPr>
            <w:tcW w:w="1444" w:type="pct"/>
            <w:noWrap/>
            <w:vAlign w:val="center"/>
            <w:hideMark/>
          </w:tcPr>
          <w:p w14:paraId="3F8BC900" w14:textId="77777777" w:rsidR="0095419B" w:rsidRPr="00125F60" w:rsidRDefault="0095419B" w:rsidP="000F221E">
            <w:pPr>
              <w:jc w:val="center"/>
              <w:rPr>
                <w:rFonts w:asciiTheme="majorHAnsi" w:hAnsiTheme="majorHAnsi"/>
                <w:color w:val="000000"/>
              </w:rPr>
            </w:pPr>
            <w:r w:rsidRPr="00125F60">
              <w:rPr>
                <w:rFonts w:asciiTheme="majorHAnsi" w:hAnsiTheme="majorHAnsi"/>
                <w:color w:val="000000"/>
              </w:rPr>
              <w:t>₹ 68,72,838.50</w:t>
            </w:r>
          </w:p>
        </w:tc>
      </w:tr>
      <w:tr w:rsidR="0095419B" w:rsidRPr="0095419B" w14:paraId="5E29F530" w14:textId="77777777" w:rsidTr="006278A2">
        <w:trPr>
          <w:trHeight w:val="290"/>
        </w:trPr>
        <w:tc>
          <w:tcPr>
            <w:tcW w:w="1068" w:type="pct"/>
            <w:noWrap/>
            <w:vAlign w:val="center"/>
            <w:hideMark/>
          </w:tcPr>
          <w:p w14:paraId="6564B916" w14:textId="77777777" w:rsidR="0095419B" w:rsidRPr="0095419B" w:rsidRDefault="0095419B" w:rsidP="000F221E">
            <w:pPr>
              <w:jc w:val="center"/>
              <w:rPr>
                <w:rFonts w:asciiTheme="majorHAnsi" w:hAnsiTheme="majorHAnsi"/>
                <w:b/>
                <w:bCs/>
                <w:color w:val="000000"/>
              </w:rPr>
            </w:pPr>
            <w:r w:rsidRPr="0095419B">
              <w:rPr>
                <w:rFonts w:asciiTheme="majorHAnsi" w:hAnsiTheme="majorHAnsi" w:cs="Arial"/>
                <w:b/>
                <w:bCs/>
                <w:color w:val="000000"/>
              </w:rPr>
              <w:t>TOTAL</w:t>
            </w:r>
          </w:p>
        </w:tc>
        <w:tc>
          <w:tcPr>
            <w:tcW w:w="1874" w:type="pct"/>
            <w:noWrap/>
            <w:vAlign w:val="center"/>
            <w:hideMark/>
          </w:tcPr>
          <w:p w14:paraId="641D76B4"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16,83,201</w:t>
            </w:r>
          </w:p>
        </w:tc>
        <w:tc>
          <w:tcPr>
            <w:tcW w:w="614" w:type="pct"/>
            <w:noWrap/>
            <w:vAlign w:val="center"/>
            <w:hideMark/>
          </w:tcPr>
          <w:p w14:paraId="595FBEF1" w14:textId="77777777" w:rsidR="0095419B" w:rsidRPr="0095419B" w:rsidRDefault="0095419B" w:rsidP="000F221E">
            <w:pPr>
              <w:jc w:val="center"/>
              <w:rPr>
                <w:rFonts w:asciiTheme="majorHAnsi" w:hAnsiTheme="majorHAnsi"/>
                <w:b/>
                <w:bCs/>
                <w:color w:val="000000"/>
              </w:rPr>
            </w:pPr>
            <w:r w:rsidRPr="0095419B">
              <w:rPr>
                <w:rFonts w:asciiTheme="majorHAnsi" w:hAnsiTheme="majorHAnsi" w:cs="Arial"/>
                <w:b/>
                <w:bCs/>
                <w:color w:val="000000"/>
              </w:rPr>
              <w:t>₹ 20.23</w:t>
            </w:r>
          </w:p>
        </w:tc>
        <w:tc>
          <w:tcPr>
            <w:tcW w:w="1444" w:type="pct"/>
            <w:noWrap/>
            <w:vAlign w:val="center"/>
            <w:hideMark/>
          </w:tcPr>
          <w:p w14:paraId="492CFE70"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3,40,52,040.02</w:t>
            </w:r>
          </w:p>
        </w:tc>
      </w:tr>
    </w:tbl>
    <w:p w14:paraId="0AB01EDD" w14:textId="77777777" w:rsidR="0095419B" w:rsidRPr="0095419B" w:rsidRDefault="0095419B" w:rsidP="0095419B">
      <w:pPr>
        <w:jc w:val="both"/>
        <w:rPr>
          <w:rFonts w:asciiTheme="majorHAnsi" w:hAnsiTheme="majorHAnsi"/>
        </w:rPr>
      </w:pPr>
    </w:p>
    <w:tbl>
      <w:tblPr>
        <w:tblW w:w="0" w:type="auto"/>
        <w:tblLook w:val="04A0" w:firstRow="1" w:lastRow="0" w:firstColumn="1" w:lastColumn="0" w:noHBand="0" w:noVBand="1"/>
      </w:tblPr>
      <w:tblGrid>
        <w:gridCol w:w="1898"/>
        <w:gridCol w:w="3385"/>
        <w:gridCol w:w="1258"/>
        <w:gridCol w:w="2659"/>
      </w:tblGrid>
      <w:tr w:rsidR="0095419B" w:rsidRPr="0095419B" w14:paraId="134E3082" w14:textId="77777777" w:rsidTr="00125F60">
        <w:trPr>
          <w:trHeight w:val="1130"/>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19CB165" w14:textId="77777777" w:rsidR="0095419B" w:rsidRPr="0095419B" w:rsidRDefault="0095419B" w:rsidP="000F221E">
            <w:pPr>
              <w:jc w:val="center"/>
              <w:rPr>
                <w:rFonts w:asciiTheme="majorHAnsi" w:hAnsiTheme="majorHAnsi"/>
                <w:b/>
                <w:bCs/>
                <w:color w:val="000000"/>
                <w:lang w:val="en-IN"/>
              </w:rPr>
            </w:pPr>
            <w:r w:rsidRPr="0095419B">
              <w:rPr>
                <w:rFonts w:asciiTheme="majorHAnsi" w:hAnsiTheme="majorHAnsi"/>
                <w:b/>
                <w:bCs/>
                <w:color w:val="000000"/>
              </w:rPr>
              <w:t>Estimated Monthly Cost of Black &amp; White Printing and Distribution of separate Notice/Letter with POD printed on A4 Size paper provided by BA along with Spot Reading, Billing &amp; Distribution activity</w:t>
            </w:r>
          </w:p>
        </w:tc>
      </w:tr>
      <w:tr w:rsidR="0095419B" w:rsidRPr="0095419B" w14:paraId="47E05CE7" w14:textId="77777777" w:rsidTr="00125F60">
        <w:trPr>
          <w:trHeight w:val="290"/>
        </w:trPr>
        <w:tc>
          <w:tcPr>
            <w:tcW w:w="0" w:type="auto"/>
            <w:tcBorders>
              <w:top w:val="nil"/>
              <w:left w:val="single" w:sz="4" w:space="0" w:color="auto"/>
              <w:bottom w:val="single" w:sz="4" w:space="0" w:color="auto"/>
              <w:right w:val="single" w:sz="4" w:space="0" w:color="auto"/>
            </w:tcBorders>
            <w:noWrap/>
            <w:vAlign w:val="center"/>
            <w:hideMark/>
          </w:tcPr>
          <w:p w14:paraId="39A7A346"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CIRCLE</w:t>
            </w:r>
          </w:p>
        </w:tc>
        <w:tc>
          <w:tcPr>
            <w:tcW w:w="0" w:type="auto"/>
            <w:tcBorders>
              <w:top w:val="nil"/>
              <w:left w:val="nil"/>
              <w:bottom w:val="single" w:sz="4" w:space="0" w:color="auto"/>
              <w:right w:val="single" w:sz="4" w:space="0" w:color="auto"/>
            </w:tcBorders>
            <w:noWrap/>
            <w:vAlign w:val="center"/>
            <w:hideMark/>
          </w:tcPr>
          <w:p w14:paraId="6F2F892C"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No. of Consumers</w:t>
            </w:r>
          </w:p>
        </w:tc>
        <w:tc>
          <w:tcPr>
            <w:tcW w:w="0" w:type="auto"/>
            <w:tcBorders>
              <w:top w:val="nil"/>
              <w:left w:val="nil"/>
              <w:bottom w:val="single" w:sz="4" w:space="0" w:color="auto"/>
              <w:right w:val="single" w:sz="4" w:space="0" w:color="auto"/>
            </w:tcBorders>
            <w:noWrap/>
            <w:vAlign w:val="center"/>
            <w:hideMark/>
          </w:tcPr>
          <w:p w14:paraId="0DAE4789"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Rate</w:t>
            </w:r>
          </w:p>
        </w:tc>
        <w:tc>
          <w:tcPr>
            <w:tcW w:w="0" w:type="auto"/>
            <w:tcBorders>
              <w:top w:val="nil"/>
              <w:left w:val="nil"/>
              <w:bottom w:val="single" w:sz="4" w:space="0" w:color="auto"/>
              <w:right w:val="single" w:sz="4" w:space="0" w:color="auto"/>
            </w:tcBorders>
            <w:noWrap/>
            <w:vAlign w:val="center"/>
            <w:hideMark/>
          </w:tcPr>
          <w:p w14:paraId="71FB11A2"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Cost (in Rs.)</w:t>
            </w:r>
          </w:p>
        </w:tc>
      </w:tr>
      <w:tr w:rsidR="0095419B" w:rsidRPr="0095419B" w14:paraId="56B89A9D"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0558D6E0" w14:textId="2D28C393" w:rsidR="0095419B" w:rsidRPr="0095419B" w:rsidRDefault="00C534D8" w:rsidP="000F221E">
            <w:pPr>
              <w:jc w:val="center"/>
              <w:rPr>
                <w:rFonts w:asciiTheme="majorHAnsi" w:hAnsiTheme="majorHAnsi"/>
                <w:color w:val="000000"/>
              </w:rPr>
            </w:pPr>
            <w:r>
              <w:rPr>
                <w:rFonts w:asciiTheme="majorHAnsi" w:hAnsiTheme="majorHAnsi" w:cs="Arial"/>
                <w:color w:val="000000"/>
              </w:rPr>
              <w:t>BOLANGIR</w:t>
            </w:r>
          </w:p>
        </w:tc>
        <w:tc>
          <w:tcPr>
            <w:tcW w:w="0" w:type="auto"/>
            <w:tcBorders>
              <w:top w:val="nil"/>
              <w:left w:val="nil"/>
              <w:bottom w:val="single" w:sz="4" w:space="0" w:color="auto"/>
              <w:right w:val="single" w:sz="4" w:space="0" w:color="auto"/>
            </w:tcBorders>
            <w:noWrap/>
            <w:vAlign w:val="center"/>
            <w:hideMark/>
          </w:tcPr>
          <w:p w14:paraId="3C37F165"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1,500</w:t>
            </w:r>
          </w:p>
        </w:tc>
        <w:tc>
          <w:tcPr>
            <w:tcW w:w="0" w:type="auto"/>
            <w:tcBorders>
              <w:top w:val="nil"/>
              <w:left w:val="nil"/>
              <w:bottom w:val="single" w:sz="4" w:space="0" w:color="auto"/>
              <w:right w:val="single" w:sz="4" w:space="0" w:color="auto"/>
            </w:tcBorders>
            <w:noWrap/>
            <w:vAlign w:val="center"/>
            <w:hideMark/>
          </w:tcPr>
          <w:p w14:paraId="49347500"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23.83</w:t>
            </w:r>
          </w:p>
        </w:tc>
        <w:tc>
          <w:tcPr>
            <w:tcW w:w="0" w:type="auto"/>
            <w:tcBorders>
              <w:top w:val="nil"/>
              <w:left w:val="nil"/>
              <w:bottom w:val="single" w:sz="4" w:space="0" w:color="auto"/>
              <w:right w:val="single" w:sz="4" w:space="0" w:color="auto"/>
            </w:tcBorders>
            <w:noWrap/>
            <w:vAlign w:val="center"/>
            <w:hideMark/>
          </w:tcPr>
          <w:p w14:paraId="7C795B83"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35,750.00</w:t>
            </w:r>
          </w:p>
        </w:tc>
      </w:tr>
      <w:tr w:rsidR="0095419B" w:rsidRPr="0095419B" w14:paraId="50FCA84C"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031053C7"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BARGARH</w:t>
            </w:r>
          </w:p>
        </w:tc>
        <w:tc>
          <w:tcPr>
            <w:tcW w:w="0" w:type="auto"/>
            <w:tcBorders>
              <w:top w:val="nil"/>
              <w:left w:val="nil"/>
              <w:bottom w:val="single" w:sz="4" w:space="0" w:color="auto"/>
              <w:right w:val="single" w:sz="4" w:space="0" w:color="auto"/>
            </w:tcBorders>
            <w:noWrap/>
            <w:vAlign w:val="center"/>
            <w:hideMark/>
          </w:tcPr>
          <w:p w14:paraId="246AAB7F"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1,000</w:t>
            </w:r>
          </w:p>
        </w:tc>
        <w:tc>
          <w:tcPr>
            <w:tcW w:w="0" w:type="auto"/>
            <w:tcBorders>
              <w:top w:val="nil"/>
              <w:left w:val="nil"/>
              <w:bottom w:val="single" w:sz="4" w:space="0" w:color="auto"/>
              <w:right w:val="single" w:sz="4" w:space="0" w:color="auto"/>
            </w:tcBorders>
            <w:noWrap/>
            <w:vAlign w:val="center"/>
            <w:hideMark/>
          </w:tcPr>
          <w:p w14:paraId="2B41F571"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26.40</w:t>
            </w:r>
          </w:p>
        </w:tc>
        <w:tc>
          <w:tcPr>
            <w:tcW w:w="0" w:type="auto"/>
            <w:tcBorders>
              <w:top w:val="nil"/>
              <w:left w:val="nil"/>
              <w:bottom w:val="single" w:sz="4" w:space="0" w:color="auto"/>
              <w:right w:val="single" w:sz="4" w:space="0" w:color="auto"/>
            </w:tcBorders>
            <w:noWrap/>
            <w:vAlign w:val="center"/>
            <w:hideMark/>
          </w:tcPr>
          <w:p w14:paraId="1C71B36A"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26,400.00</w:t>
            </w:r>
          </w:p>
        </w:tc>
      </w:tr>
      <w:tr w:rsidR="0095419B" w:rsidRPr="0095419B" w14:paraId="3E1BD153"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07D14DB2"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KALAHANDI</w:t>
            </w:r>
          </w:p>
        </w:tc>
        <w:tc>
          <w:tcPr>
            <w:tcW w:w="0" w:type="auto"/>
            <w:tcBorders>
              <w:top w:val="nil"/>
              <w:left w:val="nil"/>
              <w:bottom w:val="single" w:sz="4" w:space="0" w:color="auto"/>
              <w:right w:val="single" w:sz="4" w:space="0" w:color="auto"/>
            </w:tcBorders>
            <w:noWrap/>
            <w:vAlign w:val="center"/>
            <w:hideMark/>
          </w:tcPr>
          <w:p w14:paraId="039E503A"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1,500</w:t>
            </w:r>
          </w:p>
        </w:tc>
        <w:tc>
          <w:tcPr>
            <w:tcW w:w="0" w:type="auto"/>
            <w:tcBorders>
              <w:top w:val="nil"/>
              <w:left w:val="nil"/>
              <w:bottom w:val="single" w:sz="4" w:space="0" w:color="auto"/>
              <w:right w:val="single" w:sz="4" w:space="0" w:color="auto"/>
            </w:tcBorders>
            <w:noWrap/>
            <w:vAlign w:val="center"/>
            <w:hideMark/>
          </w:tcPr>
          <w:p w14:paraId="6B787B23"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25.30</w:t>
            </w:r>
          </w:p>
        </w:tc>
        <w:tc>
          <w:tcPr>
            <w:tcW w:w="0" w:type="auto"/>
            <w:tcBorders>
              <w:top w:val="nil"/>
              <w:left w:val="nil"/>
              <w:bottom w:val="single" w:sz="4" w:space="0" w:color="auto"/>
              <w:right w:val="single" w:sz="4" w:space="0" w:color="auto"/>
            </w:tcBorders>
            <w:noWrap/>
            <w:vAlign w:val="center"/>
            <w:hideMark/>
          </w:tcPr>
          <w:p w14:paraId="0818E527"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37,950.00</w:t>
            </w:r>
          </w:p>
        </w:tc>
      </w:tr>
      <w:tr w:rsidR="0095419B" w:rsidRPr="0095419B" w14:paraId="66F8E802"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4C3A33EB"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ROURKELA</w:t>
            </w:r>
          </w:p>
        </w:tc>
        <w:tc>
          <w:tcPr>
            <w:tcW w:w="0" w:type="auto"/>
            <w:tcBorders>
              <w:top w:val="nil"/>
              <w:left w:val="nil"/>
              <w:bottom w:val="single" w:sz="4" w:space="0" w:color="auto"/>
              <w:right w:val="single" w:sz="4" w:space="0" w:color="auto"/>
            </w:tcBorders>
            <w:noWrap/>
            <w:vAlign w:val="center"/>
            <w:hideMark/>
          </w:tcPr>
          <w:p w14:paraId="6FE6A53F"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1,500</w:t>
            </w:r>
          </w:p>
        </w:tc>
        <w:tc>
          <w:tcPr>
            <w:tcW w:w="0" w:type="auto"/>
            <w:tcBorders>
              <w:top w:val="nil"/>
              <w:left w:val="nil"/>
              <w:bottom w:val="single" w:sz="4" w:space="0" w:color="auto"/>
              <w:right w:val="single" w:sz="4" w:space="0" w:color="auto"/>
            </w:tcBorders>
            <w:noWrap/>
            <w:vAlign w:val="center"/>
            <w:hideMark/>
          </w:tcPr>
          <w:p w14:paraId="7E5E4AC8"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23.83</w:t>
            </w:r>
          </w:p>
        </w:tc>
        <w:tc>
          <w:tcPr>
            <w:tcW w:w="0" w:type="auto"/>
            <w:tcBorders>
              <w:top w:val="nil"/>
              <w:left w:val="nil"/>
              <w:bottom w:val="single" w:sz="4" w:space="0" w:color="auto"/>
              <w:right w:val="single" w:sz="4" w:space="0" w:color="auto"/>
            </w:tcBorders>
            <w:noWrap/>
            <w:vAlign w:val="center"/>
            <w:hideMark/>
          </w:tcPr>
          <w:p w14:paraId="0267E640"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35,750.00</w:t>
            </w:r>
          </w:p>
        </w:tc>
      </w:tr>
      <w:tr w:rsidR="0095419B" w:rsidRPr="0095419B" w14:paraId="1F52B05E"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75E98EDC"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SAMBALPUR</w:t>
            </w:r>
          </w:p>
        </w:tc>
        <w:tc>
          <w:tcPr>
            <w:tcW w:w="0" w:type="auto"/>
            <w:tcBorders>
              <w:top w:val="nil"/>
              <w:left w:val="nil"/>
              <w:bottom w:val="single" w:sz="4" w:space="0" w:color="auto"/>
              <w:right w:val="single" w:sz="4" w:space="0" w:color="auto"/>
            </w:tcBorders>
            <w:noWrap/>
            <w:vAlign w:val="center"/>
            <w:hideMark/>
          </w:tcPr>
          <w:p w14:paraId="1C1A819D"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2,500</w:t>
            </w:r>
          </w:p>
        </w:tc>
        <w:tc>
          <w:tcPr>
            <w:tcW w:w="0" w:type="auto"/>
            <w:tcBorders>
              <w:top w:val="nil"/>
              <w:left w:val="nil"/>
              <w:bottom w:val="single" w:sz="4" w:space="0" w:color="auto"/>
              <w:right w:val="single" w:sz="4" w:space="0" w:color="auto"/>
            </w:tcBorders>
            <w:noWrap/>
            <w:vAlign w:val="center"/>
            <w:hideMark/>
          </w:tcPr>
          <w:p w14:paraId="3FEB28E5"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23.98</w:t>
            </w:r>
          </w:p>
        </w:tc>
        <w:tc>
          <w:tcPr>
            <w:tcW w:w="0" w:type="auto"/>
            <w:tcBorders>
              <w:top w:val="nil"/>
              <w:left w:val="nil"/>
              <w:bottom w:val="single" w:sz="4" w:space="0" w:color="auto"/>
              <w:right w:val="single" w:sz="4" w:space="0" w:color="auto"/>
            </w:tcBorders>
            <w:noWrap/>
            <w:vAlign w:val="center"/>
            <w:hideMark/>
          </w:tcPr>
          <w:p w14:paraId="3B8CB042"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59,950.00</w:t>
            </w:r>
          </w:p>
        </w:tc>
      </w:tr>
      <w:tr w:rsidR="0095419B" w:rsidRPr="0095419B" w14:paraId="672F3E4F"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4244B833" w14:textId="77777777" w:rsidR="0095419B" w:rsidRPr="0095419B" w:rsidRDefault="0095419B" w:rsidP="000F221E">
            <w:pPr>
              <w:jc w:val="center"/>
              <w:rPr>
                <w:rFonts w:asciiTheme="majorHAnsi" w:hAnsiTheme="majorHAnsi"/>
                <w:b/>
                <w:bCs/>
                <w:color w:val="000000"/>
              </w:rPr>
            </w:pPr>
            <w:r w:rsidRPr="0095419B">
              <w:rPr>
                <w:rFonts w:asciiTheme="majorHAnsi" w:hAnsiTheme="majorHAnsi" w:cs="Arial"/>
                <w:b/>
                <w:bCs/>
                <w:color w:val="000000"/>
              </w:rPr>
              <w:t>TOTAL</w:t>
            </w:r>
          </w:p>
        </w:tc>
        <w:tc>
          <w:tcPr>
            <w:tcW w:w="0" w:type="auto"/>
            <w:tcBorders>
              <w:top w:val="nil"/>
              <w:left w:val="nil"/>
              <w:bottom w:val="single" w:sz="4" w:space="0" w:color="auto"/>
              <w:right w:val="single" w:sz="4" w:space="0" w:color="auto"/>
            </w:tcBorders>
            <w:noWrap/>
            <w:vAlign w:val="center"/>
            <w:hideMark/>
          </w:tcPr>
          <w:p w14:paraId="615B6341"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8,000</w:t>
            </w:r>
          </w:p>
        </w:tc>
        <w:tc>
          <w:tcPr>
            <w:tcW w:w="0" w:type="auto"/>
            <w:tcBorders>
              <w:top w:val="nil"/>
              <w:left w:val="nil"/>
              <w:bottom w:val="single" w:sz="4" w:space="0" w:color="auto"/>
              <w:right w:val="single" w:sz="4" w:space="0" w:color="auto"/>
            </w:tcBorders>
            <w:noWrap/>
            <w:vAlign w:val="center"/>
            <w:hideMark/>
          </w:tcPr>
          <w:p w14:paraId="09FB8F94"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24.48</w:t>
            </w:r>
          </w:p>
        </w:tc>
        <w:tc>
          <w:tcPr>
            <w:tcW w:w="0" w:type="auto"/>
            <w:tcBorders>
              <w:top w:val="nil"/>
              <w:left w:val="nil"/>
              <w:bottom w:val="single" w:sz="4" w:space="0" w:color="auto"/>
              <w:right w:val="single" w:sz="4" w:space="0" w:color="auto"/>
            </w:tcBorders>
            <w:noWrap/>
            <w:vAlign w:val="center"/>
            <w:hideMark/>
          </w:tcPr>
          <w:p w14:paraId="12BFE7E0"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1,95,800.00</w:t>
            </w:r>
          </w:p>
        </w:tc>
      </w:tr>
    </w:tbl>
    <w:p w14:paraId="1A7656E9" w14:textId="77777777" w:rsidR="0095419B" w:rsidRPr="0095419B" w:rsidRDefault="0095419B" w:rsidP="0095419B">
      <w:pPr>
        <w:spacing w:line="240" w:lineRule="atLeast"/>
        <w:rPr>
          <w:rFonts w:asciiTheme="majorHAnsi" w:hAnsiTheme="majorHAnsi"/>
          <w:b/>
          <w:bCs/>
        </w:rPr>
      </w:pPr>
    </w:p>
    <w:tbl>
      <w:tblPr>
        <w:tblW w:w="0" w:type="auto"/>
        <w:tblLook w:val="04A0" w:firstRow="1" w:lastRow="0" w:firstColumn="1" w:lastColumn="0" w:noHBand="0" w:noVBand="1"/>
      </w:tblPr>
      <w:tblGrid>
        <w:gridCol w:w="1898"/>
        <w:gridCol w:w="3385"/>
        <w:gridCol w:w="1258"/>
        <w:gridCol w:w="2659"/>
      </w:tblGrid>
      <w:tr w:rsidR="0095419B" w:rsidRPr="0095419B" w14:paraId="5CB1F1FE" w14:textId="77777777" w:rsidTr="00125F60">
        <w:trPr>
          <w:trHeight w:val="290"/>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8F0E5F0" w14:textId="77777777" w:rsidR="0095419B" w:rsidRPr="0095419B" w:rsidRDefault="0095419B" w:rsidP="000F221E">
            <w:pPr>
              <w:jc w:val="center"/>
              <w:rPr>
                <w:rFonts w:asciiTheme="majorHAnsi" w:hAnsiTheme="majorHAnsi"/>
                <w:b/>
                <w:bCs/>
                <w:color w:val="000000"/>
                <w:lang w:val="en-IN"/>
              </w:rPr>
            </w:pPr>
            <w:r w:rsidRPr="0095419B">
              <w:rPr>
                <w:rFonts w:asciiTheme="majorHAnsi" w:hAnsiTheme="majorHAnsi"/>
                <w:b/>
                <w:bCs/>
                <w:color w:val="000000"/>
              </w:rPr>
              <w:t>Estimated Monthly Cost of Distribution of separate Pre-printed Notice/Letter provided by TPWODL with POD along with Spot Reading, Billing &amp; Distribution activity</w:t>
            </w:r>
          </w:p>
        </w:tc>
      </w:tr>
      <w:tr w:rsidR="0095419B" w:rsidRPr="0095419B" w14:paraId="09EB1720" w14:textId="77777777" w:rsidTr="00125F60">
        <w:trPr>
          <w:trHeight w:val="290"/>
        </w:trPr>
        <w:tc>
          <w:tcPr>
            <w:tcW w:w="0" w:type="auto"/>
            <w:tcBorders>
              <w:top w:val="nil"/>
              <w:left w:val="single" w:sz="4" w:space="0" w:color="auto"/>
              <w:bottom w:val="single" w:sz="4" w:space="0" w:color="auto"/>
              <w:right w:val="single" w:sz="4" w:space="0" w:color="auto"/>
            </w:tcBorders>
            <w:noWrap/>
            <w:vAlign w:val="center"/>
            <w:hideMark/>
          </w:tcPr>
          <w:p w14:paraId="319D73E4"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CIRCLE</w:t>
            </w:r>
          </w:p>
        </w:tc>
        <w:tc>
          <w:tcPr>
            <w:tcW w:w="0" w:type="auto"/>
            <w:tcBorders>
              <w:top w:val="nil"/>
              <w:left w:val="nil"/>
              <w:bottom w:val="single" w:sz="4" w:space="0" w:color="auto"/>
              <w:right w:val="single" w:sz="4" w:space="0" w:color="auto"/>
            </w:tcBorders>
            <w:noWrap/>
            <w:vAlign w:val="center"/>
            <w:hideMark/>
          </w:tcPr>
          <w:p w14:paraId="0073CAC6"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No. of Consumers</w:t>
            </w:r>
          </w:p>
        </w:tc>
        <w:tc>
          <w:tcPr>
            <w:tcW w:w="0" w:type="auto"/>
            <w:tcBorders>
              <w:top w:val="nil"/>
              <w:left w:val="nil"/>
              <w:bottom w:val="single" w:sz="4" w:space="0" w:color="auto"/>
              <w:right w:val="single" w:sz="4" w:space="0" w:color="auto"/>
            </w:tcBorders>
            <w:noWrap/>
            <w:vAlign w:val="center"/>
            <w:hideMark/>
          </w:tcPr>
          <w:p w14:paraId="7536B258"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Rate</w:t>
            </w:r>
          </w:p>
        </w:tc>
        <w:tc>
          <w:tcPr>
            <w:tcW w:w="0" w:type="auto"/>
            <w:tcBorders>
              <w:top w:val="nil"/>
              <w:left w:val="nil"/>
              <w:bottom w:val="single" w:sz="4" w:space="0" w:color="auto"/>
              <w:right w:val="single" w:sz="4" w:space="0" w:color="auto"/>
            </w:tcBorders>
            <w:noWrap/>
            <w:vAlign w:val="center"/>
            <w:hideMark/>
          </w:tcPr>
          <w:p w14:paraId="4E64BE73"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Cost (in Rs.)</w:t>
            </w:r>
          </w:p>
        </w:tc>
      </w:tr>
      <w:tr w:rsidR="0095419B" w:rsidRPr="0095419B" w14:paraId="1FB8DFE5"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1AE2D5D5" w14:textId="29576B4A" w:rsidR="0095419B" w:rsidRPr="0095419B" w:rsidRDefault="00C534D8" w:rsidP="000F221E">
            <w:pPr>
              <w:jc w:val="center"/>
              <w:rPr>
                <w:rFonts w:asciiTheme="majorHAnsi" w:hAnsiTheme="majorHAnsi"/>
                <w:color w:val="000000"/>
              </w:rPr>
            </w:pPr>
            <w:r>
              <w:rPr>
                <w:rFonts w:asciiTheme="majorHAnsi" w:hAnsiTheme="majorHAnsi" w:cs="Arial"/>
                <w:color w:val="000000"/>
              </w:rPr>
              <w:t>BOLANGIR</w:t>
            </w:r>
          </w:p>
        </w:tc>
        <w:tc>
          <w:tcPr>
            <w:tcW w:w="0" w:type="auto"/>
            <w:tcBorders>
              <w:top w:val="nil"/>
              <w:left w:val="nil"/>
              <w:bottom w:val="single" w:sz="4" w:space="0" w:color="auto"/>
              <w:right w:val="single" w:sz="4" w:space="0" w:color="auto"/>
            </w:tcBorders>
            <w:noWrap/>
            <w:vAlign w:val="center"/>
            <w:hideMark/>
          </w:tcPr>
          <w:p w14:paraId="0B32107E"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3,000</w:t>
            </w:r>
          </w:p>
        </w:tc>
        <w:tc>
          <w:tcPr>
            <w:tcW w:w="0" w:type="auto"/>
            <w:tcBorders>
              <w:top w:val="nil"/>
              <w:left w:val="nil"/>
              <w:bottom w:val="single" w:sz="4" w:space="0" w:color="auto"/>
              <w:right w:val="single" w:sz="4" w:space="0" w:color="auto"/>
            </w:tcBorders>
            <w:noWrap/>
            <w:vAlign w:val="center"/>
            <w:hideMark/>
          </w:tcPr>
          <w:p w14:paraId="1AAF6986"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20.53</w:t>
            </w:r>
          </w:p>
        </w:tc>
        <w:tc>
          <w:tcPr>
            <w:tcW w:w="0" w:type="auto"/>
            <w:tcBorders>
              <w:top w:val="nil"/>
              <w:left w:val="nil"/>
              <w:bottom w:val="single" w:sz="4" w:space="0" w:color="auto"/>
              <w:right w:val="single" w:sz="4" w:space="0" w:color="auto"/>
            </w:tcBorders>
            <w:noWrap/>
            <w:vAlign w:val="center"/>
            <w:hideMark/>
          </w:tcPr>
          <w:p w14:paraId="566FF28D"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61,600.00</w:t>
            </w:r>
          </w:p>
        </w:tc>
      </w:tr>
      <w:tr w:rsidR="0095419B" w:rsidRPr="0095419B" w14:paraId="410FBC46"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12721169"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BARGARH</w:t>
            </w:r>
          </w:p>
        </w:tc>
        <w:tc>
          <w:tcPr>
            <w:tcW w:w="0" w:type="auto"/>
            <w:tcBorders>
              <w:top w:val="nil"/>
              <w:left w:val="nil"/>
              <w:bottom w:val="single" w:sz="4" w:space="0" w:color="auto"/>
              <w:right w:val="single" w:sz="4" w:space="0" w:color="auto"/>
            </w:tcBorders>
            <w:noWrap/>
            <w:vAlign w:val="center"/>
            <w:hideMark/>
          </w:tcPr>
          <w:p w14:paraId="3D12ABFB"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2,000</w:t>
            </w:r>
          </w:p>
        </w:tc>
        <w:tc>
          <w:tcPr>
            <w:tcW w:w="0" w:type="auto"/>
            <w:tcBorders>
              <w:top w:val="nil"/>
              <w:left w:val="nil"/>
              <w:bottom w:val="single" w:sz="4" w:space="0" w:color="auto"/>
              <w:right w:val="single" w:sz="4" w:space="0" w:color="auto"/>
            </w:tcBorders>
            <w:noWrap/>
            <w:vAlign w:val="center"/>
            <w:hideMark/>
          </w:tcPr>
          <w:p w14:paraId="105C96ED"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23.10</w:t>
            </w:r>
          </w:p>
        </w:tc>
        <w:tc>
          <w:tcPr>
            <w:tcW w:w="0" w:type="auto"/>
            <w:tcBorders>
              <w:top w:val="nil"/>
              <w:left w:val="nil"/>
              <w:bottom w:val="single" w:sz="4" w:space="0" w:color="auto"/>
              <w:right w:val="single" w:sz="4" w:space="0" w:color="auto"/>
            </w:tcBorders>
            <w:noWrap/>
            <w:vAlign w:val="center"/>
            <w:hideMark/>
          </w:tcPr>
          <w:p w14:paraId="4B16B44D"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46,200.00</w:t>
            </w:r>
          </w:p>
        </w:tc>
      </w:tr>
      <w:tr w:rsidR="0095419B" w:rsidRPr="0095419B" w14:paraId="419070FA"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13B69C27"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KALAHANDI</w:t>
            </w:r>
          </w:p>
        </w:tc>
        <w:tc>
          <w:tcPr>
            <w:tcW w:w="0" w:type="auto"/>
            <w:tcBorders>
              <w:top w:val="nil"/>
              <w:left w:val="nil"/>
              <w:bottom w:val="single" w:sz="4" w:space="0" w:color="auto"/>
              <w:right w:val="single" w:sz="4" w:space="0" w:color="auto"/>
            </w:tcBorders>
            <w:noWrap/>
            <w:vAlign w:val="center"/>
            <w:hideMark/>
          </w:tcPr>
          <w:p w14:paraId="5F914C06"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3,000</w:t>
            </w:r>
          </w:p>
        </w:tc>
        <w:tc>
          <w:tcPr>
            <w:tcW w:w="0" w:type="auto"/>
            <w:tcBorders>
              <w:top w:val="nil"/>
              <w:left w:val="nil"/>
              <w:bottom w:val="single" w:sz="4" w:space="0" w:color="auto"/>
              <w:right w:val="single" w:sz="4" w:space="0" w:color="auto"/>
            </w:tcBorders>
            <w:noWrap/>
            <w:vAlign w:val="center"/>
            <w:hideMark/>
          </w:tcPr>
          <w:p w14:paraId="641E636F"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22.00</w:t>
            </w:r>
          </w:p>
        </w:tc>
        <w:tc>
          <w:tcPr>
            <w:tcW w:w="0" w:type="auto"/>
            <w:tcBorders>
              <w:top w:val="nil"/>
              <w:left w:val="nil"/>
              <w:bottom w:val="single" w:sz="4" w:space="0" w:color="auto"/>
              <w:right w:val="single" w:sz="4" w:space="0" w:color="auto"/>
            </w:tcBorders>
            <w:noWrap/>
            <w:vAlign w:val="center"/>
            <w:hideMark/>
          </w:tcPr>
          <w:p w14:paraId="7CD990AE"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66,000.00</w:t>
            </w:r>
          </w:p>
        </w:tc>
      </w:tr>
      <w:tr w:rsidR="0095419B" w:rsidRPr="0095419B" w14:paraId="45632434"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5D4AF3C5"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ROURKELA</w:t>
            </w:r>
          </w:p>
        </w:tc>
        <w:tc>
          <w:tcPr>
            <w:tcW w:w="0" w:type="auto"/>
            <w:tcBorders>
              <w:top w:val="nil"/>
              <w:left w:val="nil"/>
              <w:bottom w:val="single" w:sz="4" w:space="0" w:color="auto"/>
              <w:right w:val="single" w:sz="4" w:space="0" w:color="auto"/>
            </w:tcBorders>
            <w:noWrap/>
            <w:vAlign w:val="center"/>
            <w:hideMark/>
          </w:tcPr>
          <w:p w14:paraId="1F76BB50"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3,000</w:t>
            </w:r>
          </w:p>
        </w:tc>
        <w:tc>
          <w:tcPr>
            <w:tcW w:w="0" w:type="auto"/>
            <w:tcBorders>
              <w:top w:val="nil"/>
              <w:left w:val="nil"/>
              <w:bottom w:val="single" w:sz="4" w:space="0" w:color="auto"/>
              <w:right w:val="single" w:sz="4" w:space="0" w:color="auto"/>
            </w:tcBorders>
            <w:noWrap/>
            <w:vAlign w:val="center"/>
            <w:hideMark/>
          </w:tcPr>
          <w:p w14:paraId="28FCB15F"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20.53</w:t>
            </w:r>
          </w:p>
        </w:tc>
        <w:tc>
          <w:tcPr>
            <w:tcW w:w="0" w:type="auto"/>
            <w:tcBorders>
              <w:top w:val="nil"/>
              <w:left w:val="nil"/>
              <w:bottom w:val="single" w:sz="4" w:space="0" w:color="auto"/>
              <w:right w:val="single" w:sz="4" w:space="0" w:color="auto"/>
            </w:tcBorders>
            <w:noWrap/>
            <w:vAlign w:val="center"/>
            <w:hideMark/>
          </w:tcPr>
          <w:p w14:paraId="012D6407"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61,600.00</w:t>
            </w:r>
          </w:p>
        </w:tc>
      </w:tr>
      <w:tr w:rsidR="0095419B" w:rsidRPr="0095419B" w14:paraId="4C138C73"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0770B98F"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SAMBALPUR</w:t>
            </w:r>
          </w:p>
        </w:tc>
        <w:tc>
          <w:tcPr>
            <w:tcW w:w="0" w:type="auto"/>
            <w:tcBorders>
              <w:top w:val="nil"/>
              <w:left w:val="nil"/>
              <w:bottom w:val="single" w:sz="4" w:space="0" w:color="auto"/>
              <w:right w:val="single" w:sz="4" w:space="0" w:color="auto"/>
            </w:tcBorders>
            <w:noWrap/>
            <w:vAlign w:val="center"/>
            <w:hideMark/>
          </w:tcPr>
          <w:p w14:paraId="0A8B59A7"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5,000</w:t>
            </w:r>
          </w:p>
        </w:tc>
        <w:tc>
          <w:tcPr>
            <w:tcW w:w="0" w:type="auto"/>
            <w:tcBorders>
              <w:top w:val="nil"/>
              <w:left w:val="nil"/>
              <w:bottom w:val="single" w:sz="4" w:space="0" w:color="auto"/>
              <w:right w:val="single" w:sz="4" w:space="0" w:color="auto"/>
            </w:tcBorders>
            <w:noWrap/>
            <w:vAlign w:val="center"/>
            <w:hideMark/>
          </w:tcPr>
          <w:p w14:paraId="1EFAFFB6"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20.68</w:t>
            </w:r>
          </w:p>
        </w:tc>
        <w:tc>
          <w:tcPr>
            <w:tcW w:w="0" w:type="auto"/>
            <w:tcBorders>
              <w:top w:val="nil"/>
              <w:left w:val="nil"/>
              <w:bottom w:val="single" w:sz="4" w:space="0" w:color="auto"/>
              <w:right w:val="single" w:sz="4" w:space="0" w:color="auto"/>
            </w:tcBorders>
            <w:noWrap/>
            <w:vAlign w:val="center"/>
            <w:hideMark/>
          </w:tcPr>
          <w:p w14:paraId="1E30AAC2"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1,03,400.00</w:t>
            </w:r>
          </w:p>
        </w:tc>
      </w:tr>
      <w:tr w:rsidR="0095419B" w:rsidRPr="0095419B" w14:paraId="7717B047"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24FFE58E" w14:textId="77777777" w:rsidR="0095419B" w:rsidRPr="0095419B" w:rsidRDefault="0095419B" w:rsidP="000F221E">
            <w:pPr>
              <w:jc w:val="center"/>
              <w:rPr>
                <w:rFonts w:asciiTheme="majorHAnsi" w:hAnsiTheme="majorHAnsi"/>
                <w:b/>
                <w:bCs/>
                <w:color w:val="000000"/>
              </w:rPr>
            </w:pPr>
            <w:r w:rsidRPr="0095419B">
              <w:rPr>
                <w:rFonts w:asciiTheme="majorHAnsi" w:hAnsiTheme="majorHAnsi" w:cs="Arial"/>
                <w:b/>
                <w:bCs/>
                <w:color w:val="000000"/>
              </w:rPr>
              <w:t>TOTAL</w:t>
            </w:r>
          </w:p>
        </w:tc>
        <w:tc>
          <w:tcPr>
            <w:tcW w:w="0" w:type="auto"/>
            <w:tcBorders>
              <w:top w:val="nil"/>
              <w:left w:val="nil"/>
              <w:bottom w:val="single" w:sz="4" w:space="0" w:color="auto"/>
              <w:right w:val="single" w:sz="4" w:space="0" w:color="auto"/>
            </w:tcBorders>
            <w:noWrap/>
            <w:vAlign w:val="center"/>
            <w:hideMark/>
          </w:tcPr>
          <w:p w14:paraId="081640E5"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16,000</w:t>
            </w:r>
          </w:p>
        </w:tc>
        <w:tc>
          <w:tcPr>
            <w:tcW w:w="0" w:type="auto"/>
            <w:tcBorders>
              <w:top w:val="nil"/>
              <w:left w:val="nil"/>
              <w:bottom w:val="single" w:sz="4" w:space="0" w:color="auto"/>
              <w:right w:val="single" w:sz="4" w:space="0" w:color="auto"/>
            </w:tcBorders>
            <w:noWrap/>
            <w:vAlign w:val="center"/>
            <w:hideMark/>
          </w:tcPr>
          <w:p w14:paraId="58C44F88"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21.18</w:t>
            </w:r>
          </w:p>
        </w:tc>
        <w:tc>
          <w:tcPr>
            <w:tcW w:w="0" w:type="auto"/>
            <w:tcBorders>
              <w:top w:val="nil"/>
              <w:left w:val="nil"/>
              <w:bottom w:val="single" w:sz="4" w:space="0" w:color="auto"/>
              <w:right w:val="single" w:sz="4" w:space="0" w:color="auto"/>
            </w:tcBorders>
            <w:noWrap/>
            <w:vAlign w:val="center"/>
            <w:hideMark/>
          </w:tcPr>
          <w:p w14:paraId="7E2BF30A"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3,38,800.00</w:t>
            </w:r>
          </w:p>
        </w:tc>
      </w:tr>
    </w:tbl>
    <w:p w14:paraId="62D2987D" w14:textId="77777777" w:rsidR="0095419B" w:rsidRDefault="0095419B" w:rsidP="0095419B">
      <w:pPr>
        <w:jc w:val="both"/>
        <w:rPr>
          <w:rFonts w:asciiTheme="majorHAnsi" w:hAnsiTheme="majorHAnsi"/>
        </w:rPr>
      </w:pPr>
    </w:p>
    <w:p w14:paraId="467D000B" w14:textId="6444154D" w:rsidR="008D748B" w:rsidRDefault="008D748B" w:rsidP="0095419B">
      <w:pPr>
        <w:jc w:val="both"/>
        <w:rPr>
          <w:rFonts w:asciiTheme="majorHAnsi" w:hAnsiTheme="majorHAnsi"/>
        </w:rPr>
      </w:pPr>
    </w:p>
    <w:p w14:paraId="22F2111A" w14:textId="77777777" w:rsidR="00C534D8" w:rsidRPr="0095419B" w:rsidRDefault="00C534D8" w:rsidP="0095419B">
      <w:pPr>
        <w:jc w:val="both"/>
        <w:rPr>
          <w:rFonts w:asciiTheme="majorHAnsi" w:hAnsiTheme="majorHAnsi"/>
        </w:rPr>
      </w:pPr>
    </w:p>
    <w:tbl>
      <w:tblPr>
        <w:tblW w:w="0" w:type="auto"/>
        <w:tblLook w:val="04A0" w:firstRow="1" w:lastRow="0" w:firstColumn="1" w:lastColumn="0" w:noHBand="0" w:noVBand="1"/>
      </w:tblPr>
      <w:tblGrid>
        <w:gridCol w:w="1898"/>
        <w:gridCol w:w="3385"/>
        <w:gridCol w:w="1258"/>
        <w:gridCol w:w="2659"/>
      </w:tblGrid>
      <w:tr w:rsidR="0095419B" w:rsidRPr="0095419B" w14:paraId="2332B467" w14:textId="77777777" w:rsidTr="00125F60">
        <w:trPr>
          <w:trHeight w:val="290"/>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430E7A0" w14:textId="77777777" w:rsidR="0095419B" w:rsidRPr="0095419B" w:rsidRDefault="0095419B" w:rsidP="000F221E">
            <w:pPr>
              <w:jc w:val="center"/>
              <w:rPr>
                <w:rFonts w:asciiTheme="majorHAnsi" w:hAnsiTheme="majorHAnsi"/>
                <w:b/>
                <w:bCs/>
                <w:color w:val="000000"/>
                <w:lang w:val="en-IN"/>
              </w:rPr>
            </w:pPr>
            <w:r w:rsidRPr="0095419B">
              <w:rPr>
                <w:rFonts w:asciiTheme="majorHAnsi" w:hAnsiTheme="majorHAnsi"/>
                <w:b/>
                <w:bCs/>
                <w:color w:val="000000"/>
              </w:rPr>
              <w:t>Estimated Monthly Cost of Printing and Distribution of separate Notice/Letter on A4 size paper provided by TPWODL with POD along with Spot Reading, Billing &amp; Distribution activity</w:t>
            </w:r>
          </w:p>
        </w:tc>
      </w:tr>
      <w:tr w:rsidR="0095419B" w:rsidRPr="0095419B" w14:paraId="5A235840" w14:textId="77777777" w:rsidTr="00125F60">
        <w:trPr>
          <w:trHeight w:val="290"/>
        </w:trPr>
        <w:tc>
          <w:tcPr>
            <w:tcW w:w="0" w:type="auto"/>
            <w:tcBorders>
              <w:top w:val="nil"/>
              <w:left w:val="single" w:sz="4" w:space="0" w:color="auto"/>
              <w:bottom w:val="single" w:sz="4" w:space="0" w:color="auto"/>
              <w:right w:val="single" w:sz="4" w:space="0" w:color="auto"/>
            </w:tcBorders>
            <w:noWrap/>
            <w:vAlign w:val="center"/>
            <w:hideMark/>
          </w:tcPr>
          <w:p w14:paraId="6B3F8DA3"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CIRCLE</w:t>
            </w:r>
          </w:p>
        </w:tc>
        <w:tc>
          <w:tcPr>
            <w:tcW w:w="0" w:type="auto"/>
            <w:tcBorders>
              <w:top w:val="nil"/>
              <w:left w:val="nil"/>
              <w:bottom w:val="single" w:sz="4" w:space="0" w:color="auto"/>
              <w:right w:val="single" w:sz="4" w:space="0" w:color="auto"/>
            </w:tcBorders>
            <w:noWrap/>
            <w:vAlign w:val="center"/>
            <w:hideMark/>
          </w:tcPr>
          <w:p w14:paraId="0029853A"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No. of Consumers</w:t>
            </w:r>
          </w:p>
        </w:tc>
        <w:tc>
          <w:tcPr>
            <w:tcW w:w="0" w:type="auto"/>
            <w:tcBorders>
              <w:top w:val="nil"/>
              <w:left w:val="nil"/>
              <w:bottom w:val="single" w:sz="4" w:space="0" w:color="auto"/>
              <w:right w:val="single" w:sz="4" w:space="0" w:color="auto"/>
            </w:tcBorders>
            <w:noWrap/>
            <w:vAlign w:val="center"/>
            <w:hideMark/>
          </w:tcPr>
          <w:p w14:paraId="53E8C1D5"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Rate</w:t>
            </w:r>
          </w:p>
        </w:tc>
        <w:tc>
          <w:tcPr>
            <w:tcW w:w="0" w:type="auto"/>
            <w:tcBorders>
              <w:top w:val="nil"/>
              <w:left w:val="nil"/>
              <w:bottom w:val="single" w:sz="4" w:space="0" w:color="auto"/>
              <w:right w:val="single" w:sz="4" w:space="0" w:color="auto"/>
            </w:tcBorders>
            <w:noWrap/>
            <w:vAlign w:val="center"/>
            <w:hideMark/>
          </w:tcPr>
          <w:p w14:paraId="2360F853"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Cost (in Rs.)</w:t>
            </w:r>
          </w:p>
        </w:tc>
      </w:tr>
      <w:tr w:rsidR="0095419B" w:rsidRPr="0095419B" w14:paraId="20CA3B51"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18FD6FC3" w14:textId="53ACCE6F" w:rsidR="0095419B" w:rsidRPr="0095419B" w:rsidRDefault="00C534D8" w:rsidP="000F221E">
            <w:pPr>
              <w:jc w:val="center"/>
              <w:rPr>
                <w:rFonts w:asciiTheme="majorHAnsi" w:hAnsiTheme="majorHAnsi"/>
                <w:color w:val="000000"/>
              </w:rPr>
            </w:pPr>
            <w:r>
              <w:rPr>
                <w:rFonts w:asciiTheme="majorHAnsi" w:hAnsiTheme="majorHAnsi" w:cs="Arial"/>
                <w:color w:val="000000"/>
              </w:rPr>
              <w:t>BOLANGIR</w:t>
            </w:r>
          </w:p>
        </w:tc>
        <w:tc>
          <w:tcPr>
            <w:tcW w:w="0" w:type="auto"/>
            <w:tcBorders>
              <w:top w:val="nil"/>
              <w:left w:val="nil"/>
              <w:bottom w:val="single" w:sz="4" w:space="0" w:color="auto"/>
              <w:right w:val="single" w:sz="4" w:space="0" w:color="auto"/>
            </w:tcBorders>
            <w:noWrap/>
            <w:vAlign w:val="center"/>
            <w:hideMark/>
          </w:tcPr>
          <w:p w14:paraId="4DB53D84"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3,000</w:t>
            </w:r>
          </w:p>
        </w:tc>
        <w:tc>
          <w:tcPr>
            <w:tcW w:w="0" w:type="auto"/>
            <w:tcBorders>
              <w:top w:val="nil"/>
              <w:left w:val="nil"/>
              <w:bottom w:val="single" w:sz="4" w:space="0" w:color="auto"/>
              <w:right w:val="single" w:sz="4" w:space="0" w:color="auto"/>
            </w:tcBorders>
            <w:noWrap/>
            <w:vAlign w:val="center"/>
            <w:hideMark/>
          </w:tcPr>
          <w:p w14:paraId="3D05DB34"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21.63</w:t>
            </w:r>
          </w:p>
        </w:tc>
        <w:tc>
          <w:tcPr>
            <w:tcW w:w="0" w:type="auto"/>
            <w:tcBorders>
              <w:top w:val="nil"/>
              <w:left w:val="nil"/>
              <w:bottom w:val="single" w:sz="4" w:space="0" w:color="auto"/>
              <w:right w:val="single" w:sz="4" w:space="0" w:color="auto"/>
            </w:tcBorders>
            <w:noWrap/>
            <w:vAlign w:val="center"/>
            <w:hideMark/>
          </w:tcPr>
          <w:p w14:paraId="24B72319"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64,900.00</w:t>
            </w:r>
          </w:p>
        </w:tc>
      </w:tr>
      <w:tr w:rsidR="0095419B" w:rsidRPr="0095419B" w14:paraId="43E76338"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095265F9"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BARGARH</w:t>
            </w:r>
          </w:p>
        </w:tc>
        <w:tc>
          <w:tcPr>
            <w:tcW w:w="0" w:type="auto"/>
            <w:tcBorders>
              <w:top w:val="nil"/>
              <w:left w:val="nil"/>
              <w:bottom w:val="single" w:sz="4" w:space="0" w:color="auto"/>
              <w:right w:val="single" w:sz="4" w:space="0" w:color="auto"/>
            </w:tcBorders>
            <w:noWrap/>
            <w:vAlign w:val="center"/>
            <w:hideMark/>
          </w:tcPr>
          <w:p w14:paraId="391EC93D"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2,000</w:t>
            </w:r>
          </w:p>
        </w:tc>
        <w:tc>
          <w:tcPr>
            <w:tcW w:w="0" w:type="auto"/>
            <w:tcBorders>
              <w:top w:val="nil"/>
              <w:left w:val="nil"/>
              <w:bottom w:val="single" w:sz="4" w:space="0" w:color="auto"/>
              <w:right w:val="single" w:sz="4" w:space="0" w:color="auto"/>
            </w:tcBorders>
            <w:noWrap/>
            <w:vAlign w:val="center"/>
            <w:hideMark/>
          </w:tcPr>
          <w:p w14:paraId="6D1B0372"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24.20</w:t>
            </w:r>
          </w:p>
        </w:tc>
        <w:tc>
          <w:tcPr>
            <w:tcW w:w="0" w:type="auto"/>
            <w:tcBorders>
              <w:top w:val="nil"/>
              <w:left w:val="nil"/>
              <w:bottom w:val="single" w:sz="4" w:space="0" w:color="auto"/>
              <w:right w:val="single" w:sz="4" w:space="0" w:color="auto"/>
            </w:tcBorders>
            <w:noWrap/>
            <w:vAlign w:val="center"/>
            <w:hideMark/>
          </w:tcPr>
          <w:p w14:paraId="406027E5"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48,400.00</w:t>
            </w:r>
          </w:p>
        </w:tc>
      </w:tr>
      <w:tr w:rsidR="0095419B" w:rsidRPr="0095419B" w14:paraId="65727A04"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1ED62BD2"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KALAHANDI</w:t>
            </w:r>
          </w:p>
        </w:tc>
        <w:tc>
          <w:tcPr>
            <w:tcW w:w="0" w:type="auto"/>
            <w:tcBorders>
              <w:top w:val="nil"/>
              <w:left w:val="nil"/>
              <w:bottom w:val="single" w:sz="4" w:space="0" w:color="auto"/>
              <w:right w:val="single" w:sz="4" w:space="0" w:color="auto"/>
            </w:tcBorders>
            <w:noWrap/>
            <w:vAlign w:val="center"/>
            <w:hideMark/>
          </w:tcPr>
          <w:p w14:paraId="195BCDEA"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3,000</w:t>
            </w:r>
          </w:p>
        </w:tc>
        <w:tc>
          <w:tcPr>
            <w:tcW w:w="0" w:type="auto"/>
            <w:tcBorders>
              <w:top w:val="nil"/>
              <w:left w:val="nil"/>
              <w:bottom w:val="single" w:sz="4" w:space="0" w:color="auto"/>
              <w:right w:val="single" w:sz="4" w:space="0" w:color="auto"/>
            </w:tcBorders>
            <w:noWrap/>
            <w:vAlign w:val="center"/>
            <w:hideMark/>
          </w:tcPr>
          <w:p w14:paraId="71F74D71"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23.10</w:t>
            </w:r>
          </w:p>
        </w:tc>
        <w:tc>
          <w:tcPr>
            <w:tcW w:w="0" w:type="auto"/>
            <w:tcBorders>
              <w:top w:val="nil"/>
              <w:left w:val="nil"/>
              <w:bottom w:val="single" w:sz="4" w:space="0" w:color="auto"/>
              <w:right w:val="single" w:sz="4" w:space="0" w:color="auto"/>
            </w:tcBorders>
            <w:noWrap/>
            <w:vAlign w:val="center"/>
            <w:hideMark/>
          </w:tcPr>
          <w:p w14:paraId="3762D42C"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69,300.00</w:t>
            </w:r>
          </w:p>
        </w:tc>
      </w:tr>
      <w:tr w:rsidR="0095419B" w:rsidRPr="0095419B" w14:paraId="43E909FF"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73BFEA14"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ROURKELA</w:t>
            </w:r>
          </w:p>
        </w:tc>
        <w:tc>
          <w:tcPr>
            <w:tcW w:w="0" w:type="auto"/>
            <w:tcBorders>
              <w:top w:val="nil"/>
              <w:left w:val="nil"/>
              <w:bottom w:val="single" w:sz="4" w:space="0" w:color="auto"/>
              <w:right w:val="single" w:sz="4" w:space="0" w:color="auto"/>
            </w:tcBorders>
            <w:noWrap/>
            <w:vAlign w:val="center"/>
            <w:hideMark/>
          </w:tcPr>
          <w:p w14:paraId="2484006C"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3,000</w:t>
            </w:r>
          </w:p>
        </w:tc>
        <w:tc>
          <w:tcPr>
            <w:tcW w:w="0" w:type="auto"/>
            <w:tcBorders>
              <w:top w:val="nil"/>
              <w:left w:val="nil"/>
              <w:bottom w:val="single" w:sz="4" w:space="0" w:color="auto"/>
              <w:right w:val="single" w:sz="4" w:space="0" w:color="auto"/>
            </w:tcBorders>
            <w:noWrap/>
            <w:vAlign w:val="center"/>
            <w:hideMark/>
          </w:tcPr>
          <w:p w14:paraId="7710EC26"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21.63</w:t>
            </w:r>
          </w:p>
        </w:tc>
        <w:tc>
          <w:tcPr>
            <w:tcW w:w="0" w:type="auto"/>
            <w:tcBorders>
              <w:top w:val="nil"/>
              <w:left w:val="nil"/>
              <w:bottom w:val="single" w:sz="4" w:space="0" w:color="auto"/>
              <w:right w:val="single" w:sz="4" w:space="0" w:color="auto"/>
            </w:tcBorders>
            <w:noWrap/>
            <w:vAlign w:val="center"/>
            <w:hideMark/>
          </w:tcPr>
          <w:p w14:paraId="5F40617E"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64,900.00</w:t>
            </w:r>
          </w:p>
        </w:tc>
      </w:tr>
      <w:tr w:rsidR="0095419B" w:rsidRPr="0095419B" w14:paraId="47000CB9"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5E3152B4"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SAMBALPUR</w:t>
            </w:r>
          </w:p>
        </w:tc>
        <w:tc>
          <w:tcPr>
            <w:tcW w:w="0" w:type="auto"/>
            <w:tcBorders>
              <w:top w:val="nil"/>
              <w:left w:val="nil"/>
              <w:bottom w:val="single" w:sz="4" w:space="0" w:color="auto"/>
              <w:right w:val="single" w:sz="4" w:space="0" w:color="auto"/>
            </w:tcBorders>
            <w:noWrap/>
            <w:vAlign w:val="center"/>
            <w:hideMark/>
          </w:tcPr>
          <w:p w14:paraId="253E9FC7"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5,000</w:t>
            </w:r>
          </w:p>
        </w:tc>
        <w:tc>
          <w:tcPr>
            <w:tcW w:w="0" w:type="auto"/>
            <w:tcBorders>
              <w:top w:val="nil"/>
              <w:left w:val="nil"/>
              <w:bottom w:val="single" w:sz="4" w:space="0" w:color="auto"/>
              <w:right w:val="single" w:sz="4" w:space="0" w:color="auto"/>
            </w:tcBorders>
            <w:noWrap/>
            <w:vAlign w:val="center"/>
            <w:hideMark/>
          </w:tcPr>
          <w:p w14:paraId="6E846DB5"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21.78</w:t>
            </w:r>
          </w:p>
        </w:tc>
        <w:tc>
          <w:tcPr>
            <w:tcW w:w="0" w:type="auto"/>
            <w:tcBorders>
              <w:top w:val="nil"/>
              <w:left w:val="nil"/>
              <w:bottom w:val="single" w:sz="4" w:space="0" w:color="auto"/>
              <w:right w:val="single" w:sz="4" w:space="0" w:color="auto"/>
            </w:tcBorders>
            <w:noWrap/>
            <w:vAlign w:val="center"/>
            <w:hideMark/>
          </w:tcPr>
          <w:p w14:paraId="69719F7A"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1,08,900.00</w:t>
            </w:r>
          </w:p>
        </w:tc>
      </w:tr>
      <w:tr w:rsidR="0095419B" w:rsidRPr="0095419B" w14:paraId="02553691"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67F4E348" w14:textId="77777777" w:rsidR="0095419B" w:rsidRPr="0095419B" w:rsidRDefault="0095419B" w:rsidP="000F221E">
            <w:pPr>
              <w:jc w:val="center"/>
              <w:rPr>
                <w:rFonts w:asciiTheme="majorHAnsi" w:hAnsiTheme="majorHAnsi"/>
                <w:b/>
                <w:bCs/>
                <w:color w:val="000000"/>
              </w:rPr>
            </w:pPr>
            <w:r w:rsidRPr="0095419B">
              <w:rPr>
                <w:rFonts w:asciiTheme="majorHAnsi" w:hAnsiTheme="majorHAnsi" w:cs="Arial"/>
                <w:b/>
                <w:bCs/>
                <w:color w:val="000000"/>
              </w:rPr>
              <w:t>TOTAL</w:t>
            </w:r>
          </w:p>
        </w:tc>
        <w:tc>
          <w:tcPr>
            <w:tcW w:w="0" w:type="auto"/>
            <w:tcBorders>
              <w:top w:val="nil"/>
              <w:left w:val="nil"/>
              <w:bottom w:val="single" w:sz="4" w:space="0" w:color="auto"/>
              <w:right w:val="single" w:sz="4" w:space="0" w:color="auto"/>
            </w:tcBorders>
            <w:noWrap/>
            <w:vAlign w:val="center"/>
            <w:hideMark/>
          </w:tcPr>
          <w:p w14:paraId="38C02556"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16,000</w:t>
            </w:r>
          </w:p>
        </w:tc>
        <w:tc>
          <w:tcPr>
            <w:tcW w:w="0" w:type="auto"/>
            <w:tcBorders>
              <w:top w:val="nil"/>
              <w:left w:val="nil"/>
              <w:bottom w:val="single" w:sz="4" w:space="0" w:color="auto"/>
              <w:right w:val="single" w:sz="4" w:space="0" w:color="auto"/>
            </w:tcBorders>
            <w:noWrap/>
            <w:vAlign w:val="center"/>
            <w:hideMark/>
          </w:tcPr>
          <w:p w14:paraId="3E652876"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22.28</w:t>
            </w:r>
          </w:p>
        </w:tc>
        <w:tc>
          <w:tcPr>
            <w:tcW w:w="0" w:type="auto"/>
            <w:tcBorders>
              <w:top w:val="nil"/>
              <w:left w:val="nil"/>
              <w:bottom w:val="single" w:sz="4" w:space="0" w:color="auto"/>
              <w:right w:val="single" w:sz="4" w:space="0" w:color="auto"/>
            </w:tcBorders>
            <w:noWrap/>
            <w:vAlign w:val="center"/>
            <w:hideMark/>
          </w:tcPr>
          <w:p w14:paraId="49CE1700"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3,56,400.00</w:t>
            </w:r>
          </w:p>
        </w:tc>
      </w:tr>
    </w:tbl>
    <w:p w14:paraId="1A7A482C" w14:textId="77777777" w:rsidR="0095419B" w:rsidRPr="0095419B" w:rsidRDefault="0095419B" w:rsidP="0095419B">
      <w:pPr>
        <w:spacing w:line="240" w:lineRule="atLeast"/>
        <w:jc w:val="center"/>
        <w:rPr>
          <w:rFonts w:asciiTheme="majorHAnsi" w:hAnsiTheme="majorHAnsi"/>
        </w:rPr>
      </w:pPr>
    </w:p>
    <w:tbl>
      <w:tblPr>
        <w:tblW w:w="0" w:type="auto"/>
        <w:tblLook w:val="04A0" w:firstRow="1" w:lastRow="0" w:firstColumn="1" w:lastColumn="0" w:noHBand="0" w:noVBand="1"/>
      </w:tblPr>
      <w:tblGrid>
        <w:gridCol w:w="1897"/>
        <w:gridCol w:w="3385"/>
        <w:gridCol w:w="1259"/>
        <w:gridCol w:w="2659"/>
      </w:tblGrid>
      <w:tr w:rsidR="0095419B" w:rsidRPr="0095419B" w14:paraId="1A6CC503" w14:textId="77777777" w:rsidTr="00125F60">
        <w:trPr>
          <w:trHeight w:val="290"/>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02F8777" w14:textId="77777777" w:rsidR="0095419B" w:rsidRPr="0095419B" w:rsidRDefault="0095419B" w:rsidP="000F221E">
            <w:pPr>
              <w:jc w:val="center"/>
              <w:rPr>
                <w:rFonts w:asciiTheme="majorHAnsi" w:hAnsiTheme="majorHAnsi"/>
                <w:b/>
                <w:bCs/>
                <w:color w:val="000000"/>
                <w:lang w:val="en-IN"/>
              </w:rPr>
            </w:pPr>
            <w:r w:rsidRPr="0095419B">
              <w:rPr>
                <w:rFonts w:asciiTheme="majorHAnsi" w:hAnsiTheme="majorHAnsi"/>
                <w:b/>
                <w:bCs/>
                <w:color w:val="000000"/>
              </w:rPr>
              <w:t>Estimated Monthly Cost of Scheduled Spot Meter Reading only for E-Bill opted Consumers</w:t>
            </w:r>
          </w:p>
        </w:tc>
      </w:tr>
      <w:tr w:rsidR="0095419B" w:rsidRPr="0095419B" w14:paraId="013D57C1" w14:textId="77777777" w:rsidTr="00125F60">
        <w:trPr>
          <w:trHeight w:val="290"/>
        </w:trPr>
        <w:tc>
          <w:tcPr>
            <w:tcW w:w="0" w:type="auto"/>
            <w:tcBorders>
              <w:top w:val="nil"/>
              <w:left w:val="single" w:sz="4" w:space="0" w:color="auto"/>
              <w:bottom w:val="single" w:sz="4" w:space="0" w:color="auto"/>
              <w:right w:val="single" w:sz="4" w:space="0" w:color="auto"/>
            </w:tcBorders>
            <w:noWrap/>
            <w:vAlign w:val="center"/>
            <w:hideMark/>
          </w:tcPr>
          <w:p w14:paraId="59CEC354"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CIRCLE</w:t>
            </w:r>
          </w:p>
        </w:tc>
        <w:tc>
          <w:tcPr>
            <w:tcW w:w="0" w:type="auto"/>
            <w:tcBorders>
              <w:top w:val="nil"/>
              <w:left w:val="nil"/>
              <w:bottom w:val="single" w:sz="4" w:space="0" w:color="auto"/>
              <w:right w:val="single" w:sz="4" w:space="0" w:color="auto"/>
            </w:tcBorders>
            <w:noWrap/>
            <w:vAlign w:val="center"/>
            <w:hideMark/>
          </w:tcPr>
          <w:p w14:paraId="6C28530B"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No. of Consumers</w:t>
            </w:r>
          </w:p>
        </w:tc>
        <w:tc>
          <w:tcPr>
            <w:tcW w:w="0" w:type="auto"/>
            <w:tcBorders>
              <w:top w:val="nil"/>
              <w:left w:val="nil"/>
              <w:bottom w:val="single" w:sz="4" w:space="0" w:color="auto"/>
              <w:right w:val="single" w:sz="4" w:space="0" w:color="auto"/>
            </w:tcBorders>
            <w:noWrap/>
            <w:vAlign w:val="center"/>
            <w:hideMark/>
          </w:tcPr>
          <w:p w14:paraId="6206AB8E"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Rate</w:t>
            </w:r>
          </w:p>
        </w:tc>
        <w:tc>
          <w:tcPr>
            <w:tcW w:w="0" w:type="auto"/>
            <w:tcBorders>
              <w:top w:val="nil"/>
              <w:left w:val="nil"/>
              <w:bottom w:val="single" w:sz="4" w:space="0" w:color="auto"/>
              <w:right w:val="single" w:sz="4" w:space="0" w:color="auto"/>
            </w:tcBorders>
            <w:noWrap/>
            <w:vAlign w:val="center"/>
            <w:hideMark/>
          </w:tcPr>
          <w:p w14:paraId="34F0496B"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Cost (in Rs.)</w:t>
            </w:r>
          </w:p>
        </w:tc>
      </w:tr>
      <w:tr w:rsidR="0095419B" w:rsidRPr="0095419B" w14:paraId="3136E394"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295C3E56" w14:textId="4C73B842" w:rsidR="0095419B" w:rsidRPr="0095419B" w:rsidRDefault="00C534D8" w:rsidP="000F221E">
            <w:pPr>
              <w:jc w:val="center"/>
              <w:rPr>
                <w:rFonts w:asciiTheme="majorHAnsi" w:hAnsiTheme="majorHAnsi"/>
                <w:color w:val="000000"/>
              </w:rPr>
            </w:pPr>
            <w:r>
              <w:rPr>
                <w:rFonts w:asciiTheme="majorHAnsi" w:hAnsiTheme="majorHAnsi" w:cs="Arial"/>
                <w:color w:val="000000"/>
              </w:rPr>
              <w:t>BOLANGIR</w:t>
            </w:r>
          </w:p>
        </w:tc>
        <w:tc>
          <w:tcPr>
            <w:tcW w:w="0" w:type="auto"/>
            <w:tcBorders>
              <w:top w:val="nil"/>
              <w:left w:val="nil"/>
              <w:bottom w:val="single" w:sz="4" w:space="0" w:color="auto"/>
              <w:right w:val="single" w:sz="4" w:space="0" w:color="auto"/>
            </w:tcBorders>
            <w:noWrap/>
            <w:vAlign w:val="center"/>
            <w:hideMark/>
          </w:tcPr>
          <w:p w14:paraId="52D03E10"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4,197</w:t>
            </w:r>
          </w:p>
        </w:tc>
        <w:tc>
          <w:tcPr>
            <w:tcW w:w="0" w:type="auto"/>
            <w:tcBorders>
              <w:top w:val="nil"/>
              <w:left w:val="nil"/>
              <w:bottom w:val="single" w:sz="4" w:space="0" w:color="auto"/>
              <w:right w:val="single" w:sz="4" w:space="0" w:color="auto"/>
            </w:tcBorders>
            <w:noWrap/>
            <w:vAlign w:val="center"/>
            <w:hideMark/>
          </w:tcPr>
          <w:p w14:paraId="19E9C278"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16.10</w:t>
            </w:r>
          </w:p>
        </w:tc>
        <w:tc>
          <w:tcPr>
            <w:tcW w:w="0" w:type="auto"/>
            <w:tcBorders>
              <w:top w:val="nil"/>
              <w:left w:val="nil"/>
              <w:bottom w:val="single" w:sz="4" w:space="0" w:color="auto"/>
              <w:right w:val="single" w:sz="4" w:space="0" w:color="auto"/>
            </w:tcBorders>
            <w:noWrap/>
            <w:vAlign w:val="center"/>
            <w:hideMark/>
          </w:tcPr>
          <w:p w14:paraId="37D63EE0"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67,586.20</w:t>
            </w:r>
          </w:p>
        </w:tc>
      </w:tr>
      <w:tr w:rsidR="0095419B" w:rsidRPr="0095419B" w14:paraId="380C17F4"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21C57431"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BARGARH</w:t>
            </w:r>
          </w:p>
        </w:tc>
        <w:tc>
          <w:tcPr>
            <w:tcW w:w="0" w:type="auto"/>
            <w:tcBorders>
              <w:top w:val="nil"/>
              <w:left w:val="nil"/>
              <w:bottom w:val="single" w:sz="4" w:space="0" w:color="auto"/>
              <w:right w:val="single" w:sz="4" w:space="0" w:color="auto"/>
            </w:tcBorders>
            <w:noWrap/>
            <w:vAlign w:val="center"/>
            <w:hideMark/>
          </w:tcPr>
          <w:p w14:paraId="2F0743F5"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3,157</w:t>
            </w:r>
          </w:p>
        </w:tc>
        <w:tc>
          <w:tcPr>
            <w:tcW w:w="0" w:type="auto"/>
            <w:tcBorders>
              <w:top w:val="nil"/>
              <w:left w:val="nil"/>
              <w:bottom w:val="single" w:sz="4" w:space="0" w:color="auto"/>
              <w:right w:val="single" w:sz="4" w:space="0" w:color="auto"/>
            </w:tcBorders>
            <w:noWrap/>
            <w:vAlign w:val="center"/>
            <w:hideMark/>
          </w:tcPr>
          <w:p w14:paraId="44C6E4C5"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18.53</w:t>
            </w:r>
          </w:p>
        </w:tc>
        <w:tc>
          <w:tcPr>
            <w:tcW w:w="0" w:type="auto"/>
            <w:tcBorders>
              <w:top w:val="nil"/>
              <w:left w:val="nil"/>
              <w:bottom w:val="single" w:sz="4" w:space="0" w:color="auto"/>
              <w:right w:val="single" w:sz="4" w:space="0" w:color="auto"/>
            </w:tcBorders>
            <w:noWrap/>
            <w:vAlign w:val="center"/>
            <w:hideMark/>
          </w:tcPr>
          <w:p w14:paraId="1D434072"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58,492.50</w:t>
            </w:r>
          </w:p>
        </w:tc>
      </w:tr>
      <w:tr w:rsidR="0095419B" w:rsidRPr="0095419B" w14:paraId="5E4A2847"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42FFAA81"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KALAHANDI</w:t>
            </w:r>
          </w:p>
        </w:tc>
        <w:tc>
          <w:tcPr>
            <w:tcW w:w="0" w:type="auto"/>
            <w:tcBorders>
              <w:top w:val="nil"/>
              <w:left w:val="nil"/>
              <w:bottom w:val="single" w:sz="4" w:space="0" w:color="auto"/>
              <w:right w:val="single" w:sz="4" w:space="0" w:color="auto"/>
            </w:tcBorders>
            <w:noWrap/>
            <w:vAlign w:val="center"/>
            <w:hideMark/>
          </w:tcPr>
          <w:p w14:paraId="653CFFE9"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4,151</w:t>
            </w:r>
          </w:p>
        </w:tc>
        <w:tc>
          <w:tcPr>
            <w:tcW w:w="0" w:type="auto"/>
            <w:tcBorders>
              <w:top w:val="nil"/>
              <w:left w:val="nil"/>
              <w:bottom w:val="single" w:sz="4" w:space="0" w:color="auto"/>
              <w:right w:val="single" w:sz="4" w:space="0" w:color="auto"/>
            </w:tcBorders>
            <w:noWrap/>
            <w:vAlign w:val="center"/>
            <w:hideMark/>
          </w:tcPr>
          <w:p w14:paraId="703280CF"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17.85</w:t>
            </w:r>
          </w:p>
        </w:tc>
        <w:tc>
          <w:tcPr>
            <w:tcW w:w="0" w:type="auto"/>
            <w:tcBorders>
              <w:top w:val="nil"/>
              <w:left w:val="nil"/>
              <w:bottom w:val="single" w:sz="4" w:space="0" w:color="auto"/>
              <w:right w:val="single" w:sz="4" w:space="0" w:color="auto"/>
            </w:tcBorders>
            <w:noWrap/>
            <w:vAlign w:val="center"/>
            <w:hideMark/>
          </w:tcPr>
          <w:p w14:paraId="5C846601"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74,091.60</w:t>
            </w:r>
          </w:p>
        </w:tc>
      </w:tr>
      <w:tr w:rsidR="0095419B" w:rsidRPr="0095419B" w14:paraId="50B43E96"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5DF8058E"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ROURKELA</w:t>
            </w:r>
          </w:p>
        </w:tc>
        <w:tc>
          <w:tcPr>
            <w:tcW w:w="0" w:type="auto"/>
            <w:tcBorders>
              <w:top w:val="nil"/>
              <w:left w:val="nil"/>
              <w:bottom w:val="single" w:sz="4" w:space="0" w:color="auto"/>
              <w:right w:val="single" w:sz="4" w:space="0" w:color="auto"/>
            </w:tcBorders>
            <w:noWrap/>
            <w:vAlign w:val="center"/>
            <w:hideMark/>
          </w:tcPr>
          <w:p w14:paraId="0EFA09A8"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6,142</w:t>
            </w:r>
          </w:p>
        </w:tc>
        <w:tc>
          <w:tcPr>
            <w:tcW w:w="0" w:type="auto"/>
            <w:tcBorders>
              <w:top w:val="nil"/>
              <w:left w:val="nil"/>
              <w:bottom w:val="single" w:sz="4" w:space="0" w:color="auto"/>
              <w:right w:val="single" w:sz="4" w:space="0" w:color="auto"/>
            </w:tcBorders>
            <w:noWrap/>
            <w:vAlign w:val="center"/>
            <w:hideMark/>
          </w:tcPr>
          <w:p w14:paraId="2951292E"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16.20</w:t>
            </w:r>
          </w:p>
        </w:tc>
        <w:tc>
          <w:tcPr>
            <w:tcW w:w="0" w:type="auto"/>
            <w:tcBorders>
              <w:top w:val="nil"/>
              <w:left w:val="nil"/>
              <w:bottom w:val="single" w:sz="4" w:space="0" w:color="auto"/>
              <w:right w:val="single" w:sz="4" w:space="0" w:color="auto"/>
            </w:tcBorders>
            <w:noWrap/>
            <w:vAlign w:val="center"/>
            <w:hideMark/>
          </w:tcPr>
          <w:p w14:paraId="29A59790"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99,486.47</w:t>
            </w:r>
          </w:p>
        </w:tc>
      </w:tr>
      <w:tr w:rsidR="0095419B" w:rsidRPr="0095419B" w14:paraId="392B784D"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2DD1E114"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SAMBALPUR</w:t>
            </w:r>
          </w:p>
        </w:tc>
        <w:tc>
          <w:tcPr>
            <w:tcW w:w="0" w:type="auto"/>
            <w:tcBorders>
              <w:top w:val="nil"/>
              <w:left w:val="nil"/>
              <w:bottom w:val="single" w:sz="4" w:space="0" w:color="auto"/>
              <w:right w:val="single" w:sz="4" w:space="0" w:color="auto"/>
            </w:tcBorders>
            <w:noWrap/>
            <w:vAlign w:val="center"/>
            <w:hideMark/>
          </w:tcPr>
          <w:p w14:paraId="67B474E9"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7,386</w:t>
            </w:r>
          </w:p>
        </w:tc>
        <w:tc>
          <w:tcPr>
            <w:tcW w:w="0" w:type="auto"/>
            <w:tcBorders>
              <w:top w:val="nil"/>
              <w:left w:val="nil"/>
              <w:bottom w:val="single" w:sz="4" w:space="0" w:color="auto"/>
              <w:right w:val="single" w:sz="4" w:space="0" w:color="auto"/>
            </w:tcBorders>
            <w:noWrap/>
            <w:vAlign w:val="center"/>
            <w:hideMark/>
          </w:tcPr>
          <w:p w14:paraId="10F5F4C6"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16.31</w:t>
            </w:r>
          </w:p>
        </w:tc>
        <w:tc>
          <w:tcPr>
            <w:tcW w:w="0" w:type="auto"/>
            <w:tcBorders>
              <w:top w:val="nil"/>
              <w:left w:val="nil"/>
              <w:bottom w:val="single" w:sz="4" w:space="0" w:color="auto"/>
              <w:right w:val="single" w:sz="4" w:space="0" w:color="auto"/>
            </w:tcBorders>
            <w:noWrap/>
            <w:vAlign w:val="center"/>
            <w:hideMark/>
          </w:tcPr>
          <w:p w14:paraId="46BC1982"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1,20,429.10</w:t>
            </w:r>
          </w:p>
        </w:tc>
      </w:tr>
      <w:tr w:rsidR="0095419B" w:rsidRPr="0095419B" w14:paraId="50E54AF7"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53B30746" w14:textId="77777777" w:rsidR="0095419B" w:rsidRPr="0095419B" w:rsidRDefault="0095419B" w:rsidP="000F221E">
            <w:pPr>
              <w:jc w:val="center"/>
              <w:rPr>
                <w:rFonts w:asciiTheme="majorHAnsi" w:hAnsiTheme="majorHAnsi"/>
                <w:b/>
                <w:bCs/>
                <w:color w:val="000000"/>
              </w:rPr>
            </w:pPr>
            <w:r w:rsidRPr="0095419B">
              <w:rPr>
                <w:rFonts w:asciiTheme="majorHAnsi" w:hAnsiTheme="majorHAnsi" w:cs="Arial"/>
                <w:b/>
                <w:bCs/>
                <w:color w:val="000000"/>
              </w:rPr>
              <w:t>TOTAL</w:t>
            </w:r>
          </w:p>
        </w:tc>
        <w:tc>
          <w:tcPr>
            <w:tcW w:w="0" w:type="auto"/>
            <w:tcBorders>
              <w:top w:val="nil"/>
              <w:left w:val="nil"/>
              <w:bottom w:val="single" w:sz="4" w:space="0" w:color="auto"/>
              <w:right w:val="single" w:sz="4" w:space="0" w:color="auto"/>
            </w:tcBorders>
            <w:noWrap/>
            <w:vAlign w:val="center"/>
            <w:hideMark/>
          </w:tcPr>
          <w:p w14:paraId="162AF873"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25,033</w:t>
            </w:r>
          </w:p>
        </w:tc>
        <w:tc>
          <w:tcPr>
            <w:tcW w:w="0" w:type="auto"/>
            <w:tcBorders>
              <w:top w:val="nil"/>
              <w:left w:val="nil"/>
              <w:bottom w:val="single" w:sz="4" w:space="0" w:color="auto"/>
              <w:right w:val="single" w:sz="4" w:space="0" w:color="auto"/>
            </w:tcBorders>
            <w:noWrap/>
            <w:vAlign w:val="center"/>
            <w:hideMark/>
          </w:tcPr>
          <w:p w14:paraId="098A1C76"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16.78</w:t>
            </w:r>
          </w:p>
        </w:tc>
        <w:tc>
          <w:tcPr>
            <w:tcW w:w="0" w:type="auto"/>
            <w:tcBorders>
              <w:top w:val="nil"/>
              <w:left w:val="nil"/>
              <w:bottom w:val="single" w:sz="4" w:space="0" w:color="auto"/>
              <w:right w:val="single" w:sz="4" w:space="0" w:color="auto"/>
            </w:tcBorders>
            <w:noWrap/>
            <w:vAlign w:val="center"/>
            <w:hideMark/>
          </w:tcPr>
          <w:p w14:paraId="127295B0"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4,20,085.87</w:t>
            </w:r>
          </w:p>
        </w:tc>
      </w:tr>
    </w:tbl>
    <w:p w14:paraId="0779D142" w14:textId="77777777" w:rsidR="0095419B" w:rsidRPr="0095419B" w:rsidRDefault="0095419B" w:rsidP="0095419B">
      <w:pPr>
        <w:jc w:val="both"/>
        <w:rPr>
          <w:rFonts w:asciiTheme="majorHAnsi" w:hAnsiTheme="majorHAnsi"/>
        </w:rPr>
      </w:pPr>
    </w:p>
    <w:tbl>
      <w:tblPr>
        <w:tblW w:w="0" w:type="auto"/>
        <w:tblLook w:val="04A0" w:firstRow="1" w:lastRow="0" w:firstColumn="1" w:lastColumn="0" w:noHBand="0" w:noVBand="1"/>
      </w:tblPr>
      <w:tblGrid>
        <w:gridCol w:w="1898"/>
        <w:gridCol w:w="3385"/>
        <w:gridCol w:w="1258"/>
        <w:gridCol w:w="2659"/>
      </w:tblGrid>
      <w:tr w:rsidR="0095419B" w:rsidRPr="0095419B" w14:paraId="07B25EB5" w14:textId="77777777" w:rsidTr="00125F60">
        <w:trPr>
          <w:trHeight w:val="290"/>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75D7730" w14:textId="77777777" w:rsidR="0095419B" w:rsidRPr="0095419B" w:rsidRDefault="0095419B" w:rsidP="000F221E">
            <w:pPr>
              <w:jc w:val="center"/>
              <w:rPr>
                <w:rFonts w:asciiTheme="majorHAnsi" w:hAnsiTheme="majorHAnsi"/>
                <w:b/>
                <w:bCs/>
                <w:color w:val="000000"/>
                <w:lang w:val="en-IN"/>
              </w:rPr>
            </w:pPr>
            <w:r w:rsidRPr="0095419B">
              <w:rPr>
                <w:rFonts w:asciiTheme="majorHAnsi" w:hAnsiTheme="majorHAnsi"/>
                <w:b/>
                <w:bCs/>
                <w:color w:val="000000"/>
              </w:rPr>
              <w:t>Estimated Monthly Cost of Scheduled Spot Billing, Bill Printing and Bill Distribution per consumer (where meter reading captured through Smart Meter/Bluetooth meter)</w:t>
            </w:r>
          </w:p>
        </w:tc>
      </w:tr>
      <w:tr w:rsidR="0095419B" w:rsidRPr="0095419B" w14:paraId="667E5C3C" w14:textId="77777777" w:rsidTr="00125F60">
        <w:trPr>
          <w:trHeight w:val="290"/>
        </w:trPr>
        <w:tc>
          <w:tcPr>
            <w:tcW w:w="0" w:type="auto"/>
            <w:tcBorders>
              <w:top w:val="nil"/>
              <w:left w:val="single" w:sz="4" w:space="0" w:color="auto"/>
              <w:bottom w:val="single" w:sz="4" w:space="0" w:color="auto"/>
              <w:right w:val="single" w:sz="4" w:space="0" w:color="auto"/>
            </w:tcBorders>
            <w:noWrap/>
            <w:vAlign w:val="center"/>
            <w:hideMark/>
          </w:tcPr>
          <w:p w14:paraId="60E7F94E"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CIRCLE</w:t>
            </w:r>
          </w:p>
        </w:tc>
        <w:tc>
          <w:tcPr>
            <w:tcW w:w="0" w:type="auto"/>
            <w:tcBorders>
              <w:top w:val="nil"/>
              <w:left w:val="nil"/>
              <w:bottom w:val="single" w:sz="4" w:space="0" w:color="auto"/>
              <w:right w:val="single" w:sz="4" w:space="0" w:color="auto"/>
            </w:tcBorders>
            <w:noWrap/>
            <w:vAlign w:val="center"/>
            <w:hideMark/>
          </w:tcPr>
          <w:p w14:paraId="3E53FDFA"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No. of Consumers</w:t>
            </w:r>
          </w:p>
        </w:tc>
        <w:tc>
          <w:tcPr>
            <w:tcW w:w="0" w:type="auto"/>
            <w:tcBorders>
              <w:top w:val="nil"/>
              <w:left w:val="nil"/>
              <w:bottom w:val="single" w:sz="4" w:space="0" w:color="auto"/>
              <w:right w:val="single" w:sz="4" w:space="0" w:color="auto"/>
            </w:tcBorders>
            <w:noWrap/>
            <w:vAlign w:val="center"/>
            <w:hideMark/>
          </w:tcPr>
          <w:p w14:paraId="37433517"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Rate</w:t>
            </w:r>
          </w:p>
        </w:tc>
        <w:tc>
          <w:tcPr>
            <w:tcW w:w="0" w:type="auto"/>
            <w:tcBorders>
              <w:top w:val="nil"/>
              <w:left w:val="nil"/>
              <w:bottom w:val="single" w:sz="4" w:space="0" w:color="auto"/>
              <w:right w:val="single" w:sz="4" w:space="0" w:color="auto"/>
            </w:tcBorders>
            <w:noWrap/>
            <w:vAlign w:val="center"/>
            <w:hideMark/>
          </w:tcPr>
          <w:p w14:paraId="285881F5"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Cost (in Rs.)</w:t>
            </w:r>
          </w:p>
        </w:tc>
      </w:tr>
      <w:tr w:rsidR="0095419B" w:rsidRPr="0095419B" w14:paraId="2402DAF6"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18A54789" w14:textId="1263AB41" w:rsidR="0095419B" w:rsidRPr="0095419B" w:rsidRDefault="00C534D8" w:rsidP="000F221E">
            <w:pPr>
              <w:jc w:val="center"/>
              <w:rPr>
                <w:rFonts w:asciiTheme="majorHAnsi" w:hAnsiTheme="majorHAnsi"/>
                <w:color w:val="000000"/>
              </w:rPr>
            </w:pPr>
            <w:r>
              <w:rPr>
                <w:rFonts w:asciiTheme="majorHAnsi" w:hAnsiTheme="majorHAnsi" w:cs="Arial"/>
                <w:color w:val="000000"/>
              </w:rPr>
              <w:t>BOLANGIR</w:t>
            </w:r>
          </w:p>
        </w:tc>
        <w:tc>
          <w:tcPr>
            <w:tcW w:w="0" w:type="auto"/>
            <w:tcBorders>
              <w:top w:val="nil"/>
              <w:left w:val="nil"/>
              <w:bottom w:val="single" w:sz="4" w:space="0" w:color="auto"/>
              <w:right w:val="single" w:sz="4" w:space="0" w:color="auto"/>
            </w:tcBorders>
            <w:noWrap/>
            <w:vAlign w:val="center"/>
            <w:hideMark/>
          </w:tcPr>
          <w:p w14:paraId="17B60F2A"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1,13,370</w:t>
            </w:r>
          </w:p>
        </w:tc>
        <w:tc>
          <w:tcPr>
            <w:tcW w:w="0" w:type="auto"/>
            <w:tcBorders>
              <w:top w:val="nil"/>
              <w:left w:val="nil"/>
              <w:bottom w:val="single" w:sz="4" w:space="0" w:color="auto"/>
              <w:right w:val="single" w:sz="4" w:space="0" w:color="auto"/>
            </w:tcBorders>
            <w:noWrap/>
            <w:vAlign w:val="center"/>
            <w:hideMark/>
          </w:tcPr>
          <w:p w14:paraId="3E70812B"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16.09</w:t>
            </w:r>
          </w:p>
        </w:tc>
        <w:tc>
          <w:tcPr>
            <w:tcW w:w="0" w:type="auto"/>
            <w:tcBorders>
              <w:top w:val="nil"/>
              <w:left w:val="nil"/>
              <w:bottom w:val="single" w:sz="4" w:space="0" w:color="auto"/>
              <w:right w:val="single" w:sz="4" w:space="0" w:color="auto"/>
            </w:tcBorders>
            <w:noWrap/>
            <w:vAlign w:val="center"/>
            <w:hideMark/>
          </w:tcPr>
          <w:p w14:paraId="7D183053"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18,23,718.60</w:t>
            </w:r>
          </w:p>
        </w:tc>
      </w:tr>
      <w:tr w:rsidR="0095419B" w:rsidRPr="0095419B" w14:paraId="1380835C"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1C96DE1F"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BARGARH</w:t>
            </w:r>
          </w:p>
        </w:tc>
        <w:tc>
          <w:tcPr>
            <w:tcW w:w="0" w:type="auto"/>
            <w:tcBorders>
              <w:top w:val="nil"/>
              <w:left w:val="nil"/>
              <w:bottom w:val="single" w:sz="4" w:space="0" w:color="auto"/>
              <w:right w:val="single" w:sz="4" w:space="0" w:color="auto"/>
            </w:tcBorders>
            <w:noWrap/>
            <w:vAlign w:val="center"/>
            <w:hideMark/>
          </w:tcPr>
          <w:p w14:paraId="62D3FB10"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96,425</w:t>
            </w:r>
          </w:p>
        </w:tc>
        <w:tc>
          <w:tcPr>
            <w:tcW w:w="0" w:type="auto"/>
            <w:tcBorders>
              <w:top w:val="nil"/>
              <w:left w:val="nil"/>
              <w:bottom w:val="single" w:sz="4" w:space="0" w:color="auto"/>
              <w:right w:val="single" w:sz="4" w:space="0" w:color="auto"/>
            </w:tcBorders>
            <w:noWrap/>
            <w:vAlign w:val="center"/>
            <w:hideMark/>
          </w:tcPr>
          <w:p w14:paraId="795390AA"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18.96</w:t>
            </w:r>
          </w:p>
        </w:tc>
        <w:tc>
          <w:tcPr>
            <w:tcW w:w="0" w:type="auto"/>
            <w:tcBorders>
              <w:top w:val="nil"/>
              <w:left w:val="nil"/>
              <w:bottom w:val="single" w:sz="4" w:space="0" w:color="auto"/>
              <w:right w:val="single" w:sz="4" w:space="0" w:color="auto"/>
            </w:tcBorders>
            <w:noWrap/>
            <w:vAlign w:val="center"/>
            <w:hideMark/>
          </w:tcPr>
          <w:p w14:paraId="15E1D3A1"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18,28,154.90</w:t>
            </w:r>
          </w:p>
        </w:tc>
      </w:tr>
      <w:tr w:rsidR="0095419B" w:rsidRPr="0095419B" w14:paraId="3D3A7545"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443C18EB"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KALAHANDI</w:t>
            </w:r>
          </w:p>
        </w:tc>
        <w:tc>
          <w:tcPr>
            <w:tcW w:w="0" w:type="auto"/>
            <w:tcBorders>
              <w:top w:val="nil"/>
              <w:left w:val="nil"/>
              <w:bottom w:val="single" w:sz="4" w:space="0" w:color="auto"/>
              <w:right w:val="single" w:sz="4" w:space="0" w:color="auto"/>
            </w:tcBorders>
            <w:noWrap/>
            <w:vAlign w:val="center"/>
            <w:hideMark/>
          </w:tcPr>
          <w:p w14:paraId="5094C790"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1,27,027</w:t>
            </w:r>
          </w:p>
        </w:tc>
        <w:tc>
          <w:tcPr>
            <w:tcW w:w="0" w:type="auto"/>
            <w:tcBorders>
              <w:top w:val="nil"/>
              <w:left w:val="nil"/>
              <w:bottom w:val="single" w:sz="4" w:space="0" w:color="auto"/>
              <w:right w:val="single" w:sz="4" w:space="0" w:color="auto"/>
            </w:tcBorders>
            <w:noWrap/>
            <w:vAlign w:val="center"/>
            <w:hideMark/>
          </w:tcPr>
          <w:p w14:paraId="76B8B122"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17.60</w:t>
            </w:r>
          </w:p>
        </w:tc>
        <w:tc>
          <w:tcPr>
            <w:tcW w:w="0" w:type="auto"/>
            <w:tcBorders>
              <w:top w:val="nil"/>
              <w:left w:val="nil"/>
              <w:bottom w:val="single" w:sz="4" w:space="0" w:color="auto"/>
              <w:right w:val="single" w:sz="4" w:space="0" w:color="auto"/>
            </w:tcBorders>
            <w:noWrap/>
            <w:vAlign w:val="center"/>
            <w:hideMark/>
          </w:tcPr>
          <w:p w14:paraId="26704CAE"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22,35,422.20</w:t>
            </w:r>
          </w:p>
        </w:tc>
      </w:tr>
      <w:tr w:rsidR="0095419B" w:rsidRPr="0095419B" w14:paraId="539362D0"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06B1AB8A"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ROURKELA</w:t>
            </w:r>
          </w:p>
        </w:tc>
        <w:tc>
          <w:tcPr>
            <w:tcW w:w="0" w:type="auto"/>
            <w:tcBorders>
              <w:top w:val="nil"/>
              <w:left w:val="nil"/>
              <w:bottom w:val="single" w:sz="4" w:space="0" w:color="auto"/>
              <w:right w:val="single" w:sz="4" w:space="0" w:color="auto"/>
            </w:tcBorders>
            <w:noWrap/>
            <w:vAlign w:val="center"/>
            <w:hideMark/>
          </w:tcPr>
          <w:p w14:paraId="690E8DF2"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1,14,961</w:t>
            </w:r>
          </w:p>
        </w:tc>
        <w:tc>
          <w:tcPr>
            <w:tcW w:w="0" w:type="auto"/>
            <w:tcBorders>
              <w:top w:val="nil"/>
              <w:left w:val="nil"/>
              <w:bottom w:val="single" w:sz="4" w:space="0" w:color="auto"/>
              <w:right w:val="single" w:sz="4" w:space="0" w:color="auto"/>
            </w:tcBorders>
            <w:noWrap/>
            <w:vAlign w:val="center"/>
            <w:hideMark/>
          </w:tcPr>
          <w:p w14:paraId="6E685B52"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16.14</w:t>
            </w:r>
          </w:p>
        </w:tc>
        <w:tc>
          <w:tcPr>
            <w:tcW w:w="0" w:type="auto"/>
            <w:tcBorders>
              <w:top w:val="nil"/>
              <w:left w:val="nil"/>
              <w:bottom w:val="single" w:sz="4" w:space="0" w:color="auto"/>
              <w:right w:val="single" w:sz="4" w:space="0" w:color="auto"/>
            </w:tcBorders>
            <w:noWrap/>
            <w:vAlign w:val="center"/>
            <w:hideMark/>
          </w:tcPr>
          <w:p w14:paraId="348453E6"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18,55,574.71</w:t>
            </w:r>
          </w:p>
        </w:tc>
      </w:tr>
      <w:tr w:rsidR="0095419B" w:rsidRPr="0095419B" w14:paraId="0FE75188"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5842B19C"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SAMBALPUR</w:t>
            </w:r>
          </w:p>
        </w:tc>
        <w:tc>
          <w:tcPr>
            <w:tcW w:w="0" w:type="auto"/>
            <w:tcBorders>
              <w:top w:val="nil"/>
              <w:left w:val="nil"/>
              <w:bottom w:val="single" w:sz="4" w:space="0" w:color="auto"/>
              <w:right w:val="single" w:sz="4" w:space="0" w:color="auto"/>
            </w:tcBorders>
            <w:noWrap/>
            <w:vAlign w:val="center"/>
            <w:hideMark/>
          </w:tcPr>
          <w:p w14:paraId="11A484AB"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1,13,015</w:t>
            </w:r>
          </w:p>
        </w:tc>
        <w:tc>
          <w:tcPr>
            <w:tcW w:w="0" w:type="auto"/>
            <w:tcBorders>
              <w:top w:val="nil"/>
              <w:left w:val="nil"/>
              <w:bottom w:val="single" w:sz="4" w:space="0" w:color="auto"/>
              <w:right w:val="single" w:sz="4" w:space="0" w:color="auto"/>
            </w:tcBorders>
            <w:noWrap/>
            <w:vAlign w:val="center"/>
            <w:hideMark/>
          </w:tcPr>
          <w:p w14:paraId="6F82432C"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16.50</w:t>
            </w:r>
          </w:p>
        </w:tc>
        <w:tc>
          <w:tcPr>
            <w:tcW w:w="0" w:type="auto"/>
            <w:tcBorders>
              <w:top w:val="nil"/>
              <w:left w:val="nil"/>
              <w:bottom w:val="single" w:sz="4" w:space="0" w:color="auto"/>
              <w:right w:val="single" w:sz="4" w:space="0" w:color="auto"/>
            </w:tcBorders>
            <w:noWrap/>
            <w:vAlign w:val="center"/>
            <w:hideMark/>
          </w:tcPr>
          <w:p w14:paraId="7357F1E2"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18,64,250.30</w:t>
            </w:r>
          </w:p>
        </w:tc>
      </w:tr>
      <w:tr w:rsidR="0095419B" w:rsidRPr="0095419B" w14:paraId="03A283C6"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382F8D92" w14:textId="77777777" w:rsidR="0095419B" w:rsidRPr="0095419B" w:rsidRDefault="0095419B" w:rsidP="000F221E">
            <w:pPr>
              <w:jc w:val="center"/>
              <w:rPr>
                <w:rFonts w:asciiTheme="majorHAnsi" w:hAnsiTheme="majorHAnsi"/>
                <w:b/>
                <w:bCs/>
                <w:color w:val="000000"/>
              </w:rPr>
            </w:pPr>
            <w:r w:rsidRPr="0095419B">
              <w:rPr>
                <w:rFonts w:asciiTheme="majorHAnsi" w:hAnsiTheme="majorHAnsi" w:cs="Arial"/>
                <w:b/>
                <w:bCs/>
                <w:color w:val="000000"/>
              </w:rPr>
              <w:t>TOTAL</w:t>
            </w:r>
          </w:p>
        </w:tc>
        <w:tc>
          <w:tcPr>
            <w:tcW w:w="0" w:type="auto"/>
            <w:tcBorders>
              <w:top w:val="nil"/>
              <w:left w:val="nil"/>
              <w:bottom w:val="single" w:sz="4" w:space="0" w:color="auto"/>
              <w:right w:val="single" w:sz="4" w:space="0" w:color="auto"/>
            </w:tcBorders>
            <w:noWrap/>
            <w:vAlign w:val="center"/>
            <w:hideMark/>
          </w:tcPr>
          <w:p w14:paraId="1356F89A"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5,64,798</w:t>
            </w:r>
          </w:p>
        </w:tc>
        <w:tc>
          <w:tcPr>
            <w:tcW w:w="0" w:type="auto"/>
            <w:tcBorders>
              <w:top w:val="nil"/>
              <w:left w:val="nil"/>
              <w:bottom w:val="single" w:sz="4" w:space="0" w:color="auto"/>
              <w:right w:val="single" w:sz="4" w:space="0" w:color="auto"/>
            </w:tcBorders>
            <w:noWrap/>
            <w:vAlign w:val="center"/>
            <w:hideMark/>
          </w:tcPr>
          <w:p w14:paraId="0A8BE844"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17.01</w:t>
            </w:r>
          </w:p>
        </w:tc>
        <w:tc>
          <w:tcPr>
            <w:tcW w:w="0" w:type="auto"/>
            <w:tcBorders>
              <w:top w:val="nil"/>
              <w:left w:val="nil"/>
              <w:bottom w:val="single" w:sz="4" w:space="0" w:color="auto"/>
              <w:right w:val="single" w:sz="4" w:space="0" w:color="auto"/>
            </w:tcBorders>
            <w:noWrap/>
            <w:vAlign w:val="center"/>
            <w:hideMark/>
          </w:tcPr>
          <w:p w14:paraId="345A34A6"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96,07,120.71</w:t>
            </w:r>
          </w:p>
        </w:tc>
      </w:tr>
    </w:tbl>
    <w:p w14:paraId="0CA5F0A4" w14:textId="77777777" w:rsidR="0095419B" w:rsidRPr="0095419B" w:rsidRDefault="0095419B" w:rsidP="0095419B">
      <w:pPr>
        <w:jc w:val="both"/>
        <w:rPr>
          <w:rFonts w:asciiTheme="majorHAnsi" w:hAnsiTheme="majorHAnsi"/>
        </w:rPr>
      </w:pPr>
    </w:p>
    <w:tbl>
      <w:tblPr>
        <w:tblW w:w="0" w:type="auto"/>
        <w:tblLook w:val="04A0" w:firstRow="1" w:lastRow="0" w:firstColumn="1" w:lastColumn="0" w:noHBand="0" w:noVBand="1"/>
      </w:tblPr>
      <w:tblGrid>
        <w:gridCol w:w="1898"/>
        <w:gridCol w:w="3385"/>
        <w:gridCol w:w="1258"/>
        <w:gridCol w:w="2659"/>
      </w:tblGrid>
      <w:tr w:rsidR="0095419B" w:rsidRPr="0095419B" w14:paraId="37B02C05" w14:textId="77777777" w:rsidTr="00125F60">
        <w:trPr>
          <w:trHeight w:val="290"/>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F77F2F2" w14:textId="5CCE5095" w:rsidR="0095419B" w:rsidRPr="0095419B" w:rsidRDefault="0095419B" w:rsidP="000F221E">
            <w:pPr>
              <w:jc w:val="center"/>
              <w:rPr>
                <w:rFonts w:asciiTheme="majorHAnsi" w:hAnsiTheme="majorHAnsi"/>
                <w:b/>
                <w:bCs/>
                <w:color w:val="000000"/>
                <w:lang w:val="en-IN"/>
              </w:rPr>
            </w:pPr>
            <w:r w:rsidRPr="0095419B">
              <w:rPr>
                <w:rFonts w:asciiTheme="majorHAnsi" w:hAnsiTheme="majorHAnsi"/>
              </w:rPr>
              <w:t xml:space="preserve">  </w:t>
            </w:r>
            <w:r w:rsidRPr="0095419B">
              <w:rPr>
                <w:rFonts w:asciiTheme="majorHAnsi" w:hAnsiTheme="majorHAnsi"/>
                <w:b/>
                <w:bCs/>
                <w:color w:val="000000"/>
              </w:rPr>
              <w:t>Estimated Monthly Cost of Scheduled Spot Meter Reading, Billing, Bill Printing and Bill Distribution of SBM Irrigation/Agriculture Consumers</w:t>
            </w:r>
          </w:p>
        </w:tc>
      </w:tr>
      <w:tr w:rsidR="0095419B" w:rsidRPr="0095419B" w14:paraId="3BB7088C" w14:textId="77777777" w:rsidTr="00125F60">
        <w:trPr>
          <w:trHeight w:val="290"/>
        </w:trPr>
        <w:tc>
          <w:tcPr>
            <w:tcW w:w="0" w:type="auto"/>
            <w:tcBorders>
              <w:top w:val="nil"/>
              <w:left w:val="single" w:sz="4" w:space="0" w:color="auto"/>
              <w:bottom w:val="single" w:sz="4" w:space="0" w:color="auto"/>
              <w:right w:val="single" w:sz="4" w:space="0" w:color="auto"/>
            </w:tcBorders>
            <w:noWrap/>
            <w:vAlign w:val="center"/>
            <w:hideMark/>
          </w:tcPr>
          <w:p w14:paraId="7C958A43"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CIRCLE</w:t>
            </w:r>
          </w:p>
        </w:tc>
        <w:tc>
          <w:tcPr>
            <w:tcW w:w="0" w:type="auto"/>
            <w:tcBorders>
              <w:top w:val="nil"/>
              <w:left w:val="nil"/>
              <w:bottom w:val="single" w:sz="4" w:space="0" w:color="auto"/>
              <w:right w:val="single" w:sz="4" w:space="0" w:color="auto"/>
            </w:tcBorders>
            <w:noWrap/>
            <w:vAlign w:val="center"/>
            <w:hideMark/>
          </w:tcPr>
          <w:p w14:paraId="0FE6335D"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No. of Consumers</w:t>
            </w:r>
          </w:p>
        </w:tc>
        <w:tc>
          <w:tcPr>
            <w:tcW w:w="0" w:type="auto"/>
            <w:tcBorders>
              <w:top w:val="nil"/>
              <w:left w:val="nil"/>
              <w:bottom w:val="single" w:sz="4" w:space="0" w:color="auto"/>
              <w:right w:val="single" w:sz="4" w:space="0" w:color="auto"/>
            </w:tcBorders>
            <w:noWrap/>
            <w:vAlign w:val="center"/>
            <w:hideMark/>
          </w:tcPr>
          <w:p w14:paraId="0D4D368D"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Rate</w:t>
            </w:r>
          </w:p>
        </w:tc>
        <w:tc>
          <w:tcPr>
            <w:tcW w:w="0" w:type="auto"/>
            <w:tcBorders>
              <w:top w:val="nil"/>
              <w:left w:val="nil"/>
              <w:bottom w:val="single" w:sz="4" w:space="0" w:color="auto"/>
              <w:right w:val="single" w:sz="4" w:space="0" w:color="auto"/>
            </w:tcBorders>
            <w:noWrap/>
            <w:vAlign w:val="center"/>
            <w:hideMark/>
          </w:tcPr>
          <w:p w14:paraId="663288CD"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Cost (in Rs.)</w:t>
            </w:r>
          </w:p>
        </w:tc>
      </w:tr>
      <w:tr w:rsidR="0095419B" w:rsidRPr="0095419B" w14:paraId="22236321"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77CFC829" w14:textId="611BD86C" w:rsidR="0095419B" w:rsidRPr="0095419B" w:rsidRDefault="00C534D8" w:rsidP="000F221E">
            <w:pPr>
              <w:jc w:val="center"/>
              <w:rPr>
                <w:rFonts w:asciiTheme="majorHAnsi" w:hAnsiTheme="majorHAnsi"/>
                <w:color w:val="000000"/>
              </w:rPr>
            </w:pPr>
            <w:r>
              <w:rPr>
                <w:rFonts w:asciiTheme="majorHAnsi" w:hAnsiTheme="majorHAnsi" w:cs="Arial"/>
                <w:color w:val="000000"/>
              </w:rPr>
              <w:t>BOLANGIR</w:t>
            </w:r>
          </w:p>
        </w:tc>
        <w:tc>
          <w:tcPr>
            <w:tcW w:w="0" w:type="auto"/>
            <w:tcBorders>
              <w:top w:val="nil"/>
              <w:left w:val="nil"/>
              <w:bottom w:val="single" w:sz="4" w:space="0" w:color="auto"/>
              <w:right w:val="single" w:sz="4" w:space="0" w:color="auto"/>
            </w:tcBorders>
            <w:noWrap/>
            <w:vAlign w:val="center"/>
            <w:hideMark/>
          </w:tcPr>
          <w:p w14:paraId="793EBCE9"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12,223</w:t>
            </w:r>
          </w:p>
        </w:tc>
        <w:tc>
          <w:tcPr>
            <w:tcW w:w="0" w:type="auto"/>
            <w:tcBorders>
              <w:top w:val="nil"/>
              <w:left w:val="nil"/>
              <w:bottom w:val="single" w:sz="4" w:space="0" w:color="auto"/>
              <w:right w:val="single" w:sz="4" w:space="0" w:color="auto"/>
            </w:tcBorders>
            <w:noWrap/>
            <w:vAlign w:val="center"/>
            <w:hideMark/>
          </w:tcPr>
          <w:p w14:paraId="76E225C3"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33.00</w:t>
            </w:r>
          </w:p>
        </w:tc>
        <w:tc>
          <w:tcPr>
            <w:tcW w:w="0" w:type="auto"/>
            <w:tcBorders>
              <w:top w:val="nil"/>
              <w:left w:val="nil"/>
              <w:bottom w:val="single" w:sz="4" w:space="0" w:color="auto"/>
              <w:right w:val="single" w:sz="4" w:space="0" w:color="auto"/>
            </w:tcBorders>
            <w:noWrap/>
            <w:vAlign w:val="center"/>
            <w:hideMark/>
          </w:tcPr>
          <w:p w14:paraId="5CCF9210"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4,03,359.00</w:t>
            </w:r>
          </w:p>
        </w:tc>
      </w:tr>
      <w:tr w:rsidR="0095419B" w:rsidRPr="0095419B" w14:paraId="0070A4E1"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429EB15F"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BARGARH</w:t>
            </w:r>
          </w:p>
        </w:tc>
        <w:tc>
          <w:tcPr>
            <w:tcW w:w="0" w:type="auto"/>
            <w:tcBorders>
              <w:top w:val="nil"/>
              <w:left w:val="nil"/>
              <w:bottom w:val="single" w:sz="4" w:space="0" w:color="auto"/>
              <w:right w:val="single" w:sz="4" w:space="0" w:color="auto"/>
            </w:tcBorders>
            <w:noWrap/>
            <w:vAlign w:val="center"/>
            <w:hideMark/>
          </w:tcPr>
          <w:p w14:paraId="5D074ED2"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20,140</w:t>
            </w:r>
          </w:p>
        </w:tc>
        <w:tc>
          <w:tcPr>
            <w:tcW w:w="0" w:type="auto"/>
            <w:tcBorders>
              <w:top w:val="nil"/>
              <w:left w:val="nil"/>
              <w:bottom w:val="single" w:sz="4" w:space="0" w:color="auto"/>
              <w:right w:val="single" w:sz="4" w:space="0" w:color="auto"/>
            </w:tcBorders>
            <w:noWrap/>
            <w:vAlign w:val="center"/>
            <w:hideMark/>
          </w:tcPr>
          <w:p w14:paraId="7C67A8CD"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33.00</w:t>
            </w:r>
          </w:p>
        </w:tc>
        <w:tc>
          <w:tcPr>
            <w:tcW w:w="0" w:type="auto"/>
            <w:tcBorders>
              <w:top w:val="nil"/>
              <w:left w:val="nil"/>
              <w:bottom w:val="single" w:sz="4" w:space="0" w:color="auto"/>
              <w:right w:val="single" w:sz="4" w:space="0" w:color="auto"/>
            </w:tcBorders>
            <w:noWrap/>
            <w:vAlign w:val="center"/>
            <w:hideMark/>
          </w:tcPr>
          <w:p w14:paraId="2FC3AA7F"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6,64,620.00</w:t>
            </w:r>
          </w:p>
        </w:tc>
      </w:tr>
      <w:tr w:rsidR="0095419B" w:rsidRPr="0095419B" w14:paraId="15689B62"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7C71FDF0"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KALAHANDI</w:t>
            </w:r>
          </w:p>
        </w:tc>
        <w:tc>
          <w:tcPr>
            <w:tcW w:w="0" w:type="auto"/>
            <w:tcBorders>
              <w:top w:val="nil"/>
              <w:left w:val="nil"/>
              <w:bottom w:val="single" w:sz="4" w:space="0" w:color="auto"/>
              <w:right w:val="single" w:sz="4" w:space="0" w:color="auto"/>
            </w:tcBorders>
            <w:noWrap/>
            <w:vAlign w:val="center"/>
            <w:hideMark/>
          </w:tcPr>
          <w:p w14:paraId="3C27D4DA"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6,572</w:t>
            </w:r>
          </w:p>
        </w:tc>
        <w:tc>
          <w:tcPr>
            <w:tcW w:w="0" w:type="auto"/>
            <w:tcBorders>
              <w:top w:val="nil"/>
              <w:left w:val="nil"/>
              <w:bottom w:val="single" w:sz="4" w:space="0" w:color="auto"/>
              <w:right w:val="single" w:sz="4" w:space="0" w:color="auto"/>
            </w:tcBorders>
            <w:noWrap/>
            <w:vAlign w:val="center"/>
            <w:hideMark/>
          </w:tcPr>
          <w:p w14:paraId="5F1D8D87"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33.00</w:t>
            </w:r>
          </w:p>
        </w:tc>
        <w:tc>
          <w:tcPr>
            <w:tcW w:w="0" w:type="auto"/>
            <w:tcBorders>
              <w:top w:val="nil"/>
              <w:left w:val="nil"/>
              <w:bottom w:val="single" w:sz="4" w:space="0" w:color="auto"/>
              <w:right w:val="single" w:sz="4" w:space="0" w:color="auto"/>
            </w:tcBorders>
            <w:noWrap/>
            <w:vAlign w:val="center"/>
            <w:hideMark/>
          </w:tcPr>
          <w:p w14:paraId="0BCB682F"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2,16,876.00</w:t>
            </w:r>
          </w:p>
        </w:tc>
      </w:tr>
      <w:tr w:rsidR="0095419B" w:rsidRPr="0095419B" w14:paraId="51D2B988"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691DBCF1"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ROURKELA</w:t>
            </w:r>
          </w:p>
        </w:tc>
        <w:tc>
          <w:tcPr>
            <w:tcW w:w="0" w:type="auto"/>
            <w:tcBorders>
              <w:top w:val="nil"/>
              <w:left w:val="nil"/>
              <w:bottom w:val="single" w:sz="4" w:space="0" w:color="auto"/>
              <w:right w:val="single" w:sz="4" w:space="0" w:color="auto"/>
            </w:tcBorders>
            <w:noWrap/>
            <w:vAlign w:val="center"/>
            <w:hideMark/>
          </w:tcPr>
          <w:p w14:paraId="34E64830"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3,218</w:t>
            </w:r>
          </w:p>
        </w:tc>
        <w:tc>
          <w:tcPr>
            <w:tcW w:w="0" w:type="auto"/>
            <w:tcBorders>
              <w:top w:val="nil"/>
              <w:left w:val="nil"/>
              <w:bottom w:val="single" w:sz="4" w:space="0" w:color="auto"/>
              <w:right w:val="single" w:sz="4" w:space="0" w:color="auto"/>
            </w:tcBorders>
            <w:noWrap/>
            <w:vAlign w:val="center"/>
            <w:hideMark/>
          </w:tcPr>
          <w:p w14:paraId="016C1CBA"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33.00</w:t>
            </w:r>
          </w:p>
        </w:tc>
        <w:tc>
          <w:tcPr>
            <w:tcW w:w="0" w:type="auto"/>
            <w:tcBorders>
              <w:top w:val="nil"/>
              <w:left w:val="nil"/>
              <w:bottom w:val="single" w:sz="4" w:space="0" w:color="auto"/>
              <w:right w:val="single" w:sz="4" w:space="0" w:color="auto"/>
            </w:tcBorders>
            <w:noWrap/>
            <w:vAlign w:val="center"/>
            <w:hideMark/>
          </w:tcPr>
          <w:p w14:paraId="2B96C365"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1,06,194.00</w:t>
            </w:r>
          </w:p>
        </w:tc>
      </w:tr>
      <w:tr w:rsidR="0095419B" w:rsidRPr="0095419B" w14:paraId="57CC449E"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1C247275"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SAMBALPUR</w:t>
            </w:r>
          </w:p>
        </w:tc>
        <w:tc>
          <w:tcPr>
            <w:tcW w:w="0" w:type="auto"/>
            <w:tcBorders>
              <w:top w:val="nil"/>
              <w:left w:val="nil"/>
              <w:bottom w:val="single" w:sz="4" w:space="0" w:color="auto"/>
              <w:right w:val="single" w:sz="4" w:space="0" w:color="auto"/>
            </w:tcBorders>
            <w:noWrap/>
            <w:vAlign w:val="center"/>
            <w:hideMark/>
          </w:tcPr>
          <w:p w14:paraId="3D47BEC8"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5,766</w:t>
            </w:r>
          </w:p>
        </w:tc>
        <w:tc>
          <w:tcPr>
            <w:tcW w:w="0" w:type="auto"/>
            <w:tcBorders>
              <w:top w:val="nil"/>
              <w:left w:val="nil"/>
              <w:bottom w:val="single" w:sz="4" w:space="0" w:color="auto"/>
              <w:right w:val="single" w:sz="4" w:space="0" w:color="auto"/>
            </w:tcBorders>
            <w:noWrap/>
            <w:vAlign w:val="center"/>
            <w:hideMark/>
          </w:tcPr>
          <w:p w14:paraId="046ED50D"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33.00</w:t>
            </w:r>
          </w:p>
        </w:tc>
        <w:tc>
          <w:tcPr>
            <w:tcW w:w="0" w:type="auto"/>
            <w:tcBorders>
              <w:top w:val="nil"/>
              <w:left w:val="nil"/>
              <w:bottom w:val="single" w:sz="4" w:space="0" w:color="auto"/>
              <w:right w:val="single" w:sz="4" w:space="0" w:color="auto"/>
            </w:tcBorders>
            <w:noWrap/>
            <w:vAlign w:val="center"/>
            <w:hideMark/>
          </w:tcPr>
          <w:p w14:paraId="2AF017C2"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1,90,278.00</w:t>
            </w:r>
          </w:p>
        </w:tc>
      </w:tr>
      <w:tr w:rsidR="0095419B" w:rsidRPr="0095419B" w14:paraId="05860E5D"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527144C1" w14:textId="77777777" w:rsidR="0095419B" w:rsidRPr="0095419B" w:rsidRDefault="0095419B" w:rsidP="000F221E">
            <w:pPr>
              <w:jc w:val="center"/>
              <w:rPr>
                <w:rFonts w:asciiTheme="majorHAnsi" w:hAnsiTheme="majorHAnsi"/>
                <w:b/>
                <w:bCs/>
                <w:color w:val="000000"/>
              </w:rPr>
            </w:pPr>
            <w:r w:rsidRPr="0095419B">
              <w:rPr>
                <w:rFonts w:asciiTheme="majorHAnsi" w:hAnsiTheme="majorHAnsi" w:cs="Arial"/>
                <w:b/>
                <w:bCs/>
                <w:color w:val="000000"/>
              </w:rPr>
              <w:t>TOTAL</w:t>
            </w:r>
          </w:p>
        </w:tc>
        <w:tc>
          <w:tcPr>
            <w:tcW w:w="0" w:type="auto"/>
            <w:tcBorders>
              <w:top w:val="nil"/>
              <w:left w:val="nil"/>
              <w:bottom w:val="single" w:sz="4" w:space="0" w:color="auto"/>
              <w:right w:val="single" w:sz="4" w:space="0" w:color="auto"/>
            </w:tcBorders>
            <w:noWrap/>
            <w:vAlign w:val="center"/>
            <w:hideMark/>
          </w:tcPr>
          <w:p w14:paraId="5E677468"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47,919</w:t>
            </w:r>
          </w:p>
        </w:tc>
        <w:tc>
          <w:tcPr>
            <w:tcW w:w="0" w:type="auto"/>
            <w:tcBorders>
              <w:top w:val="nil"/>
              <w:left w:val="nil"/>
              <w:bottom w:val="single" w:sz="4" w:space="0" w:color="auto"/>
              <w:right w:val="single" w:sz="4" w:space="0" w:color="auto"/>
            </w:tcBorders>
            <w:noWrap/>
            <w:vAlign w:val="center"/>
            <w:hideMark/>
          </w:tcPr>
          <w:p w14:paraId="41E9A0E2"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33.00</w:t>
            </w:r>
          </w:p>
        </w:tc>
        <w:tc>
          <w:tcPr>
            <w:tcW w:w="0" w:type="auto"/>
            <w:tcBorders>
              <w:top w:val="nil"/>
              <w:left w:val="nil"/>
              <w:bottom w:val="single" w:sz="4" w:space="0" w:color="auto"/>
              <w:right w:val="single" w:sz="4" w:space="0" w:color="auto"/>
            </w:tcBorders>
            <w:noWrap/>
            <w:vAlign w:val="center"/>
            <w:hideMark/>
          </w:tcPr>
          <w:p w14:paraId="3ACDD58B"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15,81,327.00</w:t>
            </w:r>
          </w:p>
        </w:tc>
      </w:tr>
    </w:tbl>
    <w:p w14:paraId="02E1C999" w14:textId="77777777" w:rsidR="0095419B" w:rsidRPr="0095419B" w:rsidRDefault="0095419B" w:rsidP="0095419B">
      <w:pPr>
        <w:jc w:val="both"/>
        <w:rPr>
          <w:rFonts w:asciiTheme="majorHAnsi" w:hAnsiTheme="majorHAnsi"/>
        </w:rPr>
      </w:pPr>
    </w:p>
    <w:tbl>
      <w:tblPr>
        <w:tblW w:w="0" w:type="auto"/>
        <w:tblLook w:val="04A0" w:firstRow="1" w:lastRow="0" w:firstColumn="1" w:lastColumn="0" w:noHBand="0" w:noVBand="1"/>
      </w:tblPr>
      <w:tblGrid>
        <w:gridCol w:w="1898"/>
        <w:gridCol w:w="3385"/>
        <w:gridCol w:w="1258"/>
        <w:gridCol w:w="2659"/>
      </w:tblGrid>
      <w:tr w:rsidR="0095419B" w:rsidRPr="0095419B" w14:paraId="2EC8A5A6" w14:textId="77777777" w:rsidTr="00125F60">
        <w:trPr>
          <w:trHeight w:val="290"/>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AFFB4D2" w14:textId="77777777" w:rsidR="0095419B" w:rsidRPr="0095419B" w:rsidRDefault="0095419B" w:rsidP="000F221E">
            <w:pPr>
              <w:jc w:val="center"/>
              <w:rPr>
                <w:rFonts w:asciiTheme="majorHAnsi" w:hAnsiTheme="majorHAnsi"/>
                <w:b/>
                <w:bCs/>
                <w:color w:val="000000"/>
                <w:lang w:val="en-IN"/>
              </w:rPr>
            </w:pPr>
            <w:r w:rsidRPr="0095419B">
              <w:rPr>
                <w:rFonts w:asciiTheme="majorHAnsi" w:hAnsiTheme="majorHAnsi"/>
                <w:b/>
                <w:bCs/>
                <w:color w:val="000000"/>
              </w:rPr>
              <w:t>Estimated Monthly Cost of Scheduled Spot Meter Reading only for E-Bill opted SBM Irrigation/Agriculture Consumers</w:t>
            </w:r>
          </w:p>
        </w:tc>
      </w:tr>
      <w:tr w:rsidR="0095419B" w:rsidRPr="0095419B" w14:paraId="795B946B" w14:textId="77777777" w:rsidTr="00125F60">
        <w:trPr>
          <w:trHeight w:val="290"/>
        </w:trPr>
        <w:tc>
          <w:tcPr>
            <w:tcW w:w="0" w:type="auto"/>
            <w:tcBorders>
              <w:top w:val="nil"/>
              <w:left w:val="single" w:sz="4" w:space="0" w:color="auto"/>
              <w:bottom w:val="single" w:sz="4" w:space="0" w:color="auto"/>
              <w:right w:val="single" w:sz="4" w:space="0" w:color="auto"/>
            </w:tcBorders>
            <w:noWrap/>
            <w:vAlign w:val="center"/>
            <w:hideMark/>
          </w:tcPr>
          <w:p w14:paraId="6287951D"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CIRCLE</w:t>
            </w:r>
          </w:p>
        </w:tc>
        <w:tc>
          <w:tcPr>
            <w:tcW w:w="0" w:type="auto"/>
            <w:tcBorders>
              <w:top w:val="nil"/>
              <w:left w:val="nil"/>
              <w:bottom w:val="single" w:sz="4" w:space="0" w:color="auto"/>
              <w:right w:val="single" w:sz="4" w:space="0" w:color="auto"/>
            </w:tcBorders>
            <w:noWrap/>
            <w:vAlign w:val="center"/>
            <w:hideMark/>
          </w:tcPr>
          <w:p w14:paraId="06706224"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No. of Consumers</w:t>
            </w:r>
          </w:p>
        </w:tc>
        <w:tc>
          <w:tcPr>
            <w:tcW w:w="0" w:type="auto"/>
            <w:tcBorders>
              <w:top w:val="nil"/>
              <w:left w:val="nil"/>
              <w:bottom w:val="single" w:sz="4" w:space="0" w:color="auto"/>
              <w:right w:val="single" w:sz="4" w:space="0" w:color="auto"/>
            </w:tcBorders>
            <w:noWrap/>
            <w:vAlign w:val="center"/>
            <w:hideMark/>
          </w:tcPr>
          <w:p w14:paraId="2071A212"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Rate</w:t>
            </w:r>
          </w:p>
        </w:tc>
        <w:tc>
          <w:tcPr>
            <w:tcW w:w="0" w:type="auto"/>
            <w:tcBorders>
              <w:top w:val="nil"/>
              <w:left w:val="nil"/>
              <w:bottom w:val="single" w:sz="4" w:space="0" w:color="auto"/>
              <w:right w:val="single" w:sz="4" w:space="0" w:color="auto"/>
            </w:tcBorders>
            <w:noWrap/>
            <w:vAlign w:val="center"/>
            <w:hideMark/>
          </w:tcPr>
          <w:p w14:paraId="42635FB6"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Cost (in Rs.)</w:t>
            </w:r>
          </w:p>
        </w:tc>
      </w:tr>
      <w:tr w:rsidR="0095419B" w:rsidRPr="0095419B" w14:paraId="1CE509F9"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4959BBC4" w14:textId="3CF55D28" w:rsidR="0095419B" w:rsidRPr="0095419B" w:rsidRDefault="00C534D8" w:rsidP="000F221E">
            <w:pPr>
              <w:jc w:val="center"/>
              <w:rPr>
                <w:rFonts w:asciiTheme="majorHAnsi" w:hAnsiTheme="majorHAnsi"/>
                <w:color w:val="000000"/>
              </w:rPr>
            </w:pPr>
            <w:r>
              <w:rPr>
                <w:rFonts w:asciiTheme="majorHAnsi" w:hAnsiTheme="majorHAnsi" w:cs="Arial"/>
                <w:color w:val="000000"/>
              </w:rPr>
              <w:t>BOLANGIR</w:t>
            </w:r>
          </w:p>
        </w:tc>
        <w:tc>
          <w:tcPr>
            <w:tcW w:w="0" w:type="auto"/>
            <w:tcBorders>
              <w:top w:val="nil"/>
              <w:left w:val="nil"/>
              <w:bottom w:val="single" w:sz="4" w:space="0" w:color="auto"/>
              <w:right w:val="single" w:sz="4" w:space="0" w:color="auto"/>
            </w:tcBorders>
            <w:noWrap/>
            <w:vAlign w:val="center"/>
            <w:hideMark/>
          </w:tcPr>
          <w:p w14:paraId="12852174"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174</w:t>
            </w:r>
          </w:p>
        </w:tc>
        <w:tc>
          <w:tcPr>
            <w:tcW w:w="0" w:type="auto"/>
            <w:tcBorders>
              <w:top w:val="nil"/>
              <w:left w:val="nil"/>
              <w:bottom w:val="single" w:sz="4" w:space="0" w:color="auto"/>
              <w:right w:val="single" w:sz="4" w:space="0" w:color="auto"/>
            </w:tcBorders>
            <w:noWrap/>
            <w:vAlign w:val="center"/>
            <w:hideMark/>
          </w:tcPr>
          <w:p w14:paraId="18610B0D"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29.70</w:t>
            </w:r>
          </w:p>
        </w:tc>
        <w:tc>
          <w:tcPr>
            <w:tcW w:w="0" w:type="auto"/>
            <w:tcBorders>
              <w:top w:val="nil"/>
              <w:left w:val="nil"/>
              <w:bottom w:val="single" w:sz="4" w:space="0" w:color="auto"/>
              <w:right w:val="single" w:sz="4" w:space="0" w:color="auto"/>
            </w:tcBorders>
            <w:noWrap/>
            <w:vAlign w:val="center"/>
            <w:hideMark/>
          </w:tcPr>
          <w:p w14:paraId="5DF1B621"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5,167.80</w:t>
            </w:r>
          </w:p>
        </w:tc>
      </w:tr>
      <w:tr w:rsidR="0095419B" w:rsidRPr="0095419B" w14:paraId="4E791D14"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19BC6436"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BARGARH</w:t>
            </w:r>
          </w:p>
        </w:tc>
        <w:tc>
          <w:tcPr>
            <w:tcW w:w="0" w:type="auto"/>
            <w:tcBorders>
              <w:top w:val="nil"/>
              <w:left w:val="nil"/>
              <w:bottom w:val="single" w:sz="4" w:space="0" w:color="auto"/>
              <w:right w:val="single" w:sz="4" w:space="0" w:color="auto"/>
            </w:tcBorders>
            <w:noWrap/>
            <w:vAlign w:val="center"/>
            <w:hideMark/>
          </w:tcPr>
          <w:p w14:paraId="6B5D1B6B"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270</w:t>
            </w:r>
          </w:p>
        </w:tc>
        <w:tc>
          <w:tcPr>
            <w:tcW w:w="0" w:type="auto"/>
            <w:tcBorders>
              <w:top w:val="nil"/>
              <w:left w:val="nil"/>
              <w:bottom w:val="single" w:sz="4" w:space="0" w:color="auto"/>
              <w:right w:val="single" w:sz="4" w:space="0" w:color="auto"/>
            </w:tcBorders>
            <w:noWrap/>
            <w:vAlign w:val="center"/>
            <w:hideMark/>
          </w:tcPr>
          <w:p w14:paraId="6DF1D3BA"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29.70</w:t>
            </w:r>
          </w:p>
        </w:tc>
        <w:tc>
          <w:tcPr>
            <w:tcW w:w="0" w:type="auto"/>
            <w:tcBorders>
              <w:top w:val="nil"/>
              <w:left w:val="nil"/>
              <w:bottom w:val="single" w:sz="4" w:space="0" w:color="auto"/>
              <w:right w:val="single" w:sz="4" w:space="0" w:color="auto"/>
            </w:tcBorders>
            <w:noWrap/>
            <w:vAlign w:val="center"/>
            <w:hideMark/>
          </w:tcPr>
          <w:p w14:paraId="71546A26"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8,019.00</w:t>
            </w:r>
          </w:p>
        </w:tc>
      </w:tr>
      <w:tr w:rsidR="0095419B" w:rsidRPr="0095419B" w14:paraId="5D8650BA"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175D6A0D"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KALAHANDI</w:t>
            </w:r>
          </w:p>
        </w:tc>
        <w:tc>
          <w:tcPr>
            <w:tcW w:w="0" w:type="auto"/>
            <w:tcBorders>
              <w:top w:val="nil"/>
              <w:left w:val="nil"/>
              <w:bottom w:val="single" w:sz="4" w:space="0" w:color="auto"/>
              <w:right w:val="single" w:sz="4" w:space="0" w:color="auto"/>
            </w:tcBorders>
            <w:noWrap/>
            <w:vAlign w:val="center"/>
            <w:hideMark/>
          </w:tcPr>
          <w:p w14:paraId="75BA29C5"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151</w:t>
            </w:r>
          </w:p>
        </w:tc>
        <w:tc>
          <w:tcPr>
            <w:tcW w:w="0" w:type="auto"/>
            <w:tcBorders>
              <w:top w:val="nil"/>
              <w:left w:val="nil"/>
              <w:bottom w:val="single" w:sz="4" w:space="0" w:color="auto"/>
              <w:right w:val="single" w:sz="4" w:space="0" w:color="auto"/>
            </w:tcBorders>
            <w:noWrap/>
            <w:vAlign w:val="center"/>
            <w:hideMark/>
          </w:tcPr>
          <w:p w14:paraId="01E15B7D"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29.70</w:t>
            </w:r>
          </w:p>
        </w:tc>
        <w:tc>
          <w:tcPr>
            <w:tcW w:w="0" w:type="auto"/>
            <w:tcBorders>
              <w:top w:val="nil"/>
              <w:left w:val="nil"/>
              <w:bottom w:val="single" w:sz="4" w:space="0" w:color="auto"/>
              <w:right w:val="single" w:sz="4" w:space="0" w:color="auto"/>
            </w:tcBorders>
            <w:noWrap/>
            <w:vAlign w:val="center"/>
            <w:hideMark/>
          </w:tcPr>
          <w:p w14:paraId="3D7F73B2"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4,484.70</w:t>
            </w:r>
          </w:p>
        </w:tc>
      </w:tr>
      <w:tr w:rsidR="0095419B" w:rsidRPr="0095419B" w14:paraId="1E59F4B1"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04D3D0FB"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ROURKELA</w:t>
            </w:r>
          </w:p>
        </w:tc>
        <w:tc>
          <w:tcPr>
            <w:tcW w:w="0" w:type="auto"/>
            <w:tcBorders>
              <w:top w:val="nil"/>
              <w:left w:val="nil"/>
              <w:bottom w:val="single" w:sz="4" w:space="0" w:color="auto"/>
              <w:right w:val="single" w:sz="4" w:space="0" w:color="auto"/>
            </w:tcBorders>
            <w:noWrap/>
            <w:vAlign w:val="center"/>
            <w:hideMark/>
          </w:tcPr>
          <w:p w14:paraId="4D04E5C1"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46</w:t>
            </w:r>
          </w:p>
        </w:tc>
        <w:tc>
          <w:tcPr>
            <w:tcW w:w="0" w:type="auto"/>
            <w:tcBorders>
              <w:top w:val="nil"/>
              <w:left w:val="nil"/>
              <w:bottom w:val="single" w:sz="4" w:space="0" w:color="auto"/>
              <w:right w:val="single" w:sz="4" w:space="0" w:color="auto"/>
            </w:tcBorders>
            <w:noWrap/>
            <w:vAlign w:val="center"/>
            <w:hideMark/>
          </w:tcPr>
          <w:p w14:paraId="4FEEFC46"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29.70</w:t>
            </w:r>
          </w:p>
        </w:tc>
        <w:tc>
          <w:tcPr>
            <w:tcW w:w="0" w:type="auto"/>
            <w:tcBorders>
              <w:top w:val="nil"/>
              <w:left w:val="nil"/>
              <w:bottom w:val="single" w:sz="4" w:space="0" w:color="auto"/>
              <w:right w:val="single" w:sz="4" w:space="0" w:color="auto"/>
            </w:tcBorders>
            <w:noWrap/>
            <w:vAlign w:val="center"/>
            <w:hideMark/>
          </w:tcPr>
          <w:p w14:paraId="1E50D722"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1,366.20</w:t>
            </w:r>
          </w:p>
        </w:tc>
      </w:tr>
      <w:tr w:rsidR="0095419B" w:rsidRPr="0095419B" w14:paraId="62A584BE"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7C0CECC2"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SAMBALPUR</w:t>
            </w:r>
          </w:p>
        </w:tc>
        <w:tc>
          <w:tcPr>
            <w:tcW w:w="0" w:type="auto"/>
            <w:tcBorders>
              <w:top w:val="nil"/>
              <w:left w:val="nil"/>
              <w:bottom w:val="single" w:sz="4" w:space="0" w:color="auto"/>
              <w:right w:val="single" w:sz="4" w:space="0" w:color="auto"/>
            </w:tcBorders>
            <w:noWrap/>
            <w:vAlign w:val="center"/>
            <w:hideMark/>
          </w:tcPr>
          <w:p w14:paraId="16E3D31A"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116</w:t>
            </w:r>
          </w:p>
        </w:tc>
        <w:tc>
          <w:tcPr>
            <w:tcW w:w="0" w:type="auto"/>
            <w:tcBorders>
              <w:top w:val="nil"/>
              <w:left w:val="nil"/>
              <w:bottom w:val="single" w:sz="4" w:space="0" w:color="auto"/>
              <w:right w:val="single" w:sz="4" w:space="0" w:color="auto"/>
            </w:tcBorders>
            <w:noWrap/>
            <w:vAlign w:val="center"/>
            <w:hideMark/>
          </w:tcPr>
          <w:p w14:paraId="3D265367"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29.70</w:t>
            </w:r>
          </w:p>
        </w:tc>
        <w:tc>
          <w:tcPr>
            <w:tcW w:w="0" w:type="auto"/>
            <w:tcBorders>
              <w:top w:val="nil"/>
              <w:left w:val="nil"/>
              <w:bottom w:val="single" w:sz="4" w:space="0" w:color="auto"/>
              <w:right w:val="single" w:sz="4" w:space="0" w:color="auto"/>
            </w:tcBorders>
            <w:noWrap/>
            <w:vAlign w:val="center"/>
            <w:hideMark/>
          </w:tcPr>
          <w:p w14:paraId="025A70C9"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3,445.20</w:t>
            </w:r>
          </w:p>
        </w:tc>
      </w:tr>
      <w:tr w:rsidR="0095419B" w:rsidRPr="0095419B" w14:paraId="21AF8665"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02E24FEF" w14:textId="77777777" w:rsidR="0095419B" w:rsidRPr="0095419B" w:rsidRDefault="0095419B" w:rsidP="000F221E">
            <w:pPr>
              <w:jc w:val="center"/>
              <w:rPr>
                <w:rFonts w:asciiTheme="majorHAnsi" w:hAnsiTheme="majorHAnsi"/>
                <w:b/>
                <w:bCs/>
                <w:color w:val="000000"/>
              </w:rPr>
            </w:pPr>
            <w:r w:rsidRPr="0095419B">
              <w:rPr>
                <w:rFonts w:asciiTheme="majorHAnsi" w:hAnsiTheme="majorHAnsi" w:cs="Arial"/>
                <w:b/>
                <w:bCs/>
                <w:color w:val="000000"/>
              </w:rPr>
              <w:t>TOTAL</w:t>
            </w:r>
          </w:p>
        </w:tc>
        <w:tc>
          <w:tcPr>
            <w:tcW w:w="0" w:type="auto"/>
            <w:tcBorders>
              <w:top w:val="nil"/>
              <w:left w:val="nil"/>
              <w:bottom w:val="single" w:sz="4" w:space="0" w:color="auto"/>
              <w:right w:val="single" w:sz="4" w:space="0" w:color="auto"/>
            </w:tcBorders>
            <w:noWrap/>
            <w:vAlign w:val="center"/>
            <w:hideMark/>
          </w:tcPr>
          <w:p w14:paraId="3F214550"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757</w:t>
            </w:r>
          </w:p>
        </w:tc>
        <w:tc>
          <w:tcPr>
            <w:tcW w:w="0" w:type="auto"/>
            <w:tcBorders>
              <w:top w:val="nil"/>
              <w:left w:val="nil"/>
              <w:bottom w:val="single" w:sz="4" w:space="0" w:color="auto"/>
              <w:right w:val="single" w:sz="4" w:space="0" w:color="auto"/>
            </w:tcBorders>
            <w:noWrap/>
            <w:vAlign w:val="center"/>
            <w:hideMark/>
          </w:tcPr>
          <w:p w14:paraId="7A6CDE76"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29.70</w:t>
            </w:r>
          </w:p>
        </w:tc>
        <w:tc>
          <w:tcPr>
            <w:tcW w:w="0" w:type="auto"/>
            <w:tcBorders>
              <w:top w:val="nil"/>
              <w:left w:val="nil"/>
              <w:bottom w:val="single" w:sz="4" w:space="0" w:color="auto"/>
              <w:right w:val="single" w:sz="4" w:space="0" w:color="auto"/>
            </w:tcBorders>
            <w:noWrap/>
            <w:vAlign w:val="center"/>
            <w:hideMark/>
          </w:tcPr>
          <w:p w14:paraId="3D9F41E3"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22,482.90</w:t>
            </w:r>
          </w:p>
        </w:tc>
      </w:tr>
    </w:tbl>
    <w:p w14:paraId="2F73A3F8" w14:textId="3B86DC07" w:rsidR="00462F6C" w:rsidRDefault="00462F6C" w:rsidP="0095419B">
      <w:pPr>
        <w:jc w:val="both"/>
        <w:rPr>
          <w:rFonts w:asciiTheme="majorHAnsi" w:hAnsiTheme="majorHAnsi"/>
        </w:rPr>
      </w:pPr>
    </w:p>
    <w:p w14:paraId="3FB3BA41" w14:textId="6CFD34EA" w:rsidR="00C534D8" w:rsidRDefault="00C534D8" w:rsidP="0095419B">
      <w:pPr>
        <w:jc w:val="both"/>
        <w:rPr>
          <w:rFonts w:asciiTheme="majorHAnsi" w:hAnsiTheme="majorHAnsi"/>
        </w:rPr>
      </w:pPr>
    </w:p>
    <w:p w14:paraId="48E3E507" w14:textId="77777777" w:rsidR="00C534D8" w:rsidRPr="0095419B" w:rsidRDefault="00C534D8" w:rsidP="0095419B">
      <w:pPr>
        <w:jc w:val="both"/>
        <w:rPr>
          <w:rFonts w:asciiTheme="majorHAnsi" w:hAnsiTheme="majorHAnsi"/>
        </w:rPr>
      </w:pPr>
    </w:p>
    <w:tbl>
      <w:tblPr>
        <w:tblW w:w="0" w:type="auto"/>
        <w:tblLook w:val="04A0" w:firstRow="1" w:lastRow="0" w:firstColumn="1" w:lastColumn="0" w:noHBand="0" w:noVBand="1"/>
      </w:tblPr>
      <w:tblGrid>
        <w:gridCol w:w="1898"/>
        <w:gridCol w:w="3385"/>
        <w:gridCol w:w="1258"/>
        <w:gridCol w:w="2659"/>
      </w:tblGrid>
      <w:tr w:rsidR="0095419B" w:rsidRPr="0095419B" w14:paraId="4857F222" w14:textId="77777777" w:rsidTr="00125F60">
        <w:trPr>
          <w:trHeight w:val="290"/>
          <w:tblHead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C8C2AF0" w14:textId="77777777" w:rsidR="0095419B" w:rsidRPr="0095419B" w:rsidRDefault="0095419B" w:rsidP="000F221E">
            <w:pPr>
              <w:jc w:val="center"/>
              <w:rPr>
                <w:rFonts w:asciiTheme="majorHAnsi" w:hAnsiTheme="majorHAnsi"/>
                <w:b/>
                <w:bCs/>
                <w:color w:val="000000"/>
                <w:lang w:val="en-IN"/>
              </w:rPr>
            </w:pPr>
            <w:r w:rsidRPr="0095419B">
              <w:rPr>
                <w:rFonts w:asciiTheme="majorHAnsi" w:hAnsiTheme="majorHAnsi"/>
                <w:b/>
                <w:bCs/>
                <w:color w:val="000000"/>
              </w:rPr>
              <w:t>Estimated Monthly Cost of Scheduled Spot Billing, Bill Printing and Bill Distribution of SBM Irrigation/Agriculture Consumers (where meter reading captured through Smart Meter/Bluetooth meter)</w:t>
            </w:r>
          </w:p>
        </w:tc>
      </w:tr>
      <w:tr w:rsidR="0095419B" w:rsidRPr="0095419B" w14:paraId="6FD0CE56" w14:textId="77777777" w:rsidTr="00125F60">
        <w:trPr>
          <w:trHeight w:val="290"/>
          <w:tblHeader/>
        </w:trPr>
        <w:tc>
          <w:tcPr>
            <w:tcW w:w="0" w:type="auto"/>
            <w:tcBorders>
              <w:top w:val="nil"/>
              <w:left w:val="single" w:sz="4" w:space="0" w:color="auto"/>
              <w:bottom w:val="single" w:sz="4" w:space="0" w:color="auto"/>
              <w:right w:val="single" w:sz="4" w:space="0" w:color="auto"/>
            </w:tcBorders>
            <w:noWrap/>
            <w:vAlign w:val="center"/>
            <w:hideMark/>
          </w:tcPr>
          <w:p w14:paraId="70F0DDFC"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CIRCLE</w:t>
            </w:r>
          </w:p>
        </w:tc>
        <w:tc>
          <w:tcPr>
            <w:tcW w:w="0" w:type="auto"/>
            <w:tcBorders>
              <w:top w:val="nil"/>
              <w:left w:val="nil"/>
              <w:bottom w:val="single" w:sz="4" w:space="0" w:color="auto"/>
              <w:right w:val="single" w:sz="4" w:space="0" w:color="auto"/>
            </w:tcBorders>
            <w:noWrap/>
            <w:vAlign w:val="center"/>
            <w:hideMark/>
          </w:tcPr>
          <w:p w14:paraId="6381125E"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No. of Consumers</w:t>
            </w:r>
          </w:p>
        </w:tc>
        <w:tc>
          <w:tcPr>
            <w:tcW w:w="0" w:type="auto"/>
            <w:tcBorders>
              <w:top w:val="nil"/>
              <w:left w:val="nil"/>
              <w:bottom w:val="single" w:sz="4" w:space="0" w:color="auto"/>
              <w:right w:val="single" w:sz="4" w:space="0" w:color="auto"/>
            </w:tcBorders>
            <w:noWrap/>
            <w:vAlign w:val="center"/>
            <w:hideMark/>
          </w:tcPr>
          <w:p w14:paraId="69AA89DF"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Rate</w:t>
            </w:r>
          </w:p>
        </w:tc>
        <w:tc>
          <w:tcPr>
            <w:tcW w:w="0" w:type="auto"/>
            <w:tcBorders>
              <w:top w:val="nil"/>
              <w:left w:val="nil"/>
              <w:bottom w:val="single" w:sz="4" w:space="0" w:color="auto"/>
              <w:right w:val="single" w:sz="4" w:space="0" w:color="auto"/>
            </w:tcBorders>
            <w:noWrap/>
            <w:vAlign w:val="center"/>
            <w:hideMark/>
          </w:tcPr>
          <w:p w14:paraId="4E78152A"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Cost (in Rs.)</w:t>
            </w:r>
          </w:p>
        </w:tc>
      </w:tr>
      <w:tr w:rsidR="0095419B" w:rsidRPr="0095419B" w14:paraId="4D1235AC"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3888B087" w14:textId="20E85B7B" w:rsidR="0095419B" w:rsidRPr="0095419B" w:rsidRDefault="00C534D8" w:rsidP="000F221E">
            <w:pPr>
              <w:jc w:val="center"/>
              <w:rPr>
                <w:rFonts w:asciiTheme="majorHAnsi" w:hAnsiTheme="majorHAnsi"/>
                <w:color w:val="000000"/>
              </w:rPr>
            </w:pPr>
            <w:r>
              <w:rPr>
                <w:rFonts w:asciiTheme="majorHAnsi" w:hAnsiTheme="majorHAnsi" w:cs="Arial"/>
                <w:color w:val="000000"/>
              </w:rPr>
              <w:t>BOLANGIR</w:t>
            </w:r>
          </w:p>
        </w:tc>
        <w:tc>
          <w:tcPr>
            <w:tcW w:w="0" w:type="auto"/>
            <w:tcBorders>
              <w:top w:val="nil"/>
              <w:left w:val="nil"/>
              <w:bottom w:val="single" w:sz="4" w:space="0" w:color="auto"/>
              <w:right w:val="single" w:sz="4" w:space="0" w:color="auto"/>
            </w:tcBorders>
            <w:noWrap/>
            <w:vAlign w:val="center"/>
            <w:hideMark/>
          </w:tcPr>
          <w:p w14:paraId="6EE90B79"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19,894</w:t>
            </w:r>
          </w:p>
        </w:tc>
        <w:tc>
          <w:tcPr>
            <w:tcW w:w="0" w:type="auto"/>
            <w:tcBorders>
              <w:top w:val="nil"/>
              <w:left w:val="nil"/>
              <w:bottom w:val="single" w:sz="4" w:space="0" w:color="auto"/>
              <w:right w:val="single" w:sz="4" w:space="0" w:color="auto"/>
            </w:tcBorders>
            <w:noWrap/>
            <w:vAlign w:val="center"/>
            <w:hideMark/>
          </w:tcPr>
          <w:p w14:paraId="7D6A1864"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29.70</w:t>
            </w:r>
          </w:p>
        </w:tc>
        <w:tc>
          <w:tcPr>
            <w:tcW w:w="0" w:type="auto"/>
            <w:tcBorders>
              <w:top w:val="nil"/>
              <w:left w:val="nil"/>
              <w:bottom w:val="single" w:sz="4" w:space="0" w:color="auto"/>
              <w:right w:val="single" w:sz="4" w:space="0" w:color="auto"/>
            </w:tcBorders>
            <w:noWrap/>
            <w:vAlign w:val="center"/>
            <w:hideMark/>
          </w:tcPr>
          <w:p w14:paraId="6A36A2D8"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5,90,851.80</w:t>
            </w:r>
          </w:p>
        </w:tc>
      </w:tr>
      <w:tr w:rsidR="0095419B" w:rsidRPr="0095419B" w14:paraId="79C647FA"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4EA1F554"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BARGARH</w:t>
            </w:r>
          </w:p>
        </w:tc>
        <w:tc>
          <w:tcPr>
            <w:tcW w:w="0" w:type="auto"/>
            <w:tcBorders>
              <w:top w:val="nil"/>
              <w:left w:val="nil"/>
              <w:bottom w:val="single" w:sz="4" w:space="0" w:color="auto"/>
              <w:right w:val="single" w:sz="4" w:space="0" w:color="auto"/>
            </w:tcBorders>
            <w:noWrap/>
            <w:vAlign w:val="center"/>
            <w:hideMark/>
          </w:tcPr>
          <w:p w14:paraId="364D7C4C"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25,399</w:t>
            </w:r>
          </w:p>
        </w:tc>
        <w:tc>
          <w:tcPr>
            <w:tcW w:w="0" w:type="auto"/>
            <w:tcBorders>
              <w:top w:val="nil"/>
              <w:left w:val="nil"/>
              <w:bottom w:val="single" w:sz="4" w:space="0" w:color="auto"/>
              <w:right w:val="single" w:sz="4" w:space="0" w:color="auto"/>
            </w:tcBorders>
            <w:noWrap/>
            <w:vAlign w:val="center"/>
            <w:hideMark/>
          </w:tcPr>
          <w:p w14:paraId="55A62ED9"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29.70</w:t>
            </w:r>
          </w:p>
        </w:tc>
        <w:tc>
          <w:tcPr>
            <w:tcW w:w="0" w:type="auto"/>
            <w:tcBorders>
              <w:top w:val="nil"/>
              <w:left w:val="nil"/>
              <w:bottom w:val="single" w:sz="4" w:space="0" w:color="auto"/>
              <w:right w:val="single" w:sz="4" w:space="0" w:color="auto"/>
            </w:tcBorders>
            <w:noWrap/>
            <w:vAlign w:val="center"/>
            <w:hideMark/>
          </w:tcPr>
          <w:p w14:paraId="6360205C"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7,54,350.30</w:t>
            </w:r>
          </w:p>
        </w:tc>
      </w:tr>
      <w:tr w:rsidR="0095419B" w:rsidRPr="0095419B" w14:paraId="424E356A"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46C44ADD"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KALAHANDI</w:t>
            </w:r>
          </w:p>
        </w:tc>
        <w:tc>
          <w:tcPr>
            <w:tcW w:w="0" w:type="auto"/>
            <w:tcBorders>
              <w:top w:val="nil"/>
              <w:left w:val="nil"/>
              <w:bottom w:val="single" w:sz="4" w:space="0" w:color="auto"/>
              <w:right w:val="single" w:sz="4" w:space="0" w:color="auto"/>
            </w:tcBorders>
            <w:noWrap/>
            <w:vAlign w:val="center"/>
            <w:hideMark/>
          </w:tcPr>
          <w:p w14:paraId="7378E2AA"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13,466</w:t>
            </w:r>
          </w:p>
        </w:tc>
        <w:tc>
          <w:tcPr>
            <w:tcW w:w="0" w:type="auto"/>
            <w:tcBorders>
              <w:top w:val="nil"/>
              <w:left w:val="nil"/>
              <w:bottom w:val="single" w:sz="4" w:space="0" w:color="auto"/>
              <w:right w:val="single" w:sz="4" w:space="0" w:color="auto"/>
            </w:tcBorders>
            <w:noWrap/>
            <w:vAlign w:val="center"/>
            <w:hideMark/>
          </w:tcPr>
          <w:p w14:paraId="7F9C808D"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29.70</w:t>
            </w:r>
          </w:p>
        </w:tc>
        <w:tc>
          <w:tcPr>
            <w:tcW w:w="0" w:type="auto"/>
            <w:tcBorders>
              <w:top w:val="nil"/>
              <w:left w:val="nil"/>
              <w:bottom w:val="single" w:sz="4" w:space="0" w:color="auto"/>
              <w:right w:val="single" w:sz="4" w:space="0" w:color="auto"/>
            </w:tcBorders>
            <w:noWrap/>
            <w:vAlign w:val="center"/>
            <w:hideMark/>
          </w:tcPr>
          <w:p w14:paraId="31FC9789"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3,99,940.20</w:t>
            </w:r>
          </w:p>
        </w:tc>
      </w:tr>
      <w:tr w:rsidR="0095419B" w:rsidRPr="0095419B" w14:paraId="5BFB8A68"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4D640AC2"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ROURKELA</w:t>
            </w:r>
          </w:p>
        </w:tc>
        <w:tc>
          <w:tcPr>
            <w:tcW w:w="0" w:type="auto"/>
            <w:tcBorders>
              <w:top w:val="nil"/>
              <w:left w:val="nil"/>
              <w:bottom w:val="single" w:sz="4" w:space="0" w:color="auto"/>
              <w:right w:val="single" w:sz="4" w:space="0" w:color="auto"/>
            </w:tcBorders>
            <w:noWrap/>
            <w:vAlign w:val="center"/>
            <w:hideMark/>
          </w:tcPr>
          <w:p w14:paraId="11FD99DC"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6,621</w:t>
            </w:r>
          </w:p>
        </w:tc>
        <w:tc>
          <w:tcPr>
            <w:tcW w:w="0" w:type="auto"/>
            <w:tcBorders>
              <w:top w:val="nil"/>
              <w:left w:val="nil"/>
              <w:bottom w:val="single" w:sz="4" w:space="0" w:color="auto"/>
              <w:right w:val="single" w:sz="4" w:space="0" w:color="auto"/>
            </w:tcBorders>
            <w:noWrap/>
            <w:vAlign w:val="center"/>
            <w:hideMark/>
          </w:tcPr>
          <w:p w14:paraId="4904372E"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29.70</w:t>
            </w:r>
          </w:p>
        </w:tc>
        <w:tc>
          <w:tcPr>
            <w:tcW w:w="0" w:type="auto"/>
            <w:tcBorders>
              <w:top w:val="nil"/>
              <w:left w:val="nil"/>
              <w:bottom w:val="single" w:sz="4" w:space="0" w:color="auto"/>
              <w:right w:val="single" w:sz="4" w:space="0" w:color="auto"/>
            </w:tcBorders>
            <w:noWrap/>
            <w:vAlign w:val="center"/>
            <w:hideMark/>
          </w:tcPr>
          <w:p w14:paraId="41C5CAA2"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1,96,643.70</w:t>
            </w:r>
          </w:p>
        </w:tc>
      </w:tr>
      <w:tr w:rsidR="0095419B" w:rsidRPr="0095419B" w14:paraId="1FA0DA62"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5BF9A4A7"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SAMBALPUR</w:t>
            </w:r>
          </w:p>
        </w:tc>
        <w:tc>
          <w:tcPr>
            <w:tcW w:w="0" w:type="auto"/>
            <w:tcBorders>
              <w:top w:val="nil"/>
              <w:left w:val="nil"/>
              <w:bottom w:val="single" w:sz="4" w:space="0" w:color="auto"/>
              <w:right w:val="single" w:sz="4" w:space="0" w:color="auto"/>
            </w:tcBorders>
            <w:noWrap/>
            <w:vAlign w:val="center"/>
            <w:hideMark/>
          </w:tcPr>
          <w:p w14:paraId="132E7196"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8,133</w:t>
            </w:r>
          </w:p>
        </w:tc>
        <w:tc>
          <w:tcPr>
            <w:tcW w:w="0" w:type="auto"/>
            <w:tcBorders>
              <w:top w:val="nil"/>
              <w:left w:val="nil"/>
              <w:bottom w:val="single" w:sz="4" w:space="0" w:color="auto"/>
              <w:right w:val="single" w:sz="4" w:space="0" w:color="auto"/>
            </w:tcBorders>
            <w:noWrap/>
            <w:vAlign w:val="center"/>
            <w:hideMark/>
          </w:tcPr>
          <w:p w14:paraId="77C855F0"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29.70</w:t>
            </w:r>
          </w:p>
        </w:tc>
        <w:tc>
          <w:tcPr>
            <w:tcW w:w="0" w:type="auto"/>
            <w:tcBorders>
              <w:top w:val="nil"/>
              <w:left w:val="nil"/>
              <w:bottom w:val="single" w:sz="4" w:space="0" w:color="auto"/>
              <w:right w:val="single" w:sz="4" w:space="0" w:color="auto"/>
            </w:tcBorders>
            <w:noWrap/>
            <w:vAlign w:val="center"/>
            <w:hideMark/>
          </w:tcPr>
          <w:p w14:paraId="5B95DF35"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2,41,550.10</w:t>
            </w:r>
          </w:p>
        </w:tc>
      </w:tr>
      <w:tr w:rsidR="0095419B" w:rsidRPr="0095419B" w14:paraId="38ADA7C5"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78E6AB2E" w14:textId="77777777" w:rsidR="0095419B" w:rsidRPr="0095419B" w:rsidRDefault="0095419B" w:rsidP="000F221E">
            <w:pPr>
              <w:jc w:val="center"/>
              <w:rPr>
                <w:rFonts w:asciiTheme="majorHAnsi" w:hAnsiTheme="majorHAnsi"/>
                <w:b/>
                <w:bCs/>
                <w:color w:val="000000"/>
              </w:rPr>
            </w:pPr>
            <w:r w:rsidRPr="0095419B">
              <w:rPr>
                <w:rFonts w:asciiTheme="majorHAnsi" w:hAnsiTheme="majorHAnsi" w:cs="Arial"/>
                <w:b/>
                <w:bCs/>
                <w:color w:val="000000"/>
              </w:rPr>
              <w:t>TOTAL</w:t>
            </w:r>
          </w:p>
        </w:tc>
        <w:tc>
          <w:tcPr>
            <w:tcW w:w="0" w:type="auto"/>
            <w:tcBorders>
              <w:top w:val="nil"/>
              <w:left w:val="nil"/>
              <w:bottom w:val="single" w:sz="4" w:space="0" w:color="auto"/>
              <w:right w:val="single" w:sz="4" w:space="0" w:color="auto"/>
            </w:tcBorders>
            <w:noWrap/>
            <w:vAlign w:val="center"/>
            <w:hideMark/>
          </w:tcPr>
          <w:p w14:paraId="4441EBC9"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73,513</w:t>
            </w:r>
          </w:p>
        </w:tc>
        <w:tc>
          <w:tcPr>
            <w:tcW w:w="0" w:type="auto"/>
            <w:tcBorders>
              <w:top w:val="nil"/>
              <w:left w:val="nil"/>
              <w:bottom w:val="single" w:sz="4" w:space="0" w:color="auto"/>
              <w:right w:val="single" w:sz="4" w:space="0" w:color="auto"/>
            </w:tcBorders>
            <w:noWrap/>
            <w:vAlign w:val="center"/>
            <w:hideMark/>
          </w:tcPr>
          <w:p w14:paraId="2FFF6366"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29.70</w:t>
            </w:r>
          </w:p>
        </w:tc>
        <w:tc>
          <w:tcPr>
            <w:tcW w:w="0" w:type="auto"/>
            <w:tcBorders>
              <w:top w:val="nil"/>
              <w:left w:val="nil"/>
              <w:bottom w:val="single" w:sz="4" w:space="0" w:color="auto"/>
              <w:right w:val="single" w:sz="4" w:space="0" w:color="auto"/>
            </w:tcBorders>
            <w:noWrap/>
            <w:vAlign w:val="center"/>
            <w:hideMark/>
          </w:tcPr>
          <w:p w14:paraId="739510AD"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21,83,336.10</w:t>
            </w:r>
          </w:p>
        </w:tc>
      </w:tr>
    </w:tbl>
    <w:p w14:paraId="790A1232" w14:textId="77777777" w:rsidR="0095419B" w:rsidRPr="0095419B" w:rsidRDefault="0095419B" w:rsidP="0095419B">
      <w:pPr>
        <w:jc w:val="both"/>
        <w:rPr>
          <w:rFonts w:asciiTheme="majorHAnsi" w:hAnsiTheme="majorHAnsi"/>
        </w:rPr>
      </w:pPr>
    </w:p>
    <w:tbl>
      <w:tblPr>
        <w:tblW w:w="0" w:type="auto"/>
        <w:tblLook w:val="04A0" w:firstRow="1" w:lastRow="0" w:firstColumn="1" w:lastColumn="0" w:noHBand="0" w:noVBand="1"/>
      </w:tblPr>
      <w:tblGrid>
        <w:gridCol w:w="1898"/>
        <w:gridCol w:w="3385"/>
        <w:gridCol w:w="1258"/>
        <w:gridCol w:w="2659"/>
      </w:tblGrid>
      <w:tr w:rsidR="0095419B" w:rsidRPr="0095419B" w14:paraId="6098854F" w14:textId="77777777" w:rsidTr="00125F60">
        <w:trPr>
          <w:trHeight w:val="290"/>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268FC02" w14:textId="77777777" w:rsidR="0095419B" w:rsidRPr="0095419B" w:rsidRDefault="0095419B" w:rsidP="000F221E">
            <w:pPr>
              <w:jc w:val="center"/>
              <w:rPr>
                <w:rFonts w:asciiTheme="majorHAnsi" w:hAnsiTheme="majorHAnsi"/>
                <w:b/>
                <w:bCs/>
                <w:color w:val="000000"/>
                <w:lang w:val="en-IN"/>
              </w:rPr>
            </w:pPr>
            <w:r w:rsidRPr="0095419B">
              <w:rPr>
                <w:rFonts w:asciiTheme="majorHAnsi" w:hAnsiTheme="majorHAnsi"/>
                <w:b/>
                <w:bCs/>
                <w:color w:val="000000"/>
              </w:rPr>
              <w:t>Estimated Monthly Cost of Scheduled Meter Reading of Non-Irrigation/Agriculture</w:t>
            </w:r>
          </w:p>
        </w:tc>
      </w:tr>
      <w:tr w:rsidR="0095419B" w:rsidRPr="0095419B" w14:paraId="4C23E5C1" w14:textId="77777777" w:rsidTr="00125F60">
        <w:trPr>
          <w:trHeight w:val="290"/>
        </w:trPr>
        <w:tc>
          <w:tcPr>
            <w:tcW w:w="0" w:type="auto"/>
            <w:tcBorders>
              <w:top w:val="nil"/>
              <w:left w:val="single" w:sz="4" w:space="0" w:color="auto"/>
              <w:bottom w:val="single" w:sz="4" w:space="0" w:color="auto"/>
              <w:right w:val="single" w:sz="4" w:space="0" w:color="auto"/>
            </w:tcBorders>
            <w:noWrap/>
            <w:vAlign w:val="center"/>
            <w:hideMark/>
          </w:tcPr>
          <w:p w14:paraId="563F0476"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CIRCLE</w:t>
            </w:r>
          </w:p>
        </w:tc>
        <w:tc>
          <w:tcPr>
            <w:tcW w:w="0" w:type="auto"/>
            <w:tcBorders>
              <w:top w:val="nil"/>
              <w:left w:val="nil"/>
              <w:bottom w:val="single" w:sz="4" w:space="0" w:color="auto"/>
              <w:right w:val="single" w:sz="4" w:space="0" w:color="auto"/>
            </w:tcBorders>
            <w:noWrap/>
            <w:vAlign w:val="center"/>
            <w:hideMark/>
          </w:tcPr>
          <w:p w14:paraId="4A9AF7C3"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No. of Consumers</w:t>
            </w:r>
          </w:p>
        </w:tc>
        <w:tc>
          <w:tcPr>
            <w:tcW w:w="0" w:type="auto"/>
            <w:tcBorders>
              <w:top w:val="nil"/>
              <w:left w:val="nil"/>
              <w:bottom w:val="single" w:sz="4" w:space="0" w:color="auto"/>
              <w:right w:val="single" w:sz="4" w:space="0" w:color="auto"/>
            </w:tcBorders>
            <w:noWrap/>
            <w:vAlign w:val="center"/>
            <w:hideMark/>
          </w:tcPr>
          <w:p w14:paraId="361FC5F6"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Rate</w:t>
            </w:r>
          </w:p>
        </w:tc>
        <w:tc>
          <w:tcPr>
            <w:tcW w:w="0" w:type="auto"/>
            <w:tcBorders>
              <w:top w:val="nil"/>
              <w:left w:val="nil"/>
              <w:bottom w:val="single" w:sz="4" w:space="0" w:color="auto"/>
              <w:right w:val="single" w:sz="4" w:space="0" w:color="auto"/>
            </w:tcBorders>
            <w:noWrap/>
            <w:vAlign w:val="center"/>
            <w:hideMark/>
          </w:tcPr>
          <w:p w14:paraId="7BFA4B33"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Cost (in Rs.)</w:t>
            </w:r>
          </w:p>
        </w:tc>
      </w:tr>
      <w:tr w:rsidR="0095419B" w:rsidRPr="0095419B" w14:paraId="29F7DA57"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1831EB44" w14:textId="5E0F20E8" w:rsidR="0095419B" w:rsidRPr="0095419B" w:rsidRDefault="00C534D8" w:rsidP="000F221E">
            <w:pPr>
              <w:jc w:val="center"/>
              <w:rPr>
                <w:rFonts w:asciiTheme="majorHAnsi" w:hAnsiTheme="majorHAnsi"/>
                <w:color w:val="000000"/>
              </w:rPr>
            </w:pPr>
            <w:r>
              <w:rPr>
                <w:rFonts w:asciiTheme="majorHAnsi" w:hAnsiTheme="majorHAnsi" w:cs="Arial"/>
                <w:color w:val="000000"/>
              </w:rPr>
              <w:t>BOLANGIR</w:t>
            </w:r>
          </w:p>
        </w:tc>
        <w:tc>
          <w:tcPr>
            <w:tcW w:w="0" w:type="auto"/>
            <w:tcBorders>
              <w:top w:val="nil"/>
              <w:left w:val="nil"/>
              <w:bottom w:val="single" w:sz="4" w:space="0" w:color="auto"/>
              <w:right w:val="single" w:sz="4" w:space="0" w:color="auto"/>
            </w:tcBorders>
            <w:noWrap/>
            <w:vAlign w:val="center"/>
            <w:hideMark/>
          </w:tcPr>
          <w:p w14:paraId="4E1B547D"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152</w:t>
            </w:r>
          </w:p>
        </w:tc>
        <w:tc>
          <w:tcPr>
            <w:tcW w:w="0" w:type="auto"/>
            <w:tcBorders>
              <w:top w:val="nil"/>
              <w:left w:val="nil"/>
              <w:bottom w:val="single" w:sz="4" w:space="0" w:color="auto"/>
              <w:right w:val="single" w:sz="4" w:space="0" w:color="auto"/>
            </w:tcBorders>
            <w:noWrap/>
            <w:vAlign w:val="center"/>
            <w:hideMark/>
          </w:tcPr>
          <w:p w14:paraId="09850F83"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38.50</w:t>
            </w:r>
          </w:p>
        </w:tc>
        <w:tc>
          <w:tcPr>
            <w:tcW w:w="0" w:type="auto"/>
            <w:tcBorders>
              <w:top w:val="nil"/>
              <w:left w:val="nil"/>
              <w:bottom w:val="single" w:sz="4" w:space="0" w:color="auto"/>
              <w:right w:val="single" w:sz="4" w:space="0" w:color="auto"/>
            </w:tcBorders>
            <w:noWrap/>
            <w:vAlign w:val="center"/>
            <w:hideMark/>
          </w:tcPr>
          <w:p w14:paraId="50B0CEBC"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5,852.00</w:t>
            </w:r>
          </w:p>
        </w:tc>
      </w:tr>
      <w:tr w:rsidR="0095419B" w:rsidRPr="0095419B" w14:paraId="76B02FA6"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247FFF7E"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BARGARH</w:t>
            </w:r>
          </w:p>
        </w:tc>
        <w:tc>
          <w:tcPr>
            <w:tcW w:w="0" w:type="auto"/>
            <w:tcBorders>
              <w:top w:val="nil"/>
              <w:left w:val="nil"/>
              <w:bottom w:val="single" w:sz="4" w:space="0" w:color="auto"/>
              <w:right w:val="single" w:sz="4" w:space="0" w:color="auto"/>
            </w:tcBorders>
            <w:noWrap/>
            <w:vAlign w:val="center"/>
            <w:hideMark/>
          </w:tcPr>
          <w:p w14:paraId="5D794DFA"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113</w:t>
            </w:r>
          </w:p>
        </w:tc>
        <w:tc>
          <w:tcPr>
            <w:tcW w:w="0" w:type="auto"/>
            <w:tcBorders>
              <w:top w:val="nil"/>
              <w:left w:val="nil"/>
              <w:bottom w:val="single" w:sz="4" w:space="0" w:color="auto"/>
              <w:right w:val="single" w:sz="4" w:space="0" w:color="auto"/>
            </w:tcBorders>
            <w:noWrap/>
            <w:vAlign w:val="center"/>
            <w:hideMark/>
          </w:tcPr>
          <w:p w14:paraId="11B15B6C"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38.50</w:t>
            </w:r>
          </w:p>
        </w:tc>
        <w:tc>
          <w:tcPr>
            <w:tcW w:w="0" w:type="auto"/>
            <w:tcBorders>
              <w:top w:val="nil"/>
              <w:left w:val="nil"/>
              <w:bottom w:val="single" w:sz="4" w:space="0" w:color="auto"/>
              <w:right w:val="single" w:sz="4" w:space="0" w:color="auto"/>
            </w:tcBorders>
            <w:noWrap/>
            <w:vAlign w:val="center"/>
            <w:hideMark/>
          </w:tcPr>
          <w:p w14:paraId="5C0CEB6A"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4,350.50</w:t>
            </w:r>
          </w:p>
        </w:tc>
      </w:tr>
      <w:tr w:rsidR="0095419B" w:rsidRPr="0095419B" w14:paraId="6985C652"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6020F3F4"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KALAHANDI</w:t>
            </w:r>
          </w:p>
        </w:tc>
        <w:tc>
          <w:tcPr>
            <w:tcW w:w="0" w:type="auto"/>
            <w:tcBorders>
              <w:top w:val="nil"/>
              <w:left w:val="nil"/>
              <w:bottom w:val="single" w:sz="4" w:space="0" w:color="auto"/>
              <w:right w:val="single" w:sz="4" w:space="0" w:color="auto"/>
            </w:tcBorders>
            <w:noWrap/>
            <w:vAlign w:val="center"/>
            <w:hideMark/>
          </w:tcPr>
          <w:p w14:paraId="6B3BD332"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71</w:t>
            </w:r>
          </w:p>
        </w:tc>
        <w:tc>
          <w:tcPr>
            <w:tcW w:w="0" w:type="auto"/>
            <w:tcBorders>
              <w:top w:val="nil"/>
              <w:left w:val="nil"/>
              <w:bottom w:val="single" w:sz="4" w:space="0" w:color="auto"/>
              <w:right w:val="single" w:sz="4" w:space="0" w:color="auto"/>
            </w:tcBorders>
            <w:noWrap/>
            <w:vAlign w:val="center"/>
            <w:hideMark/>
          </w:tcPr>
          <w:p w14:paraId="71221328"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38.50</w:t>
            </w:r>
          </w:p>
        </w:tc>
        <w:tc>
          <w:tcPr>
            <w:tcW w:w="0" w:type="auto"/>
            <w:tcBorders>
              <w:top w:val="nil"/>
              <w:left w:val="nil"/>
              <w:bottom w:val="single" w:sz="4" w:space="0" w:color="auto"/>
              <w:right w:val="single" w:sz="4" w:space="0" w:color="auto"/>
            </w:tcBorders>
            <w:noWrap/>
            <w:vAlign w:val="center"/>
            <w:hideMark/>
          </w:tcPr>
          <w:p w14:paraId="4345D83F"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2,733.50</w:t>
            </w:r>
          </w:p>
        </w:tc>
      </w:tr>
      <w:tr w:rsidR="0095419B" w:rsidRPr="0095419B" w14:paraId="70CA5EB5"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4C162509"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ROURKELA</w:t>
            </w:r>
          </w:p>
        </w:tc>
        <w:tc>
          <w:tcPr>
            <w:tcW w:w="0" w:type="auto"/>
            <w:tcBorders>
              <w:top w:val="nil"/>
              <w:left w:val="nil"/>
              <w:bottom w:val="single" w:sz="4" w:space="0" w:color="auto"/>
              <w:right w:val="single" w:sz="4" w:space="0" w:color="auto"/>
            </w:tcBorders>
            <w:noWrap/>
            <w:vAlign w:val="center"/>
            <w:hideMark/>
          </w:tcPr>
          <w:p w14:paraId="08979DAB"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78</w:t>
            </w:r>
          </w:p>
        </w:tc>
        <w:tc>
          <w:tcPr>
            <w:tcW w:w="0" w:type="auto"/>
            <w:tcBorders>
              <w:top w:val="nil"/>
              <w:left w:val="nil"/>
              <w:bottom w:val="single" w:sz="4" w:space="0" w:color="auto"/>
              <w:right w:val="single" w:sz="4" w:space="0" w:color="auto"/>
            </w:tcBorders>
            <w:noWrap/>
            <w:vAlign w:val="center"/>
            <w:hideMark/>
          </w:tcPr>
          <w:p w14:paraId="3B8862F7"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38.50</w:t>
            </w:r>
          </w:p>
        </w:tc>
        <w:tc>
          <w:tcPr>
            <w:tcW w:w="0" w:type="auto"/>
            <w:tcBorders>
              <w:top w:val="nil"/>
              <w:left w:val="nil"/>
              <w:bottom w:val="single" w:sz="4" w:space="0" w:color="auto"/>
              <w:right w:val="single" w:sz="4" w:space="0" w:color="auto"/>
            </w:tcBorders>
            <w:noWrap/>
            <w:vAlign w:val="center"/>
            <w:hideMark/>
          </w:tcPr>
          <w:p w14:paraId="7A498042"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3,003.00</w:t>
            </w:r>
          </w:p>
        </w:tc>
      </w:tr>
      <w:tr w:rsidR="0095419B" w:rsidRPr="0095419B" w14:paraId="1AF57D5E"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1EA033FA"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SAMBALPUR</w:t>
            </w:r>
          </w:p>
        </w:tc>
        <w:tc>
          <w:tcPr>
            <w:tcW w:w="0" w:type="auto"/>
            <w:tcBorders>
              <w:top w:val="nil"/>
              <w:left w:val="nil"/>
              <w:bottom w:val="single" w:sz="4" w:space="0" w:color="auto"/>
              <w:right w:val="single" w:sz="4" w:space="0" w:color="auto"/>
            </w:tcBorders>
            <w:noWrap/>
            <w:vAlign w:val="center"/>
            <w:hideMark/>
          </w:tcPr>
          <w:p w14:paraId="02F6B8CB"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163</w:t>
            </w:r>
          </w:p>
        </w:tc>
        <w:tc>
          <w:tcPr>
            <w:tcW w:w="0" w:type="auto"/>
            <w:tcBorders>
              <w:top w:val="nil"/>
              <w:left w:val="nil"/>
              <w:bottom w:val="single" w:sz="4" w:space="0" w:color="auto"/>
              <w:right w:val="single" w:sz="4" w:space="0" w:color="auto"/>
            </w:tcBorders>
            <w:noWrap/>
            <w:vAlign w:val="center"/>
            <w:hideMark/>
          </w:tcPr>
          <w:p w14:paraId="4E1BF559"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38.50</w:t>
            </w:r>
          </w:p>
        </w:tc>
        <w:tc>
          <w:tcPr>
            <w:tcW w:w="0" w:type="auto"/>
            <w:tcBorders>
              <w:top w:val="nil"/>
              <w:left w:val="nil"/>
              <w:bottom w:val="single" w:sz="4" w:space="0" w:color="auto"/>
              <w:right w:val="single" w:sz="4" w:space="0" w:color="auto"/>
            </w:tcBorders>
            <w:noWrap/>
            <w:vAlign w:val="center"/>
            <w:hideMark/>
          </w:tcPr>
          <w:p w14:paraId="21A03A9E"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6,275.50</w:t>
            </w:r>
          </w:p>
        </w:tc>
      </w:tr>
      <w:tr w:rsidR="0095419B" w:rsidRPr="0095419B" w14:paraId="1F206549"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56D73AF1" w14:textId="77777777" w:rsidR="0095419B" w:rsidRPr="0095419B" w:rsidRDefault="0095419B" w:rsidP="000F221E">
            <w:pPr>
              <w:jc w:val="center"/>
              <w:rPr>
                <w:rFonts w:asciiTheme="majorHAnsi" w:hAnsiTheme="majorHAnsi"/>
                <w:b/>
                <w:bCs/>
                <w:color w:val="000000"/>
              </w:rPr>
            </w:pPr>
            <w:r w:rsidRPr="0095419B">
              <w:rPr>
                <w:rFonts w:asciiTheme="majorHAnsi" w:hAnsiTheme="majorHAnsi" w:cs="Arial"/>
                <w:b/>
                <w:bCs/>
                <w:color w:val="000000"/>
              </w:rPr>
              <w:t>TOTAL</w:t>
            </w:r>
          </w:p>
        </w:tc>
        <w:tc>
          <w:tcPr>
            <w:tcW w:w="0" w:type="auto"/>
            <w:tcBorders>
              <w:top w:val="nil"/>
              <w:left w:val="nil"/>
              <w:bottom w:val="single" w:sz="4" w:space="0" w:color="auto"/>
              <w:right w:val="single" w:sz="4" w:space="0" w:color="auto"/>
            </w:tcBorders>
            <w:noWrap/>
            <w:vAlign w:val="center"/>
            <w:hideMark/>
          </w:tcPr>
          <w:p w14:paraId="19FD0772"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577</w:t>
            </w:r>
          </w:p>
        </w:tc>
        <w:tc>
          <w:tcPr>
            <w:tcW w:w="0" w:type="auto"/>
            <w:tcBorders>
              <w:top w:val="nil"/>
              <w:left w:val="nil"/>
              <w:bottom w:val="single" w:sz="4" w:space="0" w:color="auto"/>
              <w:right w:val="single" w:sz="4" w:space="0" w:color="auto"/>
            </w:tcBorders>
            <w:noWrap/>
            <w:vAlign w:val="center"/>
            <w:hideMark/>
          </w:tcPr>
          <w:p w14:paraId="1B13565D"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38.50</w:t>
            </w:r>
          </w:p>
        </w:tc>
        <w:tc>
          <w:tcPr>
            <w:tcW w:w="0" w:type="auto"/>
            <w:tcBorders>
              <w:top w:val="nil"/>
              <w:left w:val="nil"/>
              <w:bottom w:val="single" w:sz="4" w:space="0" w:color="auto"/>
              <w:right w:val="single" w:sz="4" w:space="0" w:color="auto"/>
            </w:tcBorders>
            <w:noWrap/>
            <w:vAlign w:val="center"/>
            <w:hideMark/>
          </w:tcPr>
          <w:p w14:paraId="4FE4FF3B"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22,214.50</w:t>
            </w:r>
          </w:p>
        </w:tc>
      </w:tr>
    </w:tbl>
    <w:p w14:paraId="38DA55BF" w14:textId="77777777" w:rsidR="0095419B" w:rsidRPr="0095419B" w:rsidRDefault="0095419B" w:rsidP="0095419B">
      <w:pPr>
        <w:jc w:val="both"/>
        <w:rPr>
          <w:rFonts w:asciiTheme="majorHAnsi" w:hAnsiTheme="majorHAnsi"/>
        </w:rPr>
      </w:pPr>
    </w:p>
    <w:tbl>
      <w:tblPr>
        <w:tblW w:w="0" w:type="auto"/>
        <w:tblLook w:val="04A0" w:firstRow="1" w:lastRow="0" w:firstColumn="1" w:lastColumn="0" w:noHBand="0" w:noVBand="1"/>
      </w:tblPr>
      <w:tblGrid>
        <w:gridCol w:w="1898"/>
        <w:gridCol w:w="3385"/>
        <w:gridCol w:w="1258"/>
        <w:gridCol w:w="2659"/>
      </w:tblGrid>
      <w:tr w:rsidR="0095419B" w:rsidRPr="0095419B" w14:paraId="5E02AEFE" w14:textId="77777777" w:rsidTr="00125F60">
        <w:trPr>
          <w:trHeight w:val="290"/>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B184B04" w14:textId="77777777" w:rsidR="0095419B" w:rsidRPr="0095419B" w:rsidRDefault="0095419B" w:rsidP="000F221E">
            <w:pPr>
              <w:jc w:val="center"/>
              <w:rPr>
                <w:rFonts w:asciiTheme="majorHAnsi" w:hAnsiTheme="majorHAnsi"/>
                <w:b/>
                <w:bCs/>
                <w:color w:val="000000"/>
                <w:lang w:val="en-IN"/>
              </w:rPr>
            </w:pPr>
            <w:r w:rsidRPr="0095419B">
              <w:rPr>
                <w:rFonts w:asciiTheme="majorHAnsi" w:hAnsiTheme="majorHAnsi"/>
                <w:b/>
                <w:bCs/>
                <w:color w:val="000000"/>
              </w:rPr>
              <w:t>Estimated Monthly Cost of Scheduled Meter Reading of Non SBM Consumers (Other Than Irrigation/Agriculture) and DT Meters</w:t>
            </w:r>
          </w:p>
        </w:tc>
      </w:tr>
      <w:tr w:rsidR="0095419B" w:rsidRPr="0095419B" w14:paraId="2930988E" w14:textId="77777777" w:rsidTr="00125F60">
        <w:trPr>
          <w:trHeight w:val="290"/>
        </w:trPr>
        <w:tc>
          <w:tcPr>
            <w:tcW w:w="0" w:type="auto"/>
            <w:tcBorders>
              <w:top w:val="nil"/>
              <w:left w:val="single" w:sz="4" w:space="0" w:color="auto"/>
              <w:bottom w:val="single" w:sz="4" w:space="0" w:color="auto"/>
              <w:right w:val="single" w:sz="4" w:space="0" w:color="auto"/>
            </w:tcBorders>
            <w:noWrap/>
            <w:vAlign w:val="center"/>
            <w:hideMark/>
          </w:tcPr>
          <w:p w14:paraId="28003E9C"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CIRCLE</w:t>
            </w:r>
          </w:p>
        </w:tc>
        <w:tc>
          <w:tcPr>
            <w:tcW w:w="0" w:type="auto"/>
            <w:tcBorders>
              <w:top w:val="nil"/>
              <w:left w:val="nil"/>
              <w:bottom w:val="single" w:sz="4" w:space="0" w:color="auto"/>
              <w:right w:val="single" w:sz="4" w:space="0" w:color="auto"/>
            </w:tcBorders>
            <w:noWrap/>
            <w:vAlign w:val="center"/>
            <w:hideMark/>
          </w:tcPr>
          <w:p w14:paraId="2C6EB593"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No. of Consumers</w:t>
            </w:r>
          </w:p>
        </w:tc>
        <w:tc>
          <w:tcPr>
            <w:tcW w:w="0" w:type="auto"/>
            <w:tcBorders>
              <w:top w:val="nil"/>
              <w:left w:val="nil"/>
              <w:bottom w:val="single" w:sz="4" w:space="0" w:color="auto"/>
              <w:right w:val="single" w:sz="4" w:space="0" w:color="auto"/>
            </w:tcBorders>
            <w:noWrap/>
            <w:vAlign w:val="center"/>
            <w:hideMark/>
          </w:tcPr>
          <w:p w14:paraId="2E388625"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Rate</w:t>
            </w:r>
          </w:p>
        </w:tc>
        <w:tc>
          <w:tcPr>
            <w:tcW w:w="0" w:type="auto"/>
            <w:tcBorders>
              <w:top w:val="nil"/>
              <w:left w:val="nil"/>
              <w:bottom w:val="single" w:sz="4" w:space="0" w:color="auto"/>
              <w:right w:val="single" w:sz="4" w:space="0" w:color="auto"/>
            </w:tcBorders>
            <w:noWrap/>
            <w:vAlign w:val="center"/>
            <w:hideMark/>
          </w:tcPr>
          <w:p w14:paraId="497F06B1"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Cost (in Rs.)</w:t>
            </w:r>
          </w:p>
        </w:tc>
      </w:tr>
      <w:tr w:rsidR="0095419B" w:rsidRPr="0095419B" w14:paraId="37B05054"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48595AC6" w14:textId="72772FBD" w:rsidR="0095419B" w:rsidRPr="0095419B" w:rsidRDefault="00C534D8" w:rsidP="000F221E">
            <w:pPr>
              <w:jc w:val="center"/>
              <w:rPr>
                <w:rFonts w:asciiTheme="majorHAnsi" w:hAnsiTheme="majorHAnsi"/>
                <w:color w:val="000000"/>
              </w:rPr>
            </w:pPr>
            <w:r>
              <w:rPr>
                <w:rFonts w:asciiTheme="majorHAnsi" w:hAnsiTheme="majorHAnsi" w:cs="Arial"/>
                <w:color w:val="000000"/>
              </w:rPr>
              <w:t>BOLANGIR</w:t>
            </w:r>
          </w:p>
        </w:tc>
        <w:tc>
          <w:tcPr>
            <w:tcW w:w="0" w:type="auto"/>
            <w:tcBorders>
              <w:top w:val="nil"/>
              <w:left w:val="nil"/>
              <w:bottom w:val="single" w:sz="4" w:space="0" w:color="auto"/>
              <w:right w:val="single" w:sz="4" w:space="0" w:color="auto"/>
            </w:tcBorders>
            <w:noWrap/>
            <w:vAlign w:val="center"/>
            <w:hideMark/>
          </w:tcPr>
          <w:p w14:paraId="26FC39F2"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2,175</w:t>
            </w:r>
          </w:p>
        </w:tc>
        <w:tc>
          <w:tcPr>
            <w:tcW w:w="0" w:type="auto"/>
            <w:tcBorders>
              <w:top w:val="nil"/>
              <w:left w:val="nil"/>
              <w:bottom w:val="single" w:sz="4" w:space="0" w:color="auto"/>
              <w:right w:val="single" w:sz="4" w:space="0" w:color="auto"/>
            </w:tcBorders>
            <w:noWrap/>
            <w:vAlign w:val="center"/>
            <w:hideMark/>
          </w:tcPr>
          <w:p w14:paraId="3547AE7D"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38.50</w:t>
            </w:r>
          </w:p>
        </w:tc>
        <w:tc>
          <w:tcPr>
            <w:tcW w:w="0" w:type="auto"/>
            <w:tcBorders>
              <w:top w:val="nil"/>
              <w:left w:val="nil"/>
              <w:bottom w:val="single" w:sz="4" w:space="0" w:color="auto"/>
              <w:right w:val="single" w:sz="4" w:space="0" w:color="auto"/>
            </w:tcBorders>
            <w:noWrap/>
            <w:vAlign w:val="center"/>
            <w:hideMark/>
          </w:tcPr>
          <w:p w14:paraId="19FDC662"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83,737.50</w:t>
            </w:r>
          </w:p>
        </w:tc>
      </w:tr>
      <w:tr w:rsidR="0095419B" w:rsidRPr="0095419B" w14:paraId="462D8FC1"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02067F3C"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BARGARH</w:t>
            </w:r>
          </w:p>
        </w:tc>
        <w:tc>
          <w:tcPr>
            <w:tcW w:w="0" w:type="auto"/>
            <w:tcBorders>
              <w:top w:val="nil"/>
              <w:left w:val="nil"/>
              <w:bottom w:val="single" w:sz="4" w:space="0" w:color="auto"/>
              <w:right w:val="single" w:sz="4" w:space="0" w:color="auto"/>
            </w:tcBorders>
            <w:noWrap/>
            <w:vAlign w:val="center"/>
            <w:hideMark/>
          </w:tcPr>
          <w:p w14:paraId="4E4BD6AB"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1,281</w:t>
            </w:r>
          </w:p>
        </w:tc>
        <w:tc>
          <w:tcPr>
            <w:tcW w:w="0" w:type="auto"/>
            <w:tcBorders>
              <w:top w:val="nil"/>
              <w:left w:val="nil"/>
              <w:bottom w:val="single" w:sz="4" w:space="0" w:color="auto"/>
              <w:right w:val="single" w:sz="4" w:space="0" w:color="auto"/>
            </w:tcBorders>
            <w:noWrap/>
            <w:vAlign w:val="center"/>
            <w:hideMark/>
          </w:tcPr>
          <w:p w14:paraId="4E774EF7"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38.50</w:t>
            </w:r>
          </w:p>
        </w:tc>
        <w:tc>
          <w:tcPr>
            <w:tcW w:w="0" w:type="auto"/>
            <w:tcBorders>
              <w:top w:val="nil"/>
              <w:left w:val="nil"/>
              <w:bottom w:val="single" w:sz="4" w:space="0" w:color="auto"/>
              <w:right w:val="single" w:sz="4" w:space="0" w:color="auto"/>
            </w:tcBorders>
            <w:noWrap/>
            <w:vAlign w:val="center"/>
            <w:hideMark/>
          </w:tcPr>
          <w:p w14:paraId="521D3957"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49,318.50</w:t>
            </w:r>
          </w:p>
        </w:tc>
      </w:tr>
      <w:tr w:rsidR="0095419B" w:rsidRPr="0095419B" w14:paraId="12AB7D66"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5CF0AE16"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KALAHANDI</w:t>
            </w:r>
          </w:p>
        </w:tc>
        <w:tc>
          <w:tcPr>
            <w:tcW w:w="0" w:type="auto"/>
            <w:tcBorders>
              <w:top w:val="nil"/>
              <w:left w:val="nil"/>
              <w:bottom w:val="single" w:sz="4" w:space="0" w:color="auto"/>
              <w:right w:val="single" w:sz="4" w:space="0" w:color="auto"/>
            </w:tcBorders>
            <w:noWrap/>
            <w:vAlign w:val="center"/>
            <w:hideMark/>
          </w:tcPr>
          <w:p w14:paraId="18536D11"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1,496</w:t>
            </w:r>
          </w:p>
        </w:tc>
        <w:tc>
          <w:tcPr>
            <w:tcW w:w="0" w:type="auto"/>
            <w:tcBorders>
              <w:top w:val="nil"/>
              <w:left w:val="nil"/>
              <w:bottom w:val="single" w:sz="4" w:space="0" w:color="auto"/>
              <w:right w:val="single" w:sz="4" w:space="0" w:color="auto"/>
            </w:tcBorders>
            <w:noWrap/>
            <w:vAlign w:val="center"/>
            <w:hideMark/>
          </w:tcPr>
          <w:p w14:paraId="538BEE4E"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38.50</w:t>
            </w:r>
          </w:p>
        </w:tc>
        <w:tc>
          <w:tcPr>
            <w:tcW w:w="0" w:type="auto"/>
            <w:tcBorders>
              <w:top w:val="nil"/>
              <w:left w:val="nil"/>
              <w:bottom w:val="single" w:sz="4" w:space="0" w:color="auto"/>
              <w:right w:val="single" w:sz="4" w:space="0" w:color="auto"/>
            </w:tcBorders>
            <w:noWrap/>
            <w:vAlign w:val="center"/>
            <w:hideMark/>
          </w:tcPr>
          <w:p w14:paraId="3A420AF7"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57,596.00</w:t>
            </w:r>
          </w:p>
        </w:tc>
      </w:tr>
      <w:tr w:rsidR="0095419B" w:rsidRPr="0095419B" w14:paraId="2B76B2E2"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57F67976"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ROURKELA</w:t>
            </w:r>
          </w:p>
        </w:tc>
        <w:tc>
          <w:tcPr>
            <w:tcW w:w="0" w:type="auto"/>
            <w:tcBorders>
              <w:top w:val="nil"/>
              <w:left w:val="nil"/>
              <w:bottom w:val="single" w:sz="4" w:space="0" w:color="auto"/>
              <w:right w:val="single" w:sz="4" w:space="0" w:color="auto"/>
            </w:tcBorders>
            <w:noWrap/>
            <w:vAlign w:val="center"/>
            <w:hideMark/>
          </w:tcPr>
          <w:p w14:paraId="259E81AE"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1,957</w:t>
            </w:r>
          </w:p>
        </w:tc>
        <w:tc>
          <w:tcPr>
            <w:tcW w:w="0" w:type="auto"/>
            <w:tcBorders>
              <w:top w:val="nil"/>
              <w:left w:val="nil"/>
              <w:bottom w:val="single" w:sz="4" w:space="0" w:color="auto"/>
              <w:right w:val="single" w:sz="4" w:space="0" w:color="auto"/>
            </w:tcBorders>
            <w:noWrap/>
            <w:vAlign w:val="center"/>
            <w:hideMark/>
          </w:tcPr>
          <w:p w14:paraId="4CE1B392"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38.50</w:t>
            </w:r>
          </w:p>
        </w:tc>
        <w:tc>
          <w:tcPr>
            <w:tcW w:w="0" w:type="auto"/>
            <w:tcBorders>
              <w:top w:val="nil"/>
              <w:left w:val="nil"/>
              <w:bottom w:val="single" w:sz="4" w:space="0" w:color="auto"/>
              <w:right w:val="single" w:sz="4" w:space="0" w:color="auto"/>
            </w:tcBorders>
            <w:noWrap/>
            <w:vAlign w:val="center"/>
            <w:hideMark/>
          </w:tcPr>
          <w:p w14:paraId="09B2CD32"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75,344.50</w:t>
            </w:r>
          </w:p>
        </w:tc>
      </w:tr>
      <w:tr w:rsidR="0095419B" w:rsidRPr="0095419B" w14:paraId="7AF6DE48"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03B95907"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SAMBALPUR</w:t>
            </w:r>
          </w:p>
        </w:tc>
        <w:tc>
          <w:tcPr>
            <w:tcW w:w="0" w:type="auto"/>
            <w:tcBorders>
              <w:top w:val="nil"/>
              <w:left w:val="nil"/>
              <w:bottom w:val="single" w:sz="4" w:space="0" w:color="auto"/>
              <w:right w:val="single" w:sz="4" w:space="0" w:color="auto"/>
            </w:tcBorders>
            <w:noWrap/>
            <w:vAlign w:val="center"/>
            <w:hideMark/>
          </w:tcPr>
          <w:p w14:paraId="78991B9C"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4,381</w:t>
            </w:r>
          </w:p>
        </w:tc>
        <w:tc>
          <w:tcPr>
            <w:tcW w:w="0" w:type="auto"/>
            <w:tcBorders>
              <w:top w:val="nil"/>
              <w:left w:val="nil"/>
              <w:bottom w:val="single" w:sz="4" w:space="0" w:color="auto"/>
              <w:right w:val="single" w:sz="4" w:space="0" w:color="auto"/>
            </w:tcBorders>
            <w:noWrap/>
            <w:vAlign w:val="center"/>
            <w:hideMark/>
          </w:tcPr>
          <w:p w14:paraId="24C5271C"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38.50</w:t>
            </w:r>
          </w:p>
        </w:tc>
        <w:tc>
          <w:tcPr>
            <w:tcW w:w="0" w:type="auto"/>
            <w:tcBorders>
              <w:top w:val="nil"/>
              <w:left w:val="nil"/>
              <w:bottom w:val="single" w:sz="4" w:space="0" w:color="auto"/>
              <w:right w:val="single" w:sz="4" w:space="0" w:color="auto"/>
            </w:tcBorders>
            <w:noWrap/>
            <w:vAlign w:val="center"/>
            <w:hideMark/>
          </w:tcPr>
          <w:p w14:paraId="3A7A2554"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1,68,668.50</w:t>
            </w:r>
          </w:p>
        </w:tc>
      </w:tr>
      <w:tr w:rsidR="0095419B" w:rsidRPr="0095419B" w14:paraId="21756D2F"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6BBA5708" w14:textId="77777777" w:rsidR="0095419B" w:rsidRPr="0095419B" w:rsidRDefault="0095419B" w:rsidP="000F221E">
            <w:pPr>
              <w:jc w:val="center"/>
              <w:rPr>
                <w:rFonts w:asciiTheme="majorHAnsi" w:hAnsiTheme="majorHAnsi"/>
                <w:b/>
                <w:bCs/>
                <w:color w:val="000000"/>
              </w:rPr>
            </w:pPr>
            <w:r w:rsidRPr="0095419B">
              <w:rPr>
                <w:rFonts w:asciiTheme="majorHAnsi" w:hAnsiTheme="majorHAnsi" w:cs="Arial"/>
                <w:b/>
                <w:bCs/>
                <w:color w:val="000000"/>
              </w:rPr>
              <w:t>TOTAL</w:t>
            </w:r>
          </w:p>
        </w:tc>
        <w:tc>
          <w:tcPr>
            <w:tcW w:w="0" w:type="auto"/>
            <w:tcBorders>
              <w:top w:val="nil"/>
              <w:left w:val="nil"/>
              <w:bottom w:val="single" w:sz="4" w:space="0" w:color="auto"/>
              <w:right w:val="single" w:sz="4" w:space="0" w:color="auto"/>
            </w:tcBorders>
            <w:noWrap/>
            <w:vAlign w:val="center"/>
            <w:hideMark/>
          </w:tcPr>
          <w:p w14:paraId="66A9B6E1"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11,290</w:t>
            </w:r>
          </w:p>
        </w:tc>
        <w:tc>
          <w:tcPr>
            <w:tcW w:w="0" w:type="auto"/>
            <w:tcBorders>
              <w:top w:val="nil"/>
              <w:left w:val="nil"/>
              <w:bottom w:val="single" w:sz="4" w:space="0" w:color="auto"/>
              <w:right w:val="single" w:sz="4" w:space="0" w:color="auto"/>
            </w:tcBorders>
            <w:noWrap/>
            <w:vAlign w:val="center"/>
            <w:hideMark/>
          </w:tcPr>
          <w:p w14:paraId="17D9C203"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38.50</w:t>
            </w:r>
          </w:p>
        </w:tc>
        <w:tc>
          <w:tcPr>
            <w:tcW w:w="0" w:type="auto"/>
            <w:tcBorders>
              <w:top w:val="nil"/>
              <w:left w:val="nil"/>
              <w:bottom w:val="single" w:sz="4" w:space="0" w:color="auto"/>
              <w:right w:val="single" w:sz="4" w:space="0" w:color="auto"/>
            </w:tcBorders>
            <w:noWrap/>
            <w:vAlign w:val="center"/>
            <w:hideMark/>
          </w:tcPr>
          <w:p w14:paraId="17F4B2A0"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4,34,665.00</w:t>
            </w:r>
          </w:p>
        </w:tc>
      </w:tr>
    </w:tbl>
    <w:p w14:paraId="30EA5B5F" w14:textId="77777777" w:rsidR="0095419B" w:rsidRPr="0095419B" w:rsidRDefault="0095419B" w:rsidP="0095419B">
      <w:pPr>
        <w:jc w:val="both"/>
        <w:rPr>
          <w:rFonts w:asciiTheme="majorHAnsi" w:hAnsiTheme="majorHAnsi"/>
        </w:rPr>
      </w:pPr>
    </w:p>
    <w:tbl>
      <w:tblPr>
        <w:tblW w:w="0" w:type="auto"/>
        <w:tblLook w:val="04A0" w:firstRow="1" w:lastRow="0" w:firstColumn="1" w:lastColumn="0" w:noHBand="0" w:noVBand="1"/>
      </w:tblPr>
      <w:tblGrid>
        <w:gridCol w:w="1898"/>
        <w:gridCol w:w="3385"/>
        <w:gridCol w:w="1258"/>
        <w:gridCol w:w="2659"/>
      </w:tblGrid>
      <w:tr w:rsidR="0095419B" w:rsidRPr="0095419B" w14:paraId="4BB07C01" w14:textId="77777777" w:rsidTr="00125F60">
        <w:trPr>
          <w:trHeight w:val="290"/>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9C0274D" w14:textId="77777777" w:rsidR="0095419B" w:rsidRPr="0095419B" w:rsidRDefault="0095419B" w:rsidP="000F221E">
            <w:pPr>
              <w:jc w:val="center"/>
              <w:rPr>
                <w:rFonts w:asciiTheme="majorHAnsi" w:hAnsiTheme="majorHAnsi"/>
                <w:b/>
                <w:bCs/>
                <w:color w:val="000000"/>
                <w:lang w:val="en-IN"/>
              </w:rPr>
            </w:pPr>
            <w:r w:rsidRPr="0095419B">
              <w:rPr>
                <w:rFonts w:asciiTheme="majorHAnsi" w:hAnsiTheme="majorHAnsi"/>
                <w:b/>
                <w:bCs/>
                <w:color w:val="000000"/>
              </w:rPr>
              <w:t xml:space="preserve">Estimated Monthly Cost of </w:t>
            </w:r>
            <w:proofErr w:type="spellStart"/>
            <w:r w:rsidRPr="0095419B">
              <w:rPr>
                <w:rFonts w:asciiTheme="majorHAnsi" w:hAnsiTheme="majorHAnsi"/>
                <w:b/>
                <w:bCs/>
                <w:color w:val="000000"/>
              </w:rPr>
              <w:t>Colour</w:t>
            </w:r>
            <w:proofErr w:type="spellEnd"/>
            <w:r w:rsidRPr="0095419B">
              <w:rPr>
                <w:rFonts w:asciiTheme="majorHAnsi" w:hAnsiTheme="majorHAnsi"/>
                <w:b/>
                <w:bCs/>
                <w:color w:val="000000"/>
              </w:rPr>
              <w:t xml:space="preserve"> Bill Printing per consumer (Qty may vary based on Disconnection Notices to be printed)</w:t>
            </w:r>
          </w:p>
        </w:tc>
      </w:tr>
      <w:tr w:rsidR="0095419B" w:rsidRPr="0095419B" w14:paraId="7DCD520C" w14:textId="77777777" w:rsidTr="00125F60">
        <w:trPr>
          <w:trHeight w:val="290"/>
        </w:trPr>
        <w:tc>
          <w:tcPr>
            <w:tcW w:w="0" w:type="auto"/>
            <w:tcBorders>
              <w:top w:val="nil"/>
              <w:left w:val="single" w:sz="4" w:space="0" w:color="auto"/>
              <w:bottom w:val="single" w:sz="4" w:space="0" w:color="auto"/>
              <w:right w:val="single" w:sz="4" w:space="0" w:color="auto"/>
            </w:tcBorders>
            <w:noWrap/>
            <w:vAlign w:val="center"/>
            <w:hideMark/>
          </w:tcPr>
          <w:p w14:paraId="4C9213B2"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CIRCLE</w:t>
            </w:r>
          </w:p>
        </w:tc>
        <w:tc>
          <w:tcPr>
            <w:tcW w:w="0" w:type="auto"/>
            <w:tcBorders>
              <w:top w:val="nil"/>
              <w:left w:val="nil"/>
              <w:bottom w:val="single" w:sz="4" w:space="0" w:color="auto"/>
              <w:right w:val="single" w:sz="4" w:space="0" w:color="auto"/>
            </w:tcBorders>
            <w:noWrap/>
            <w:vAlign w:val="center"/>
            <w:hideMark/>
          </w:tcPr>
          <w:p w14:paraId="1B0A6BA2"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No. of Consumers</w:t>
            </w:r>
          </w:p>
        </w:tc>
        <w:tc>
          <w:tcPr>
            <w:tcW w:w="0" w:type="auto"/>
            <w:tcBorders>
              <w:top w:val="nil"/>
              <w:left w:val="nil"/>
              <w:bottom w:val="single" w:sz="4" w:space="0" w:color="auto"/>
              <w:right w:val="single" w:sz="4" w:space="0" w:color="auto"/>
            </w:tcBorders>
            <w:noWrap/>
            <w:vAlign w:val="center"/>
            <w:hideMark/>
          </w:tcPr>
          <w:p w14:paraId="79CFE2C4"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Rate</w:t>
            </w:r>
          </w:p>
        </w:tc>
        <w:tc>
          <w:tcPr>
            <w:tcW w:w="0" w:type="auto"/>
            <w:tcBorders>
              <w:top w:val="nil"/>
              <w:left w:val="nil"/>
              <w:bottom w:val="single" w:sz="4" w:space="0" w:color="auto"/>
              <w:right w:val="single" w:sz="4" w:space="0" w:color="auto"/>
            </w:tcBorders>
            <w:noWrap/>
            <w:vAlign w:val="center"/>
            <w:hideMark/>
          </w:tcPr>
          <w:p w14:paraId="373B6CE5"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Cost (in Rs.)</w:t>
            </w:r>
          </w:p>
        </w:tc>
      </w:tr>
      <w:tr w:rsidR="0095419B" w:rsidRPr="0095419B" w14:paraId="125DAA17"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48D193CA" w14:textId="09D19EF7" w:rsidR="0095419B" w:rsidRPr="0095419B" w:rsidRDefault="00C534D8" w:rsidP="000F221E">
            <w:pPr>
              <w:jc w:val="center"/>
              <w:rPr>
                <w:rFonts w:asciiTheme="majorHAnsi" w:hAnsiTheme="majorHAnsi"/>
                <w:color w:val="000000"/>
              </w:rPr>
            </w:pPr>
            <w:r>
              <w:rPr>
                <w:rFonts w:asciiTheme="majorHAnsi" w:hAnsiTheme="majorHAnsi" w:cs="Arial"/>
                <w:color w:val="000000"/>
              </w:rPr>
              <w:t>BOLANGIR</w:t>
            </w:r>
          </w:p>
        </w:tc>
        <w:tc>
          <w:tcPr>
            <w:tcW w:w="0" w:type="auto"/>
            <w:tcBorders>
              <w:top w:val="nil"/>
              <w:left w:val="nil"/>
              <w:bottom w:val="single" w:sz="4" w:space="0" w:color="auto"/>
              <w:right w:val="single" w:sz="4" w:space="0" w:color="auto"/>
            </w:tcBorders>
            <w:noWrap/>
            <w:vAlign w:val="center"/>
            <w:hideMark/>
          </w:tcPr>
          <w:p w14:paraId="2B1F88EC"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8,991</w:t>
            </w:r>
          </w:p>
        </w:tc>
        <w:tc>
          <w:tcPr>
            <w:tcW w:w="0" w:type="auto"/>
            <w:tcBorders>
              <w:top w:val="nil"/>
              <w:left w:val="nil"/>
              <w:bottom w:val="single" w:sz="4" w:space="0" w:color="auto"/>
              <w:right w:val="single" w:sz="4" w:space="0" w:color="auto"/>
            </w:tcBorders>
            <w:noWrap/>
            <w:vAlign w:val="center"/>
            <w:hideMark/>
          </w:tcPr>
          <w:p w14:paraId="73D485B8"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11.00</w:t>
            </w:r>
          </w:p>
        </w:tc>
        <w:tc>
          <w:tcPr>
            <w:tcW w:w="0" w:type="auto"/>
            <w:tcBorders>
              <w:top w:val="nil"/>
              <w:left w:val="nil"/>
              <w:bottom w:val="single" w:sz="4" w:space="0" w:color="auto"/>
              <w:right w:val="single" w:sz="4" w:space="0" w:color="auto"/>
            </w:tcBorders>
            <w:noWrap/>
            <w:vAlign w:val="center"/>
            <w:hideMark/>
          </w:tcPr>
          <w:p w14:paraId="3B1AE8B1"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98,901.00</w:t>
            </w:r>
          </w:p>
        </w:tc>
      </w:tr>
      <w:tr w:rsidR="0095419B" w:rsidRPr="0095419B" w14:paraId="6C65D9F9"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2E52FB64"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BARGARH</w:t>
            </w:r>
          </w:p>
        </w:tc>
        <w:tc>
          <w:tcPr>
            <w:tcW w:w="0" w:type="auto"/>
            <w:tcBorders>
              <w:top w:val="nil"/>
              <w:left w:val="nil"/>
              <w:bottom w:val="single" w:sz="4" w:space="0" w:color="auto"/>
              <w:right w:val="single" w:sz="4" w:space="0" w:color="auto"/>
            </w:tcBorders>
            <w:noWrap/>
            <w:vAlign w:val="center"/>
            <w:hideMark/>
          </w:tcPr>
          <w:p w14:paraId="4082E64C"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6,461</w:t>
            </w:r>
          </w:p>
        </w:tc>
        <w:tc>
          <w:tcPr>
            <w:tcW w:w="0" w:type="auto"/>
            <w:tcBorders>
              <w:top w:val="nil"/>
              <w:left w:val="nil"/>
              <w:bottom w:val="single" w:sz="4" w:space="0" w:color="auto"/>
              <w:right w:val="single" w:sz="4" w:space="0" w:color="auto"/>
            </w:tcBorders>
            <w:noWrap/>
            <w:vAlign w:val="center"/>
            <w:hideMark/>
          </w:tcPr>
          <w:p w14:paraId="78C9C992"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11.00</w:t>
            </w:r>
          </w:p>
        </w:tc>
        <w:tc>
          <w:tcPr>
            <w:tcW w:w="0" w:type="auto"/>
            <w:tcBorders>
              <w:top w:val="nil"/>
              <w:left w:val="nil"/>
              <w:bottom w:val="single" w:sz="4" w:space="0" w:color="auto"/>
              <w:right w:val="single" w:sz="4" w:space="0" w:color="auto"/>
            </w:tcBorders>
            <w:noWrap/>
            <w:vAlign w:val="center"/>
            <w:hideMark/>
          </w:tcPr>
          <w:p w14:paraId="7046EFAE"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71,071.00</w:t>
            </w:r>
          </w:p>
        </w:tc>
      </w:tr>
      <w:tr w:rsidR="0095419B" w:rsidRPr="0095419B" w14:paraId="2A91E23E"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1A6817BA"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KALAHANDI</w:t>
            </w:r>
          </w:p>
        </w:tc>
        <w:tc>
          <w:tcPr>
            <w:tcW w:w="0" w:type="auto"/>
            <w:tcBorders>
              <w:top w:val="nil"/>
              <w:left w:val="nil"/>
              <w:bottom w:val="single" w:sz="4" w:space="0" w:color="auto"/>
              <w:right w:val="single" w:sz="4" w:space="0" w:color="auto"/>
            </w:tcBorders>
            <w:noWrap/>
            <w:vAlign w:val="center"/>
            <w:hideMark/>
          </w:tcPr>
          <w:p w14:paraId="2662EE33"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6,926</w:t>
            </w:r>
          </w:p>
        </w:tc>
        <w:tc>
          <w:tcPr>
            <w:tcW w:w="0" w:type="auto"/>
            <w:tcBorders>
              <w:top w:val="nil"/>
              <w:left w:val="nil"/>
              <w:bottom w:val="single" w:sz="4" w:space="0" w:color="auto"/>
              <w:right w:val="single" w:sz="4" w:space="0" w:color="auto"/>
            </w:tcBorders>
            <w:noWrap/>
            <w:vAlign w:val="center"/>
            <w:hideMark/>
          </w:tcPr>
          <w:p w14:paraId="3C58D3C6"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11.00</w:t>
            </w:r>
          </w:p>
        </w:tc>
        <w:tc>
          <w:tcPr>
            <w:tcW w:w="0" w:type="auto"/>
            <w:tcBorders>
              <w:top w:val="nil"/>
              <w:left w:val="nil"/>
              <w:bottom w:val="single" w:sz="4" w:space="0" w:color="auto"/>
              <w:right w:val="single" w:sz="4" w:space="0" w:color="auto"/>
            </w:tcBorders>
            <w:noWrap/>
            <w:vAlign w:val="center"/>
            <w:hideMark/>
          </w:tcPr>
          <w:p w14:paraId="36C12414"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76,186.00</w:t>
            </w:r>
          </w:p>
        </w:tc>
      </w:tr>
      <w:tr w:rsidR="0095419B" w:rsidRPr="0095419B" w14:paraId="72054582"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39A1293C"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ROURKELA</w:t>
            </w:r>
          </w:p>
        </w:tc>
        <w:tc>
          <w:tcPr>
            <w:tcW w:w="0" w:type="auto"/>
            <w:tcBorders>
              <w:top w:val="nil"/>
              <w:left w:val="nil"/>
              <w:bottom w:val="single" w:sz="4" w:space="0" w:color="auto"/>
              <w:right w:val="single" w:sz="4" w:space="0" w:color="auto"/>
            </w:tcBorders>
            <w:noWrap/>
            <w:vAlign w:val="center"/>
            <w:hideMark/>
          </w:tcPr>
          <w:p w14:paraId="76B7ABED"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10,286</w:t>
            </w:r>
          </w:p>
        </w:tc>
        <w:tc>
          <w:tcPr>
            <w:tcW w:w="0" w:type="auto"/>
            <w:tcBorders>
              <w:top w:val="nil"/>
              <w:left w:val="nil"/>
              <w:bottom w:val="single" w:sz="4" w:space="0" w:color="auto"/>
              <w:right w:val="single" w:sz="4" w:space="0" w:color="auto"/>
            </w:tcBorders>
            <w:noWrap/>
            <w:vAlign w:val="center"/>
            <w:hideMark/>
          </w:tcPr>
          <w:p w14:paraId="7F4B87B9"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11.00</w:t>
            </w:r>
          </w:p>
        </w:tc>
        <w:tc>
          <w:tcPr>
            <w:tcW w:w="0" w:type="auto"/>
            <w:tcBorders>
              <w:top w:val="nil"/>
              <w:left w:val="nil"/>
              <w:bottom w:val="single" w:sz="4" w:space="0" w:color="auto"/>
              <w:right w:val="single" w:sz="4" w:space="0" w:color="auto"/>
            </w:tcBorders>
            <w:noWrap/>
            <w:vAlign w:val="center"/>
            <w:hideMark/>
          </w:tcPr>
          <w:p w14:paraId="0FA2C251"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1,13,146.00</w:t>
            </w:r>
          </w:p>
        </w:tc>
      </w:tr>
      <w:tr w:rsidR="0095419B" w:rsidRPr="0095419B" w14:paraId="0194657E"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4F48933F"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SAMBALPUR</w:t>
            </w:r>
          </w:p>
        </w:tc>
        <w:tc>
          <w:tcPr>
            <w:tcW w:w="0" w:type="auto"/>
            <w:tcBorders>
              <w:top w:val="nil"/>
              <w:left w:val="nil"/>
              <w:bottom w:val="single" w:sz="4" w:space="0" w:color="auto"/>
              <w:right w:val="single" w:sz="4" w:space="0" w:color="auto"/>
            </w:tcBorders>
            <w:noWrap/>
            <w:vAlign w:val="center"/>
            <w:hideMark/>
          </w:tcPr>
          <w:p w14:paraId="2E45BE04"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16,357</w:t>
            </w:r>
          </w:p>
        </w:tc>
        <w:tc>
          <w:tcPr>
            <w:tcW w:w="0" w:type="auto"/>
            <w:tcBorders>
              <w:top w:val="nil"/>
              <w:left w:val="nil"/>
              <w:bottom w:val="single" w:sz="4" w:space="0" w:color="auto"/>
              <w:right w:val="single" w:sz="4" w:space="0" w:color="auto"/>
            </w:tcBorders>
            <w:noWrap/>
            <w:vAlign w:val="center"/>
            <w:hideMark/>
          </w:tcPr>
          <w:p w14:paraId="44976908"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11.00</w:t>
            </w:r>
          </w:p>
        </w:tc>
        <w:tc>
          <w:tcPr>
            <w:tcW w:w="0" w:type="auto"/>
            <w:tcBorders>
              <w:top w:val="nil"/>
              <w:left w:val="nil"/>
              <w:bottom w:val="single" w:sz="4" w:space="0" w:color="auto"/>
              <w:right w:val="single" w:sz="4" w:space="0" w:color="auto"/>
            </w:tcBorders>
            <w:noWrap/>
            <w:vAlign w:val="center"/>
            <w:hideMark/>
          </w:tcPr>
          <w:p w14:paraId="7FA53FFA"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1,79,927.00</w:t>
            </w:r>
          </w:p>
        </w:tc>
      </w:tr>
      <w:tr w:rsidR="0095419B" w:rsidRPr="0095419B" w14:paraId="603B9F65"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35063611" w14:textId="77777777" w:rsidR="0095419B" w:rsidRPr="0095419B" w:rsidRDefault="0095419B" w:rsidP="000F221E">
            <w:pPr>
              <w:jc w:val="center"/>
              <w:rPr>
                <w:rFonts w:asciiTheme="majorHAnsi" w:hAnsiTheme="majorHAnsi"/>
                <w:b/>
                <w:bCs/>
                <w:color w:val="000000"/>
              </w:rPr>
            </w:pPr>
            <w:r w:rsidRPr="0095419B">
              <w:rPr>
                <w:rFonts w:asciiTheme="majorHAnsi" w:hAnsiTheme="majorHAnsi" w:cs="Arial"/>
                <w:b/>
                <w:bCs/>
                <w:color w:val="000000"/>
              </w:rPr>
              <w:t>TOTAL</w:t>
            </w:r>
          </w:p>
        </w:tc>
        <w:tc>
          <w:tcPr>
            <w:tcW w:w="0" w:type="auto"/>
            <w:tcBorders>
              <w:top w:val="nil"/>
              <w:left w:val="nil"/>
              <w:bottom w:val="single" w:sz="4" w:space="0" w:color="auto"/>
              <w:right w:val="single" w:sz="4" w:space="0" w:color="auto"/>
            </w:tcBorders>
            <w:noWrap/>
            <w:vAlign w:val="center"/>
            <w:hideMark/>
          </w:tcPr>
          <w:p w14:paraId="4A54F2DB"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49,021</w:t>
            </w:r>
          </w:p>
        </w:tc>
        <w:tc>
          <w:tcPr>
            <w:tcW w:w="0" w:type="auto"/>
            <w:tcBorders>
              <w:top w:val="nil"/>
              <w:left w:val="nil"/>
              <w:bottom w:val="single" w:sz="4" w:space="0" w:color="auto"/>
              <w:right w:val="single" w:sz="4" w:space="0" w:color="auto"/>
            </w:tcBorders>
            <w:noWrap/>
            <w:vAlign w:val="center"/>
            <w:hideMark/>
          </w:tcPr>
          <w:p w14:paraId="37F5A83E"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11.00</w:t>
            </w:r>
          </w:p>
        </w:tc>
        <w:tc>
          <w:tcPr>
            <w:tcW w:w="0" w:type="auto"/>
            <w:tcBorders>
              <w:top w:val="nil"/>
              <w:left w:val="nil"/>
              <w:bottom w:val="single" w:sz="4" w:space="0" w:color="auto"/>
              <w:right w:val="single" w:sz="4" w:space="0" w:color="auto"/>
            </w:tcBorders>
            <w:noWrap/>
            <w:vAlign w:val="center"/>
            <w:hideMark/>
          </w:tcPr>
          <w:p w14:paraId="66442B3D"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5,39,231.00</w:t>
            </w:r>
          </w:p>
        </w:tc>
      </w:tr>
    </w:tbl>
    <w:p w14:paraId="6A5ED688" w14:textId="69D6064C" w:rsidR="0095419B" w:rsidRDefault="0095419B" w:rsidP="0095419B">
      <w:pPr>
        <w:spacing w:line="240" w:lineRule="atLeast"/>
        <w:rPr>
          <w:rFonts w:asciiTheme="majorHAnsi" w:hAnsiTheme="majorHAnsi"/>
          <w:b/>
          <w:bCs/>
        </w:rPr>
      </w:pPr>
    </w:p>
    <w:p w14:paraId="52BC79C2" w14:textId="77777777" w:rsidR="00C534D8" w:rsidRDefault="00C534D8" w:rsidP="0095419B">
      <w:pPr>
        <w:spacing w:line="240" w:lineRule="atLeast"/>
        <w:rPr>
          <w:rFonts w:asciiTheme="majorHAnsi" w:hAnsiTheme="majorHAnsi"/>
          <w:b/>
          <w:bCs/>
        </w:rPr>
      </w:pPr>
    </w:p>
    <w:tbl>
      <w:tblPr>
        <w:tblW w:w="0" w:type="auto"/>
        <w:tblLook w:val="04A0" w:firstRow="1" w:lastRow="0" w:firstColumn="1" w:lastColumn="0" w:noHBand="0" w:noVBand="1"/>
      </w:tblPr>
      <w:tblGrid>
        <w:gridCol w:w="1898"/>
        <w:gridCol w:w="3385"/>
        <w:gridCol w:w="1258"/>
        <w:gridCol w:w="2659"/>
      </w:tblGrid>
      <w:tr w:rsidR="0095419B" w:rsidRPr="0095419B" w14:paraId="1A895317" w14:textId="77777777" w:rsidTr="00125F60">
        <w:trPr>
          <w:trHeight w:val="290"/>
          <w:tblHead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3590E60" w14:textId="77777777" w:rsidR="0095419B" w:rsidRPr="0095419B" w:rsidRDefault="0095419B" w:rsidP="000F221E">
            <w:pPr>
              <w:jc w:val="center"/>
              <w:rPr>
                <w:rFonts w:asciiTheme="majorHAnsi" w:hAnsiTheme="majorHAnsi"/>
                <w:b/>
                <w:bCs/>
                <w:color w:val="000000"/>
                <w:lang w:val="en-IN"/>
              </w:rPr>
            </w:pPr>
            <w:r w:rsidRPr="0095419B">
              <w:rPr>
                <w:rFonts w:asciiTheme="majorHAnsi" w:hAnsiTheme="majorHAnsi"/>
                <w:b/>
                <w:bCs/>
                <w:color w:val="000000"/>
              </w:rPr>
              <w:t>Estimated Monthly Cost of Scheduled Bill Distribution of Non SBM Consumers Including Disconnection/Other Notice Delivery with Acknowledgement (POD Along with Consumer’s Phone Number)</w:t>
            </w:r>
          </w:p>
        </w:tc>
      </w:tr>
      <w:tr w:rsidR="0095419B" w:rsidRPr="0095419B" w14:paraId="60A01AE6" w14:textId="77777777" w:rsidTr="00125F60">
        <w:trPr>
          <w:trHeight w:val="290"/>
          <w:tblHeader/>
        </w:trPr>
        <w:tc>
          <w:tcPr>
            <w:tcW w:w="0" w:type="auto"/>
            <w:tcBorders>
              <w:top w:val="nil"/>
              <w:left w:val="single" w:sz="4" w:space="0" w:color="auto"/>
              <w:bottom w:val="single" w:sz="4" w:space="0" w:color="auto"/>
              <w:right w:val="single" w:sz="4" w:space="0" w:color="auto"/>
            </w:tcBorders>
            <w:noWrap/>
            <w:vAlign w:val="center"/>
            <w:hideMark/>
          </w:tcPr>
          <w:p w14:paraId="21456782"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CIRCLE</w:t>
            </w:r>
          </w:p>
        </w:tc>
        <w:tc>
          <w:tcPr>
            <w:tcW w:w="0" w:type="auto"/>
            <w:tcBorders>
              <w:top w:val="nil"/>
              <w:left w:val="nil"/>
              <w:bottom w:val="single" w:sz="4" w:space="0" w:color="auto"/>
              <w:right w:val="single" w:sz="4" w:space="0" w:color="auto"/>
            </w:tcBorders>
            <w:noWrap/>
            <w:vAlign w:val="center"/>
            <w:hideMark/>
          </w:tcPr>
          <w:p w14:paraId="7EA0AB02"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No. of Consumers</w:t>
            </w:r>
          </w:p>
        </w:tc>
        <w:tc>
          <w:tcPr>
            <w:tcW w:w="0" w:type="auto"/>
            <w:tcBorders>
              <w:top w:val="nil"/>
              <w:left w:val="nil"/>
              <w:bottom w:val="single" w:sz="4" w:space="0" w:color="auto"/>
              <w:right w:val="single" w:sz="4" w:space="0" w:color="auto"/>
            </w:tcBorders>
            <w:noWrap/>
            <w:vAlign w:val="center"/>
            <w:hideMark/>
          </w:tcPr>
          <w:p w14:paraId="74CD622F"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Rate</w:t>
            </w:r>
          </w:p>
        </w:tc>
        <w:tc>
          <w:tcPr>
            <w:tcW w:w="0" w:type="auto"/>
            <w:tcBorders>
              <w:top w:val="nil"/>
              <w:left w:val="nil"/>
              <w:bottom w:val="single" w:sz="4" w:space="0" w:color="auto"/>
              <w:right w:val="single" w:sz="4" w:space="0" w:color="auto"/>
            </w:tcBorders>
            <w:noWrap/>
            <w:vAlign w:val="center"/>
            <w:hideMark/>
          </w:tcPr>
          <w:p w14:paraId="063CAC06"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Cost (in Rs.)</w:t>
            </w:r>
          </w:p>
        </w:tc>
      </w:tr>
      <w:tr w:rsidR="0095419B" w:rsidRPr="0095419B" w14:paraId="7BE6F6BF"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7934D6A6" w14:textId="39214E0D" w:rsidR="0095419B" w:rsidRPr="0095419B" w:rsidRDefault="00C534D8" w:rsidP="000F221E">
            <w:pPr>
              <w:jc w:val="center"/>
              <w:rPr>
                <w:rFonts w:asciiTheme="majorHAnsi" w:hAnsiTheme="majorHAnsi"/>
                <w:color w:val="000000"/>
              </w:rPr>
            </w:pPr>
            <w:r>
              <w:rPr>
                <w:rFonts w:asciiTheme="majorHAnsi" w:hAnsiTheme="majorHAnsi" w:cs="Arial"/>
                <w:color w:val="000000"/>
              </w:rPr>
              <w:t>BOLANGIR</w:t>
            </w:r>
          </w:p>
        </w:tc>
        <w:tc>
          <w:tcPr>
            <w:tcW w:w="0" w:type="auto"/>
            <w:tcBorders>
              <w:top w:val="nil"/>
              <w:left w:val="nil"/>
              <w:bottom w:val="single" w:sz="4" w:space="0" w:color="auto"/>
              <w:right w:val="single" w:sz="4" w:space="0" w:color="auto"/>
            </w:tcBorders>
            <w:noWrap/>
            <w:vAlign w:val="center"/>
            <w:hideMark/>
          </w:tcPr>
          <w:p w14:paraId="7B1B8A20"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8,991</w:t>
            </w:r>
          </w:p>
        </w:tc>
        <w:tc>
          <w:tcPr>
            <w:tcW w:w="0" w:type="auto"/>
            <w:tcBorders>
              <w:top w:val="nil"/>
              <w:left w:val="nil"/>
              <w:bottom w:val="single" w:sz="4" w:space="0" w:color="auto"/>
              <w:right w:val="single" w:sz="4" w:space="0" w:color="auto"/>
            </w:tcBorders>
            <w:noWrap/>
            <w:vAlign w:val="center"/>
            <w:hideMark/>
          </w:tcPr>
          <w:p w14:paraId="6A8ED626"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33.00</w:t>
            </w:r>
          </w:p>
        </w:tc>
        <w:tc>
          <w:tcPr>
            <w:tcW w:w="0" w:type="auto"/>
            <w:tcBorders>
              <w:top w:val="nil"/>
              <w:left w:val="nil"/>
              <w:bottom w:val="single" w:sz="4" w:space="0" w:color="auto"/>
              <w:right w:val="single" w:sz="4" w:space="0" w:color="auto"/>
            </w:tcBorders>
            <w:noWrap/>
            <w:vAlign w:val="center"/>
            <w:hideMark/>
          </w:tcPr>
          <w:p w14:paraId="04BA58A2"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2,96,703.00</w:t>
            </w:r>
          </w:p>
        </w:tc>
      </w:tr>
      <w:tr w:rsidR="0095419B" w:rsidRPr="0095419B" w14:paraId="6815B873"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6694EA8E"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BARGARH</w:t>
            </w:r>
          </w:p>
        </w:tc>
        <w:tc>
          <w:tcPr>
            <w:tcW w:w="0" w:type="auto"/>
            <w:tcBorders>
              <w:top w:val="nil"/>
              <w:left w:val="nil"/>
              <w:bottom w:val="single" w:sz="4" w:space="0" w:color="auto"/>
              <w:right w:val="single" w:sz="4" w:space="0" w:color="auto"/>
            </w:tcBorders>
            <w:noWrap/>
            <w:vAlign w:val="center"/>
            <w:hideMark/>
          </w:tcPr>
          <w:p w14:paraId="79F73C73"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6,461</w:t>
            </w:r>
          </w:p>
        </w:tc>
        <w:tc>
          <w:tcPr>
            <w:tcW w:w="0" w:type="auto"/>
            <w:tcBorders>
              <w:top w:val="nil"/>
              <w:left w:val="nil"/>
              <w:bottom w:val="single" w:sz="4" w:space="0" w:color="auto"/>
              <w:right w:val="single" w:sz="4" w:space="0" w:color="auto"/>
            </w:tcBorders>
            <w:noWrap/>
            <w:vAlign w:val="center"/>
            <w:hideMark/>
          </w:tcPr>
          <w:p w14:paraId="1CD6F314"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33.00</w:t>
            </w:r>
          </w:p>
        </w:tc>
        <w:tc>
          <w:tcPr>
            <w:tcW w:w="0" w:type="auto"/>
            <w:tcBorders>
              <w:top w:val="nil"/>
              <w:left w:val="nil"/>
              <w:bottom w:val="single" w:sz="4" w:space="0" w:color="auto"/>
              <w:right w:val="single" w:sz="4" w:space="0" w:color="auto"/>
            </w:tcBorders>
            <w:noWrap/>
            <w:vAlign w:val="center"/>
            <w:hideMark/>
          </w:tcPr>
          <w:p w14:paraId="7D37FDEF"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2,13,213.00</w:t>
            </w:r>
          </w:p>
        </w:tc>
      </w:tr>
      <w:tr w:rsidR="0095419B" w:rsidRPr="0095419B" w14:paraId="02B96310"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24521315"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KALAHANDI</w:t>
            </w:r>
          </w:p>
        </w:tc>
        <w:tc>
          <w:tcPr>
            <w:tcW w:w="0" w:type="auto"/>
            <w:tcBorders>
              <w:top w:val="nil"/>
              <w:left w:val="nil"/>
              <w:bottom w:val="single" w:sz="4" w:space="0" w:color="auto"/>
              <w:right w:val="single" w:sz="4" w:space="0" w:color="auto"/>
            </w:tcBorders>
            <w:noWrap/>
            <w:vAlign w:val="center"/>
            <w:hideMark/>
          </w:tcPr>
          <w:p w14:paraId="7BB2D767"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6,926</w:t>
            </w:r>
          </w:p>
        </w:tc>
        <w:tc>
          <w:tcPr>
            <w:tcW w:w="0" w:type="auto"/>
            <w:tcBorders>
              <w:top w:val="nil"/>
              <w:left w:val="nil"/>
              <w:bottom w:val="single" w:sz="4" w:space="0" w:color="auto"/>
              <w:right w:val="single" w:sz="4" w:space="0" w:color="auto"/>
            </w:tcBorders>
            <w:noWrap/>
            <w:vAlign w:val="center"/>
            <w:hideMark/>
          </w:tcPr>
          <w:p w14:paraId="16FE9543"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33.00</w:t>
            </w:r>
          </w:p>
        </w:tc>
        <w:tc>
          <w:tcPr>
            <w:tcW w:w="0" w:type="auto"/>
            <w:tcBorders>
              <w:top w:val="nil"/>
              <w:left w:val="nil"/>
              <w:bottom w:val="single" w:sz="4" w:space="0" w:color="auto"/>
              <w:right w:val="single" w:sz="4" w:space="0" w:color="auto"/>
            </w:tcBorders>
            <w:noWrap/>
            <w:vAlign w:val="center"/>
            <w:hideMark/>
          </w:tcPr>
          <w:p w14:paraId="3FB0F525"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2,28,558.00</w:t>
            </w:r>
          </w:p>
        </w:tc>
      </w:tr>
      <w:tr w:rsidR="0095419B" w:rsidRPr="0095419B" w14:paraId="6C50451D"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1D1A0F64"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ROURKELA</w:t>
            </w:r>
          </w:p>
        </w:tc>
        <w:tc>
          <w:tcPr>
            <w:tcW w:w="0" w:type="auto"/>
            <w:tcBorders>
              <w:top w:val="nil"/>
              <w:left w:val="nil"/>
              <w:bottom w:val="single" w:sz="4" w:space="0" w:color="auto"/>
              <w:right w:val="single" w:sz="4" w:space="0" w:color="auto"/>
            </w:tcBorders>
            <w:noWrap/>
            <w:vAlign w:val="center"/>
            <w:hideMark/>
          </w:tcPr>
          <w:p w14:paraId="0BCD3A1D"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10,286</w:t>
            </w:r>
          </w:p>
        </w:tc>
        <w:tc>
          <w:tcPr>
            <w:tcW w:w="0" w:type="auto"/>
            <w:tcBorders>
              <w:top w:val="nil"/>
              <w:left w:val="nil"/>
              <w:bottom w:val="single" w:sz="4" w:space="0" w:color="auto"/>
              <w:right w:val="single" w:sz="4" w:space="0" w:color="auto"/>
            </w:tcBorders>
            <w:noWrap/>
            <w:vAlign w:val="center"/>
            <w:hideMark/>
          </w:tcPr>
          <w:p w14:paraId="5B3B194A"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33.00</w:t>
            </w:r>
          </w:p>
        </w:tc>
        <w:tc>
          <w:tcPr>
            <w:tcW w:w="0" w:type="auto"/>
            <w:tcBorders>
              <w:top w:val="nil"/>
              <w:left w:val="nil"/>
              <w:bottom w:val="single" w:sz="4" w:space="0" w:color="auto"/>
              <w:right w:val="single" w:sz="4" w:space="0" w:color="auto"/>
            </w:tcBorders>
            <w:noWrap/>
            <w:vAlign w:val="center"/>
            <w:hideMark/>
          </w:tcPr>
          <w:p w14:paraId="054612EA"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3,39,438.00</w:t>
            </w:r>
          </w:p>
        </w:tc>
      </w:tr>
      <w:tr w:rsidR="0095419B" w:rsidRPr="0095419B" w14:paraId="1AFD52B4"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5E786CE2"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SAMBALPUR</w:t>
            </w:r>
          </w:p>
        </w:tc>
        <w:tc>
          <w:tcPr>
            <w:tcW w:w="0" w:type="auto"/>
            <w:tcBorders>
              <w:top w:val="nil"/>
              <w:left w:val="nil"/>
              <w:bottom w:val="single" w:sz="4" w:space="0" w:color="auto"/>
              <w:right w:val="single" w:sz="4" w:space="0" w:color="auto"/>
            </w:tcBorders>
            <w:noWrap/>
            <w:vAlign w:val="center"/>
            <w:hideMark/>
          </w:tcPr>
          <w:p w14:paraId="4CF603FA"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16,357</w:t>
            </w:r>
          </w:p>
        </w:tc>
        <w:tc>
          <w:tcPr>
            <w:tcW w:w="0" w:type="auto"/>
            <w:tcBorders>
              <w:top w:val="nil"/>
              <w:left w:val="nil"/>
              <w:bottom w:val="single" w:sz="4" w:space="0" w:color="auto"/>
              <w:right w:val="single" w:sz="4" w:space="0" w:color="auto"/>
            </w:tcBorders>
            <w:noWrap/>
            <w:vAlign w:val="center"/>
            <w:hideMark/>
          </w:tcPr>
          <w:p w14:paraId="15035A8D"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32.70</w:t>
            </w:r>
          </w:p>
        </w:tc>
        <w:tc>
          <w:tcPr>
            <w:tcW w:w="0" w:type="auto"/>
            <w:tcBorders>
              <w:top w:val="nil"/>
              <w:left w:val="nil"/>
              <w:bottom w:val="single" w:sz="4" w:space="0" w:color="auto"/>
              <w:right w:val="single" w:sz="4" w:space="0" w:color="auto"/>
            </w:tcBorders>
            <w:noWrap/>
            <w:vAlign w:val="center"/>
            <w:hideMark/>
          </w:tcPr>
          <w:p w14:paraId="3CB586B3"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5,34,862.90</w:t>
            </w:r>
          </w:p>
        </w:tc>
      </w:tr>
      <w:tr w:rsidR="0095419B" w:rsidRPr="0095419B" w14:paraId="35FD9FBA"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035A766C" w14:textId="77777777" w:rsidR="0095419B" w:rsidRPr="0095419B" w:rsidRDefault="0095419B" w:rsidP="000F221E">
            <w:pPr>
              <w:jc w:val="center"/>
              <w:rPr>
                <w:rFonts w:asciiTheme="majorHAnsi" w:hAnsiTheme="majorHAnsi"/>
                <w:b/>
                <w:bCs/>
                <w:color w:val="000000"/>
              </w:rPr>
            </w:pPr>
            <w:r w:rsidRPr="0095419B">
              <w:rPr>
                <w:rFonts w:asciiTheme="majorHAnsi" w:hAnsiTheme="majorHAnsi" w:cs="Arial"/>
                <w:b/>
                <w:bCs/>
                <w:color w:val="000000"/>
              </w:rPr>
              <w:t>TOTAL</w:t>
            </w:r>
          </w:p>
        </w:tc>
        <w:tc>
          <w:tcPr>
            <w:tcW w:w="0" w:type="auto"/>
            <w:tcBorders>
              <w:top w:val="nil"/>
              <w:left w:val="nil"/>
              <w:bottom w:val="single" w:sz="4" w:space="0" w:color="auto"/>
              <w:right w:val="single" w:sz="4" w:space="0" w:color="auto"/>
            </w:tcBorders>
            <w:noWrap/>
            <w:vAlign w:val="center"/>
            <w:hideMark/>
          </w:tcPr>
          <w:p w14:paraId="407DB519"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49,021</w:t>
            </w:r>
          </w:p>
        </w:tc>
        <w:tc>
          <w:tcPr>
            <w:tcW w:w="0" w:type="auto"/>
            <w:tcBorders>
              <w:top w:val="nil"/>
              <w:left w:val="nil"/>
              <w:bottom w:val="single" w:sz="4" w:space="0" w:color="auto"/>
              <w:right w:val="single" w:sz="4" w:space="0" w:color="auto"/>
            </w:tcBorders>
            <w:noWrap/>
            <w:vAlign w:val="center"/>
            <w:hideMark/>
          </w:tcPr>
          <w:p w14:paraId="31994BD6"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32.90</w:t>
            </w:r>
          </w:p>
        </w:tc>
        <w:tc>
          <w:tcPr>
            <w:tcW w:w="0" w:type="auto"/>
            <w:tcBorders>
              <w:top w:val="nil"/>
              <w:left w:val="nil"/>
              <w:bottom w:val="single" w:sz="4" w:space="0" w:color="auto"/>
              <w:right w:val="single" w:sz="4" w:space="0" w:color="auto"/>
            </w:tcBorders>
            <w:noWrap/>
            <w:vAlign w:val="center"/>
            <w:hideMark/>
          </w:tcPr>
          <w:p w14:paraId="60FF1CB8"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16,12,774.90</w:t>
            </w:r>
          </w:p>
        </w:tc>
      </w:tr>
    </w:tbl>
    <w:p w14:paraId="5DE57717" w14:textId="77777777" w:rsidR="0095419B" w:rsidRPr="0095419B" w:rsidRDefault="0095419B" w:rsidP="0095419B">
      <w:pPr>
        <w:jc w:val="both"/>
        <w:rPr>
          <w:rFonts w:asciiTheme="majorHAnsi" w:hAnsiTheme="majorHAnsi"/>
        </w:rPr>
      </w:pPr>
    </w:p>
    <w:tbl>
      <w:tblPr>
        <w:tblW w:w="0" w:type="auto"/>
        <w:tblLook w:val="04A0" w:firstRow="1" w:lastRow="0" w:firstColumn="1" w:lastColumn="0" w:noHBand="0" w:noVBand="1"/>
      </w:tblPr>
      <w:tblGrid>
        <w:gridCol w:w="1898"/>
        <w:gridCol w:w="3385"/>
        <w:gridCol w:w="1258"/>
        <w:gridCol w:w="2659"/>
      </w:tblGrid>
      <w:tr w:rsidR="0095419B" w:rsidRPr="0095419B" w14:paraId="45AC6214" w14:textId="77777777" w:rsidTr="00125F60">
        <w:trPr>
          <w:trHeight w:val="290"/>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7168300" w14:textId="77777777" w:rsidR="0095419B" w:rsidRPr="0095419B" w:rsidRDefault="0095419B" w:rsidP="000F221E">
            <w:pPr>
              <w:jc w:val="center"/>
              <w:rPr>
                <w:rFonts w:asciiTheme="majorHAnsi" w:hAnsiTheme="majorHAnsi"/>
                <w:b/>
                <w:bCs/>
                <w:color w:val="000000"/>
                <w:lang w:val="en-IN"/>
              </w:rPr>
            </w:pPr>
            <w:r w:rsidRPr="0095419B">
              <w:rPr>
                <w:rFonts w:asciiTheme="majorHAnsi" w:hAnsiTheme="majorHAnsi"/>
                <w:b/>
                <w:bCs/>
                <w:color w:val="000000"/>
              </w:rPr>
              <w:t xml:space="preserve">Estimated Monthly Cost of Unscheduled Meter Reading / Site Visit / Meter Reading against Complaint/ Survey/ </w:t>
            </w:r>
          </w:p>
        </w:tc>
      </w:tr>
      <w:tr w:rsidR="0095419B" w:rsidRPr="0095419B" w14:paraId="15069FC5" w14:textId="77777777" w:rsidTr="00125F60">
        <w:trPr>
          <w:trHeight w:val="290"/>
        </w:trPr>
        <w:tc>
          <w:tcPr>
            <w:tcW w:w="0" w:type="auto"/>
            <w:tcBorders>
              <w:top w:val="nil"/>
              <w:left w:val="single" w:sz="4" w:space="0" w:color="auto"/>
              <w:bottom w:val="single" w:sz="4" w:space="0" w:color="auto"/>
              <w:right w:val="single" w:sz="4" w:space="0" w:color="auto"/>
            </w:tcBorders>
            <w:noWrap/>
            <w:vAlign w:val="center"/>
            <w:hideMark/>
          </w:tcPr>
          <w:p w14:paraId="013B7342"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CIRCLE</w:t>
            </w:r>
          </w:p>
        </w:tc>
        <w:tc>
          <w:tcPr>
            <w:tcW w:w="0" w:type="auto"/>
            <w:tcBorders>
              <w:top w:val="nil"/>
              <w:left w:val="nil"/>
              <w:bottom w:val="single" w:sz="4" w:space="0" w:color="auto"/>
              <w:right w:val="single" w:sz="4" w:space="0" w:color="auto"/>
            </w:tcBorders>
            <w:noWrap/>
            <w:vAlign w:val="center"/>
            <w:hideMark/>
          </w:tcPr>
          <w:p w14:paraId="60C16438"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No. of Consumers</w:t>
            </w:r>
          </w:p>
        </w:tc>
        <w:tc>
          <w:tcPr>
            <w:tcW w:w="0" w:type="auto"/>
            <w:tcBorders>
              <w:top w:val="nil"/>
              <w:left w:val="nil"/>
              <w:bottom w:val="single" w:sz="4" w:space="0" w:color="auto"/>
              <w:right w:val="single" w:sz="4" w:space="0" w:color="auto"/>
            </w:tcBorders>
            <w:noWrap/>
            <w:vAlign w:val="center"/>
            <w:hideMark/>
          </w:tcPr>
          <w:p w14:paraId="762EAFDA"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Rate</w:t>
            </w:r>
          </w:p>
        </w:tc>
        <w:tc>
          <w:tcPr>
            <w:tcW w:w="0" w:type="auto"/>
            <w:tcBorders>
              <w:top w:val="nil"/>
              <w:left w:val="nil"/>
              <w:bottom w:val="single" w:sz="4" w:space="0" w:color="auto"/>
              <w:right w:val="single" w:sz="4" w:space="0" w:color="auto"/>
            </w:tcBorders>
            <w:noWrap/>
            <w:vAlign w:val="center"/>
            <w:hideMark/>
          </w:tcPr>
          <w:p w14:paraId="781D3EFE"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Cost (in Rs.)</w:t>
            </w:r>
          </w:p>
        </w:tc>
      </w:tr>
      <w:tr w:rsidR="0095419B" w:rsidRPr="0095419B" w14:paraId="040C1BB9"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3A2C0808" w14:textId="46869479" w:rsidR="0095419B" w:rsidRPr="0095419B" w:rsidRDefault="00C534D8" w:rsidP="000F221E">
            <w:pPr>
              <w:jc w:val="center"/>
              <w:rPr>
                <w:rFonts w:asciiTheme="majorHAnsi" w:hAnsiTheme="majorHAnsi"/>
                <w:color w:val="000000"/>
              </w:rPr>
            </w:pPr>
            <w:r>
              <w:rPr>
                <w:rFonts w:asciiTheme="majorHAnsi" w:hAnsiTheme="majorHAnsi" w:cs="Arial"/>
                <w:color w:val="000000"/>
              </w:rPr>
              <w:t>BOLANGIR</w:t>
            </w:r>
          </w:p>
        </w:tc>
        <w:tc>
          <w:tcPr>
            <w:tcW w:w="0" w:type="auto"/>
            <w:tcBorders>
              <w:top w:val="nil"/>
              <w:left w:val="nil"/>
              <w:bottom w:val="single" w:sz="4" w:space="0" w:color="auto"/>
              <w:right w:val="single" w:sz="4" w:space="0" w:color="auto"/>
            </w:tcBorders>
            <w:noWrap/>
            <w:vAlign w:val="center"/>
            <w:hideMark/>
          </w:tcPr>
          <w:p w14:paraId="463CEEFA"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1,500</w:t>
            </w:r>
          </w:p>
        </w:tc>
        <w:tc>
          <w:tcPr>
            <w:tcW w:w="0" w:type="auto"/>
            <w:tcBorders>
              <w:top w:val="nil"/>
              <w:left w:val="nil"/>
              <w:bottom w:val="single" w:sz="4" w:space="0" w:color="auto"/>
              <w:right w:val="single" w:sz="4" w:space="0" w:color="auto"/>
            </w:tcBorders>
            <w:noWrap/>
            <w:vAlign w:val="center"/>
            <w:hideMark/>
          </w:tcPr>
          <w:p w14:paraId="2AA8BF05"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38.50</w:t>
            </w:r>
          </w:p>
        </w:tc>
        <w:tc>
          <w:tcPr>
            <w:tcW w:w="0" w:type="auto"/>
            <w:tcBorders>
              <w:top w:val="nil"/>
              <w:left w:val="nil"/>
              <w:bottom w:val="single" w:sz="4" w:space="0" w:color="auto"/>
              <w:right w:val="single" w:sz="4" w:space="0" w:color="auto"/>
            </w:tcBorders>
            <w:noWrap/>
            <w:vAlign w:val="center"/>
            <w:hideMark/>
          </w:tcPr>
          <w:p w14:paraId="26B4E042"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57,750.00</w:t>
            </w:r>
          </w:p>
        </w:tc>
      </w:tr>
      <w:tr w:rsidR="0095419B" w:rsidRPr="0095419B" w14:paraId="6C57BA1C"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5F903038"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BARGARH</w:t>
            </w:r>
          </w:p>
        </w:tc>
        <w:tc>
          <w:tcPr>
            <w:tcW w:w="0" w:type="auto"/>
            <w:tcBorders>
              <w:top w:val="nil"/>
              <w:left w:val="nil"/>
              <w:bottom w:val="single" w:sz="4" w:space="0" w:color="auto"/>
              <w:right w:val="single" w:sz="4" w:space="0" w:color="auto"/>
            </w:tcBorders>
            <w:noWrap/>
            <w:vAlign w:val="center"/>
            <w:hideMark/>
          </w:tcPr>
          <w:p w14:paraId="3996AE09"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1,000</w:t>
            </w:r>
          </w:p>
        </w:tc>
        <w:tc>
          <w:tcPr>
            <w:tcW w:w="0" w:type="auto"/>
            <w:tcBorders>
              <w:top w:val="nil"/>
              <w:left w:val="nil"/>
              <w:bottom w:val="single" w:sz="4" w:space="0" w:color="auto"/>
              <w:right w:val="single" w:sz="4" w:space="0" w:color="auto"/>
            </w:tcBorders>
            <w:noWrap/>
            <w:vAlign w:val="center"/>
            <w:hideMark/>
          </w:tcPr>
          <w:p w14:paraId="649F5301"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38.50</w:t>
            </w:r>
          </w:p>
        </w:tc>
        <w:tc>
          <w:tcPr>
            <w:tcW w:w="0" w:type="auto"/>
            <w:tcBorders>
              <w:top w:val="nil"/>
              <w:left w:val="nil"/>
              <w:bottom w:val="single" w:sz="4" w:space="0" w:color="auto"/>
              <w:right w:val="single" w:sz="4" w:space="0" w:color="auto"/>
            </w:tcBorders>
            <w:noWrap/>
            <w:vAlign w:val="center"/>
            <w:hideMark/>
          </w:tcPr>
          <w:p w14:paraId="4F402EFF"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38,500.00</w:t>
            </w:r>
          </w:p>
        </w:tc>
      </w:tr>
      <w:tr w:rsidR="0095419B" w:rsidRPr="0095419B" w14:paraId="48F5E67B"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7C8BBD54"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KALAHANDI</w:t>
            </w:r>
          </w:p>
        </w:tc>
        <w:tc>
          <w:tcPr>
            <w:tcW w:w="0" w:type="auto"/>
            <w:tcBorders>
              <w:top w:val="nil"/>
              <w:left w:val="nil"/>
              <w:bottom w:val="single" w:sz="4" w:space="0" w:color="auto"/>
              <w:right w:val="single" w:sz="4" w:space="0" w:color="auto"/>
            </w:tcBorders>
            <w:noWrap/>
            <w:vAlign w:val="center"/>
            <w:hideMark/>
          </w:tcPr>
          <w:p w14:paraId="17EB34C8"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1,500</w:t>
            </w:r>
          </w:p>
        </w:tc>
        <w:tc>
          <w:tcPr>
            <w:tcW w:w="0" w:type="auto"/>
            <w:tcBorders>
              <w:top w:val="nil"/>
              <w:left w:val="nil"/>
              <w:bottom w:val="single" w:sz="4" w:space="0" w:color="auto"/>
              <w:right w:val="single" w:sz="4" w:space="0" w:color="auto"/>
            </w:tcBorders>
            <w:noWrap/>
            <w:vAlign w:val="center"/>
            <w:hideMark/>
          </w:tcPr>
          <w:p w14:paraId="35549A79"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38.50</w:t>
            </w:r>
          </w:p>
        </w:tc>
        <w:tc>
          <w:tcPr>
            <w:tcW w:w="0" w:type="auto"/>
            <w:tcBorders>
              <w:top w:val="nil"/>
              <w:left w:val="nil"/>
              <w:bottom w:val="single" w:sz="4" w:space="0" w:color="auto"/>
              <w:right w:val="single" w:sz="4" w:space="0" w:color="auto"/>
            </w:tcBorders>
            <w:noWrap/>
            <w:vAlign w:val="center"/>
            <w:hideMark/>
          </w:tcPr>
          <w:p w14:paraId="09B6E82E"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57,750.00</w:t>
            </w:r>
          </w:p>
        </w:tc>
      </w:tr>
      <w:tr w:rsidR="0095419B" w:rsidRPr="0095419B" w14:paraId="4BCDB5A8"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1C97D840"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ROURKELA</w:t>
            </w:r>
          </w:p>
        </w:tc>
        <w:tc>
          <w:tcPr>
            <w:tcW w:w="0" w:type="auto"/>
            <w:tcBorders>
              <w:top w:val="nil"/>
              <w:left w:val="nil"/>
              <w:bottom w:val="single" w:sz="4" w:space="0" w:color="auto"/>
              <w:right w:val="single" w:sz="4" w:space="0" w:color="auto"/>
            </w:tcBorders>
            <w:noWrap/>
            <w:vAlign w:val="center"/>
            <w:hideMark/>
          </w:tcPr>
          <w:p w14:paraId="084FC161"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1,500</w:t>
            </w:r>
          </w:p>
        </w:tc>
        <w:tc>
          <w:tcPr>
            <w:tcW w:w="0" w:type="auto"/>
            <w:tcBorders>
              <w:top w:val="nil"/>
              <w:left w:val="nil"/>
              <w:bottom w:val="single" w:sz="4" w:space="0" w:color="auto"/>
              <w:right w:val="single" w:sz="4" w:space="0" w:color="auto"/>
            </w:tcBorders>
            <w:noWrap/>
            <w:vAlign w:val="center"/>
            <w:hideMark/>
          </w:tcPr>
          <w:p w14:paraId="76BA6D91"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38.50</w:t>
            </w:r>
          </w:p>
        </w:tc>
        <w:tc>
          <w:tcPr>
            <w:tcW w:w="0" w:type="auto"/>
            <w:tcBorders>
              <w:top w:val="nil"/>
              <w:left w:val="nil"/>
              <w:bottom w:val="single" w:sz="4" w:space="0" w:color="auto"/>
              <w:right w:val="single" w:sz="4" w:space="0" w:color="auto"/>
            </w:tcBorders>
            <w:noWrap/>
            <w:vAlign w:val="center"/>
            <w:hideMark/>
          </w:tcPr>
          <w:p w14:paraId="690A50E1"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57,750.00</w:t>
            </w:r>
          </w:p>
        </w:tc>
      </w:tr>
      <w:tr w:rsidR="0095419B" w:rsidRPr="0095419B" w14:paraId="3F0945F2"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2DBED9C8"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SAMBALPUR</w:t>
            </w:r>
          </w:p>
        </w:tc>
        <w:tc>
          <w:tcPr>
            <w:tcW w:w="0" w:type="auto"/>
            <w:tcBorders>
              <w:top w:val="nil"/>
              <w:left w:val="nil"/>
              <w:bottom w:val="single" w:sz="4" w:space="0" w:color="auto"/>
              <w:right w:val="single" w:sz="4" w:space="0" w:color="auto"/>
            </w:tcBorders>
            <w:noWrap/>
            <w:vAlign w:val="center"/>
            <w:hideMark/>
          </w:tcPr>
          <w:p w14:paraId="0DB588C7"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2,500</w:t>
            </w:r>
          </w:p>
        </w:tc>
        <w:tc>
          <w:tcPr>
            <w:tcW w:w="0" w:type="auto"/>
            <w:tcBorders>
              <w:top w:val="nil"/>
              <w:left w:val="nil"/>
              <w:bottom w:val="single" w:sz="4" w:space="0" w:color="auto"/>
              <w:right w:val="single" w:sz="4" w:space="0" w:color="auto"/>
            </w:tcBorders>
            <w:noWrap/>
            <w:vAlign w:val="center"/>
            <w:hideMark/>
          </w:tcPr>
          <w:p w14:paraId="084CF9D6"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38.50</w:t>
            </w:r>
          </w:p>
        </w:tc>
        <w:tc>
          <w:tcPr>
            <w:tcW w:w="0" w:type="auto"/>
            <w:tcBorders>
              <w:top w:val="nil"/>
              <w:left w:val="nil"/>
              <w:bottom w:val="single" w:sz="4" w:space="0" w:color="auto"/>
              <w:right w:val="single" w:sz="4" w:space="0" w:color="auto"/>
            </w:tcBorders>
            <w:noWrap/>
            <w:vAlign w:val="center"/>
            <w:hideMark/>
          </w:tcPr>
          <w:p w14:paraId="0C193B6C"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96,250.00</w:t>
            </w:r>
          </w:p>
        </w:tc>
      </w:tr>
      <w:tr w:rsidR="0095419B" w:rsidRPr="0095419B" w14:paraId="69FB3A2F"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61CD3917" w14:textId="77777777" w:rsidR="0095419B" w:rsidRPr="0095419B" w:rsidRDefault="0095419B" w:rsidP="000F221E">
            <w:pPr>
              <w:jc w:val="center"/>
              <w:rPr>
                <w:rFonts w:asciiTheme="majorHAnsi" w:hAnsiTheme="majorHAnsi"/>
                <w:b/>
                <w:bCs/>
                <w:color w:val="000000"/>
              </w:rPr>
            </w:pPr>
            <w:r w:rsidRPr="0095419B">
              <w:rPr>
                <w:rFonts w:asciiTheme="majorHAnsi" w:hAnsiTheme="majorHAnsi" w:cs="Arial"/>
                <w:b/>
                <w:bCs/>
                <w:color w:val="000000"/>
              </w:rPr>
              <w:t>TOTAL</w:t>
            </w:r>
          </w:p>
        </w:tc>
        <w:tc>
          <w:tcPr>
            <w:tcW w:w="0" w:type="auto"/>
            <w:tcBorders>
              <w:top w:val="nil"/>
              <w:left w:val="nil"/>
              <w:bottom w:val="single" w:sz="4" w:space="0" w:color="auto"/>
              <w:right w:val="single" w:sz="4" w:space="0" w:color="auto"/>
            </w:tcBorders>
            <w:noWrap/>
            <w:vAlign w:val="center"/>
            <w:hideMark/>
          </w:tcPr>
          <w:p w14:paraId="191421F1"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8,000</w:t>
            </w:r>
          </w:p>
        </w:tc>
        <w:tc>
          <w:tcPr>
            <w:tcW w:w="0" w:type="auto"/>
            <w:tcBorders>
              <w:top w:val="nil"/>
              <w:left w:val="nil"/>
              <w:bottom w:val="single" w:sz="4" w:space="0" w:color="auto"/>
              <w:right w:val="single" w:sz="4" w:space="0" w:color="auto"/>
            </w:tcBorders>
            <w:noWrap/>
            <w:vAlign w:val="center"/>
            <w:hideMark/>
          </w:tcPr>
          <w:p w14:paraId="3466D452"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38.50</w:t>
            </w:r>
          </w:p>
        </w:tc>
        <w:tc>
          <w:tcPr>
            <w:tcW w:w="0" w:type="auto"/>
            <w:tcBorders>
              <w:top w:val="nil"/>
              <w:left w:val="nil"/>
              <w:bottom w:val="single" w:sz="4" w:space="0" w:color="auto"/>
              <w:right w:val="single" w:sz="4" w:space="0" w:color="auto"/>
            </w:tcBorders>
            <w:noWrap/>
            <w:vAlign w:val="center"/>
            <w:hideMark/>
          </w:tcPr>
          <w:p w14:paraId="67EC2959"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3,08,000.00</w:t>
            </w:r>
          </w:p>
        </w:tc>
      </w:tr>
    </w:tbl>
    <w:p w14:paraId="65F40AC4" w14:textId="77777777" w:rsidR="0095419B" w:rsidRPr="0095419B" w:rsidRDefault="0095419B" w:rsidP="0095419B">
      <w:pPr>
        <w:jc w:val="both"/>
        <w:rPr>
          <w:rFonts w:asciiTheme="majorHAnsi" w:hAnsiTheme="majorHAnsi"/>
        </w:rPr>
      </w:pPr>
    </w:p>
    <w:tbl>
      <w:tblPr>
        <w:tblW w:w="0" w:type="auto"/>
        <w:tblLook w:val="04A0" w:firstRow="1" w:lastRow="0" w:firstColumn="1" w:lastColumn="0" w:noHBand="0" w:noVBand="1"/>
      </w:tblPr>
      <w:tblGrid>
        <w:gridCol w:w="1898"/>
        <w:gridCol w:w="3385"/>
        <w:gridCol w:w="1258"/>
        <w:gridCol w:w="2659"/>
      </w:tblGrid>
      <w:tr w:rsidR="0095419B" w:rsidRPr="0095419B" w14:paraId="7125C9A0" w14:textId="77777777" w:rsidTr="00125F60">
        <w:trPr>
          <w:trHeight w:val="290"/>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E4DFE68" w14:textId="77777777" w:rsidR="0095419B" w:rsidRPr="0095419B" w:rsidRDefault="0095419B" w:rsidP="000F221E">
            <w:pPr>
              <w:jc w:val="center"/>
              <w:rPr>
                <w:rFonts w:asciiTheme="majorHAnsi" w:hAnsiTheme="majorHAnsi"/>
                <w:b/>
                <w:bCs/>
                <w:color w:val="000000"/>
                <w:lang w:val="en-IN"/>
              </w:rPr>
            </w:pPr>
            <w:r w:rsidRPr="0095419B">
              <w:rPr>
                <w:rFonts w:asciiTheme="majorHAnsi" w:hAnsiTheme="majorHAnsi"/>
                <w:b/>
                <w:bCs/>
                <w:color w:val="000000"/>
              </w:rPr>
              <w:t>Estimated Monthly Cost of Unscheduled Bill/ Notice Printing and Distribution with Acknowledgement (Pod Along with Consumer’s Phone Number)</w:t>
            </w:r>
          </w:p>
        </w:tc>
      </w:tr>
      <w:tr w:rsidR="0095419B" w:rsidRPr="0095419B" w14:paraId="25ABF56E" w14:textId="77777777" w:rsidTr="00125F60">
        <w:trPr>
          <w:trHeight w:val="290"/>
        </w:trPr>
        <w:tc>
          <w:tcPr>
            <w:tcW w:w="0" w:type="auto"/>
            <w:tcBorders>
              <w:top w:val="nil"/>
              <w:left w:val="single" w:sz="4" w:space="0" w:color="auto"/>
              <w:bottom w:val="single" w:sz="4" w:space="0" w:color="auto"/>
              <w:right w:val="single" w:sz="4" w:space="0" w:color="auto"/>
            </w:tcBorders>
            <w:noWrap/>
            <w:vAlign w:val="center"/>
            <w:hideMark/>
          </w:tcPr>
          <w:p w14:paraId="51B4E3E7"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CIRCLE</w:t>
            </w:r>
          </w:p>
        </w:tc>
        <w:tc>
          <w:tcPr>
            <w:tcW w:w="0" w:type="auto"/>
            <w:tcBorders>
              <w:top w:val="nil"/>
              <w:left w:val="nil"/>
              <w:bottom w:val="single" w:sz="4" w:space="0" w:color="auto"/>
              <w:right w:val="single" w:sz="4" w:space="0" w:color="auto"/>
            </w:tcBorders>
            <w:noWrap/>
            <w:vAlign w:val="center"/>
            <w:hideMark/>
          </w:tcPr>
          <w:p w14:paraId="2397FA99"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No. of Consumers</w:t>
            </w:r>
          </w:p>
        </w:tc>
        <w:tc>
          <w:tcPr>
            <w:tcW w:w="0" w:type="auto"/>
            <w:tcBorders>
              <w:top w:val="nil"/>
              <w:left w:val="nil"/>
              <w:bottom w:val="single" w:sz="4" w:space="0" w:color="auto"/>
              <w:right w:val="single" w:sz="4" w:space="0" w:color="auto"/>
            </w:tcBorders>
            <w:noWrap/>
            <w:vAlign w:val="center"/>
            <w:hideMark/>
          </w:tcPr>
          <w:p w14:paraId="187585B8"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Rate</w:t>
            </w:r>
          </w:p>
        </w:tc>
        <w:tc>
          <w:tcPr>
            <w:tcW w:w="0" w:type="auto"/>
            <w:tcBorders>
              <w:top w:val="nil"/>
              <w:left w:val="nil"/>
              <w:bottom w:val="single" w:sz="4" w:space="0" w:color="auto"/>
              <w:right w:val="single" w:sz="4" w:space="0" w:color="auto"/>
            </w:tcBorders>
            <w:noWrap/>
            <w:vAlign w:val="center"/>
            <w:hideMark/>
          </w:tcPr>
          <w:p w14:paraId="6F9797EB"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Total Cost (in Rs.)</w:t>
            </w:r>
          </w:p>
        </w:tc>
      </w:tr>
      <w:tr w:rsidR="0095419B" w:rsidRPr="0095419B" w14:paraId="18151F3B"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50F33588" w14:textId="38124A76" w:rsidR="0095419B" w:rsidRPr="0095419B" w:rsidRDefault="00C534D8" w:rsidP="000F221E">
            <w:pPr>
              <w:jc w:val="center"/>
              <w:rPr>
                <w:rFonts w:asciiTheme="majorHAnsi" w:hAnsiTheme="majorHAnsi"/>
                <w:color w:val="000000"/>
              </w:rPr>
            </w:pPr>
            <w:r>
              <w:rPr>
                <w:rFonts w:asciiTheme="majorHAnsi" w:hAnsiTheme="majorHAnsi" w:cs="Arial"/>
                <w:color w:val="000000"/>
              </w:rPr>
              <w:t>BOLANGIR</w:t>
            </w:r>
          </w:p>
        </w:tc>
        <w:tc>
          <w:tcPr>
            <w:tcW w:w="0" w:type="auto"/>
            <w:tcBorders>
              <w:top w:val="nil"/>
              <w:left w:val="nil"/>
              <w:bottom w:val="single" w:sz="4" w:space="0" w:color="auto"/>
              <w:right w:val="single" w:sz="4" w:space="0" w:color="auto"/>
            </w:tcBorders>
            <w:noWrap/>
            <w:vAlign w:val="center"/>
            <w:hideMark/>
          </w:tcPr>
          <w:p w14:paraId="1D598191"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806</w:t>
            </w:r>
          </w:p>
        </w:tc>
        <w:tc>
          <w:tcPr>
            <w:tcW w:w="0" w:type="auto"/>
            <w:tcBorders>
              <w:top w:val="nil"/>
              <w:left w:val="nil"/>
              <w:bottom w:val="single" w:sz="4" w:space="0" w:color="auto"/>
              <w:right w:val="single" w:sz="4" w:space="0" w:color="auto"/>
            </w:tcBorders>
            <w:noWrap/>
            <w:vAlign w:val="center"/>
            <w:hideMark/>
          </w:tcPr>
          <w:p w14:paraId="0DCC6561"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33.00</w:t>
            </w:r>
          </w:p>
        </w:tc>
        <w:tc>
          <w:tcPr>
            <w:tcW w:w="0" w:type="auto"/>
            <w:tcBorders>
              <w:top w:val="nil"/>
              <w:left w:val="nil"/>
              <w:bottom w:val="single" w:sz="4" w:space="0" w:color="auto"/>
              <w:right w:val="single" w:sz="4" w:space="0" w:color="auto"/>
            </w:tcBorders>
            <w:noWrap/>
            <w:vAlign w:val="center"/>
            <w:hideMark/>
          </w:tcPr>
          <w:p w14:paraId="7559FB93"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26,598.00</w:t>
            </w:r>
          </w:p>
        </w:tc>
      </w:tr>
      <w:tr w:rsidR="0095419B" w:rsidRPr="0095419B" w14:paraId="5BFF76D7"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7D5BD267"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BARGARH</w:t>
            </w:r>
          </w:p>
        </w:tc>
        <w:tc>
          <w:tcPr>
            <w:tcW w:w="0" w:type="auto"/>
            <w:tcBorders>
              <w:top w:val="nil"/>
              <w:left w:val="nil"/>
              <w:bottom w:val="single" w:sz="4" w:space="0" w:color="auto"/>
              <w:right w:val="single" w:sz="4" w:space="0" w:color="auto"/>
            </w:tcBorders>
            <w:noWrap/>
            <w:vAlign w:val="center"/>
            <w:hideMark/>
          </w:tcPr>
          <w:p w14:paraId="46A3AD8F"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565</w:t>
            </w:r>
          </w:p>
        </w:tc>
        <w:tc>
          <w:tcPr>
            <w:tcW w:w="0" w:type="auto"/>
            <w:tcBorders>
              <w:top w:val="nil"/>
              <w:left w:val="nil"/>
              <w:bottom w:val="single" w:sz="4" w:space="0" w:color="auto"/>
              <w:right w:val="single" w:sz="4" w:space="0" w:color="auto"/>
            </w:tcBorders>
            <w:noWrap/>
            <w:vAlign w:val="center"/>
            <w:hideMark/>
          </w:tcPr>
          <w:p w14:paraId="10460F68"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 33.00</w:t>
            </w:r>
          </w:p>
        </w:tc>
        <w:tc>
          <w:tcPr>
            <w:tcW w:w="0" w:type="auto"/>
            <w:tcBorders>
              <w:top w:val="nil"/>
              <w:left w:val="nil"/>
              <w:bottom w:val="single" w:sz="4" w:space="0" w:color="auto"/>
              <w:right w:val="single" w:sz="4" w:space="0" w:color="auto"/>
            </w:tcBorders>
            <w:noWrap/>
            <w:vAlign w:val="center"/>
            <w:hideMark/>
          </w:tcPr>
          <w:p w14:paraId="6AC9D50E"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18,645.00</w:t>
            </w:r>
          </w:p>
        </w:tc>
      </w:tr>
      <w:tr w:rsidR="0095419B" w:rsidRPr="0095419B" w14:paraId="133B5530"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727F0093"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KALAHANDI</w:t>
            </w:r>
          </w:p>
        </w:tc>
        <w:tc>
          <w:tcPr>
            <w:tcW w:w="0" w:type="auto"/>
            <w:tcBorders>
              <w:top w:val="nil"/>
              <w:left w:val="nil"/>
              <w:bottom w:val="single" w:sz="4" w:space="0" w:color="auto"/>
              <w:right w:val="single" w:sz="4" w:space="0" w:color="auto"/>
            </w:tcBorders>
            <w:noWrap/>
            <w:vAlign w:val="center"/>
            <w:hideMark/>
          </w:tcPr>
          <w:p w14:paraId="0D460BE1"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612</w:t>
            </w:r>
          </w:p>
        </w:tc>
        <w:tc>
          <w:tcPr>
            <w:tcW w:w="0" w:type="auto"/>
            <w:tcBorders>
              <w:top w:val="nil"/>
              <w:left w:val="nil"/>
              <w:bottom w:val="single" w:sz="4" w:space="0" w:color="auto"/>
              <w:right w:val="single" w:sz="4" w:space="0" w:color="auto"/>
            </w:tcBorders>
            <w:noWrap/>
            <w:vAlign w:val="center"/>
            <w:hideMark/>
          </w:tcPr>
          <w:p w14:paraId="53426F9C"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33.00</w:t>
            </w:r>
          </w:p>
        </w:tc>
        <w:tc>
          <w:tcPr>
            <w:tcW w:w="0" w:type="auto"/>
            <w:tcBorders>
              <w:top w:val="nil"/>
              <w:left w:val="nil"/>
              <w:bottom w:val="single" w:sz="4" w:space="0" w:color="auto"/>
              <w:right w:val="single" w:sz="4" w:space="0" w:color="auto"/>
            </w:tcBorders>
            <w:noWrap/>
            <w:vAlign w:val="center"/>
            <w:hideMark/>
          </w:tcPr>
          <w:p w14:paraId="36C08857"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20,196.00</w:t>
            </w:r>
          </w:p>
        </w:tc>
      </w:tr>
      <w:tr w:rsidR="0095419B" w:rsidRPr="0095419B" w14:paraId="34127F62"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663FD546"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ROURKELA</w:t>
            </w:r>
          </w:p>
        </w:tc>
        <w:tc>
          <w:tcPr>
            <w:tcW w:w="0" w:type="auto"/>
            <w:tcBorders>
              <w:top w:val="nil"/>
              <w:left w:val="nil"/>
              <w:bottom w:val="single" w:sz="4" w:space="0" w:color="auto"/>
              <w:right w:val="single" w:sz="4" w:space="0" w:color="auto"/>
            </w:tcBorders>
            <w:noWrap/>
            <w:vAlign w:val="center"/>
            <w:hideMark/>
          </w:tcPr>
          <w:p w14:paraId="39E5B92B"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872</w:t>
            </w:r>
          </w:p>
        </w:tc>
        <w:tc>
          <w:tcPr>
            <w:tcW w:w="0" w:type="auto"/>
            <w:tcBorders>
              <w:top w:val="nil"/>
              <w:left w:val="nil"/>
              <w:bottom w:val="single" w:sz="4" w:space="0" w:color="auto"/>
              <w:right w:val="single" w:sz="4" w:space="0" w:color="auto"/>
            </w:tcBorders>
            <w:noWrap/>
            <w:vAlign w:val="center"/>
            <w:hideMark/>
          </w:tcPr>
          <w:p w14:paraId="3CFD7F30"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33.00</w:t>
            </w:r>
          </w:p>
        </w:tc>
        <w:tc>
          <w:tcPr>
            <w:tcW w:w="0" w:type="auto"/>
            <w:tcBorders>
              <w:top w:val="nil"/>
              <w:left w:val="nil"/>
              <w:bottom w:val="single" w:sz="4" w:space="0" w:color="auto"/>
              <w:right w:val="single" w:sz="4" w:space="0" w:color="auto"/>
            </w:tcBorders>
            <w:noWrap/>
            <w:vAlign w:val="center"/>
            <w:hideMark/>
          </w:tcPr>
          <w:p w14:paraId="640522BC"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28,776.00</w:t>
            </w:r>
          </w:p>
        </w:tc>
      </w:tr>
      <w:tr w:rsidR="0095419B" w:rsidRPr="0095419B" w14:paraId="3A55A565"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44AD9A75" w14:textId="77777777" w:rsidR="0095419B" w:rsidRPr="0095419B" w:rsidRDefault="0095419B" w:rsidP="000F221E">
            <w:pPr>
              <w:jc w:val="center"/>
              <w:rPr>
                <w:rFonts w:asciiTheme="majorHAnsi" w:hAnsiTheme="majorHAnsi"/>
                <w:color w:val="000000"/>
              </w:rPr>
            </w:pPr>
            <w:r w:rsidRPr="0095419B">
              <w:rPr>
                <w:rFonts w:asciiTheme="majorHAnsi" w:hAnsiTheme="majorHAnsi" w:cs="Arial"/>
                <w:color w:val="000000"/>
              </w:rPr>
              <w:t>SAMBALPUR</w:t>
            </w:r>
          </w:p>
        </w:tc>
        <w:tc>
          <w:tcPr>
            <w:tcW w:w="0" w:type="auto"/>
            <w:tcBorders>
              <w:top w:val="nil"/>
              <w:left w:val="nil"/>
              <w:bottom w:val="single" w:sz="4" w:space="0" w:color="auto"/>
              <w:right w:val="single" w:sz="4" w:space="0" w:color="auto"/>
            </w:tcBorders>
            <w:noWrap/>
            <w:vAlign w:val="center"/>
            <w:hideMark/>
          </w:tcPr>
          <w:p w14:paraId="530B5BC3"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1,366</w:t>
            </w:r>
          </w:p>
        </w:tc>
        <w:tc>
          <w:tcPr>
            <w:tcW w:w="0" w:type="auto"/>
            <w:tcBorders>
              <w:top w:val="nil"/>
              <w:left w:val="nil"/>
              <w:bottom w:val="single" w:sz="4" w:space="0" w:color="auto"/>
              <w:right w:val="single" w:sz="4" w:space="0" w:color="auto"/>
            </w:tcBorders>
            <w:noWrap/>
            <w:vAlign w:val="center"/>
            <w:hideMark/>
          </w:tcPr>
          <w:p w14:paraId="75CC18D6"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33.00</w:t>
            </w:r>
          </w:p>
        </w:tc>
        <w:tc>
          <w:tcPr>
            <w:tcW w:w="0" w:type="auto"/>
            <w:tcBorders>
              <w:top w:val="nil"/>
              <w:left w:val="nil"/>
              <w:bottom w:val="single" w:sz="4" w:space="0" w:color="auto"/>
              <w:right w:val="single" w:sz="4" w:space="0" w:color="auto"/>
            </w:tcBorders>
            <w:noWrap/>
            <w:vAlign w:val="center"/>
            <w:hideMark/>
          </w:tcPr>
          <w:p w14:paraId="31E1B125" w14:textId="77777777" w:rsidR="0095419B" w:rsidRPr="0095419B" w:rsidRDefault="0095419B" w:rsidP="000F221E">
            <w:pPr>
              <w:jc w:val="center"/>
              <w:rPr>
                <w:rFonts w:asciiTheme="majorHAnsi" w:hAnsiTheme="majorHAnsi"/>
                <w:color w:val="000000"/>
              </w:rPr>
            </w:pPr>
            <w:r w:rsidRPr="0095419B">
              <w:rPr>
                <w:rFonts w:asciiTheme="majorHAnsi" w:hAnsiTheme="majorHAnsi"/>
                <w:color w:val="000000"/>
              </w:rPr>
              <w:t>₹ 45,078.00</w:t>
            </w:r>
          </w:p>
        </w:tc>
      </w:tr>
      <w:tr w:rsidR="0095419B" w:rsidRPr="0095419B" w14:paraId="214C660D" w14:textId="77777777" w:rsidTr="000F221E">
        <w:trPr>
          <w:trHeight w:val="290"/>
        </w:trPr>
        <w:tc>
          <w:tcPr>
            <w:tcW w:w="0" w:type="auto"/>
            <w:tcBorders>
              <w:top w:val="nil"/>
              <w:left w:val="single" w:sz="4" w:space="0" w:color="auto"/>
              <w:bottom w:val="single" w:sz="4" w:space="0" w:color="auto"/>
              <w:right w:val="single" w:sz="4" w:space="0" w:color="auto"/>
            </w:tcBorders>
            <w:noWrap/>
            <w:vAlign w:val="center"/>
            <w:hideMark/>
          </w:tcPr>
          <w:p w14:paraId="02B6DC14" w14:textId="77777777" w:rsidR="0095419B" w:rsidRPr="0095419B" w:rsidRDefault="0095419B" w:rsidP="000F221E">
            <w:pPr>
              <w:jc w:val="center"/>
              <w:rPr>
                <w:rFonts w:asciiTheme="majorHAnsi" w:hAnsiTheme="majorHAnsi"/>
                <w:b/>
                <w:bCs/>
                <w:color w:val="000000"/>
              </w:rPr>
            </w:pPr>
            <w:r w:rsidRPr="0095419B">
              <w:rPr>
                <w:rFonts w:asciiTheme="majorHAnsi" w:hAnsiTheme="majorHAnsi" w:cs="Arial"/>
                <w:b/>
                <w:bCs/>
                <w:color w:val="000000"/>
              </w:rPr>
              <w:t>TOTAL</w:t>
            </w:r>
          </w:p>
        </w:tc>
        <w:tc>
          <w:tcPr>
            <w:tcW w:w="0" w:type="auto"/>
            <w:tcBorders>
              <w:top w:val="nil"/>
              <w:left w:val="nil"/>
              <w:bottom w:val="single" w:sz="4" w:space="0" w:color="auto"/>
              <w:right w:val="single" w:sz="4" w:space="0" w:color="auto"/>
            </w:tcBorders>
            <w:noWrap/>
            <w:vAlign w:val="center"/>
            <w:hideMark/>
          </w:tcPr>
          <w:p w14:paraId="3C258A36"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4,221</w:t>
            </w:r>
          </w:p>
        </w:tc>
        <w:tc>
          <w:tcPr>
            <w:tcW w:w="0" w:type="auto"/>
            <w:tcBorders>
              <w:top w:val="nil"/>
              <w:left w:val="nil"/>
              <w:bottom w:val="single" w:sz="4" w:space="0" w:color="auto"/>
              <w:right w:val="single" w:sz="4" w:space="0" w:color="auto"/>
            </w:tcBorders>
            <w:noWrap/>
            <w:vAlign w:val="center"/>
            <w:hideMark/>
          </w:tcPr>
          <w:p w14:paraId="07341423"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33.00</w:t>
            </w:r>
          </w:p>
        </w:tc>
        <w:tc>
          <w:tcPr>
            <w:tcW w:w="0" w:type="auto"/>
            <w:tcBorders>
              <w:top w:val="nil"/>
              <w:left w:val="nil"/>
              <w:bottom w:val="single" w:sz="4" w:space="0" w:color="auto"/>
              <w:right w:val="single" w:sz="4" w:space="0" w:color="auto"/>
            </w:tcBorders>
            <w:noWrap/>
            <w:vAlign w:val="center"/>
            <w:hideMark/>
          </w:tcPr>
          <w:p w14:paraId="73F53703" w14:textId="77777777" w:rsidR="0095419B" w:rsidRPr="0095419B" w:rsidRDefault="0095419B" w:rsidP="000F221E">
            <w:pPr>
              <w:jc w:val="center"/>
              <w:rPr>
                <w:rFonts w:asciiTheme="majorHAnsi" w:hAnsiTheme="majorHAnsi"/>
                <w:b/>
                <w:bCs/>
                <w:color w:val="000000"/>
              </w:rPr>
            </w:pPr>
            <w:r w:rsidRPr="0095419B">
              <w:rPr>
                <w:rFonts w:asciiTheme="majorHAnsi" w:hAnsiTheme="majorHAnsi"/>
                <w:b/>
                <w:bCs/>
                <w:color w:val="000000"/>
              </w:rPr>
              <w:t>₹ 1,39,293.00</w:t>
            </w:r>
          </w:p>
        </w:tc>
      </w:tr>
    </w:tbl>
    <w:p w14:paraId="0AF3D339" w14:textId="77777777" w:rsidR="0095419B" w:rsidRPr="0095419B" w:rsidRDefault="0095419B" w:rsidP="0095419B">
      <w:pPr>
        <w:jc w:val="both"/>
        <w:rPr>
          <w:rFonts w:asciiTheme="majorHAnsi" w:hAnsiTheme="majorHAnsi"/>
        </w:rPr>
      </w:pPr>
    </w:p>
    <w:p w14:paraId="0FF44968" w14:textId="6C87DE3C" w:rsidR="003C789B" w:rsidRPr="00B07283" w:rsidRDefault="003C789B" w:rsidP="003C789B">
      <w:pPr>
        <w:spacing w:line="360" w:lineRule="auto"/>
        <w:jc w:val="both"/>
        <w:rPr>
          <w:rFonts w:asciiTheme="majorHAnsi" w:hAnsiTheme="majorHAnsi" w:cstheme="minorHAnsi"/>
          <w:b/>
          <w:bCs/>
          <w:u w:val="single"/>
        </w:rPr>
      </w:pPr>
      <w:r w:rsidRPr="00B07283">
        <w:rPr>
          <w:rFonts w:asciiTheme="majorHAnsi" w:hAnsiTheme="majorHAnsi" w:cstheme="minorHAnsi"/>
          <w:b/>
          <w:bCs/>
          <w:u w:val="single"/>
        </w:rPr>
        <w:t>Reasons for Escalation in MBC Expenses</w:t>
      </w:r>
    </w:p>
    <w:p w14:paraId="51B5EFBC" w14:textId="1BFF4BCF" w:rsidR="003C789B" w:rsidRPr="001608D7" w:rsidRDefault="003C789B" w:rsidP="001972DE">
      <w:pPr>
        <w:pStyle w:val="ListParagraph"/>
        <w:numPr>
          <w:ilvl w:val="0"/>
          <w:numId w:val="35"/>
        </w:numPr>
        <w:spacing w:line="360" w:lineRule="auto"/>
        <w:jc w:val="both"/>
        <w:rPr>
          <w:rFonts w:asciiTheme="majorHAnsi" w:hAnsiTheme="majorHAnsi" w:cstheme="minorHAnsi"/>
          <w:sz w:val="28"/>
          <w:szCs w:val="24"/>
        </w:rPr>
      </w:pPr>
      <w:r w:rsidRPr="001608D7">
        <w:rPr>
          <w:rFonts w:asciiTheme="majorHAnsi" w:hAnsiTheme="majorHAnsi" w:cstheme="minorHAnsi"/>
          <w:b/>
          <w:bCs/>
          <w:sz w:val="24"/>
        </w:rPr>
        <w:t>Increase in Minimum Wages</w:t>
      </w:r>
      <w:r w:rsidRPr="001608D7">
        <w:rPr>
          <w:rFonts w:asciiTheme="majorHAnsi" w:hAnsiTheme="majorHAnsi" w:cstheme="minorHAnsi"/>
          <w:sz w:val="24"/>
        </w:rPr>
        <w:t xml:space="preserve">: Government-mandated increases in minimum wages raise </w:t>
      </w:r>
      <w:r w:rsidR="00C534D8" w:rsidRPr="001608D7">
        <w:rPr>
          <w:rFonts w:asciiTheme="majorHAnsi" w:hAnsiTheme="majorHAnsi" w:cstheme="minorHAnsi"/>
          <w:sz w:val="24"/>
        </w:rPr>
        <w:t>labor</w:t>
      </w:r>
      <w:r w:rsidRPr="001608D7">
        <w:rPr>
          <w:rFonts w:asciiTheme="majorHAnsi" w:hAnsiTheme="majorHAnsi" w:cstheme="minorHAnsi"/>
          <w:sz w:val="24"/>
        </w:rPr>
        <w:t xml:space="preserve"> costs, directly impacting expenses for roles like meter readers and customer service personnel. Higher wages improve worker retention and satisfaction but lead to increased overall operating expenses. The Meter Readers involved in meter reading activities were earlier place</w:t>
      </w:r>
      <w:r w:rsidR="00DE77AC">
        <w:rPr>
          <w:rFonts w:asciiTheme="majorHAnsi" w:hAnsiTheme="majorHAnsi" w:cstheme="minorHAnsi"/>
          <w:sz w:val="24"/>
        </w:rPr>
        <w:t>d</w:t>
      </w:r>
      <w:r w:rsidRPr="001608D7">
        <w:rPr>
          <w:rFonts w:asciiTheme="majorHAnsi" w:hAnsiTheme="majorHAnsi" w:cstheme="minorHAnsi"/>
          <w:sz w:val="24"/>
        </w:rPr>
        <w:t xml:space="preserve"> under “Semi-skilled” category, which has now been ungraded to “Skilled” category. This, along with the revision in minimum wages has increased the</w:t>
      </w:r>
      <w:r w:rsidR="00DE77AC">
        <w:rPr>
          <w:rFonts w:asciiTheme="majorHAnsi" w:hAnsiTheme="majorHAnsi" w:cstheme="minorHAnsi"/>
          <w:sz w:val="24"/>
        </w:rPr>
        <w:t xml:space="preserve"> </w:t>
      </w:r>
      <w:r w:rsidRPr="001608D7">
        <w:rPr>
          <w:rFonts w:asciiTheme="majorHAnsi" w:hAnsiTheme="majorHAnsi" w:cstheme="minorHAnsi"/>
          <w:sz w:val="24"/>
        </w:rPr>
        <w:t>wage</w:t>
      </w:r>
      <w:r w:rsidR="00DE77AC">
        <w:rPr>
          <w:rFonts w:asciiTheme="majorHAnsi" w:hAnsiTheme="majorHAnsi" w:cstheme="minorHAnsi"/>
          <w:sz w:val="24"/>
        </w:rPr>
        <w:t xml:space="preserve"> impact</w:t>
      </w:r>
      <w:r w:rsidRPr="001608D7">
        <w:rPr>
          <w:rFonts w:asciiTheme="majorHAnsi" w:hAnsiTheme="majorHAnsi" w:cstheme="minorHAnsi"/>
          <w:sz w:val="24"/>
        </w:rPr>
        <w:t xml:space="preserve"> by 40%. </w:t>
      </w:r>
    </w:p>
    <w:p w14:paraId="7B6B9A26" w14:textId="01A97BDD" w:rsidR="003C789B" w:rsidRPr="001608D7" w:rsidRDefault="003C789B" w:rsidP="001972DE">
      <w:pPr>
        <w:pStyle w:val="ListParagraph"/>
        <w:numPr>
          <w:ilvl w:val="0"/>
          <w:numId w:val="35"/>
        </w:numPr>
        <w:spacing w:line="360" w:lineRule="auto"/>
        <w:jc w:val="both"/>
        <w:rPr>
          <w:rFonts w:asciiTheme="majorHAnsi" w:hAnsiTheme="majorHAnsi" w:cstheme="minorHAnsi"/>
          <w:sz w:val="24"/>
          <w:szCs w:val="24"/>
        </w:rPr>
      </w:pPr>
      <w:r w:rsidRPr="001608D7">
        <w:rPr>
          <w:rFonts w:asciiTheme="majorHAnsi" w:hAnsiTheme="majorHAnsi" w:cstheme="minorHAnsi"/>
          <w:b/>
          <w:bCs/>
          <w:sz w:val="24"/>
          <w:szCs w:val="24"/>
        </w:rPr>
        <w:t>Increase in Billable Consumer Base</w:t>
      </w:r>
      <w:r w:rsidRPr="001608D7">
        <w:rPr>
          <w:rFonts w:asciiTheme="majorHAnsi" w:hAnsiTheme="majorHAnsi" w:cstheme="minorHAnsi"/>
          <w:sz w:val="24"/>
          <w:szCs w:val="24"/>
        </w:rPr>
        <w:t>: With a growing number of consumers, the demand for resources such as meter readers, billing operations, and customer service support also rises. This expansion requires additional manpower, technology, and infrastructure, leading to higher operational costs.</w:t>
      </w:r>
    </w:p>
    <w:p w14:paraId="34BE9BA8" w14:textId="267D6B08" w:rsidR="009C6AE7" w:rsidRPr="00636E05" w:rsidRDefault="009C6AE7" w:rsidP="00636E05">
      <w:pPr>
        <w:spacing w:line="360" w:lineRule="auto"/>
        <w:jc w:val="both"/>
        <w:rPr>
          <w:rFonts w:ascii="Calibri" w:eastAsia="Calibri" w:hAnsi="Calibri" w:cs="Calibri"/>
          <w:b/>
          <w:bCs/>
          <w:u w:val="single"/>
        </w:rPr>
      </w:pPr>
      <w:bookmarkStart w:id="43" w:name="_Toc183802810"/>
      <w:r w:rsidRPr="00636E05">
        <w:rPr>
          <w:rFonts w:asciiTheme="majorHAnsi" w:hAnsiTheme="majorHAnsi"/>
          <w:b/>
          <w:bCs/>
          <w:u w:val="single"/>
        </w:rPr>
        <w:t>Revenue Collection and Recovery Initiatives</w:t>
      </w:r>
      <w:bookmarkEnd w:id="43"/>
      <w:r w:rsidR="00636E05">
        <w:rPr>
          <w:rFonts w:asciiTheme="majorHAnsi" w:hAnsiTheme="majorHAnsi"/>
          <w:b/>
          <w:bCs/>
          <w:u w:val="single"/>
        </w:rPr>
        <w:t>:</w:t>
      </w:r>
    </w:p>
    <w:p w14:paraId="0F663FC5" w14:textId="44DAFF24" w:rsidR="009C6AE7" w:rsidRPr="00DF31C8" w:rsidRDefault="009C6AE7" w:rsidP="00A207D8">
      <w:pPr>
        <w:spacing w:beforeLines="100" w:before="240" w:afterLines="100" w:after="240" w:line="360" w:lineRule="auto"/>
        <w:jc w:val="both"/>
        <w:rPr>
          <w:rFonts w:asciiTheme="majorHAnsi" w:eastAsia="Calibri" w:hAnsiTheme="majorHAnsi" w:cs="Calibri"/>
        </w:rPr>
      </w:pPr>
      <w:r w:rsidRPr="00DF31C8">
        <w:rPr>
          <w:rFonts w:asciiTheme="majorHAnsi" w:eastAsia="Calibri" w:hAnsiTheme="majorHAnsi" w:cs="Calibri"/>
        </w:rPr>
        <w:t xml:space="preserve">With the vision of initiating the structured and proper course of the reform process, TPWODL has introduced a system of competitive bidding with proper checks and balances for the appointment of Division wise collection Agencies.  Thereby, after going through the complete process of competitive bidding in a transparent manner, </w:t>
      </w:r>
      <w:r w:rsidR="002C31DF">
        <w:rPr>
          <w:rFonts w:asciiTheme="majorHAnsi" w:eastAsia="Calibri" w:hAnsiTheme="majorHAnsi" w:cs="Calibri"/>
        </w:rPr>
        <w:t>11</w:t>
      </w:r>
      <w:r w:rsidRPr="00DF31C8">
        <w:rPr>
          <w:rFonts w:asciiTheme="majorHAnsi" w:eastAsia="Calibri" w:hAnsiTheme="majorHAnsi" w:cs="Calibri"/>
        </w:rPr>
        <w:t xml:space="preserve"> Agencies were appointed and</w:t>
      </w:r>
      <w:r w:rsidR="00A207D8" w:rsidRPr="00A207D8">
        <w:rPr>
          <w:rFonts w:asciiTheme="majorHAnsi" w:eastAsia="Calibri" w:hAnsiTheme="majorHAnsi" w:cs="Calibri"/>
        </w:rPr>
        <w:t xml:space="preserve"> started their Revenue Collection activity from Aug 2025 to carry out performance-based tasks of Revenue Collection in their assigned Divisions.</w:t>
      </w:r>
      <w:r w:rsidRPr="00DF31C8">
        <w:rPr>
          <w:rFonts w:asciiTheme="majorHAnsi" w:eastAsia="Calibri" w:hAnsiTheme="majorHAnsi" w:cs="Calibri"/>
        </w:rPr>
        <w:t xml:space="preserve"> </w:t>
      </w:r>
    </w:p>
    <w:p w14:paraId="60A923D5" w14:textId="6730E6CC" w:rsidR="009C6AE7" w:rsidRPr="00DF31C8" w:rsidRDefault="00FF4EB0" w:rsidP="00923A86">
      <w:pPr>
        <w:spacing w:beforeLines="100" w:before="240" w:afterLines="100" w:after="240" w:line="360" w:lineRule="auto"/>
        <w:jc w:val="both"/>
        <w:rPr>
          <w:rFonts w:asciiTheme="majorHAnsi" w:eastAsia="Calibri" w:hAnsiTheme="majorHAnsi" w:cs="Calibri"/>
        </w:rPr>
      </w:pPr>
      <w:r w:rsidRPr="00FF4EB0">
        <w:rPr>
          <w:rFonts w:asciiTheme="majorHAnsi" w:eastAsia="Calibri" w:hAnsiTheme="majorHAnsi" w:cs="Calibri"/>
        </w:rPr>
        <w:t>With the vision of accommodating the future requirements and dynamic needs of the organization, the broader spectrum of performance parameters such as training &amp; development of BA employees on the new Collection system namely the MUDRA and E</w:t>
      </w:r>
      <w:r w:rsidR="00C534D8">
        <w:rPr>
          <w:rFonts w:asciiTheme="majorHAnsi" w:eastAsia="Calibri" w:hAnsiTheme="majorHAnsi" w:cs="Calibri"/>
        </w:rPr>
        <w:t xml:space="preserve">ZETAP application </w:t>
      </w:r>
      <w:r w:rsidRPr="00FF4EB0">
        <w:rPr>
          <w:rFonts w:asciiTheme="majorHAnsi" w:eastAsia="Calibri" w:hAnsiTheme="majorHAnsi" w:cs="Calibri"/>
        </w:rPr>
        <w:t>are taken into consideration while deciding the scope of service level agreements with the agencies. The Division wise details of the Agencies appointed is as follows:</w:t>
      </w:r>
    </w:p>
    <w:tbl>
      <w:tblPr>
        <w:tblW w:w="7787" w:type="dxa"/>
        <w:jc w:val="center"/>
        <w:tblLook w:val="04A0" w:firstRow="1" w:lastRow="0" w:firstColumn="1" w:lastColumn="0" w:noHBand="0" w:noVBand="1"/>
      </w:tblPr>
      <w:tblGrid>
        <w:gridCol w:w="3363"/>
        <w:gridCol w:w="4424"/>
      </w:tblGrid>
      <w:tr w:rsidR="000D2DF5" w:rsidRPr="000D2DF5" w14:paraId="053E6AC1" w14:textId="77777777" w:rsidTr="00C25A8B">
        <w:trPr>
          <w:trHeight w:val="330"/>
          <w:jc w:val="center"/>
        </w:trPr>
        <w:tc>
          <w:tcPr>
            <w:tcW w:w="7787" w:type="dxa"/>
            <w:gridSpan w:val="2"/>
            <w:tcBorders>
              <w:top w:val="single" w:sz="4" w:space="0" w:color="auto"/>
              <w:left w:val="single" w:sz="4" w:space="0" w:color="auto"/>
              <w:bottom w:val="single" w:sz="4" w:space="0" w:color="auto"/>
              <w:right w:val="single" w:sz="4" w:space="0" w:color="auto"/>
            </w:tcBorders>
            <w:noWrap/>
            <w:vAlign w:val="center"/>
            <w:hideMark/>
          </w:tcPr>
          <w:p w14:paraId="5E9E981D" w14:textId="77777777" w:rsidR="000D2DF5" w:rsidRPr="000D2DF5" w:rsidRDefault="000D2DF5" w:rsidP="000F221E">
            <w:pPr>
              <w:spacing w:line="256" w:lineRule="auto"/>
              <w:jc w:val="both"/>
              <w:rPr>
                <w:rFonts w:asciiTheme="majorHAnsi" w:hAnsiTheme="majorHAnsi" w:cs="Calibri"/>
                <w:b/>
                <w:bCs/>
                <w:color w:val="000000"/>
                <w:lang w:val="en-IN" w:eastAsia="en-IN"/>
              </w:rPr>
            </w:pPr>
            <w:r w:rsidRPr="000D2DF5">
              <w:rPr>
                <w:rFonts w:asciiTheme="majorHAnsi" w:hAnsiTheme="majorHAnsi" w:cs="Calibri"/>
                <w:b/>
                <w:bCs/>
              </w:rPr>
              <w:t xml:space="preserve">DIVISION WISE REVENUE COLLECTION AGENCIES APPOINTED </w:t>
            </w:r>
          </w:p>
        </w:tc>
      </w:tr>
      <w:tr w:rsidR="000D2DF5" w:rsidRPr="000D2DF5" w14:paraId="711DE07C" w14:textId="77777777" w:rsidTr="00C25A8B">
        <w:trPr>
          <w:trHeight w:val="300"/>
          <w:jc w:val="center"/>
        </w:trPr>
        <w:tc>
          <w:tcPr>
            <w:tcW w:w="3363" w:type="dxa"/>
            <w:tcBorders>
              <w:top w:val="single" w:sz="4" w:space="0" w:color="auto"/>
              <w:left w:val="single" w:sz="4" w:space="0" w:color="auto"/>
              <w:bottom w:val="single" w:sz="4" w:space="0" w:color="auto"/>
              <w:right w:val="single" w:sz="4" w:space="0" w:color="auto"/>
            </w:tcBorders>
            <w:noWrap/>
            <w:vAlign w:val="center"/>
            <w:hideMark/>
          </w:tcPr>
          <w:p w14:paraId="469215E6" w14:textId="77777777" w:rsidR="000D2DF5" w:rsidRPr="000D2DF5" w:rsidRDefault="000D2DF5" w:rsidP="000F221E">
            <w:pPr>
              <w:spacing w:line="256" w:lineRule="auto"/>
              <w:jc w:val="both"/>
              <w:rPr>
                <w:rFonts w:asciiTheme="majorHAnsi" w:hAnsiTheme="majorHAnsi" w:cs="Calibri"/>
                <w:b/>
                <w:bCs/>
                <w:color w:val="000000"/>
              </w:rPr>
            </w:pPr>
            <w:r w:rsidRPr="000D2DF5">
              <w:rPr>
                <w:rFonts w:asciiTheme="majorHAnsi" w:hAnsiTheme="majorHAnsi" w:cs="Calibri"/>
                <w:b/>
                <w:bCs/>
                <w:color w:val="000000"/>
              </w:rPr>
              <w:t>Name Of Division</w:t>
            </w:r>
          </w:p>
        </w:tc>
        <w:tc>
          <w:tcPr>
            <w:tcW w:w="4424" w:type="dxa"/>
            <w:tcBorders>
              <w:top w:val="single" w:sz="4" w:space="0" w:color="auto"/>
              <w:left w:val="nil"/>
              <w:bottom w:val="single" w:sz="4" w:space="0" w:color="auto"/>
              <w:right w:val="single" w:sz="4" w:space="0" w:color="auto"/>
            </w:tcBorders>
            <w:noWrap/>
            <w:vAlign w:val="center"/>
            <w:hideMark/>
          </w:tcPr>
          <w:p w14:paraId="6D5F03B3" w14:textId="77777777" w:rsidR="000D2DF5" w:rsidRPr="000D2DF5" w:rsidRDefault="000D2DF5" w:rsidP="000F221E">
            <w:pPr>
              <w:spacing w:line="256" w:lineRule="auto"/>
              <w:jc w:val="both"/>
              <w:rPr>
                <w:rFonts w:asciiTheme="majorHAnsi" w:hAnsiTheme="majorHAnsi" w:cs="Calibri"/>
                <w:b/>
                <w:bCs/>
                <w:color w:val="000000"/>
              </w:rPr>
            </w:pPr>
            <w:r w:rsidRPr="000D2DF5">
              <w:rPr>
                <w:rFonts w:asciiTheme="majorHAnsi" w:hAnsiTheme="majorHAnsi" w:cs="Calibri"/>
                <w:b/>
                <w:bCs/>
                <w:color w:val="000000"/>
              </w:rPr>
              <w:t>Name of Agency</w:t>
            </w:r>
          </w:p>
        </w:tc>
      </w:tr>
      <w:tr w:rsidR="000D2DF5" w:rsidRPr="000D2DF5" w14:paraId="7EEA7627" w14:textId="77777777" w:rsidTr="00C25A8B">
        <w:trPr>
          <w:trHeight w:val="300"/>
          <w:jc w:val="center"/>
        </w:trPr>
        <w:tc>
          <w:tcPr>
            <w:tcW w:w="3363" w:type="dxa"/>
            <w:tcBorders>
              <w:top w:val="single" w:sz="4" w:space="0" w:color="auto"/>
              <w:left w:val="single" w:sz="4" w:space="0" w:color="auto"/>
              <w:bottom w:val="single" w:sz="4" w:space="0" w:color="auto"/>
              <w:right w:val="single" w:sz="4" w:space="0" w:color="auto"/>
            </w:tcBorders>
            <w:noWrap/>
            <w:vAlign w:val="center"/>
            <w:hideMark/>
          </w:tcPr>
          <w:p w14:paraId="2239FBFF" w14:textId="3756F6FE" w:rsidR="000D2DF5" w:rsidRPr="000D2DF5" w:rsidRDefault="000D2DF5" w:rsidP="000F221E">
            <w:pPr>
              <w:spacing w:line="256" w:lineRule="auto"/>
              <w:jc w:val="both"/>
              <w:rPr>
                <w:rFonts w:asciiTheme="majorHAnsi" w:hAnsiTheme="majorHAnsi" w:cs="Calibri"/>
                <w:color w:val="000000"/>
              </w:rPr>
            </w:pPr>
            <w:r w:rsidRPr="000D2DF5">
              <w:rPr>
                <w:rFonts w:asciiTheme="majorHAnsi" w:hAnsiTheme="majorHAnsi" w:cs="Calibri"/>
                <w:color w:val="000000"/>
              </w:rPr>
              <w:t xml:space="preserve">BED </w:t>
            </w:r>
            <w:r w:rsidR="00C534D8">
              <w:rPr>
                <w:rFonts w:asciiTheme="majorHAnsi" w:hAnsiTheme="majorHAnsi" w:cs="Calibri"/>
                <w:color w:val="000000"/>
              </w:rPr>
              <w:t>BOLANGIR</w:t>
            </w:r>
          </w:p>
        </w:tc>
        <w:tc>
          <w:tcPr>
            <w:tcW w:w="4424" w:type="dxa"/>
            <w:tcBorders>
              <w:top w:val="single" w:sz="4" w:space="0" w:color="auto"/>
              <w:left w:val="nil"/>
              <w:bottom w:val="single" w:sz="4" w:space="0" w:color="auto"/>
              <w:right w:val="single" w:sz="4" w:space="0" w:color="auto"/>
            </w:tcBorders>
            <w:noWrap/>
            <w:vAlign w:val="center"/>
            <w:hideMark/>
          </w:tcPr>
          <w:p w14:paraId="25851E5C" w14:textId="77777777" w:rsidR="000D2DF5" w:rsidRPr="000D2DF5" w:rsidRDefault="000D2DF5" w:rsidP="000F221E">
            <w:pPr>
              <w:spacing w:line="256" w:lineRule="auto"/>
              <w:jc w:val="both"/>
              <w:rPr>
                <w:rFonts w:asciiTheme="majorHAnsi" w:hAnsiTheme="majorHAnsi" w:cs="Calibri"/>
                <w:color w:val="000000"/>
                <w:lang w:val="en-IN"/>
              </w:rPr>
            </w:pPr>
            <w:r w:rsidRPr="000D2DF5">
              <w:rPr>
                <w:rFonts w:asciiTheme="majorHAnsi" w:hAnsiTheme="majorHAnsi" w:cs="Calibri"/>
                <w:color w:val="000000"/>
                <w:lang w:val="en-IN"/>
              </w:rPr>
              <w:t>Nirmal Kumar Samantaray</w:t>
            </w:r>
          </w:p>
        </w:tc>
      </w:tr>
      <w:tr w:rsidR="000D2DF5" w:rsidRPr="000D2DF5" w14:paraId="09363E14" w14:textId="77777777" w:rsidTr="00C25A8B">
        <w:trPr>
          <w:trHeight w:val="300"/>
          <w:jc w:val="center"/>
        </w:trPr>
        <w:tc>
          <w:tcPr>
            <w:tcW w:w="33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C3A1FE" w14:textId="77777777" w:rsidR="000D2DF5" w:rsidRPr="000D2DF5" w:rsidRDefault="000D2DF5" w:rsidP="000F221E">
            <w:pPr>
              <w:spacing w:line="256" w:lineRule="auto"/>
              <w:jc w:val="both"/>
              <w:rPr>
                <w:rFonts w:asciiTheme="majorHAnsi" w:hAnsiTheme="majorHAnsi" w:cs="Calibri"/>
                <w:color w:val="000000"/>
              </w:rPr>
            </w:pPr>
            <w:r w:rsidRPr="000D2DF5">
              <w:rPr>
                <w:rFonts w:asciiTheme="majorHAnsi" w:hAnsiTheme="majorHAnsi" w:cs="Calibri"/>
                <w:color w:val="000000"/>
              </w:rPr>
              <w:t>SED SONEPUR</w:t>
            </w:r>
          </w:p>
        </w:tc>
        <w:tc>
          <w:tcPr>
            <w:tcW w:w="4424" w:type="dxa"/>
            <w:tcBorders>
              <w:top w:val="single" w:sz="4" w:space="0" w:color="auto"/>
              <w:left w:val="nil"/>
              <w:bottom w:val="single" w:sz="4" w:space="0" w:color="auto"/>
              <w:right w:val="single" w:sz="4" w:space="0" w:color="auto"/>
            </w:tcBorders>
            <w:shd w:val="clear" w:color="auto" w:fill="FFFFFF"/>
            <w:noWrap/>
            <w:vAlign w:val="center"/>
            <w:hideMark/>
          </w:tcPr>
          <w:p w14:paraId="032A4F70" w14:textId="77777777" w:rsidR="000D2DF5" w:rsidRPr="000D2DF5" w:rsidRDefault="000D2DF5" w:rsidP="000F221E">
            <w:pPr>
              <w:spacing w:line="256" w:lineRule="auto"/>
              <w:jc w:val="both"/>
              <w:rPr>
                <w:rFonts w:asciiTheme="majorHAnsi" w:hAnsiTheme="majorHAnsi" w:cs="Calibri"/>
                <w:color w:val="000000"/>
              </w:rPr>
            </w:pPr>
            <w:r w:rsidRPr="000D2DF5">
              <w:rPr>
                <w:rFonts w:asciiTheme="majorHAnsi" w:hAnsiTheme="majorHAnsi" w:cs="Calibri"/>
                <w:color w:val="000000"/>
              </w:rPr>
              <w:t>Subhendu Dash</w:t>
            </w:r>
          </w:p>
        </w:tc>
      </w:tr>
      <w:tr w:rsidR="000D2DF5" w:rsidRPr="000D2DF5" w14:paraId="44776C16" w14:textId="77777777" w:rsidTr="00C25A8B">
        <w:trPr>
          <w:trHeight w:val="300"/>
          <w:jc w:val="center"/>
        </w:trPr>
        <w:tc>
          <w:tcPr>
            <w:tcW w:w="33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0F83633" w14:textId="77777777" w:rsidR="000D2DF5" w:rsidRPr="000D2DF5" w:rsidRDefault="000D2DF5" w:rsidP="000F221E">
            <w:pPr>
              <w:spacing w:line="256" w:lineRule="auto"/>
              <w:jc w:val="both"/>
              <w:rPr>
                <w:rFonts w:asciiTheme="majorHAnsi" w:hAnsiTheme="majorHAnsi" w:cs="Calibri"/>
                <w:color w:val="000000"/>
              </w:rPr>
            </w:pPr>
            <w:r w:rsidRPr="000D2DF5">
              <w:rPr>
                <w:rFonts w:asciiTheme="majorHAnsi" w:hAnsiTheme="majorHAnsi" w:cs="Calibri"/>
                <w:color w:val="000000"/>
              </w:rPr>
              <w:t>TED TITILAGARH</w:t>
            </w:r>
          </w:p>
        </w:tc>
        <w:tc>
          <w:tcPr>
            <w:tcW w:w="4424" w:type="dxa"/>
            <w:tcBorders>
              <w:top w:val="single" w:sz="4" w:space="0" w:color="auto"/>
              <w:left w:val="nil"/>
              <w:bottom w:val="single" w:sz="4" w:space="0" w:color="auto"/>
              <w:right w:val="single" w:sz="4" w:space="0" w:color="auto"/>
            </w:tcBorders>
            <w:shd w:val="clear" w:color="auto" w:fill="FFFFFF"/>
            <w:noWrap/>
            <w:vAlign w:val="center"/>
            <w:hideMark/>
          </w:tcPr>
          <w:p w14:paraId="4D43FE16" w14:textId="77777777" w:rsidR="000D2DF5" w:rsidRPr="000D2DF5" w:rsidRDefault="000D2DF5" w:rsidP="000F221E">
            <w:pPr>
              <w:spacing w:line="256" w:lineRule="auto"/>
              <w:jc w:val="both"/>
              <w:rPr>
                <w:rFonts w:asciiTheme="majorHAnsi" w:hAnsiTheme="majorHAnsi" w:cs="Calibri"/>
                <w:color w:val="000000"/>
                <w:lang w:val="en-IN"/>
              </w:rPr>
            </w:pPr>
            <w:r w:rsidRPr="000D2DF5">
              <w:rPr>
                <w:rFonts w:asciiTheme="majorHAnsi" w:hAnsiTheme="majorHAnsi" w:cs="Calibri"/>
                <w:color w:val="000000"/>
              </w:rPr>
              <w:t>S R Electricals and construction</w:t>
            </w:r>
          </w:p>
        </w:tc>
      </w:tr>
      <w:tr w:rsidR="000D2DF5" w:rsidRPr="000D2DF5" w14:paraId="464F63F4" w14:textId="77777777" w:rsidTr="00C25A8B">
        <w:trPr>
          <w:trHeight w:val="300"/>
          <w:jc w:val="center"/>
        </w:trPr>
        <w:tc>
          <w:tcPr>
            <w:tcW w:w="33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47A5B17" w14:textId="77777777" w:rsidR="000D2DF5" w:rsidRPr="000D2DF5" w:rsidRDefault="000D2DF5" w:rsidP="000F221E">
            <w:pPr>
              <w:spacing w:line="256" w:lineRule="auto"/>
              <w:jc w:val="both"/>
              <w:rPr>
                <w:rFonts w:asciiTheme="majorHAnsi" w:hAnsiTheme="majorHAnsi" w:cs="Calibri"/>
                <w:color w:val="000000"/>
              </w:rPr>
            </w:pPr>
            <w:r w:rsidRPr="000D2DF5">
              <w:rPr>
                <w:rFonts w:asciiTheme="majorHAnsi" w:hAnsiTheme="majorHAnsi" w:cs="Calibri"/>
                <w:color w:val="000000"/>
              </w:rPr>
              <w:t>BED BARGARH</w:t>
            </w:r>
          </w:p>
        </w:tc>
        <w:tc>
          <w:tcPr>
            <w:tcW w:w="4424" w:type="dxa"/>
            <w:tcBorders>
              <w:top w:val="single" w:sz="4" w:space="0" w:color="auto"/>
              <w:left w:val="nil"/>
              <w:bottom w:val="single" w:sz="4" w:space="0" w:color="auto"/>
              <w:right w:val="single" w:sz="4" w:space="0" w:color="auto"/>
            </w:tcBorders>
            <w:shd w:val="clear" w:color="auto" w:fill="FFFFFF"/>
            <w:noWrap/>
            <w:vAlign w:val="center"/>
            <w:hideMark/>
          </w:tcPr>
          <w:p w14:paraId="550545B0" w14:textId="77777777" w:rsidR="000D2DF5" w:rsidRPr="000D2DF5" w:rsidRDefault="000D2DF5" w:rsidP="000F221E">
            <w:pPr>
              <w:spacing w:line="256" w:lineRule="auto"/>
              <w:jc w:val="both"/>
              <w:rPr>
                <w:rFonts w:asciiTheme="majorHAnsi" w:hAnsiTheme="majorHAnsi" w:cs="Calibri"/>
                <w:color w:val="000000"/>
                <w:lang w:val="en-IN"/>
              </w:rPr>
            </w:pPr>
            <w:r w:rsidRPr="000D2DF5">
              <w:rPr>
                <w:rFonts w:asciiTheme="majorHAnsi" w:hAnsiTheme="majorHAnsi" w:cs="Calibri"/>
                <w:color w:val="000000"/>
              </w:rPr>
              <w:t>Amman Associated Services Pvt Ltd</w:t>
            </w:r>
          </w:p>
        </w:tc>
      </w:tr>
      <w:tr w:rsidR="000D2DF5" w:rsidRPr="000D2DF5" w14:paraId="72536DB0" w14:textId="77777777" w:rsidTr="00C25A8B">
        <w:trPr>
          <w:trHeight w:val="300"/>
          <w:jc w:val="center"/>
        </w:trPr>
        <w:tc>
          <w:tcPr>
            <w:tcW w:w="33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BA5A82" w14:textId="77777777" w:rsidR="000D2DF5" w:rsidRPr="000D2DF5" w:rsidRDefault="000D2DF5" w:rsidP="000F221E">
            <w:pPr>
              <w:spacing w:line="256" w:lineRule="auto"/>
              <w:jc w:val="both"/>
              <w:rPr>
                <w:rFonts w:asciiTheme="majorHAnsi" w:hAnsiTheme="majorHAnsi" w:cs="Calibri"/>
                <w:color w:val="000000"/>
              </w:rPr>
            </w:pPr>
            <w:r w:rsidRPr="000D2DF5">
              <w:rPr>
                <w:rFonts w:asciiTheme="majorHAnsi" w:hAnsiTheme="majorHAnsi" w:cs="Calibri"/>
                <w:color w:val="000000"/>
              </w:rPr>
              <w:t>BWED BARGARH</w:t>
            </w:r>
          </w:p>
        </w:tc>
        <w:tc>
          <w:tcPr>
            <w:tcW w:w="4424" w:type="dxa"/>
            <w:tcBorders>
              <w:top w:val="single" w:sz="4" w:space="0" w:color="auto"/>
              <w:left w:val="nil"/>
              <w:bottom w:val="single" w:sz="4" w:space="0" w:color="auto"/>
              <w:right w:val="single" w:sz="4" w:space="0" w:color="auto"/>
            </w:tcBorders>
            <w:shd w:val="clear" w:color="auto" w:fill="FFFFFF"/>
            <w:noWrap/>
            <w:vAlign w:val="center"/>
            <w:hideMark/>
          </w:tcPr>
          <w:p w14:paraId="7E2F2961" w14:textId="77777777" w:rsidR="000D2DF5" w:rsidRPr="000D2DF5" w:rsidRDefault="000D2DF5" w:rsidP="000F221E">
            <w:pPr>
              <w:spacing w:line="256" w:lineRule="auto"/>
              <w:jc w:val="both"/>
              <w:rPr>
                <w:rFonts w:asciiTheme="majorHAnsi" w:hAnsiTheme="majorHAnsi" w:cs="Calibri"/>
                <w:color w:val="000000"/>
                <w:lang w:val="en-IN"/>
              </w:rPr>
            </w:pPr>
            <w:proofErr w:type="spellStart"/>
            <w:r w:rsidRPr="000D2DF5">
              <w:rPr>
                <w:rFonts w:asciiTheme="majorHAnsi" w:hAnsiTheme="majorHAnsi" w:cs="Calibri"/>
                <w:color w:val="000000"/>
                <w:lang w:val="en-IN"/>
              </w:rPr>
              <w:t>Sujanix</w:t>
            </w:r>
            <w:proofErr w:type="spellEnd"/>
            <w:r w:rsidRPr="000D2DF5">
              <w:rPr>
                <w:rFonts w:asciiTheme="majorHAnsi" w:hAnsiTheme="majorHAnsi" w:cs="Calibri"/>
                <w:color w:val="000000"/>
                <w:lang w:val="en-IN"/>
              </w:rPr>
              <w:t xml:space="preserve"> Pvt Ltd</w:t>
            </w:r>
          </w:p>
        </w:tc>
      </w:tr>
      <w:tr w:rsidR="000D2DF5" w:rsidRPr="000D2DF5" w14:paraId="6087D38A" w14:textId="77777777" w:rsidTr="00C25A8B">
        <w:trPr>
          <w:trHeight w:val="300"/>
          <w:jc w:val="center"/>
        </w:trPr>
        <w:tc>
          <w:tcPr>
            <w:tcW w:w="33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5A3F818" w14:textId="77777777" w:rsidR="000D2DF5" w:rsidRPr="000D2DF5" w:rsidRDefault="000D2DF5" w:rsidP="000F221E">
            <w:pPr>
              <w:spacing w:line="256" w:lineRule="auto"/>
              <w:jc w:val="both"/>
              <w:rPr>
                <w:rFonts w:asciiTheme="majorHAnsi" w:hAnsiTheme="majorHAnsi" w:cs="Calibri"/>
                <w:color w:val="000000"/>
              </w:rPr>
            </w:pPr>
            <w:r w:rsidRPr="000D2DF5">
              <w:rPr>
                <w:rFonts w:asciiTheme="majorHAnsi" w:hAnsiTheme="majorHAnsi" w:cs="Calibri"/>
                <w:color w:val="000000"/>
              </w:rPr>
              <w:t>KEED BHAWANIPATNA</w:t>
            </w:r>
          </w:p>
        </w:tc>
        <w:tc>
          <w:tcPr>
            <w:tcW w:w="4424" w:type="dxa"/>
            <w:tcBorders>
              <w:top w:val="single" w:sz="4" w:space="0" w:color="auto"/>
              <w:left w:val="nil"/>
              <w:bottom w:val="single" w:sz="4" w:space="0" w:color="auto"/>
              <w:right w:val="single" w:sz="4" w:space="0" w:color="auto"/>
            </w:tcBorders>
            <w:shd w:val="clear" w:color="auto" w:fill="FFFFFF"/>
            <w:noWrap/>
            <w:vAlign w:val="center"/>
            <w:hideMark/>
          </w:tcPr>
          <w:p w14:paraId="7E716DA2" w14:textId="77777777" w:rsidR="000D2DF5" w:rsidRPr="000D2DF5" w:rsidRDefault="000D2DF5" w:rsidP="000F221E">
            <w:pPr>
              <w:spacing w:line="256" w:lineRule="auto"/>
              <w:jc w:val="both"/>
              <w:rPr>
                <w:rFonts w:asciiTheme="majorHAnsi" w:hAnsiTheme="majorHAnsi" w:cs="Calibri"/>
                <w:color w:val="000000"/>
                <w:lang w:val="en-IN"/>
              </w:rPr>
            </w:pPr>
            <w:proofErr w:type="spellStart"/>
            <w:r w:rsidRPr="000D2DF5">
              <w:rPr>
                <w:rFonts w:asciiTheme="majorHAnsi" w:hAnsiTheme="majorHAnsi" w:cs="Calibri"/>
                <w:color w:val="000000"/>
                <w:lang w:val="en-IN"/>
              </w:rPr>
              <w:t>Susanta</w:t>
            </w:r>
            <w:proofErr w:type="spellEnd"/>
            <w:r w:rsidRPr="000D2DF5">
              <w:rPr>
                <w:rFonts w:asciiTheme="majorHAnsi" w:hAnsiTheme="majorHAnsi" w:cs="Calibri"/>
                <w:color w:val="000000"/>
                <w:lang w:val="en-IN"/>
              </w:rPr>
              <w:t xml:space="preserve"> Pattanaik</w:t>
            </w:r>
          </w:p>
        </w:tc>
      </w:tr>
      <w:tr w:rsidR="000D2DF5" w:rsidRPr="000D2DF5" w14:paraId="0CA13A04" w14:textId="77777777" w:rsidTr="00C25A8B">
        <w:trPr>
          <w:trHeight w:val="300"/>
          <w:jc w:val="center"/>
        </w:trPr>
        <w:tc>
          <w:tcPr>
            <w:tcW w:w="33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CB405B" w14:textId="77777777" w:rsidR="000D2DF5" w:rsidRPr="000D2DF5" w:rsidRDefault="000D2DF5" w:rsidP="000F221E">
            <w:pPr>
              <w:spacing w:line="256" w:lineRule="auto"/>
              <w:jc w:val="both"/>
              <w:rPr>
                <w:rFonts w:asciiTheme="majorHAnsi" w:hAnsiTheme="majorHAnsi" w:cs="Calibri"/>
                <w:color w:val="000000"/>
              </w:rPr>
            </w:pPr>
            <w:r w:rsidRPr="000D2DF5">
              <w:rPr>
                <w:rFonts w:asciiTheme="majorHAnsi" w:hAnsiTheme="majorHAnsi" w:cs="Calibri"/>
                <w:color w:val="000000"/>
              </w:rPr>
              <w:t>KWED BHAWANIPATNA</w:t>
            </w:r>
          </w:p>
        </w:tc>
        <w:tc>
          <w:tcPr>
            <w:tcW w:w="4424" w:type="dxa"/>
            <w:tcBorders>
              <w:top w:val="single" w:sz="4" w:space="0" w:color="auto"/>
              <w:left w:val="nil"/>
              <w:bottom w:val="single" w:sz="4" w:space="0" w:color="auto"/>
              <w:right w:val="single" w:sz="4" w:space="0" w:color="auto"/>
            </w:tcBorders>
            <w:shd w:val="clear" w:color="auto" w:fill="FFFFFF"/>
            <w:noWrap/>
            <w:vAlign w:val="center"/>
            <w:hideMark/>
          </w:tcPr>
          <w:p w14:paraId="7170BA1F" w14:textId="77777777" w:rsidR="000D2DF5" w:rsidRPr="000D2DF5" w:rsidRDefault="000D2DF5" w:rsidP="000F221E">
            <w:pPr>
              <w:spacing w:line="256" w:lineRule="auto"/>
              <w:jc w:val="both"/>
              <w:rPr>
                <w:rFonts w:asciiTheme="majorHAnsi" w:hAnsiTheme="majorHAnsi" w:cs="Calibri"/>
                <w:color w:val="000000"/>
              </w:rPr>
            </w:pPr>
            <w:r w:rsidRPr="000D2DF5">
              <w:rPr>
                <w:rFonts w:asciiTheme="majorHAnsi" w:hAnsiTheme="majorHAnsi" w:cs="Calibri"/>
                <w:color w:val="000000"/>
              </w:rPr>
              <w:t>Subhendu Dash</w:t>
            </w:r>
          </w:p>
        </w:tc>
      </w:tr>
      <w:tr w:rsidR="000D2DF5" w:rsidRPr="000D2DF5" w14:paraId="322659B6" w14:textId="77777777" w:rsidTr="00C25A8B">
        <w:trPr>
          <w:trHeight w:val="300"/>
          <w:jc w:val="center"/>
        </w:trPr>
        <w:tc>
          <w:tcPr>
            <w:tcW w:w="33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3B5D95" w14:textId="77777777" w:rsidR="000D2DF5" w:rsidRPr="000D2DF5" w:rsidRDefault="000D2DF5" w:rsidP="000F221E">
            <w:pPr>
              <w:spacing w:line="256" w:lineRule="auto"/>
              <w:jc w:val="both"/>
              <w:rPr>
                <w:rFonts w:asciiTheme="majorHAnsi" w:hAnsiTheme="majorHAnsi" w:cs="Calibri"/>
                <w:color w:val="000000"/>
              </w:rPr>
            </w:pPr>
            <w:r w:rsidRPr="000D2DF5">
              <w:rPr>
                <w:rFonts w:asciiTheme="majorHAnsi" w:hAnsiTheme="majorHAnsi" w:cs="Calibri"/>
                <w:color w:val="000000"/>
              </w:rPr>
              <w:t>NED NUAPADA</w:t>
            </w:r>
          </w:p>
        </w:tc>
        <w:tc>
          <w:tcPr>
            <w:tcW w:w="4424" w:type="dxa"/>
            <w:tcBorders>
              <w:top w:val="single" w:sz="4" w:space="0" w:color="auto"/>
              <w:left w:val="nil"/>
              <w:bottom w:val="single" w:sz="4" w:space="0" w:color="auto"/>
              <w:right w:val="single" w:sz="4" w:space="0" w:color="auto"/>
            </w:tcBorders>
            <w:shd w:val="clear" w:color="auto" w:fill="FFFFFF"/>
            <w:noWrap/>
            <w:vAlign w:val="center"/>
            <w:hideMark/>
          </w:tcPr>
          <w:p w14:paraId="2081E476" w14:textId="77777777" w:rsidR="000D2DF5" w:rsidRPr="000D2DF5" w:rsidRDefault="000D2DF5" w:rsidP="000F221E">
            <w:pPr>
              <w:spacing w:line="256" w:lineRule="auto"/>
              <w:jc w:val="both"/>
              <w:rPr>
                <w:rFonts w:asciiTheme="majorHAnsi" w:hAnsiTheme="majorHAnsi" w:cs="Calibri"/>
                <w:color w:val="000000"/>
                <w:lang w:val="en-IN"/>
              </w:rPr>
            </w:pPr>
            <w:r w:rsidRPr="000D2DF5">
              <w:rPr>
                <w:rFonts w:asciiTheme="majorHAnsi" w:hAnsiTheme="majorHAnsi" w:cs="Calibri"/>
                <w:color w:val="000000"/>
                <w:lang w:val="en-IN"/>
              </w:rPr>
              <w:t>Mega Calibre Enterprises Private Limited</w:t>
            </w:r>
          </w:p>
        </w:tc>
      </w:tr>
      <w:tr w:rsidR="000D2DF5" w:rsidRPr="000D2DF5" w14:paraId="2A9CEB07" w14:textId="77777777" w:rsidTr="00C25A8B">
        <w:trPr>
          <w:trHeight w:val="300"/>
          <w:jc w:val="center"/>
        </w:trPr>
        <w:tc>
          <w:tcPr>
            <w:tcW w:w="33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4C629A" w14:textId="77777777" w:rsidR="000D2DF5" w:rsidRPr="000D2DF5" w:rsidRDefault="000D2DF5" w:rsidP="000F221E">
            <w:pPr>
              <w:spacing w:line="256" w:lineRule="auto"/>
              <w:jc w:val="both"/>
              <w:rPr>
                <w:rFonts w:asciiTheme="majorHAnsi" w:hAnsiTheme="majorHAnsi" w:cs="Calibri"/>
                <w:color w:val="000000"/>
              </w:rPr>
            </w:pPr>
            <w:r w:rsidRPr="000D2DF5">
              <w:rPr>
                <w:rFonts w:asciiTheme="majorHAnsi" w:hAnsiTheme="majorHAnsi" w:cs="Calibri"/>
                <w:color w:val="000000"/>
              </w:rPr>
              <w:t>RED RAJGANGPUR</w:t>
            </w:r>
          </w:p>
        </w:tc>
        <w:tc>
          <w:tcPr>
            <w:tcW w:w="4424" w:type="dxa"/>
            <w:tcBorders>
              <w:top w:val="single" w:sz="4" w:space="0" w:color="auto"/>
              <w:left w:val="nil"/>
              <w:bottom w:val="single" w:sz="4" w:space="0" w:color="auto"/>
              <w:right w:val="single" w:sz="4" w:space="0" w:color="auto"/>
            </w:tcBorders>
            <w:shd w:val="clear" w:color="auto" w:fill="FFFFFF"/>
            <w:noWrap/>
            <w:vAlign w:val="center"/>
            <w:hideMark/>
          </w:tcPr>
          <w:p w14:paraId="016F6C5D" w14:textId="77777777" w:rsidR="000D2DF5" w:rsidRPr="000D2DF5" w:rsidRDefault="000D2DF5" w:rsidP="000F221E">
            <w:pPr>
              <w:spacing w:line="256" w:lineRule="auto"/>
              <w:jc w:val="both"/>
              <w:rPr>
                <w:rFonts w:asciiTheme="majorHAnsi" w:hAnsiTheme="majorHAnsi" w:cs="Calibri"/>
                <w:color w:val="000000"/>
                <w:lang w:val="en-IN"/>
              </w:rPr>
            </w:pPr>
            <w:r w:rsidRPr="000D2DF5">
              <w:rPr>
                <w:rFonts w:asciiTheme="majorHAnsi" w:hAnsiTheme="majorHAnsi" w:cs="Calibri"/>
                <w:color w:val="000000"/>
                <w:lang w:val="en-IN"/>
              </w:rPr>
              <w:t>Swastik Engineering</w:t>
            </w:r>
          </w:p>
        </w:tc>
      </w:tr>
      <w:tr w:rsidR="000D2DF5" w:rsidRPr="000D2DF5" w14:paraId="69695BDA" w14:textId="77777777" w:rsidTr="00C25A8B">
        <w:trPr>
          <w:trHeight w:val="300"/>
          <w:jc w:val="center"/>
        </w:trPr>
        <w:tc>
          <w:tcPr>
            <w:tcW w:w="33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F12AB5" w14:textId="77777777" w:rsidR="000D2DF5" w:rsidRPr="000D2DF5" w:rsidRDefault="000D2DF5" w:rsidP="000F221E">
            <w:pPr>
              <w:spacing w:line="256" w:lineRule="auto"/>
              <w:jc w:val="both"/>
              <w:rPr>
                <w:rFonts w:asciiTheme="majorHAnsi" w:hAnsiTheme="majorHAnsi" w:cs="Calibri"/>
                <w:color w:val="000000"/>
              </w:rPr>
            </w:pPr>
            <w:r w:rsidRPr="000D2DF5">
              <w:rPr>
                <w:rFonts w:asciiTheme="majorHAnsi" w:hAnsiTheme="majorHAnsi" w:cs="Calibri"/>
                <w:color w:val="000000"/>
              </w:rPr>
              <w:t>RED ROURKELA</w:t>
            </w:r>
          </w:p>
        </w:tc>
        <w:tc>
          <w:tcPr>
            <w:tcW w:w="4424" w:type="dxa"/>
            <w:tcBorders>
              <w:top w:val="single" w:sz="4" w:space="0" w:color="auto"/>
              <w:left w:val="nil"/>
              <w:bottom w:val="single" w:sz="4" w:space="0" w:color="auto"/>
              <w:right w:val="single" w:sz="4" w:space="0" w:color="auto"/>
            </w:tcBorders>
            <w:shd w:val="clear" w:color="auto" w:fill="FFFFFF"/>
            <w:noWrap/>
            <w:vAlign w:val="center"/>
            <w:hideMark/>
          </w:tcPr>
          <w:p w14:paraId="1F004BD1" w14:textId="77777777" w:rsidR="000D2DF5" w:rsidRPr="000D2DF5" w:rsidRDefault="000D2DF5" w:rsidP="000F221E">
            <w:pPr>
              <w:spacing w:line="256" w:lineRule="auto"/>
              <w:jc w:val="both"/>
              <w:rPr>
                <w:rFonts w:asciiTheme="majorHAnsi" w:hAnsiTheme="majorHAnsi" w:cs="Calibri"/>
                <w:color w:val="000000"/>
                <w:lang w:val="en-IN"/>
              </w:rPr>
            </w:pPr>
            <w:r w:rsidRPr="000D2DF5">
              <w:rPr>
                <w:rFonts w:asciiTheme="majorHAnsi" w:hAnsiTheme="majorHAnsi" w:cs="Calibri"/>
                <w:color w:val="000000"/>
                <w:lang w:val="en-IN"/>
              </w:rPr>
              <w:t>Mega Calibre Enterprises Private Limited</w:t>
            </w:r>
          </w:p>
        </w:tc>
      </w:tr>
      <w:tr w:rsidR="000D2DF5" w:rsidRPr="000D2DF5" w14:paraId="5FDF1913" w14:textId="77777777" w:rsidTr="00C25A8B">
        <w:trPr>
          <w:trHeight w:val="300"/>
          <w:jc w:val="center"/>
        </w:trPr>
        <w:tc>
          <w:tcPr>
            <w:tcW w:w="33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F5AC9D" w14:textId="77777777" w:rsidR="000D2DF5" w:rsidRPr="000D2DF5" w:rsidRDefault="000D2DF5" w:rsidP="000F221E">
            <w:pPr>
              <w:spacing w:line="256" w:lineRule="auto"/>
              <w:jc w:val="both"/>
              <w:rPr>
                <w:rFonts w:asciiTheme="majorHAnsi" w:hAnsiTheme="majorHAnsi" w:cs="Calibri"/>
                <w:color w:val="000000"/>
              </w:rPr>
            </w:pPr>
            <w:r w:rsidRPr="000D2DF5">
              <w:rPr>
                <w:rFonts w:asciiTheme="majorHAnsi" w:hAnsiTheme="majorHAnsi" w:cs="Calibri"/>
                <w:color w:val="000000"/>
              </w:rPr>
              <w:t>RSED ROURKELA</w:t>
            </w:r>
          </w:p>
        </w:tc>
        <w:tc>
          <w:tcPr>
            <w:tcW w:w="4424" w:type="dxa"/>
            <w:tcBorders>
              <w:top w:val="single" w:sz="4" w:space="0" w:color="auto"/>
              <w:left w:val="nil"/>
              <w:bottom w:val="single" w:sz="4" w:space="0" w:color="auto"/>
              <w:right w:val="single" w:sz="4" w:space="0" w:color="auto"/>
            </w:tcBorders>
            <w:shd w:val="clear" w:color="auto" w:fill="FFFFFF"/>
            <w:noWrap/>
            <w:vAlign w:val="center"/>
            <w:hideMark/>
          </w:tcPr>
          <w:p w14:paraId="30EBC486" w14:textId="77777777" w:rsidR="000D2DF5" w:rsidRPr="000D2DF5" w:rsidRDefault="000D2DF5" w:rsidP="000F221E">
            <w:pPr>
              <w:spacing w:line="256" w:lineRule="auto"/>
              <w:jc w:val="both"/>
              <w:rPr>
                <w:rFonts w:asciiTheme="majorHAnsi" w:hAnsiTheme="majorHAnsi" w:cs="Calibri"/>
                <w:color w:val="000000"/>
                <w:lang w:val="en-IN"/>
              </w:rPr>
            </w:pPr>
            <w:proofErr w:type="spellStart"/>
            <w:r w:rsidRPr="000D2DF5">
              <w:rPr>
                <w:rFonts w:asciiTheme="majorHAnsi" w:hAnsiTheme="majorHAnsi" w:cs="Calibri"/>
                <w:color w:val="000000"/>
                <w:lang w:val="en-IN"/>
              </w:rPr>
              <w:t>Impelco</w:t>
            </w:r>
            <w:proofErr w:type="spellEnd"/>
            <w:r w:rsidRPr="000D2DF5">
              <w:rPr>
                <w:rFonts w:asciiTheme="majorHAnsi" w:hAnsiTheme="majorHAnsi" w:cs="Calibri"/>
                <w:color w:val="000000"/>
                <w:lang w:val="en-IN"/>
              </w:rPr>
              <w:t xml:space="preserve"> Electric Company</w:t>
            </w:r>
          </w:p>
        </w:tc>
      </w:tr>
      <w:tr w:rsidR="000D2DF5" w:rsidRPr="000D2DF5" w14:paraId="189056A7" w14:textId="77777777" w:rsidTr="00C25A8B">
        <w:trPr>
          <w:trHeight w:val="300"/>
          <w:jc w:val="center"/>
        </w:trPr>
        <w:tc>
          <w:tcPr>
            <w:tcW w:w="33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D1EA49" w14:textId="77777777" w:rsidR="000D2DF5" w:rsidRPr="000D2DF5" w:rsidRDefault="000D2DF5" w:rsidP="000F221E">
            <w:pPr>
              <w:spacing w:line="256" w:lineRule="auto"/>
              <w:jc w:val="both"/>
              <w:rPr>
                <w:rFonts w:asciiTheme="majorHAnsi" w:hAnsiTheme="majorHAnsi" w:cs="Calibri"/>
                <w:color w:val="000000"/>
              </w:rPr>
            </w:pPr>
            <w:r w:rsidRPr="000D2DF5">
              <w:rPr>
                <w:rFonts w:asciiTheme="majorHAnsi" w:hAnsiTheme="majorHAnsi" w:cs="Calibri"/>
                <w:color w:val="000000"/>
              </w:rPr>
              <w:t>SED SUNDARGARH</w:t>
            </w:r>
          </w:p>
        </w:tc>
        <w:tc>
          <w:tcPr>
            <w:tcW w:w="4424" w:type="dxa"/>
            <w:tcBorders>
              <w:top w:val="single" w:sz="4" w:space="0" w:color="auto"/>
              <w:left w:val="nil"/>
              <w:bottom w:val="single" w:sz="4" w:space="0" w:color="auto"/>
              <w:right w:val="single" w:sz="4" w:space="0" w:color="auto"/>
            </w:tcBorders>
            <w:shd w:val="clear" w:color="auto" w:fill="FFFFFF"/>
            <w:noWrap/>
            <w:vAlign w:val="center"/>
            <w:hideMark/>
          </w:tcPr>
          <w:p w14:paraId="6C15BA13" w14:textId="77777777" w:rsidR="000D2DF5" w:rsidRPr="000D2DF5" w:rsidRDefault="000D2DF5" w:rsidP="000F221E">
            <w:pPr>
              <w:spacing w:line="256" w:lineRule="auto"/>
              <w:jc w:val="both"/>
              <w:rPr>
                <w:rFonts w:asciiTheme="majorHAnsi" w:hAnsiTheme="majorHAnsi" w:cs="Calibri"/>
                <w:color w:val="000000"/>
                <w:lang w:val="en-IN"/>
              </w:rPr>
            </w:pPr>
            <w:proofErr w:type="spellStart"/>
            <w:r w:rsidRPr="000D2DF5">
              <w:rPr>
                <w:rFonts w:asciiTheme="majorHAnsi" w:hAnsiTheme="majorHAnsi" w:cs="Calibri"/>
                <w:color w:val="000000"/>
                <w:lang w:val="en-IN"/>
              </w:rPr>
              <w:t>Impelco</w:t>
            </w:r>
            <w:proofErr w:type="spellEnd"/>
            <w:r w:rsidRPr="000D2DF5">
              <w:rPr>
                <w:rFonts w:asciiTheme="majorHAnsi" w:hAnsiTheme="majorHAnsi" w:cs="Calibri"/>
                <w:color w:val="000000"/>
                <w:lang w:val="en-IN"/>
              </w:rPr>
              <w:t xml:space="preserve"> Electric Company</w:t>
            </w:r>
          </w:p>
        </w:tc>
      </w:tr>
      <w:tr w:rsidR="000D2DF5" w:rsidRPr="000D2DF5" w14:paraId="0818B7B5" w14:textId="77777777" w:rsidTr="00C25A8B">
        <w:trPr>
          <w:trHeight w:val="300"/>
          <w:jc w:val="center"/>
        </w:trPr>
        <w:tc>
          <w:tcPr>
            <w:tcW w:w="33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458FFEF" w14:textId="77777777" w:rsidR="000D2DF5" w:rsidRPr="000D2DF5" w:rsidRDefault="000D2DF5" w:rsidP="000F221E">
            <w:pPr>
              <w:spacing w:line="256" w:lineRule="auto"/>
              <w:jc w:val="both"/>
              <w:rPr>
                <w:rFonts w:asciiTheme="majorHAnsi" w:hAnsiTheme="majorHAnsi" w:cs="Calibri"/>
                <w:color w:val="000000"/>
              </w:rPr>
            </w:pPr>
            <w:r w:rsidRPr="000D2DF5">
              <w:rPr>
                <w:rFonts w:asciiTheme="majorHAnsi" w:hAnsiTheme="majorHAnsi" w:cs="Calibri"/>
                <w:color w:val="000000"/>
              </w:rPr>
              <w:t>BNEDBRAJRAJNAGAR</w:t>
            </w:r>
          </w:p>
        </w:tc>
        <w:tc>
          <w:tcPr>
            <w:tcW w:w="4424" w:type="dxa"/>
            <w:tcBorders>
              <w:top w:val="single" w:sz="4" w:space="0" w:color="auto"/>
              <w:left w:val="nil"/>
              <w:bottom w:val="single" w:sz="4" w:space="0" w:color="auto"/>
              <w:right w:val="single" w:sz="4" w:space="0" w:color="auto"/>
            </w:tcBorders>
            <w:shd w:val="clear" w:color="auto" w:fill="FFFFFF"/>
            <w:noWrap/>
            <w:vAlign w:val="center"/>
            <w:hideMark/>
          </w:tcPr>
          <w:p w14:paraId="155F67AB" w14:textId="77777777" w:rsidR="000D2DF5" w:rsidRPr="000D2DF5" w:rsidRDefault="000D2DF5" w:rsidP="000F221E">
            <w:pPr>
              <w:spacing w:line="256" w:lineRule="auto"/>
              <w:jc w:val="both"/>
              <w:rPr>
                <w:rFonts w:asciiTheme="majorHAnsi" w:hAnsiTheme="majorHAnsi" w:cs="Calibri"/>
                <w:color w:val="000000"/>
                <w:lang w:val="en-IN"/>
              </w:rPr>
            </w:pPr>
            <w:proofErr w:type="spellStart"/>
            <w:r w:rsidRPr="000D2DF5">
              <w:rPr>
                <w:rFonts w:asciiTheme="majorHAnsi" w:hAnsiTheme="majorHAnsi" w:cs="Calibri"/>
                <w:color w:val="000000"/>
                <w:lang w:val="en-IN"/>
              </w:rPr>
              <w:t>Hindusthan</w:t>
            </w:r>
            <w:proofErr w:type="spellEnd"/>
            <w:r w:rsidRPr="000D2DF5">
              <w:rPr>
                <w:rFonts w:asciiTheme="majorHAnsi" w:hAnsiTheme="majorHAnsi" w:cs="Calibri"/>
                <w:color w:val="000000"/>
                <w:lang w:val="en-IN"/>
              </w:rPr>
              <w:t xml:space="preserve"> Engineering Corporation</w:t>
            </w:r>
          </w:p>
        </w:tc>
      </w:tr>
      <w:tr w:rsidR="000D2DF5" w:rsidRPr="000D2DF5" w14:paraId="683EA9EF" w14:textId="77777777" w:rsidTr="00C25A8B">
        <w:trPr>
          <w:trHeight w:val="300"/>
          <w:jc w:val="center"/>
        </w:trPr>
        <w:tc>
          <w:tcPr>
            <w:tcW w:w="33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4C5127" w14:textId="77777777" w:rsidR="000D2DF5" w:rsidRPr="000D2DF5" w:rsidRDefault="000D2DF5" w:rsidP="000F221E">
            <w:pPr>
              <w:spacing w:line="256" w:lineRule="auto"/>
              <w:jc w:val="both"/>
              <w:rPr>
                <w:rFonts w:asciiTheme="majorHAnsi" w:hAnsiTheme="majorHAnsi" w:cs="Calibri"/>
                <w:color w:val="000000"/>
              </w:rPr>
            </w:pPr>
            <w:r w:rsidRPr="000D2DF5">
              <w:rPr>
                <w:rFonts w:asciiTheme="majorHAnsi" w:hAnsiTheme="majorHAnsi" w:cs="Calibri"/>
                <w:color w:val="000000"/>
              </w:rPr>
              <w:t>DED DEOGARH</w:t>
            </w:r>
          </w:p>
        </w:tc>
        <w:tc>
          <w:tcPr>
            <w:tcW w:w="4424" w:type="dxa"/>
            <w:tcBorders>
              <w:top w:val="single" w:sz="4" w:space="0" w:color="auto"/>
              <w:left w:val="nil"/>
              <w:bottom w:val="single" w:sz="4" w:space="0" w:color="auto"/>
              <w:right w:val="single" w:sz="4" w:space="0" w:color="auto"/>
            </w:tcBorders>
            <w:shd w:val="clear" w:color="auto" w:fill="FFFFFF"/>
            <w:noWrap/>
            <w:vAlign w:val="center"/>
            <w:hideMark/>
          </w:tcPr>
          <w:p w14:paraId="05D21A11" w14:textId="77777777" w:rsidR="000D2DF5" w:rsidRPr="000D2DF5" w:rsidRDefault="000D2DF5" w:rsidP="000F221E">
            <w:pPr>
              <w:spacing w:line="256" w:lineRule="auto"/>
              <w:jc w:val="both"/>
              <w:rPr>
                <w:rFonts w:asciiTheme="majorHAnsi" w:hAnsiTheme="majorHAnsi" w:cs="Calibri"/>
                <w:color w:val="000000"/>
              </w:rPr>
            </w:pPr>
            <w:r w:rsidRPr="000D2DF5">
              <w:rPr>
                <w:rFonts w:asciiTheme="majorHAnsi" w:hAnsiTheme="majorHAnsi" w:cs="Calibri"/>
                <w:color w:val="000000"/>
                <w:lang w:val="en-IN"/>
              </w:rPr>
              <w:t>Nirmal Kumar Samantaray</w:t>
            </w:r>
          </w:p>
        </w:tc>
      </w:tr>
      <w:tr w:rsidR="000D2DF5" w:rsidRPr="000D2DF5" w14:paraId="4721E6FA" w14:textId="77777777" w:rsidTr="00C25A8B">
        <w:trPr>
          <w:trHeight w:val="300"/>
          <w:jc w:val="center"/>
        </w:trPr>
        <w:tc>
          <w:tcPr>
            <w:tcW w:w="33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0A12A9" w14:textId="77777777" w:rsidR="000D2DF5" w:rsidRPr="000D2DF5" w:rsidRDefault="000D2DF5" w:rsidP="000F221E">
            <w:pPr>
              <w:spacing w:line="256" w:lineRule="auto"/>
              <w:jc w:val="both"/>
              <w:rPr>
                <w:rFonts w:asciiTheme="majorHAnsi" w:hAnsiTheme="majorHAnsi" w:cs="Calibri"/>
                <w:color w:val="000000"/>
              </w:rPr>
            </w:pPr>
            <w:r w:rsidRPr="000D2DF5">
              <w:rPr>
                <w:rFonts w:asciiTheme="majorHAnsi" w:hAnsiTheme="majorHAnsi" w:cs="Calibri"/>
                <w:color w:val="000000"/>
              </w:rPr>
              <w:t>JED JHARSUGUDA</w:t>
            </w:r>
          </w:p>
        </w:tc>
        <w:tc>
          <w:tcPr>
            <w:tcW w:w="4424" w:type="dxa"/>
            <w:tcBorders>
              <w:top w:val="single" w:sz="4" w:space="0" w:color="auto"/>
              <w:left w:val="nil"/>
              <w:bottom w:val="single" w:sz="4" w:space="0" w:color="auto"/>
              <w:right w:val="single" w:sz="4" w:space="0" w:color="auto"/>
            </w:tcBorders>
            <w:shd w:val="clear" w:color="auto" w:fill="FFFFFF"/>
            <w:noWrap/>
            <w:vAlign w:val="center"/>
            <w:hideMark/>
          </w:tcPr>
          <w:p w14:paraId="687AB941" w14:textId="77777777" w:rsidR="000D2DF5" w:rsidRPr="000D2DF5" w:rsidRDefault="000D2DF5" w:rsidP="000F221E">
            <w:pPr>
              <w:spacing w:line="256" w:lineRule="auto"/>
              <w:jc w:val="both"/>
              <w:rPr>
                <w:rFonts w:asciiTheme="majorHAnsi" w:hAnsiTheme="majorHAnsi" w:cs="Calibri"/>
                <w:color w:val="000000"/>
                <w:lang w:val="en-IN"/>
              </w:rPr>
            </w:pPr>
            <w:proofErr w:type="spellStart"/>
            <w:r w:rsidRPr="000D2DF5">
              <w:rPr>
                <w:rFonts w:asciiTheme="majorHAnsi" w:hAnsiTheme="majorHAnsi" w:cs="Calibri"/>
                <w:color w:val="000000"/>
                <w:lang w:val="en-IN"/>
              </w:rPr>
              <w:t>Hindusthan</w:t>
            </w:r>
            <w:proofErr w:type="spellEnd"/>
            <w:r w:rsidRPr="000D2DF5">
              <w:rPr>
                <w:rFonts w:asciiTheme="majorHAnsi" w:hAnsiTheme="majorHAnsi" w:cs="Calibri"/>
                <w:color w:val="000000"/>
                <w:lang w:val="en-IN"/>
              </w:rPr>
              <w:t xml:space="preserve"> Engineering Corporation</w:t>
            </w:r>
          </w:p>
        </w:tc>
      </w:tr>
      <w:tr w:rsidR="000D2DF5" w:rsidRPr="000D2DF5" w14:paraId="24B3C1B9" w14:textId="77777777" w:rsidTr="00C25A8B">
        <w:trPr>
          <w:trHeight w:val="300"/>
          <w:jc w:val="center"/>
        </w:trPr>
        <w:tc>
          <w:tcPr>
            <w:tcW w:w="33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AA6E207" w14:textId="77777777" w:rsidR="000D2DF5" w:rsidRPr="000D2DF5" w:rsidRDefault="000D2DF5" w:rsidP="000F221E">
            <w:pPr>
              <w:spacing w:line="256" w:lineRule="auto"/>
              <w:jc w:val="both"/>
              <w:rPr>
                <w:rFonts w:asciiTheme="majorHAnsi" w:hAnsiTheme="majorHAnsi" w:cs="Calibri"/>
                <w:color w:val="000000"/>
              </w:rPr>
            </w:pPr>
            <w:r w:rsidRPr="000D2DF5">
              <w:rPr>
                <w:rFonts w:asciiTheme="majorHAnsi" w:hAnsiTheme="majorHAnsi" w:cs="Calibri"/>
                <w:color w:val="000000"/>
              </w:rPr>
              <w:t>SED SAMBALPUR</w:t>
            </w:r>
          </w:p>
        </w:tc>
        <w:tc>
          <w:tcPr>
            <w:tcW w:w="4424" w:type="dxa"/>
            <w:tcBorders>
              <w:top w:val="single" w:sz="4" w:space="0" w:color="auto"/>
              <w:left w:val="nil"/>
              <w:bottom w:val="single" w:sz="4" w:space="0" w:color="auto"/>
              <w:right w:val="single" w:sz="4" w:space="0" w:color="auto"/>
            </w:tcBorders>
            <w:shd w:val="clear" w:color="auto" w:fill="FFFFFF"/>
            <w:noWrap/>
            <w:vAlign w:val="center"/>
            <w:hideMark/>
          </w:tcPr>
          <w:p w14:paraId="6F3A253F" w14:textId="77777777" w:rsidR="000D2DF5" w:rsidRPr="000D2DF5" w:rsidRDefault="000D2DF5" w:rsidP="000F221E">
            <w:pPr>
              <w:spacing w:line="256" w:lineRule="auto"/>
              <w:jc w:val="both"/>
              <w:rPr>
                <w:rFonts w:asciiTheme="majorHAnsi" w:hAnsiTheme="majorHAnsi" w:cs="Calibri"/>
                <w:color w:val="000000"/>
                <w:lang w:val="en-IN"/>
              </w:rPr>
            </w:pPr>
            <w:proofErr w:type="spellStart"/>
            <w:r w:rsidRPr="000D2DF5">
              <w:rPr>
                <w:rFonts w:asciiTheme="majorHAnsi" w:hAnsiTheme="majorHAnsi" w:cs="Calibri"/>
                <w:color w:val="000000"/>
                <w:lang w:val="en-IN"/>
              </w:rPr>
              <w:t>Sujanix</w:t>
            </w:r>
            <w:proofErr w:type="spellEnd"/>
            <w:r w:rsidRPr="000D2DF5">
              <w:rPr>
                <w:rFonts w:asciiTheme="majorHAnsi" w:hAnsiTheme="majorHAnsi" w:cs="Calibri"/>
                <w:color w:val="000000"/>
                <w:lang w:val="en-IN"/>
              </w:rPr>
              <w:t xml:space="preserve"> Pvt Ltd</w:t>
            </w:r>
          </w:p>
        </w:tc>
      </w:tr>
      <w:tr w:rsidR="000D2DF5" w:rsidRPr="000D2DF5" w14:paraId="60C6B058" w14:textId="77777777" w:rsidTr="000D2DF5">
        <w:trPr>
          <w:trHeight w:val="300"/>
          <w:jc w:val="center"/>
        </w:trPr>
        <w:tc>
          <w:tcPr>
            <w:tcW w:w="33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1B95F9" w14:textId="77777777" w:rsidR="000D2DF5" w:rsidRPr="000D2DF5" w:rsidRDefault="000D2DF5" w:rsidP="000F221E">
            <w:pPr>
              <w:spacing w:line="256" w:lineRule="auto"/>
              <w:jc w:val="both"/>
              <w:rPr>
                <w:rFonts w:asciiTheme="majorHAnsi" w:hAnsiTheme="majorHAnsi" w:cs="Calibri"/>
                <w:color w:val="000000"/>
              </w:rPr>
            </w:pPr>
            <w:r w:rsidRPr="000D2DF5">
              <w:rPr>
                <w:rFonts w:asciiTheme="majorHAnsi" w:hAnsiTheme="majorHAnsi" w:cs="Calibri"/>
                <w:color w:val="000000"/>
              </w:rPr>
              <w:t>SEED SAMBALPUR</w:t>
            </w:r>
          </w:p>
        </w:tc>
        <w:tc>
          <w:tcPr>
            <w:tcW w:w="4424" w:type="dxa"/>
            <w:tcBorders>
              <w:top w:val="single" w:sz="4" w:space="0" w:color="auto"/>
              <w:left w:val="nil"/>
              <w:bottom w:val="single" w:sz="4" w:space="0" w:color="auto"/>
              <w:right w:val="single" w:sz="4" w:space="0" w:color="auto"/>
            </w:tcBorders>
            <w:shd w:val="clear" w:color="auto" w:fill="FFFFFF"/>
            <w:noWrap/>
            <w:vAlign w:val="center"/>
            <w:hideMark/>
          </w:tcPr>
          <w:p w14:paraId="00553B0A" w14:textId="77777777" w:rsidR="000D2DF5" w:rsidRPr="000D2DF5" w:rsidRDefault="000D2DF5" w:rsidP="000F221E">
            <w:pPr>
              <w:spacing w:line="256" w:lineRule="auto"/>
              <w:jc w:val="both"/>
              <w:rPr>
                <w:rFonts w:asciiTheme="majorHAnsi" w:hAnsiTheme="majorHAnsi" w:cs="Calibri"/>
                <w:color w:val="000000"/>
                <w:lang w:val="en-IN"/>
              </w:rPr>
            </w:pPr>
            <w:r w:rsidRPr="000D2DF5">
              <w:rPr>
                <w:rFonts w:asciiTheme="majorHAnsi" w:hAnsiTheme="majorHAnsi" w:cs="Calibri"/>
                <w:color w:val="000000"/>
              </w:rPr>
              <w:t>Amman Associated Services Pvt Ltd</w:t>
            </w:r>
          </w:p>
        </w:tc>
      </w:tr>
      <w:tr w:rsidR="000D2DF5" w:rsidRPr="000D2DF5" w14:paraId="4A93B3D7" w14:textId="77777777" w:rsidTr="000D2DF5">
        <w:trPr>
          <w:trHeight w:val="300"/>
          <w:jc w:val="center"/>
        </w:trPr>
        <w:tc>
          <w:tcPr>
            <w:tcW w:w="336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680546" w14:textId="77777777" w:rsidR="000D2DF5" w:rsidRPr="000D2DF5" w:rsidRDefault="000D2DF5" w:rsidP="000F221E">
            <w:pPr>
              <w:spacing w:line="256" w:lineRule="auto"/>
              <w:jc w:val="both"/>
              <w:rPr>
                <w:rFonts w:asciiTheme="majorHAnsi" w:hAnsiTheme="majorHAnsi" w:cs="Calibri"/>
                <w:color w:val="000000"/>
              </w:rPr>
            </w:pPr>
            <w:r w:rsidRPr="000D2DF5">
              <w:rPr>
                <w:rFonts w:asciiTheme="majorHAnsi" w:hAnsiTheme="majorHAnsi" w:cs="Calibri"/>
                <w:color w:val="000000"/>
              </w:rPr>
              <w:t>ESO BHATLI (BED Bargarh)</w:t>
            </w:r>
          </w:p>
        </w:tc>
        <w:tc>
          <w:tcPr>
            <w:tcW w:w="4424" w:type="dxa"/>
            <w:tcBorders>
              <w:top w:val="single" w:sz="4" w:space="0" w:color="auto"/>
              <w:left w:val="nil"/>
              <w:bottom w:val="single" w:sz="4" w:space="0" w:color="auto"/>
              <w:right w:val="single" w:sz="4" w:space="0" w:color="auto"/>
            </w:tcBorders>
            <w:shd w:val="clear" w:color="auto" w:fill="FFFFFF"/>
            <w:noWrap/>
            <w:vAlign w:val="center"/>
          </w:tcPr>
          <w:p w14:paraId="4E9F2678" w14:textId="77777777" w:rsidR="000D2DF5" w:rsidRPr="000D2DF5" w:rsidRDefault="000D2DF5" w:rsidP="000F221E">
            <w:pPr>
              <w:spacing w:line="256" w:lineRule="auto"/>
              <w:jc w:val="both"/>
              <w:rPr>
                <w:rFonts w:asciiTheme="majorHAnsi" w:hAnsiTheme="majorHAnsi" w:cs="Calibri"/>
                <w:color w:val="000000"/>
                <w:lang w:val="en-IN"/>
              </w:rPr>
            </w:pPr>
            <w:proofErr w:type="spellStart"/>
            <w:r w:rsidRPr="000D2DF5">
              <w:rPr>
                <w:rFonts w:asciiTheme="majorHAnsi" w:hAnsiTheme="majorHAnsi" w:cs="Calibri"/>
                <w:color w:val="000000"/>
                <w:lang w:val="en-IN"/>
              </w:rPr>
              <w:t>Hirakud</w:t>
            </w:r>
            <w:proofErr w:type="spellEnd"/>
            <w:r w:rsidRPr="000D2DF5">
              <w:rPr>
                <w:rFonts w:asciiTheme="majorHAnsi" w:hAnsiTheme="majorHAnsi" w:cs="Calibri"/>
                <w:color w:val="000000"/>
                <w:lang w:val="en-IN"/>
              </w:rPr>
              <w:t xml:space="preserve"> power utility solutions </w:t>
            </w:r>
            <w:proofErr w:type="spellStart"/>
            <w:r w:rsidRPr="000D2DF5">
              <w:rPr>
                <w:rFonts w:asciiTheme="majorHAnsi" w:hAnsiTheme="majorHAnsi" w:cs="Calibri"/>
                <w:color w:val="000000"/>
                <w:lang w:val="en-IN"/>
              </w:rPr>
              <w:t>Pvt.</w:t>
            </w:r>
            <w:proofErr w:type="spellEnd"/>
            <w:r w:rsidRPr="000D2DF5">
              <w:rPr>
                <w:rFonts w:asciiTheme="majorHAnsi" w:hAnsiTheme="majorHAnsi" w:cs="Calibri"/>
                <w:color w:val="000000"/>
                <w:lang w:val="en-IN"/>
              </w:rPr>
              <w:t xml:space="preserve"> Ltd</w:t>
            </w:r>
          </w:p>
        </w:tc>
      </w:tr>
    </w:tbl>
    <w:p w14:paraId="27779AC5" w14:textId="77777777" w:rsidR="009C6AE7" w:rsidRDefault="009C6AE7" w:rsidP="009C6AE7">
      <w:pPr>
        <w:spacing w:line="254" w:lineRule="auto"/>
        <w:contextualSpacing/>
        <w:jc w:val="both"/>
        <w:rPr>
          <w:rFonts w:ascii="Calibri" w:eastAsia="Calibri" w:hAnsi="Calibri" w:cs="Calibri"/>
          <w:b/>
        </w:rPr>
      </w:pPr>
    </w:p>
    <w:p w14:paraId="71D3445C" w14:textId="77777777" w:rsidR="009C6AE7" w:rsidRPr="00DF31C8" w:rsidRDefault="009C6AE7" w:rsidP="001972DE">
      <w:pPr>
        <w:numPr>
          <w:ilvl w:val="0"/>
          <w:numId w:val="37"/>
        </w:numPr>
        <w:spacing w:line="254" w:lineRule="auto"/>
        <w:jc w:val="both"/>
        <w:rPr>
          <w:rFonts w:asciiTheme="majorHAnsi" w:eastAsia="Calibri" w:hAnsiTheme="majorHAnsi" w:cs="Calibri"/>
          <w:b/>
        </w:rPr>
      </w:pPr>
      <w:r w:rsidRPr="00DF31C8">
        <w:rPr>
          <w:rFonts w:asciiTheme="majorHAnsi" w:eastAsia="Calibri" w:hAnsiTheme="majorHAnsi" w:cs="Calibri"/>
          <w:b/>
        </w:rPr>
        <w:t xml:space="preserve">Coverage Area/ Extent of Applicability: </w:t>
      </w:r>
    </w:p>
    <w:p w14:paraId="755262F7" w14:textId="32701821" w:rsidR="0059013E" w:rsidRDefault="009C6AE7" w:rsidP="009C6AE7">
      <w:pPr>
        <w:ind w:left="360"/>
        <w:jc w:val="both"/>
        <w:rPr>
          <w:rFonts w:ascii="Calibri" w:hAnsi="Calibri" w:cs="Calibri"/>
        </w:rPr>
      </w:pPr>
      <w:r w:rsidRPr="00DF31C8">
        <w:rPr>
          <w:rFonts w:asciiTheme="majorHAnsi" w:hAnsiTheme="majorHAnsi" w:cs="Calibri"/>
          <w:b/>
        </w:rPr>
        <w:t xml:space="preserve">       </w:t>
      </w:r>
      <w:r w:rsidRPr="00DF31C8">
        <w:rPr>
          <w:rFonts w:asciiTheme="majorHAnsi" w:hAnsiTheme="majorHAnsi" w:cs="Calibri"/>
        </w:rPr>
        <w:t>This includes a complete operating area of TPWODL which includes</w:t>
      </w:r>
      <w:r>
        <w:rPr>
          <w:rFonts w:ascii="Calibri" w:hAnsi="Calibri" w:cs="Calibri"/>
        </w:rPr>
        <w:t>:</w:t>
      </w:r>
    </w:p>
    <w:p w14:paraId="79226E39" w14:textId="77777777" w:rsidR="00D644C9" w:rsidRDefault="00D644C9" w:rsidP="009C6AE7">
      <w:pPr>
        <w:ind w:left="360"/>
        <w:jc w:val="both"/>
        <w:rPr>
          <w:rFonts w:ascii="Calibri" w:hAnsi="Calibri" w:cs="Calibri"/>
        </w:rPr>
      </w:pPr>
    </w:p>
    <w:tbl>
      <w:tblPr>
        <w:tblpPr w:leftFromText="180" w:rightFromText="180" w:vertAnchor="text" w:horzAnchor="margin" w:tblpXSpec="center" w:tblpY="145"/>
        <w:tblW w:w="5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1241"/>
        <w:gridCol w:w="1559"/>
        <w:gridCol w:w="1134"/>
      </w:tblGrid>
      <w:tr w:rsidR="00483071" w:rsidRPr="0084255F" w14:paraId="3CD3B2B4" w14:textId="77777777" w:rsidTr="00483071">
        <w:trPr>
          <w:trHeight w:val="254"/>
          <w:tblHeader/>
        </w:trPr>
        <w:tc>
          <w:tcPr>
            <w:tcW w:w="1448" w:type="dxa"/>
            <w:noWrap/>
            <w:vAlign w:val="center"/>
            <w:hideMark/>
          </w:tcPr>
          <w:p w14:paraId="0F0DA615" w14:textId="77777777" w:rsidR="00483071" w:rsidRPr="0084255F" w:rsidRDefault="00483071" w:rsidP="00483071">
            <w:pPr>
              <w:spacing w:line="240" w:lineRule="atLeast"/>
              <w:jc w:val="center"/>
              <w:rPr>
                <w:rFonts w:ascii="Cambria" w:hAnsi="Cambria"/>
                <w:b/>
                <w:bCs/>
                <w:sz w:val="22"/>
                <w:szCs w:val="22"/>
              </w:rPr>
            </w:pPr>
            <w:r w:rsidRPr="0084255F">
              <w:rPr>
                <w:rFonts w:ascii="Cambria" w:hAnsi="Cambria"/>
                <w:b/>
                <w:bCs/>
                <w:sz w:val="22"/>
                <w:szCs w:val="22"/>
              </w:rPr>
              <w:t>C</w:t>
            </w:r>
            <w:r>
              <w:rPr>
                <w:rFonts w:ascii="Cambria" w:hAnsi="Cambria"/>
                <w:b/>
                <w:bCs/>
                <w:sz w:val="22"/>
                <w:szCs w:val="22"/>
              </w:rPr>
              <w:t>ircle Name</w:t>
            </w:r>
          </w:p>
        </w:tc>
        <w:tc>
          <w:tcPr>
            <w:tcW w:w="1241" w:type="dxa"/>
            <w:noWrap/>
            <w:vAlign w:val="center"/>
            <w:hideMark/>
          </w:tcPr>
          <w:p w14:paraId="19A9314C" w14:textId="77777777" w:rsidR="00483071" w:rsidRPr="0084255F" w:rsidRDefault="00483071" w:rsidP="00483071">
            <w:pPr>
              <w:spacing w:line="240" w:lineRule="atLeast"/>
              <w:jc w:val="center"/>
              <w:rPr>
                <w:rFonts w:ascii="Cambria" w:hAnsi="Cambria"/>
                <w:b/>
                <w:bCs/>
                <w:sz w:val="22"/>
                <w:szCs w:val="22"/>
              </w:rPr>
            </w:pPr>
            <w:r>
              <w:rPr>
                <w:rFonts w:ascii="Cambria" w:hAnsi="Cambria"/>
                <w:b/>
                <w:bCs/>
                <w:sz w:val="22"/>
                <w:szCs w:val="22"/>
              </w:rPr>
              <w:t>Division</w:t>
            </w:r>
          </w:p>
        </w:tc>
        <w:tc>
          <w:tcPr>
            <w:tcW w:w="1559" w:type="dxa"/>
            <w:noWrap/>
            <w:vAlign w:val="center"/>
            <w:hideMark/>
          </w:tcPr>
          <w:p w14:paraId="0AD4F6E5" w14:textId="77777777" w:rsidR="00483071" w:rsidRPr="0084255F" w:rsidRDefault="00483071" w:rsidP="00483071">
            <w:pPr>
              <w:spacing w:line="240" w:lineRule="atLeast"/>
              <w:jc w:val="center"/>
              <w:rPr>
                <w:rFonts w:ascii="Cambria" w:hAnsi="Cambria"/>
                <w:b/>
                <w:bCs/>
                <w:sz w:val="22"/>
                <w:szCs w:val="22"/>
              </w:rPr>
            </w:pPr>
            <w:r w:rsidRPr="0084255F">
              <w:rPr>
                <w:rFonts w:ascii="Cambria" w:hAnsi="Cambria"/>
                <w:b/>
                <w:bCs/>
                <w:sz w:val="22"/>
                <w:szCs w:val="22"/>
              </w:rPr>
              <w:t>S</w:t>
            </w:r>
            <w:r>
              <w:rPr>
                <w:rFonts w:ascii="Cambria" w:hAnsi="Cambria"/>
                <w:b/>
                <w:bCs/>
                <w:sz w:val="22"/>
                <w:szCs w:val="22"/>
              </w:rPr>
              <w:t>ub-Division</w:t>
            </w:r>
          </w:p>
        </w:tc>
        <w:tc>
          <w:tcPr>
            <w:tcW w:w="1134" w:type="dxa"/>
            <w:noWrap/>
            <w:vAlign w:val="center"/>
            <w:hideMark/>
          </w:tcPr>
          <w:p w14:paraId="27107135" w14:textId="77777777" w:rsidR="00483071" w:rsidRPr="0084255F" w:rsidRDefault="00483071" w:rsidP="00483071">
            <w:pPr>
              <w:spacing w:line="240" w:lineRule="atLeast"/>
              <w:jc w:val="center"/>
              <w:rPr>
                <w:rFonts w:ascii="Cambria" w:hAnsi="Cambria"/>
                <w:b/>
                <w:bCs/>
                <w:sz w:val="22"/>
                <w:szCs w:val="22"/>
              </w:rPr>
            </w:pPr>
            <w:r>
              <w:rPr>
                <w:rFonts w:ascii="Cambria" w:hAnsi="Cambria"/>
                <w:b/>
                <w:bCs/>
                <w:sz w:val="22"/>
                <w:szCs w:val="22"/>
              </w:rPr>
              <w:t>Section</w:t>
            </w:r>
          </w:p>
        </w:tc>
      </w:tr>
      <w:tr w:rsidR="00483071" w:rsidRPr="0084255F" w14:paraId="192838EA" w14:textId="77777777" w:rsidTr="00483071">
        <w:trPr>
          <w:trHeight w:val="254"/>
        </w:trPr>
        <w:tc>
          <w:tcPr>
            <w:tcW w:w="1448" w:type="dxa"/>
            <w:noWrap/>
            <w:vAlign w:val="bottom"/>
            <w:hideMark/>
          </w:tcPr>
          <w:p w14:paraId="207B82ED" w14:textId="77777777" w:rsidR="00483071" w:rsidRPr="001608D7" w:rsidRDefault="00483071" w:rsidP="00483071">
            <w:pPr>
              <w:spacing w:line="240" w:lineRule="atLeast"/>
              <w:jc w:val="center"/>
              <w:rPr>
                <w:rFonts w:ascii="Cambria" w:hAnsi="Cambria"/>
                <w:bCs/>
                <w:sz w:val="22"/>
                <w:szCs w:val="22"/>
              </w:rPr>
            </w:pPr>
            <w:r w:rsidRPr="001608D7">
              <w:rPr>
                <w:rFonts w:ascii="Cambria" w:hAnsi="Cambria"/>
                <w:bCs/>
                <w:sz w:val="22"/>
                <w:szCs w:val="22"/>
              </w:rPr>
              <w:t>Rourkela</w:t>
            </w:r>
          </w:p>
        </w:tc>
        <w:tc>
          <w:tcPr>
            <w:tcW w:w="1241" w:type="dxa"/>
            <w:noWrap/>
            <w:vAlign w:val="center"/>
            <w:hideMark/>
          </w:tcPr>
          <w:p w14:paraId="3D5A8847" w14:textId="77777777" w:rsidR="00483071" w:rsidRPr="00483071" w:rsidRDefault="00483071" w:rsidP="00483071">
            <w:pPr>
              <w:spacing w:line="240" w:lineRule="atLeast"/>
              <w:jc w:val="center"/>
              <w:rPr>
                <w:rFonts w:ascii="Cambria" w:hAnsi="Cambria"/>
                <w:sz w:val="22"/>
                <w:szCs w:val="22"/>
              </w:rPr>
            </w:pPr>
            <w:r w:rsidRPr="00483071">
              <w:rPr>
                <w:rFonts w:ascii="Cambria" w:hAnsi="Cambria"/>
                <w:sz w:val="22"/>
                <w:szCs w:val="22"/>
              </w:rPr>
              <w:t>4</w:t>
            </w:r>
          </w:p>
        </w:tc>
        <w:tc>
          <w:tcPr>
            <w:tcW w:w="1559" w:type="dxa"/>
            <w:noWrap/>
            <w:vAlign w:val="center"/>
            <w:hideMark/>
          </w:tcPr>
          <w:p w14:paraId="552ADEE3" w14:textId="77777777" w:rsidR="00483071" w:rsidRPr="00483071" w:rsidRDefault="00483071" w:rsidP="00483071">
            <w:pPr>
              <w:spacing w:line="240" w:lineRule="atLeast"/>
              <w:jc w:val="center"/>
              <w:rPr>
                <w:rFonts w:ascii="Cambria" w:hAnsi="Cambria"/>
                <w:sz w:val="22"/>
                <w:szCs w:val="22"/>
              </w:rPr>
            </w:pPr>
            <w:r w:rsidRPr="00483071">
              <w:rPr>
                <w:rFonts w:ascii="Cambria" w:hAnsi="Cambria"/>
                <w:sz w:val="22"/>
                <w:szCs w:val="22"/>
              </w:rPr>
              <w:t>13</w:t>
            </w:r>
          </w:p>
        </w:tc>
        <w:tc>
          <w:tcPr>
            <w:tcW w:w="1134" w:type="dxa"/>
            <w:noWrap/>
            <w:vAlign w:val="center"/>
            <w:hideMark/>
          </w:tcPr>
          <w:p w14:paraId="68B59529" w14:textId="77777777" w:rsidR="00483071" w:rsidRPr="00483071" w:rsidRDefault="00483071" w:rsidP="00483071">
            <w:pPr>
              <w:spacing w:line="240" w:lineRule="atLeast"/>
              <w:jc w:val="center"/>
              <w:rPr>
                <w:rFonts w:ascii="Cambria" w:hAnsi="Cambria"/>
                <w:sz w:val="22"/>
                <w:szCs w:val="22"/>
              </w:rPr>
            </w:pPr>
            <w:r w:rsidRPr="00483071">
              <w:rPr>
                <w:rFonts w:ascii="Cambria" w:hAnsi="Cambria"/>
                <w:sz w:val="22"/>
                <w:szCs w:val="22"/>
              </w:rPr>
              <w:t>45</w:t>
            </w:r>
          </w:p>
        </w:tc>
      </w:tr>
      <w:tr w:rsidR="00483071" w:rsidRPr="0084255F" w14:paraId="72CF36B0" w14:textId="77777777" w:rsidTr="00483071">
        <w:trPr>
          <w:trHeight w:val="254"/>
        </w:trPr>
        <w:tc>
          <w:tcPr>
            <w:tcW w:w="1448" w:type="dxa"/>
            <w:noWrap/>
            <w:vAlign w:val="bottom"/>
            <w:hideMark/>
          </w:tcPr>
          <w:p w14:paraId="371C1584" w14:textId="77777777" w:rsidR="00483071" w:rsidRPr="001608D7" w:rsidRDefault="00483071" w:rsidP="00483071">
            <w:pPr>
              <w:spacing w:line="240" w:lineRule="atLeast"/>
              <w:jc w:val="center"/>
              <w:rPr>
                <w:rFonts w:ascii="Cambria" w:hAnsi="Cambria"/>
                <w:bCs/>
                <w:sz w:val="22"/>
                <w:szCs w:val="22"/>
              </w:rPr>
            </w:pPr>
            <w:r w:rsidRPr="001608D7">
              <w:rPr>
                <w:rFonts w:ascii="Cambria" w:hAnsi="Cambria"/>
                <w:bCs/>
                <w:sz w:val="22"/>
                <w:szCs w:val="22"/>
              </w:rPr>
              <w:t>Sambalpur</w:t>
            </w:r>
          </w:p>
        </w:tc>
        <w:tc>
          <w:tcPr>
            <w:tcW w:w="1241" w:type="dxa"/>
            <w:noWrap/>
            <w:vAlign w:val="center"/>
            <w:hideMark/>
          </w:tcPr>
          <w:p w14:paraId="4B723EBF" w14:textId="77777777" w:rsidR="00483071" w:rsidRPr="00483071" w:rsidRDefault="00483071" w:rsidP="00483071">
            <w:pPr>
              <w:spacing w:line="240" w:lineRule="atLeast"/>
              <w:jc w:val="center"/>
              <w:rPr>
                <w:rFonts w:ascii="Cambria" w:hAnsi="Cambria"/>
                <w:sz w:val="22"/>
                <w:szCs w:val="22"/>
              </w:rPr>
            </w:pPr>
            <w:r w:rsidRPr="00483071">
              <w:rPr>
                <w:rFonts w:ascii="Cambria" w:hAnsi="Cambria"/>
                <w:sz w:val="22"/>
                <w:szCs w:val="22"/>
              </w:rPr>
              <w:t>5</w:t>
            </w:r>
          </w:p>
        </w:tc>
        <w:tc>
          <w:tcPr>
            <w:tcW w:w="1559" w:type="dxa"/>
            <w:noWrap/>
            <w:vAlign w:val="center"/>
            <w:hideMark/>
          </w:tcPr>
          <w:p w14:paraId="78DDFE66" w14:textId="77777777" w:rsidR="00483071" w:rsidRPr="00483071" w:rsidRDefault="00483071" w:rsidP="00483071">
            <w:pPr>
              <w:spacing w:line="240" w:lineRule="atLeast"/>
              <w:jc w:val="center"/>
              <w:rPr>
                <w:rFonts w:ascii="Cambria" w:hAnsi="Cambria"/>
                <w:sz w:val="22"/>
                <w:szCs w:val="22"/>
              </w:rPr>
            </w:pPr>
            <w:r w:rsidRPr="00483071">
              <w:rPr>
                <w:rFonts w:ascii="Cambria" w:hAnsi="Cambria"/>
                <w:sz w:val="22"/>
                <w:szCs w:val="22"/>
              </w:rPr>
              <w:t>14</w:t>
            </w:r>
          </w:p>
        </w:tc>
        <w:tc>
          <w:tcPr>
            <w:tcW w:w="1134" w:type="dxa"/>
            <w:noWrap/>
            <w:vAlign w:val="center"/>
            <w:hideMark/>
          </w:tcPr>
          <w:p w14:paraId="77758729" w14:textId="77777777" w:rsidR="00483071" w:rsidRPr="00483071" w:rsidRDefault="00483071" w:rsidP="00483071">
            <w:pPr>
              <w:spacing w:line="240" w:lineRule="atLeast"/>
              <w:jc w:val="center"/>
              <w:rPr>
                <w:rFonts w:ascii="Cambria" w:hAnsi="Cambria"/>
                <w:sz w:val="22"/>
                <w:szCs w:val="22"/>
              </w:rPr>
            </w:pPr>
            <w:r w:rsidRPr="00483071">
              <w:rPr>
                <w:rFonts w:ascii="Cambria" w:hAnsi="Cambria"/>
                <w:sz w:val="22"/>
                <w:szCs w:val="22"/>
              </w:rPr>
              <w:t>57</w:t>
            </w:r>
          </w:p>
        </w:tc>
      </w:tr>
      <w:tr w:rsidR="00483071" w:rsidRPr="0084255F" w14:paraId="458FFF7D" w14:textId="77777777" w:rsidTr="00483071">
        <w:trPr>
          <w:trHeight w:val="254"/>
        </w:trPr>
        <w:tc>
          <w:tcPr>
            <w:tcW w:w="1448" w:type="dxa"/>
            <w:noWrap/>
            <w:vAlign w:val="bottom"/>
            <w:hideMark/>
          </w:tcPr>
          <w:p w14:paraId="1271F574" w14:textId="77777777" w:rsidR="00483071" w:rsidRPr="001608D7" w:rsidRDefault="00483071" w:rsidP="00483071">
            <w:pPr>
              <w:spacing w:line="240" w:lineRule="atLeast"/>
              <w:jc w:val="center"/>
              <w:rPr>
                <w:rFonts w:ascii="Cambria" w:hAnsi="Cambria"/>
                <w:bCs/>
                <w:sz w:val="22"/>
                <w:szCs w:val="22"/>
              </w:rPr>
            </w:pPr>
            <w:r w:rsidRPr="001608D7">
              <w:rPr>
                <w:rFonts w:ascii="Cambria" w:hAnsi="Cambria"/>
                <w:bCs/>
                <w:sz w:val="22"/>
                <w:szCs w:val="22"/>
              </w:rPr>
              <w:t>Bargarh</w:t>
            </w:r>
          </w:p>
        </w:tc>
        <w:tc>
          <w:tcPr>
            <w:tcW w:w="1241" w:type="dxa"/>
            <w:noWrap/>
            <w:vAlign w:val="center"/>
            <w:hideMark/>
          </w:tcPr>
          <w:p w14:paraId="38E20BD4" w14:textId="77777777" w:rsidR="00483071" w:rsidRPr="00483071" w:rsidRDefault="00483071" w:rsidP="00483071">
            <w:pPr>
              <w:spacing w:line="240" w:lineRule="atLeast"/>
              <w:jc w:val="center"/>
              <w:rPr>
                <w:rFonts w:ascii="Cambria" w:hAnsi="Cambria"/>
                <w:sz w:val="22"/>
                <w:szCs w:val="22"/>
              </w:rPr>
            </w:pPr>
            <w:r w:rsidRPr="00483071">
              <w:rPr>
                <w:rFonts w:ascii="Cambria" w:hAnsi="Cambria"/>
                <w:sz w:val="22"/>
                <w:szCs w:val="22"/>
              </w:rPr>
              <w:t>2</w:t>
            </w:r>
          </w:p>
        </w:tc>
        <w:tc>
          <w:tcPr>
            <w:tcW w:w="1559" w:type="dxa"/>
            <w:noWrap/>
            <w:vAlign w:val="center"/>
            <w:hideMark/>
          </w:tcPr>
          <w:p w14:paraId="52EC8FB1" w14:textId="77777777" w:rsidR="00483071" w:rsidRPr="00483071" w:rsidRDefault="00483071" w:rsidP="00483071">
            <w:pPr>
              <w:spacing w:line="240" w:lineRule="atLeast"/>
              <w:jc w:val="center"/>
              <w:rPr>
                <w:rFonts w:ascii="Cambria" w:hAnsi="Cambria"/>
                <w:sz w:val="22"/>
                <w:szCs w:val="22"/>
              </w:rPr>
            </w:pPr>
            <w:r w:rsidRPr="00483071">
              <w:rPr>
                <w:rFonts w:ascii="Cambria" w:hAnsi="Cambria"/>
                <w:sz w:val="22"/>
                <w:szCs w:val="22"/>
              </w:rPr>
              <w:t>9</w:t>
            </w:r>
          </w:p>
        </w:tc>
        <w:tc>
          <w:tcPr>
            <w:tcW w:w="1134" w:type="dxa"/>
            <w:noWrap/>
            <w:vAlign w:val="center"/>
            <w:hideMark/>
          </w:tcPr>
          <w:p w14:paraId="585164AC" w14:textId="77777777" w:rsidR="00483071" w:rsidRPr="00483071" w:rsidRDefault="00483071" w:rsidP="00483071">
            <w:pPr>
              <w:spacing w:line="240" w:lineRule="atLeast"/>
              <w:jc w:val="center"/>
              <w:rPr>
                <w:rFonts w:ascii="Cambria" w:hAnsi="Cambria"/>
                <w:sz w:val="22"/>
                <w:szCs w:val="22"/>
              </w:rPr>
            </w:pPr>
            <w:r w:rsidRPr="00483071">
              <w:rPr>
                <w:rFonts w:ascii="Cambria" w:hAnsi="Cambria"/>
                <w:sz w:val="22"/>
                <w:szCs w:val="22"/>
              </w:rPr>
              <w:t>31</w:t>
            </w:r>
          </w:p>
        </w:tc>
      </w:tr>
      <w:tr w:rsidR="00483071" w:rsidRPr="0084255F" w14:paraId="41FD0AE8" w14:textId="77777777" w:rsidTr="00483071">
        <w:trPr>
          <w:trHeight w:val="254"/>
        </w:trPr>
        <w:tc>
          <w:tcPr>
            <w:tcW w:w="1448" w:type="dxa"/>
            <w:noWrap/>
            <w:vAlign w:val="bottom"/>
          </w:tcPr>
          <w:p w14:paraId="4049328E" w14:textId="77777777" w:rsidR="00483071" w:rsidRPr="001608D7" w:rsidRDefault="00483071" w:rsidP="00483071">
            <w:pPr>
              <w:spacing w:line="240" w:lineRule="atLeast"/>
              <w:jc w:val="center"/>
              <w:rPr>
                <w:rFonts w:ascii="Cambria" w:hAnsi="Cambria"/>
                <w:bCs/>
                <w:sz w:val="22"/>
                <w:szCs w:val="22"/>
              </w:rPr>
            </w:pPr>
            <w:r w:rsidRPr="001608D7">
              <w:rPr>
                <w:rFonts w:ascii="Cambria" w:hAnsi="Cambria"/>
                <w:bCs/>
                <w:sz w:val="22"/>
                <w:szCs w:val="22"/>
              </w:rPr>
              <w:t>Bolangir</w:t>
            </w:r>
          </w:p>
        </w:tc>
        <w:tc>
          <w:tcPr>
            <w:tcW w:w="1241" w:type="dxa"/>
            <w:noWrap/>
            <w:vAlign w:val="center"/>
          </w:tcPr>
          <w:p w14:paraId="53254AC0" w14:textId="77777777" w:rsidR="00483071" w:rsidRPr="00483071" w:rsidRDefault="00483071" w:rsidP="00483071">
            <w:pPr>
              <w:spacing w:line="240" w:lineRule="atLeast"/>
              <w:jc w:val="center"/>
              <w:rPr>
                <w:rFonts w:ascii="Cambria" w:hAnsi="Cambria"/>
                <w:sz w:val="22"/>
                <w:szCs w:val="22"/>
              </w:rPr>
            </w:pPr>
            <w:r w:rsidRPr="00483071">
              <w:rPr>
                <w:rFonts w:ascii="Cambria" w:hAnsi="Cambria"/>
                <w:sz w:val="22"/>
                <w:szCs w:val="22"/>
              </w:rPr>
              <w:t>3</w:t>
            </w:r>
          </w:p>
        </w:tc>
        <w:tc>
          <w:tcPr>
            <w:tcW w:w="1559" w:type="dxa"/>
            <w:noWrap/>
            <w:vAlign w:val="center"/>
          </w:tcPr>
          <w:p w14:paraId="58B1876F" w14:textId="77777777" w:rsidR="00483071" w:rsidRPr="00483071" w:rsidRDefault="00483071" w:rsidP="00483071">
            <w:pPr>
              <w:spacing w:line="240" w:lineRule="atLeast"/>
              <w:jc w:val="center"/>
              <w:rPr>
                <w:rFonts w:ascii="Cambria" w:hAnsi="Cambria"/>
                <w:sz w:val="22"/>
                <w:szCs w:val="22"/>
              </w:rPr>
            </w:pPr>
            <w:r w:rsidRPr="00483071">
              <w:rPr>
                <w:rFonts w:ascii="Cambria" w:hAnsi="Cambria"/>
                <w:sz w:val="22"/>
                <w:szCs w:val="22"/>
              </w:rPr>
              <w:t>11</w:t>
            </w:r>
          </w:p>
        </w:tc>
        <w:tc>
          <w:tcPr>
            <w:tcW w:w="1134" w:type="dxa"/>
            <w:noWrap/>
            <w:vAlign w:val="center"/>
          </w:tcPr>
          <w:p w14:paraId="2DA58571" w14:textId="77777777" w:rsidR="00483071" w:rsidRPr="00483071" w:rsidRDefault="00483071" w:rsidP="00483071">
            <w:pPr>
              <w:spacing w:line="240" w:lineRule="atLeast"/>
              <w:jc w:val="center"/>
              <w:rPr>
                <w:rFonts w:ascii="Cambria" w:hAnsi="Cambria"/>
                <w:sz w:val="22"/>
                <w:szCs w:val="22"/>
              </w:rPr>
            </w:pPr>
            <w:r w:rsidRPr="00483071">
              <w:rPr>
                <w:rFonts w:ascii="Cambria" w:hAnsi="Cambria"/>
                <w:sz w:val="22"/>
                <w:szCs w:val="22"/>
              </w:rPr>
              <w:t>36</w:t>
            </w:r>
          </w:p>
        </w:tc>
      </w:tr>
      <w:tr w:rsidR="00483071" w:rsidRPr="0084255F" w14:paraId="40C417CB" w14:textId="77777777" w:rsidTr="00483071">
        <w:trPr>
          <w:trHeight w:val="254"/>
        </w:trPr>
        <w:tc>
          <w:tcPr>
            <w:tcW w:w="1448" w:type="dxa"/>
            <w:noWrap/>
            <w:vAlign w:val="bottom"/>
          </w:tcPr>
          <w:p w14:paraId="23982B5E" w14:textId="77777777" w:rsidR="00483071" w:rsidRPr="001608D7" w:rsidRDefault="00483071" w:rsidP="00483071">
            <w:pPr>
              <w:spacing w:line="240" w:lineRule="atLeast"/>
              <w:jc w:val="center"/>
              <w:rPr>
                <w:rFonts w:ascii="Cambria" w:hAnsi="Cambria"/>
                <w:bCs/>
                <w:sz w:val="22"/>
                <w:szCs w:val="22"/>
              </w:rPr>
            </w:pPr>
            <w:r w:rsidRPr="001608D7">
              <w:rPr>
                <w:rFonts w:ascii="Cambria" w:hAnsi="Cambria"/>
                <w:bCs/>
                <w:sz w:val="22"/>
                <w:szCs w:val="22"/>
              </w:rPr>
              <w:t>Kalahandi</w:t>
            </w:r>
          </w:p>
        </w:tc>
        <w:tc>
          <w:tcPr>
            <w:tcW w:w="1241" w:type="dxa"/>
            <w:noWrap/>
            <w:vAlign w:val="center"/>
          </w:tcPr>
          <w:p w14:paraId="1FC47AC2" w14:textId="77777777" w:rsidR="00483071" w:rsidRPr="00483071" w:rsidRDefault="00483071" w:rsidP="00483071">
            <w:pPr>
              <w:spacing w:line="240" w:lineRule="atLeast"/>
              <w:jc w:val="center"/>
              <w:rPr>
                <w:rFonts w:ascii="Cambria" w:hAnsi="Cambria"/>
                <w:sz w:val="22"/>
                <w:szCs w:val="22"/>
              </w:rPr>
            </w:pPr>
            <w:r w:rsidRPr="00483071">
              <w:rPr>
                <w:rFonts w:ascii="Cambria" w:hAnsi="Cambria"/>
                <w:sz w:val="22"/>
                <w:szCs w:val="22"/>
              </w:rPr>
              <w:t>3</w:t>
            </w:r>
          </w:p>
        </w:tc>
        <w:tc>
          <w:tcPr>
            <w:tcW w:w="1559" w:type="dxa"/>
            <w:noWrap/>
            <w:vAlign w:val="center"/>
          </w:tcPr>
          <w:p w14:paraId="4FA63480" w14:textId="77777777" w:rsidR="00483071" w:rsidRPr="00483071" w:rsidRDefault="00483071" w:rsidP="00483071">
            <w:pPr>
              <w:spacing w:line="240" w:lineRule="atLeast"/>
              <w:jc w:val="center"/>
              <w:rPr>
                <w:rFonts w:ascii="Cambria" w:hAnsi="Cambria"/>
                <w:sz w:val="22"/>
                <w:szCs w:val="22"/>
              </w:rPr>
            </w:pPr>
            <w:r w:rsidRPr="00483071">
              <w:rPr>
                <w:rFonts w:ascii="Cambria" w:hAnsi="Cambria"/>
                <w:sz w:val="22"/>
                <w:szCs w:val="22"/>
              </w:rPr>
              <w:t>10</w:t>
            </w:r>
          </w:p>
        </w:tc>
        <w:tc>
          <w:tcPr>
            <w:tcW w:w="1134" w:type="dxa"/>
            <w:noWrap/>
            <w:vAlign w:val="center"/>
          </w:tcPr>
          <w:p w14:paraId="3638EC0A" w14:textId="77777777" w:rsidR="00483071" w:rsidRPr="00483071" w:rsidRDefault="00483071" w:rsidP="00483071">
            <w:pPr>
              <w:spacing w:line="240" w:lineRule="atLeast"/>
              <w:jc w:val="center"/>
              <w:rPr>
                <w:rFonts w:ascii="Cambria" w:hAnsi="Cambria"/>
                <w:sz w:val="22"/>
                <w:szCs w:val="22"/>
              </w:rPr>
            </w:pPr>
            <w:r w:rsidRPr="00483071">
              <w:rPr>
                <w:rFonts w:ascii="Cambria" w:hAnsi="Cambria"/>
                <w:sz w:val="22"/>
                <w:szCs w:val="22"/>
              </w:rPr>
              <w:t>32</w:t>
            </w:r>
          </w:p>
        </w:tc>
      </w:tr>
      <w:tr w:rsidR="00483071" w:rsidRPr="0084255F" w14:paraId="6848CC1F" w14:textId="77777777" w:rsidTr="00483071">
        <w:trPr>
          <w:trHeight w:val="254"/>
        </w:trPr>
        <w:tc>
          <w:tcPr>
            <w:tcW w:w="1448" w:type="dxa"/>
            <w:noWrap/>
            <w:vAlign w:val="bottom"/>
          </w:tcPr>
          <w:p w14:paraId="3DD1B09F" w14:textId="77777777" w:rsidR="00483071" w:rsidRPr="0084255F" w:rsidRDefault="00483071" w:rsidP="00483071">
            <w:pPr>
              <w:spacing w:line="240" w:lineRule="atLeast"/>
              <w:jc w:val="center"/>
              <w:rPr>
                <w:rFonts w:ascii="Cambria" w:hAnsi="Cambria"/>
                <w:b/>
                <w:bCs/>
                <w:sz w:val="22"/>
                <w:szCs w:val="22"/>
              </w:rPr>
            </w:pPr>
            <w:r>
              <w:rPr>
                <w:rFonts w:ascii="Cambria" w:hAnsi="Cambria"/>
                <w:b/>
                <w:bCs/>
                <w:sz w:val="22"/>
                <w:szCs w:val="22"/>
              </w:rPr>
              <w:t>Total</w:t>
            </w:r>
          </w:p>
        </w:tc>
        <w:tc>
          <w:tcPr>
            <w:tcW w:w="1241" w:type="dxa"/>
            <w:noWrap/>
            <w:vAlign w:val="center"/>
          </w:tcPr>
          <w:p w14:paraId="3071907D" w14:textId="77777777" w:rsidR="00483071" w:rsidRPr="001608D7" w:rsidRDefault="00483071" w:rsidP="00483071">
            <w:pPr>
              <w:spacing w:line="240" w:lineRule="atLeast"/>
              <w:jc w:val="center"/>
              <w:rPr>
                <w:rFonts w:ascii="Cambria" w:hAnsi="Cambria"/>
                <w:b/>
                <w:sz w:val="22"/>
                <w:szCs w:val="22"/>
              </w:rPr>
            </w:pPr>
            <w:r w:rsidRPr="001608D7">
              <w:rPr>
                <w:rFonts w:ascii="Cambria" w:hAnsi="Cambria"/>
                <w:b/>
                <w:sz w:val="22"/>
                <w:szCs w:val="22"/>
              </w:rPr>
              <w:t>17</w:t>
            </w:r>
          </w:p>
        </w:tc>
        <w:tc>
          <w:tcPr>
            <w:tcW w:w="1559" w:type="dxa"/>
            <w:noWrap/>
            <w:vAlign w:val="center"/>
          </w:tcPr>
          <w:p w14:paraId="0FC0E541" w14:textId="77777777" w:rsidR="00483071" w:rsidRPr="001608D7" w:rsidRDefault="00483071" w:rsidP="00483071">
            <w:pPr>
              <w:spacing w:line="240" w:lineRule="atLeast"/>
              <w:jc w:val="center"/>
              <w:rPr>
                <w:rFonts w:ascii="Cambria" w:hAnsi="Cambria"/>
                <w:b/>
                <w:sz w:val="22"/>
                <w:szCs w:val="22"/>
              </w:rPr>
            </w:pPr>
            <w:r w:rsidRPr="001608D7">
              <w:rPr>
                <w:rFonts w:ascii="Cambria" w:hAnsi="Cambria"/>
                <w:b/>
                <w:sz w:val="22"/>
                <w:szCs w:val="22"/>
              </w:rPr>
              <w:t>5</w:t>
            </w:r>
            <w:r>
              <w:rPr>
                <w:rFonts w:ascii="Cambria" w:hAnsi="Cambria"/>
                <w:b/>
                <w:sz w:val="22"/>
                <w:szCs w:val="22"/>
              </w:rPr>
              <w:t>7</w:t>
            </w:r>
          </w:p>
        </w:tc>
        <w:tc>
          <w:tcPr>
            <w:tcW w:w="1134" w:type="dxa"/>
            <w:noWrap/>
            <w:vAlign w:val="center"/>
          </w:tcPr>
          <w:p w14:paraId="762799EB" w14:textId="77777777" w:rsidR="00483071" w:rsidRPr="001608D7" w:rsidRDefault="00483071" w:rsidP="00483071">
            <w:pPr>
              <w:spacing w:line="240" w:lineRule="atLeast"/>
              <w:jc w:val="center"/>
              <w:rPr>
                <w:rFonts w:ascii="Cambria" w:hAnsi="Cambria"/>
                <w:b/>
                <w:sz w:val="22"/>
                <w:szCs w:val="22"/>
              </w:rPr>
            </w:pPr>
            <w:r w:rsidRPr="001608D7">
              <w:rPr>
                <w:rFonts w:ascii="Cambria" w:hAnsi="Cambria"/>
                <w:b/>
                <w:sz w:val="22"/>
                <w:szCs w:val="22"/>
              </w:rPr>
              <w:t>20</w:t>
            </w:r>
            <w:r>
              <w:rPr>
                <w:rFonts w:ascii="Cambria" w:hAnsi="Cambria"/>
                <w:b/>
                <w:sz w:val="22"/>
                <w:szCs w:val="22"/>
              </w:rPr>
              <w:t>1</w:t>
            </w:r>
          </w:p>
        </w:tc>
      </w:tr>
    </w:tbl>
    <w:p w14:paraId="3DA07DAF" w14:textId="77777777" w:rsidR="00D644C9" w:rsidRDefault="00D644C9" w:rsidP="009C6AE7">
      <w:pPr>
        <w:ind w:left="360"/>
        <w:jc w:val="both"/>
        <w:rPr>
          <w:rFonts w:ascii="Calibri" w:hAnsi="Calibri" w:cs="Calibri"/>
        </w:rPr>
      </w:pPr>
    </w:p>
    <w:p w14:paraId="68D31003" w14:textId="77777777" w:rsidR="00D644C9" w:rsidRDefault="00D644C9" w:rsidP="009C6AE7">
      <w:pPr>
        <w:ind w:left="360"/>
        <w:jc w:val="both"/>
        <w:rPr>
          <w:rFonts w:ascii="Calibri" w:hAnsi="Calibri" w:cs="Calibri"/>
        </w:rPr>
      </w:pPr>
    </w:p>
    <w:p w14:paraId="3DB0A195" w14:textId="3C33AAD2" w:rsidR="0059013E" w:rsidRDefault="0059013E" w:rsidP="009C6AE7">
      <w:pPr>
        <w:ind w:left="360"/>
        <w:jc w:val="both"/>
        <w:rPr>
          <w:rFonts w:ascii="Calibri" w:hAnsi="Calibri" w:cs="Calibri"/>
        </w:rPr>
      </w:pPr>
    </w:p>
    <w:p w14:paraId="25159B83" w14:textId="77777777" w:rsidR="00D644C9" w:rsidRDefault="00D644C9" w:rsidP="009C6AE7">
      <w:pPr>
        <w:ind w:left="360"/>
        <w:jc w:val="both"/>
        <w:rPr>
          <w:rFonts w:ascii="Calibri" w:hAnsi="Calibri" w:cs="Calibri"/>
        </w:rPr>
      </w:pPr>
    </w:p>
    <w:p w14:paraId="252CFE07" w14:textId="4A1A0DD0" w:rsidR="0059013E" w:rsidRDefault="0059013E" w:rsidP="009C6AE7">
      <w:pPr>
        <w:ind w:left="360"/>
        <w:jc w:val="both"/>
        <w:rPr>
          <w:rFonts w:ascii="Calibri" w:hAnsi="Calibri" w:cs="Calibri"/>
        </w:rPr>
      </w:pPr>
    </w:p>
    <w:p w14:paraId="6490B209" w14:textId="1E0AFC6E" w:rsidR="0059013E" w:rsidRDefault="0059013E" w:rsidP="009C6AE7">
      <w:pPr>
        <w:ind w:left="360"/>
        <w:jc w:val="both"/>
        <w:rPr>
          <w:rFonts w:ascii="Calibri" w:hAnsi="Calibri" w:cs="Calibri"/>
        </w:rPr>
      </w:pPr>
    </w:p>
    <w:p w14:paraId="2682D6CA" w14:textId="0476BA29" w:rsidR="0059013E" w:rsidRDefault="0059013E" w:rsidP="009C6AE7">
      <w:pPr>
        <w:ind w:left="360"/>
        <w:jc w:val="both"/>
        <w:rPr>
          <w:rFonts w:ascii="Calibri" w:hAnsi="Calibri" w:cs="Calibri"/>
        </w:rPr>
      </w:pPr>
    </w:p>
    <w:p w14:paraId="7EE36316" w14:textId="745D4B35" w:rsidR="0059013E" w:rsidRDefault="0059013E" w:rsidP="009C6AE7">
      <w:pPr>
        <w:ind w:left="360"/>
        <w:jc w:val="both"/>
        <w:rPr>
          <w:rFonts w:ascii="Calibri" w:hAnsi="Calibri" w:cs="Calibri"/>
        </w:rPr>
      </w:pPr>
    </w:p>
    <w:p w14:paraId="105CA6BC" w14:textId="77777777" w:rsidR="009C6AE7" w:rsidRPr="00DF31C8" w:rsidRDefault="009C6AE7" w:rsidP="001972DE">
      <w:pPr>
        <w:numPr>
          <w:ilvl w:val="0"/>
          <w:numId w:val="37"/>
        </w:numPr>
        <w:spacing w:line="360" w:lineRule="auto"/>
        <w:jc w:val="both"/>
        <w:rPr>
          <w:rFonts w:asciiTheme="majorHAnsi" w:eastAsia="Calibri" w:hAnsiTheme="majorHAnsi" w:cs="Calibri"/>
          <w:b/>
        </w:rPr>
      </w:pPr>
      <w:r w:rsidRPr="00DF31C8">
        <w:rPr>
          <w:rFonts w:asciiTheme="majorHAnsi" w:eastAsia="Calibri" w:hAnsiTheme="majorHAnsi" w:cs="Calibri"/>
          <w:b/>
        </w:rPr>
        <w:t>Scope of work:</w:t>
      </w:r>
    </w:p>
    <w:p w14:paraId="4D753022" w14:textId="77777777" w:rsidR="009C6AE7" w:rsidRPr="00DF31C8" w:rsidRDefault="009C6AE7" w:rsidP="009C6AE7">
      <w:pPr>
        <w:spacing w:line="360" w:lineRule="auto"/>
        <w:ind w:left="720"/>
        <w:contextualSpacing/>
        <w:jc w:val="both"/>
        <w:rPr>
          <w:rFonts w:asciiTheme="majorHAnsi" w:eastAsia="Calibri" w:hAnsiTheme="majorHAnsi" w:cs="Calibri"/>
        </w:rPr>
      </w:pPr>
      <w:r w:rsidRPr="00DF31C8">
        <w:rPr>
          <w:rFonts w:asciiTheme="majorHAnsi" w:eastAsia="Calibri" w:hAnsiTheme="majorHAnsi" w:cs="Calibri"/>
        </w:rPr>
        <w:t>The scope of work extends to the whole operating area of TPWODL and includes-</w:t>
      </w:r>
    </w:p>
    <w:p w14:paraId="23C46288" w14:textId="77777777" w:rsidR="009C6AE7" w:rsidRPr="00923A86" w:rsidRDefault="009C6AE7" w:rsidP="00F337F3">
      <w:pPr>
        <w:numPr>
          <w:ilvl w:val="0"/>
          <w:numId w:val="38"/>
        </w:numPr>
        <w:contextualSpacing/>
        <w:jc w:val="both"/>
        <w:rPr>
          <w:rFonts w:asciiTheme="majorHAnsi" w:eastAsia="Calibri" w:hAnsiTheme="majorHAnsi" w:cs="Calibri"/>
        </w:rPr>
      </w:pPr>
      <w:r w:rsidRPr="00923A86">
        <w:rPr>
          <w:rFonts w:asciiTheme="majorHAnsi" w:eastAsia="Calibri" w:hAnsiTheme="majorHAnsi" w:cs="Calibri"/>
          <w:w w:val="105"/>
        </w:rPr>
        <w:t>Revenue Collection Door to Door activity</w:t>
      </w:r>
    </w:p>
    <w:p w14:paraId="4004B2DA" w14:textId="77777777" w:rsidR="009C6AE7" w:rsidRPr="00923A86" w:rsidRDefault="009C6AE7" w:rsidP="00F337F3">
      <w:pPr>
        <w:numPr>
          <w:ilvl w:val="0"/>
          <w:numId w:val="38"/>
        </w:numPr>
        <w:contextualSpacing/>
        <w:jc w:val="both"/>
        <w:rPr>
          <w:rFonts w:asciiTheme="majorHAnsi" w:eastAsia="Calibri" w:hAnsiTheme="majorHAnsi" w:cs="Calibri"/>
        </w:rPr>
      </w:pPr>
      <w:r w:rsidRPr="00923A86">
        <w:rPr>
          <w:rFonts w:asciiTheme="majorHAnsi" w:eastAsia="Calibri" w:hAnsiTheme="majorHAnsi" w:cs="Calibri"/>
          <w:w w:val="105"/>
        </w:rPr>
        <w:t>Revenue Collection at Collection Counter</w:t>
      </w:r>
    </w:p>
    <w:p w14:paraId="0F4E3EEC" w14:textId="77777777" w:rsidR="009C6AE7" w:rsidRPr="00923A86" w:rsidRDefault="009C6AE7" w:rsidP="00F337F3">
      <w:pPr>
        <w:numPr>
          <w:ilvl w:val="0"/>
          <w:numId w:val="38"/>
        </w:numPr>
        <w:contextualSpacing/>
        <w:jc w:val="both"/>
        <w:rPr>
          <w:rFonts w:asciiTheme="majorHAnsi" w:eastAsia="Calibri" w:hAnsiTheme="majorHAnsi" w:cs="Calibri"/>
        </w:rPr>
      </w:pPr>
      <w:r w:rsidRPr="00923A86">
        <w:rPr>
          <w:rFonts w:asciiTheme="majorHAnsi" w:eastAsia="Calibri" w:hAnsiTheme="majorHAnsi" w:cs="Calibri"/>
        </w:rPr>
        <w:t xml:space="preserve">Training &amp; development of BA employees </w:t>
      </w:r>
    </w:p>
    <w:p w14:paraId="5C8D7C6D" w14:textId="77777777" w:rsidR="00923A86" w:rsidRDefault="00923A86" w:rsidP="009C6AE7">
      <w:pPr>
        <w:spacing w:line="360" w:lineRule="auto"/>
        <w:ind w:left="720"/>
        <w:jc w:val="both"/>
        <w:rPr>
          <w:rFonts w:asciiTheme="majorHAnsi" w:hAnsiTheme="majorHAnsi" w:cs="Calibri"/>
        </w:rPr>
      </w:pPr>
    </w:p>
    <w:p w14:paraId="47D0A286" w14:textId="45334FE9" w:rsidR="009C6AE7" w:rsidRPr="002E11E3" w:rsidRDefault="009C6AE7" w:rsidP="009C6AE7">
      <w:pPr>
        <w:spacing w:line="360" w:lineRule="auto"/>
        <w:ind w:left="720"/>
        <w:jc w:val="both"/>
        <w:rPr>
          <w:rFonts w:asciiTheme="majorHAnsi" w:hAnsiTheme="majorHAnsi" w:cs="Calibri"/>
          <w:b/>
          <w:bCs/>
        </w:rPr>
      </w:pPr>
      <w:r w:rsidRPr="002E11E3">
        <w:rPr>
          <w:rFonts w:asciiTheme="majorHAnsi" w:hAnsiTheme="majorHAnsi" w:cs="Calibri"/>
          <w:b/>
          <w:bCs/>
        </w:rPr>
        <w:t>Besides the above, the following additional initiatives have been taken to improve Collection efficiency: -</w:t>
      </w:r>
    </w:p>
    <w:p w14:paraId="29F7D0C3" w14:textId="77777777" w:rsidR="009C6AE7" w:rsidRPr="00DF31C8" w:rsidRDefault="009C6AE7" w:rsidP="00F337F3">
      <w:pPr>
        <w:numPr>
          <w:ilvl w:val="0"/>
          <w:numId w:val="39"/>
        </w:numPr>
        <w:contextualSpacing/>
        <w:jc w:val="both"/>
        <w:rPr>
          <w:rFonts w:asciiTheme="majorHAnsi" w:eastAsia="Calibri" w:hAnsiTheme="majorHAnsi" w:cs="Calibri"/>
        </w:rPr>
      </w:pPr>
      <w:r w:rsidRPr="00DF31C8">
        <w:rPr>
          <w:rFonts w:asciiTheme="majorHAnsi" w:eastAsia="Calibri" w:hAnsiTheme="majorHAnsi" w:cs="Calibri"/>
        </w:rPr>
        <w:t>Door to Door collection with Minimum Current demand and along with Arrear recovery</w:t>
      </w:r>
    </w:p>
    <w:p w14:paraId="231099C4" w14:textId="77777777" w:rsidR="009C6AE7" w:rsidRPr="00DF31C8" w:rsidRDefault="009C6AE7" w:rsidP="00F337F3">
      <w:pPr>
        <w:numPr>
          <w:ilvl w:val="0"/>
          <w:numId w:val="39"/>
        </w:numPr>
        <w:contextualSpacing/>
        <w:jc w:val="both"/>
        <w:rPr>
          <w:rFonts w:asciiTheme="majorHAnsi" w:eastAsia="Calibri" w:hAnsiTheme="majorHAnsi" w:cs="Calibri"/>
        </w:rPr>
      </w:pPr>
      <w:r w:rsidRPr="00DF31C8">
        <w:rPr>
          <w:rFonts w:asciiTheme="majorHAnsi" w:eastAsia="Calibri" w:hAnsiTheme="majorHAnsi" w:cs="Calibri"/>
        </w:rPr>
        <w:t xml:space="preserve">Door to Door collection through digital transaction </w:t>
      </w:r>
      <w:proofErr w:type="spellStart"/>
      <w:r w:rsidRPr="00DF31C8">
        <w:rPr>
          <w:rFonts w:asciiTheme="majorHAnsi" w:eastAsia="Calibri" w:hAnsiTheme="majorHAnsi" w:cs="Calibri"/>
        </w:rPr>
        <w:t>Ezetap</w:t>
      </w:r>
      <w:proofErr w:type="spellEnd"/>
    </w:p>
    <w:p w14:paraId="4EE7AE46" w14:textId="77777777" w:rsidR="009C6AE7" w:rsidRPr="00DF31C8" w:rsidRDefault="009C6AE7" w:rsidP="00F337F3">
      <w:pPr>
        <w:numPr>
          <w:ilvl w:val="0"/>
          <w:numId w:val="39"/>
        </w:numPr>
        <w:contextualSpacing/>
        <w:jc w:val="both"/>
        <w:rPr>
          <w:rFonts w:asciiTheme="majorHAnsi" w:eastAsia="Calibri" w:hAnsiTheme="majorHAnsi" w:cs="Calibri"/>
        </w:rPr>
      </w:pPr>
      <w:r w:rsidRPr="00DF31C8">
        <w:rPr>
          <w:rFonts w:asciiTheme="majorHAnsi" w:eastAsia="Calibri" w:hAnsiTheme="majorHAnsi" w:cs="Calibri"/>
        </w:rPr>
        <w:t>Bill collector wise Consumer allocation as per MRU</w:t>
      </w:r>
    </w:p>
    <w:p w14:paraId="29158481" w14:textId="77777777" w:rsidR="009C6AE7" w:rsidRPr="00DF31C8" w:rsidRDefault="009C6AE7" w:rsidP="00F337F3">
      <w:pPr>
        <w:numPr>
          <w:ilvl w:val="0"/>
          <w:numId w:val="39"/>
        </w:numPr>
        <w:contextualSpacing/>
        <w:jc w:val="both"/>
        <w:rPr>
          <w:rFonts w:asciiTheme="majorHAnsi" w:eastAsia="Calibri" w:hAnsiTheme="majorHAnsi" w:cs="Calibri"/>
        </w:rPr>
      </w:pPr>
      <w:r w:rsidRPr="00DF31C8">
        <w:rPr>
          <w:rFonts w:asciiTheme="majorHAnsi" w:eastAsia="Calibri" w:hAnsiTheme="majorHAnsi" w:cs="Calibri"/>
        </w:rPr>
        <w:t xml:space="preserve">Monthly target set for the bill collectors and incentives for achieving beyond the target </w:t>
      </w:r>
    </w:p>
    <w:p w14:paraId="398910DF" w14:textId="77777777" w:rsidR="009C6AE7" w:rsidRPr="00DF31C8" w:rsidRDefault="009C6AE7" w:rsidP="00F337F3">
      <w:pPr>
        <w:numPr>
          <w:ilvl w:val="0"/>
          <w:numId w:val="39"/>
        </w:numPr>
        <w:contextualSpacing/>
        <w:jc w:val="both"/>
        <w:rPr>
          <w:rFonts w:asciiTheme="majorHAnsi" w:eastAsia="Calibri" w:hAnsiTheme="majorHAnsi" w:cs="Calibri"/>
          <w:bCs/>
        </w:rPr>
      </w:pPr>
      <w:r w:rsidRPr="00DF31C8">
        <w:rPr>
          <w:rFonts w:asciiTheme="majorHAnsi" w:eastAsia="Calibri" w:hAnsiTheme="majorHAnsi" w:cs="Calibri"/>
          <w:bCs/>
        </w:rPr>
        <w:t>Daily work management and monitoring of bill collector wise performance</w:t>
      </w:r>
    </w:p>
    <w:p w14:paraId="5A5903D7" w14:textId="77777777" w:rsidR="009C6AE7" w:rsidRDefault="009C6AE7" w:rsidP="00F337F3">
      <w:pPr>
        <w:numPr>
          <w:ilvl w:val="0"/>
          <w:numId w:val="39"/>
        </w:numPr>
        <w:contextualSpacing/>
        <w:jc w:val="both"/>
        <w:rPr>
          <w:rFonts w:asciiTheme="majorHAnsi" w:eastAsia="Calibri" w:hAnsiTheme="majorHAnsi" w:cs="Calibri"/>
          <w:bCs/>
        </w:rPr>
      </w:pPr>
      <w:r w:rsidRPr="00DF31C8">
        <w:rPr>
          <w:rFonts w:asciiTheme="majorHAnsi" w:eastAsia="Calibri" w:hAnsiTheme="majorHAnsi" w:cs="Calibri"/>
          <w:bCs/>
        </w:rPr>
        <w:t>Tele calling for low performance bill collectors for improving their performance</w:t>
      </w:r>
    </w:p>
    <w:p w14:paraId="13035F93" w14:textId="77777777" w:rsidR="00BF4A06" w:rsidRPr="00BF4A06" w:rsidRDefault="004E7E69" w:rsidP="00F337F3">
      <w:pPr>
        <w:numPr>
          <w:ilvl w:val="0"/>
          <w:numId w:val="39"/>
        </w:numPr>
        <w:contextualSpacing/>
        <w:jc w:val="both"/>
        <w:rPr>
          <w:rFonts w:asciiTheme="majorHAnsi" w:eastAsia="Calibri" w:hAnsiTheme="majorHAnsi" w:cs="Calibri"/>
        </w:rPr>
      </w:pPr>
      <w:r w:rsidRPr="00BF4A06">
        <w:rPr>
          <w:rFonts w:asciiTheme="majorHAnsi" w:eastAsia="Calibri" w:hAnsiTheme="majorHAnsi" w:cs="Calibri"/>
          <w:bCs/>
        </w:rPr>
        <w:t xml:space="preserve">M-CAS </w:t>
      </w:r>
      <w:proofErr w:type="spellStart"/>
      <w:r w:rsidRPr="00BF4A06">
        <w:rPr>
          <w:rFonts w:asciiTheme="majorHAnsi" w:eastAsia="Calibri" w:hAnsiTheme="majorHAnsi" w:cs="Calibri"/>
          <w:bCs/>
        </w:rPr>
        <w:t>Apk</w:t>
      </w:r>
      <w:proofErr w:type="spellEnd"/>
      <w:r w:rsidRPr="00BF4A06">
        <w:rPr>
          <w:rFonts w:asciiTheme="majorHAnsi" w:eastAsia="Calibri" w:hAnsiTheme="majorHAnsi" w:cs="Calibri"/>
          <w:bCs/>
        </w:rPr>
        <w:t xml:space="preserve"> introduced for real time performance monitoring of Bill collectors</w:t>
      </w:r>
    </w:p>
    <w:p w14:paraId="1E3C7DD3" w14:textId="1C4CEC6E" w:rsidR="00BF4A06" w:rsidRDefault="00BF4A06" w:rsidP="00F337F3">
      <w:pPr>
        <w:numPr>
          <w:ilvl w:val="0"/>
          <w:numId w:val="39"/>
        </w:numPr>
        <w:contextualSpacing/>
        <w:jc w:val="both"/>
        <w:rPr>
          <w:rFonts w:asciiTheme="majorHAnsi" w:eastAsia="Calibri" w:hAnsiTheme="majorHAnsi" w:cs="Calibri"/>
        </w:rPr>
      </w:pPr>
      <w:proofErr w:type="spellStart"/>
      <w:r w:rsidRPr="00BF4A06">
        <w:rPr>
          <w:rFonts w:asciiTheme="majorHAnsi" w:eastAsia="Calibri" w:hAnsiTheme="majorHAnsi" w:cs="Calibri"/>
        </w:rPr>
        <w:t>Sanjoga</w:t>
      </w:r>
      <w:proofErr w:type="spellEnd"/>
      <w:r w:rsidRPr="00BF4A06">
        <w:rPr>
          <w:rFonts w:asciiTheme="majorHAnsi" w:eastAsia="Calibri" w:hAnsiTheme="majorHAnsi" w:cs="Calibri"/>
        </w:rPr>
        <w:t xml:space="preserve"> </w:t>
      </w:r>
      <w:proofErr w:type="spellStart"/>
      <w:r w:rsidRPr="00BF4A06">
        <w:rPr>
          <w:rFonts w:asciiTheme="majorHAnsi" w:eastAsia="Calibri" w:hAnsiTheme="majorHAnsi" w:cs="Calibri"/>
        </w:rPr>
        <w:t>Apk</w:t>
      </w:r>
      <w:proofErr w:type="spellEnd"/>
      <w:r w:rsidRPr="00BF4A06">
        <w:rPr>
          <w:rFonts w:asciiTheme="majorHAnsi" w:eastAsia="Calibri" w:hAnsiTheme="majorHAnsi" w:cs="Calibri"/>
        </w:rPr>
        <w:t xml:space="preserve"> introduced for nearest unpaid consumers will reflect to Bill collectors.</w:t>
      </w:r>
    </w:p>
    <w:p w14:paraId="4E16EA2A" w14:textId="77777777" w:rsidR="00C534D8" w:rsidRPr="00BF4A06" w:rsidRDefault="00C534D8" w:rsidP="00C534D8">
      <w:pPr>
        <w:ind w:left="1440"/>
        <w:contextualSpacing/>
        <w:jc w:val="both"/>
        <w:rPr>
          <w:rFonts w:asciiTheme="majorHAnsi" w:eastAsia="Calibri" w:hAnsiTheme="majorHAnsi" w:cs="Calibri"/>
        </w:rPr>
      </w:pPr>
    </w:p>
    <w:p w14:paraId="01EFE371" w14:textId="4600D0A8" w:rsidR="00884521" w:rsidRDefault="009A4234" w:rsidP="00C534D8">
      <w:pPr>
        <w:spacing w:line="360" w:lineRule="auto"/>
        <w:jc w:val="both"/>
        <w:rPr>
          <w:rFonts w:asciiTheme="majorHAnsi" w:hAnsiTheme="majorHAnsi" w:cs="Calibri"/>
          <w:bCs/>
        </w:rPr>
      </w:pPr>
      <w:r>
        <w:rPr>
          <w:rFonts w:asciiTheme="majorHAnsi" w:hAnsiTheme="majorHAnsi" w:cs="Calibri"/>
          <w:bCs/>
        </w:rPr>
        <w:t xml:space="preserve">The </w:t>
      </w:r>
      <w:r w:rsidR="00884521">
        <w:rPr>
          <w:rFonts w:asciiTheme="majorHAnsi" w:hAnsiTheme="majorHAnsi" w:cs="Calibri"/>
          <w:bCs/>
        </w:rPr>
        <w:t>estimated cost involved in carrying out core functions of revenue collection for FY 26-27 on the basis of new contracts enumerated in Aug’25 is as under:</w:t>
      </w:r>
    </w:p>
    <w:p w14:paraId="285193E0" w14:textId="77777777" w:rsidR="00BF51B3" w:rsidRDefault="00BF51B3" w:rsidP="00C534D8">
      <w:pPr>
        <w:spacing w:line="360" w:lineRule="auto"/>
        <w:jc w:val="both"/>
        <w:rPr>
          <w:rFonts w:asciiTheme="majorHAnsi" w:hAnsiTheme="majorHAnsi" w:cs="Calibri"/>
          <w:bCs/>
        </w:rPr>
      </w:pPr>
    </w:p>
    <w:tbl>
      <w:tblPr>
        <w:tblW w:w="9001" w:type="dxa"/>
        <w:tblInd w:w="2" w:type="dxa"/>
        <w:tblCellMar>
          <w:left w:w="0" w:type="dxa"/>
          <w:right w:w="0" w:type="dxa"/>
        </w:tblCellMar>
        <w:tblLook w:val="04A0" w:firstRow="1" w:lastRow="0" w:firstColumn="1" w:lastColumn="0" w:noHBand="0" w:noVBand="1"/>
      </w:tblPr>
      <w:tblGrid>
        <w:gridCol w:w="752"/>
        <w:gridCol w:w="2355"/>
        <w:gridCol w:w="4252"/>
        <w:gridCol w:w="1642"/>
      </w:tblGrid>
      <w:tr w:rsidR="00B06DAD" w:rsidRPr="00884521" w14:paraId="08AC55DA" w14:textId="77777777" w:rsidTr="00BF51B3">
        <w:trPr>
          <w:trHeight w:val="466"/>
          <w:tblHeader/>
        </w:trPr>
        <w:tc>
          <w:tcPr>
            <w:tcW w:w="75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4ABB830" w14:textId="31E6604D" w:rsidR="00B06DAD" w:rsidRPr="00C534D8" w:rsidRDefault="00B06DAD" w:rsidP="00C534D8">
            <w:pPr>
              <w:jc w:val="center"/>
              <w:rPr>
                <w:rFonts w:asciiTheme="majorHAnsi" w:hAnsiTheme="majorHAnsi" w:cs="Calibri"/>
                <w:b/>
                <w:bCs/>
                <w:sz w:val="22"/>
                <w:szCs w:val="22"/>
                <w:lang w:val="en-IN"/>
              </w:rPr>
            </w:pPr>
            <w:r w:rsidRPr="00C534D8">
              <w:rPr>
                <w:rFonts w:asciiTheme="majorHAnsi" w:hAnsiTheme="majorHAnsi" w:cs="Calibri"/>
                <w:b/>
                <w:bCs/>
                <w:sz w:val="22"/>
                <w:szCs w:val="22"/>
              </w:rPr>
              <w:t xml:space="preserve">S. </w:t>
            </w:r>
            <w:r w:rsidR="00BF51B3">
              <w:rPr>
                <w:rFonts w:asciiTheme="majorHAnsi" w:hAnsiTheme="majorHAnsi" w:cs="Calibri"/>
                <w:b/>
                <w:bCs/>
                <w:sz w:val="22"/>
                <w:szCs w:val="22"/>
              </w:rPr>
              <w:t>N</w:t>
            </w:r>
            <w:r w:rsidRPr="00C534D8">
              <w:rPr>
                <w:rFonts w:asciiTheme="majorHAnsi" w:hAnsiTheme="majorHAnsi" w:cs="Calibri"/>
                <w:b/>
                <w:bCs/>
                <w:sz w:val="22"/>
                <w:szCs w:val="22"/>
              </w:rPr>
              <w:t>o.</w:t>
            </w:r>
          </w:p>
        </w:tc>
        <w:tc>
          <w:tcPr>
            <w:tcW w:w="235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AC5EA66" w14:textId="7922C7CC" w:rsidR="00B06DAD" w:rsidRPr="00C534D8" w:rsidRDefault="00B06DAD" w:rsidP="00C534D8">
            <w:pPr>
              <w:jc w:val="both"/>
              <w:rPr>
                <w:rFonts w:asciiTheme="majorHAnsi" w:hAnsiTheme="majorHAnsi" w:cs="Calibri"/>
                <w:b/>
                <w:bCs/>
                <w:sz w:val="22"/>
                <w:szCs w:val="22"/>
                <w:lang w:val="en-IN"/>
              </w:rPr>
            </w:pPr>
            <w:proofErr w:type="spellStart"/>
            <w:r w:rsidRPr="00C534D8">
              <w:rPr>
                <w:rFonts w:asciiTheme="majorHAnsi" w:hAnsiTheme="majorHAnsi" w:cs="Calibri"/>
                <w:b/>
                <w:bCs/>
                <w:sz w:val="22"/>
                <w:szCs w:val="22"/>
              </w:rPr>
              <w:t>Div</w:t>
            </w:r>
            <w:proofErr w:type="spellEnd"/>
            <w:r w:rsidRPr="00C534D8">
              <w:rPr>
                <w:rFonts w:asciiTheme="majorHAnsi" w:hAnsiTheme="majorHAnsi" w:cs="Calibri"/>
                <w:b/>
                <w:bCs/>
                <w:sz w:val="22"/>
                <w:szCs w:val="22"/>
              </w:rPr>
              <w:t>/ Circle/ Dept</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BE002D" w14:textId="4657E2DB" w:rsidR="00B06DAD" w:rsidRPr="00C534D8" w:rsidRDefault="00B06DAD" w:rsidP="00C534D8">
            <w:pPr>
              <w:jc w:val="both"/>
              <w:rPr>
                <w:rFonts w:asciiTheme="majorHAnsi" w:hAnsiTheme="majorHAnsi" w:cs="Calibri"/>
                <w:b/>
                <w:bCs/>
                <w:sz w:val="22"/>
                <w:szCs w:val="22"/>
                <w:lang w:val="en-IN"/>
              </w:rPr>
            </w:pPr>
            <w:r w:rsidRPr="00C534D8">
              <w:rPr>
                <w:rFonts w:asciiTheme="majorHAnsi" w:hAnsiTheme="majorHAnsi" w:cs="Calibri"/>
                <w:b/>
                <w:bCs/>
                <w:sz w:val="22"/>
                <w:szCs w:val="22"/>
              </w:rPr>
              <w:t>Nature of Expenses/ Job</w:t>
            </w:r>
          </w:p>
        </w:tc>
        <w:tc>
          <w:tcPr>
            <w:tcW w:w="16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6458B8" w14:textId="77777777" w:rsidR="00B06DAD" w:rsidRPr="00C534D8" w:rsidRDefault="00B06DAD" w:rsidP="00C534D8">
            <w:pPr>
              <w:jc w:val="center"/>
              <w:rPr>
                <w:rFonts w:asciiTheme="majorHAnsi" w:hAnsiTheme="majorHAnsi" w:cs="Calibri"/>
                <w:b/>
                <w:bCs/>
                <w:sz w:val="22"/>
                <w:szCs w:val="22"/>
                <w:lang w:val="en-IN"/>
              </w:rPr>
            </w:pPr>
            <w:r w:rsidRPr="00C534D8">
              <w:rPr>
                <w:rFonts w:asciiTheme="majorHAnsi" w:hAnsiTheme="majorHAnsi" w:cs="Calibri"/>
                <w:b/>
                <w:bCs/>
                <w:sz w:val="22"/>
                <w:szCs w:val="22"/>
              </w:rPr>
              <w:t>Total Cost (Rs) with GST</w:t>
            </w:r>
          </w:p>
        </w:tc>
      </w:tr>
      <w:tr w:rsidR="00B06DAD" w:rsidRPr="00884521" w14:paraId="1386B1FD" w14:textId="77777777" w:rsidTr="00C534D8">
        <w:trPr>
          <w:trHeight w:val="252"/>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66638DA"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1</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9FE6ED"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BED Bargarh</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6AE2DF"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Revenue Collection with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556EC1"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42568273.3</w:t>
            </w:r>
          </w:p>
        </w:tc>
      </w:tr>
      <w:tr w:rsidR="00B06DAD" w:rsidRPr="00884521" w14:paraId="16D90DA7" w14:textId="77777777" w:rsidTr="00C534D8">
        <w:trPr>
          <w:trHeight w:val="252"/>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1670284"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2</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D83FFE"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SEED Sambalpur</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1BDC66"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Revenue Collection with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ADCE88"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38349203.1</w:t>
            </w:r>
          </w:p>
        </w:tc>
      </w:tr>
      <w:tr w:rsidR="00B06DAD" w:rsidRPr="00884521" w14:paraId="59A09C43" w14:textId="77777777" w:rsidTr="00C534D8">
        <w:trPr>
          <w:trHeight w:val="256"/>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FED75C5"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3</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CBBF96"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BNED Brajrajnagar</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81C018"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Revenue Collection with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DFDFFC"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17902404.7</w:t>
            </w:r>
          </w:p>
        </w:tc>
      </w:tr>
      <w:tr w:rsidR="00B06DAD" w:rsidRPr="00884521" w14:paraId="6BFFD2D7" w14:textId="77777777" w:rsidTr="00C534D8">
        <w:trPr>
          <w:trHeight w:val="260"/>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97AEC1"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4</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17D19E"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JED Jharsuguda</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3D17A62"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Revenue Collection with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0557A2"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42274144</w:t>
            </w:r>
          </w:p>
        </w:tc>
      </w:tr>
      <w:tr w:rsidR="00B06DAD" w:rsidRPr="00884521" w14:paraId="34A82E12" w14:textId="77777777" w:rsidTr="00C534D8">
        <w:trPr>
          <w:trHeight w:val="263"/>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0487F03"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5</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3D6824"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SED Sundargarh</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D0DC95"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Revenue Collection with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EDF3A1"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36540586.2</w:t>
            </w:r>
          </w:p>
        </w:tc>
      </w:tr>
      <w:tr w:rsidR="00B06DAD" w:rsidRPr="00884521" w14:paraId="5B29DC0F" w14:textId="77777777" w:rsidTr="00C534D8">
        <w:trPr>
          <w:trHeight w:val="267"/>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2FC466D"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6</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268DEE"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RSED Rourkela</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1F9E21"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Revenue Collection with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24C1C1"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32875488.6</w:t>
            </w:r>
          </w:p>
        </w:tc>
      </w:tr>
      <w:tr w:rsidR="00B06DAD" w:rsidRPr="00884521" w14:paraId="5C67C9DD" w14:textId="77777777" w:rsidTr="00C534D8">
        <w:trPr>
          <w:trHeight w:val="257"/>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EC0835"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7</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03D483"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 xml:space="preserve">NED </w:t>
            </w:r>
            <w:proofErr w:type="spellStart"/>
            <w:r w:rsidRPr="00C534D8">
              <w:rPr>
                <w:rFonts w:asciiTheme="majorHAnsi" w:hAnsiTheme="majorHAnsi" w:cs="Calibri"/>
                <w:bCs/>
                <w:sz w:val="22"/>
                <w:szCs w:val="22"/>
              </w:rPr>
              <w:t>Nuapada</w:t>
            </w:r>
            <w:proofErr w:type="spellEnd"/>
            <w:r w:rsidRPr="00C534D8">
              <w:rPr>
                <w:rFonts w:asciiTheme="majorHAnsi" w:hAnsiTheme="majorHAnsi" w:cs="Calibri"/>
                <w:bCs/>
                <w:sz w:val="22"/>
                <w:szCs w:val="22"/>
              </w:rPr>
              <w:t xml:space="preserve"> </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FC77CA"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Revenue Collection with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EBB411"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48080453.3</w:t>
            </w:r>
          </w:p>
        </w:tc>
      </w:tr>
      <w:tr w:rsidR="00B06DAD" w:rsidRPr="00884521" w14:paraId="0C44424C" w14:textId="77777777" w:rsidTr="00C534D8">
        <w:trPr>
          <w:trHeight w:val="275"/>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4B80D63"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8</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E64A3B"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RED Rourkela</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BAAD45"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Revenue Collection with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90561D"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28691626.8</w:t>
            </w:r>
          </w:p>
        </w:tc>
      </w:tr>
      <w:tr w:rsidR="00B06DAD" w:rsidRPr="00884521" w14:paraId="37957972" w14:textId="77777777" w:rsidTr="00C534D8">
        <w:trPr>
          <w:trHeight w:val="251"/>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1B01415"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9</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FF457E" w14:textId="397C9160"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 xml:space="preserve">BED </w:t>
            </w:r>
            <w:r w:rsidR="00C534D8" w:rsidRPr="00C534D8">
              <w:rPr>
                <w:rFonts w:asciiTheme="majorHAnsi" w:hAnsiTheme="majorHAnsi" w:cs="Calibri"/>
                <w:bCs/>
                <w:sz w:val="22"/>
                <w:szCs w:val="22"/>
              </w:rPr>
              <w:t>BOLANGIR</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19C0C6"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Revenue Collection with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D662B5"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49188758.9</w:t>
            </w:r>
          </w:p>
        </w:tc>
      </w:tr>
      <w:tr w:rsidR="00B06DAD" w:rsidRPr="00884521" w14:paraId="616272B6" w14:textId="77777777" w:rsidTr="00C534D8">
        <w:trPr>
          <w:trHeight w:val="269"/>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C60CD06"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10</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A64B61"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 xml:space="preserve">DED </w:t>
            </w:r>
            <w:proofErr w:type="spellStart"/>
            <w:r w:rsidRPr="00C534D8">
              <w:rPr>
                <w:rFonts w:asciiTheme="majorHAnsi" w:hAnsiTheme="majorHAnsi" w:cs="Calibri"/>
                <w:bCs/>
                <w:sz w:val="22"/>
                <w:szCs w:val="22"/>
              </w:rPr>
              <w:t>Deogarh</w:t>
            </w:r>
            <w:proofErr w:type="spellEnd"/>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EA686CF"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Revenue Collection with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07FC30"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25879292.6</w:t>
            </w:r>
          </w:p>
        </w:tc>
      </w:tr>
      <w:tr w:rsidR="00B06DAD" w:rsidRPr="00884521" w14:paraId="1E9A46A6" w14:textId="77777777" w:rsidTr="00C534D8">
        <w:trPr>
          <w:trHeight w:val="259"/>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8D78F94"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11</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ABE3FB"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 xml:space="preserve">TED Titlagarh </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55C509"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Revenue Collection with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B512AC"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81075977.1</w:t>
            </w:r>
          </w:p>
        </w:tc>
      </w:tr>
      <w:tr w:rsidR="00B06DAD" w:rsidRPr="00884521" w14:paraId="394A9826" w14:textId="77777777" w:rsidTr="00C534D8">
        <w:trPr>
          <w:trHeight w:val="263"/>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F9512F1"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12</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0469B7"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 xml:space="preserve">SED </w:t>
            </w:r>
            <w:proofErr w:type="spellStart"/>
            <w:r w:rsidRPr="00C534D8">
              <w:rPr>
                <w:rFonts w:asciiTheme="majorHAnsi" w:hAnsiTheme="majorHAnsi" w:cs="Calibri"/>
                <w:bCs/>
                <w:sz w:val="22"/>
                <w:szCs w:val="22"/>
              </w:rPr>
              <w:t>Sonepur</w:t>
            </w:r>
            <w:proofErr w:type="spellEnd"/>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5853DF"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Revenue Collection with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0754BC"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46564853.2</w:t>
            </w:r>
          </w:p>
        </w:tc>
      </w:tr>
      <w:tr w:rsidR="00B06DAD" w:rsidRPr="00884521" w14:paraId="0EA19FE7" w14:textId="77777777" w:rsidTr="00C534D8">
        <w:trPr>
          <w:trHeight w:val="266"/>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BBBA33"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13</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E332E9"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 xml:space="preserve">KWED </w:t>
            </w:r>
            <w:proofErr w:type="spellStart"/>
            <w:r w:rsidRPr="00C534D8">
              <w:rPr>
                <w:rFonts w:asciiTheme="majorHAnsi" w:hAnsiTheme="majorHAnsi" w:cs="Calibri"/>
                <w:bCs/>
                <w:sz w:val="22"/>
                <w:szCs w:val="22"/>
              </w:rPr>
              <w:t>Bhawanipatna</w:t>
            </w:r>
            <w:proofErr w:type="spellEnd"/>
            <w:r w:rsidRPr="00C534D8">
              <w:rPr>
                <w:rFonts w:asciiTheme="majorHAnsi" w:hAnsiTheme="majorHAnsi" w:cs="Calibri"/>
                <w:bCs/>
                <w:sz w:val="22"/>
                <w:szCs w:val="22"/>
              </w:rPr>
              <w:t xml:space="preserve"> </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24DC34"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Revenue Collection with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AE528C"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47879897</w:t>
            </w:r>
          </w:p>
        </w:tc>
      </w:tr>
      <w:tr w:rsidR="00B06DAD" w:rsidRPr="00884521" w14:paraId="22ABFDAD" w14:textId="77777777" w:rsidTr="00C534D8">
        <w:trPr>
          <w:trHeight w:val="271"/>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98008A1"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14</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D7ECAA"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BWED Bargarh</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9F3057"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Revenue Collection with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D7FA59"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50022092.3</w:t>
            </w:r>
          </w:p>
        </w:tc>
      </w:tr>
      <w:tr w:rsidR="00B06DAD" w:rsidRPr="00884521" w14:paraId="3F51D1AB" w14:textId="77777777" w:rsidTr="00C534D8">
        <w:trPr>
          <w:trHeight w:val="247"/>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B2FAB6B"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15</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CFEBFB"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SED Sambalpur</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9CDA4A"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Revenue Collection with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64D526"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24123088.3</w:t>
            </w:r>
          </w:p>
        </w:tc>
      </w:tr>
      <w:tr w:rsidR="00B06DAD" w:rsidRPr="00884521" w14:paraId="052455A1" w14:textId="77777777" w:rsidTr="00C534D8">
        <w:trPr>
          <w:trHeight w:val="265"/>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0E5762C"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16</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F342C9"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 xml:space="preserve">KEED </w:t>
            </w:r>
            <w:proofErr w:type="spellStart"/>
            <w:r w:rsidRPr="00C534D8">
              <w:rPr>
                <w:rFonts w:asciiTheme="majorHAnsi" w:hAnsiTheme="majorHAnsi" w:cs="Calibri"/>
                <w:bCs/>
                <w:sz w:val="22"/>
                <w:szCs w:val="22"/>
              </w:rPr>
              <w:t>Bhawanipatna</w:t>
            </w:r>
            <w:proofErr w:type="spellEnd"/>
            <w:r w:rsidRPr="00C534D8">
              <w:rPr>
                <w:rFonts w:asciiTheme="majorHAnsi" w:hAnsiTheme="majorHAnsi" w:cs="Calibri"/>
                <w:bCs/>
                <w:sz w:val="22"/>
                <w:szCs w:val="22"/>
              </w:rPr>
              <w:t xml:space="preserve"> </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55F9D4"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Revenue Collection with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A3FCC1"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49045853</w:t>
            </w:r>
          </w:p>
        </w:tc>
      </w:tr>
      <w:tr w:rsidR="00B06DAD" w:rsidRPr="00884521" w14:paraId="67354BA7" w14:textId="77777777" w:rsidTr="00C534D8">
        <w:trPr>
          <w:trHeight w:val="255"/>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DF5A8F9"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17</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604E18"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RED Rajgangpur</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DA0CF4D"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Revenue Collection with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B210A4"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46863645</w:t>
            </w:r>
          </w:p>
        </w:tc>
      </w:tr>
      <w:tr w:rsidR="00B06DAD" w:rsidRPr="00884521" w14:paraId="45351206" w14:textId="77777777" w:rsidTr="00BF51B3">
        <w:trPr>
          <w:trHeight w:val="259"/>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2A42AFA"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18</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115C1C" w14:textId="004F1D30" w:rsidR="00B06DAD" w:rsidRPr="00C534D8" w:rsidRDefault="00B06DAD" w:rsidP="00C534D8">
            <w:pPr>
              <w:rPr>
                <w:rFonts w:asciiTheme="majorHAnsi" w:hAnsiTheme="majorHAnsi" w:cs="Calibri"/>
                <w:bCs/>
                <w:sz w:val="22"/>
                <w:szCs w:val="22"/>
                <w:lang w:val="en-IN"/>
              </w:rPr>
            </w:pPr>
            <w:r w:rsidRPr="00C534D8">
              <w:rPr>
                <w:rFonts w:asciiTheme="majorHAnsi" w:hAnsiTheme="majorHAnsi" w:cs="Calibri"/>
                <w:bCs/>
                <w:sz w:val="22"/>
                <w:szCs w:val="22"/>
              </w:rPr>
              <w:t>BED Bargarh</w:t>
            </w:r>
            <w:r w:rsidR="00BF51B3">
              <w:rPr>
                <w:rFonts w:asciiTheme="majorHAnsi" w:hAnsiTheme="majorHAnsi" w:cs="Calibri"/>
                <w:bCs/>
                <w:sz w:val="22"/>
                <w:szCs w:val="22"/>
              </w:rPr>
              <w:t xml:space="preserve"> - </w:t>
            </w:r>
            <w:proofErr w:type="spellStart"/>
            <w:r w:rsidR="00BF51B3">
              <w:rPr>
                <w:rFonts w:asciiTheme="majorHAnsi" w:hAnsiTheme="majorHAnsi" w:cs="Calibri"/>
                <w:bCs/>
                <w:sz w:val="22"/>
                <w:szCs w:val="22"/>
              </w:rPr>
              <w:t>Bhatli</w:t>
            </w:r>
            <w:proofErr w:type="spellEnd"/>
          </w:p>
        </w:tc>
        <w:tc>
          <w:tcPr>
            <w:tcW w:w="4252"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8078D39"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Revenue Collection with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4A1FB5E"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11578923.9</w:t>
            </w:r>
          </w:p>
        </w:tc>
      </w:tr>
      <w:tr w:rsidR="00B06DAD" w:rsidRPr="00884521" w14:paraId="39103FAB" w14:textId="77777777" w:rsidTr="00C534D8">
        <w:trPr>
          <w:trHeight w:val="267"/>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00157F5"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19</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981B6E"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BED Bargarh</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614B76"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Commercial Vehicles for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E22E20"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6064510.45</w:t>
            </w:r>
          </w:p>
        </w:tc>
      </w:tr>
      <w:tr w:rsidR="00B06DAD" w:rsidRPr="00884521" w14:paraId="1A9633E8" w14:textId="77777777" w:rsidTr="00C534D8">
        <w:trPr>
          <w:trHeight w:val="270"/>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F6745E2"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20</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F0C2DE"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BWED Bargarh</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70C1B2"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Commercial Vehicles for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0C39774"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4200647.15</w:t>
            </w:r>
          </w:p>
        </w:tc>
      </w:tr>
      <w:tr w:rsidR="00B06DAD" w:rsidRPr="00884521" w14:paraId="328F0178" w14:textId="77777777" w:rsidTr="00C534D8">
        <w:trPr>
          <w:trHeight w:val="247"/>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F51FB04"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21</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17709D"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RED Rourkela</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9481EA9"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Commercial Vehicles for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3E354A"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3046164.65</w:t>
            </w:r>
          </w:p>
        </w:tc>
      </w:tr>
      <w:tr w:rsidR="00B06DAD" w:rsidRPr="00884521" w14:paraId="5A18562D" w14:textId="77777777" w:rsidTr="00C534D8">
        <w:trPr>
          <w:trHeight w:val="264"/>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3382B2A"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22</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DCCA8B"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RSED Rourkela</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52F9A3"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Commercial Vehicles for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1ECFD8"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3699907.75</w:t>
            </w:r>
          </w:p>
        </w:tc>
      </w:tr>
      <w:tr w:rsidR="00B06DAD" w:rsidRPr="00884521" w14:paraId="6CEAB6F0" w14:textId="77777777" w:rsidTr="00C534D8">
        <w:trPr>
          <w:trHeight w:val="252"/>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2AEEBD7"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23</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9A7BBC"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SED Sundargarh</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89B30A"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Commercial Vehicles for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1E1579B"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4298013.14</w:t>
            </w:r>
          </w:p>
        </w:tc>
      </w:tr>
      <w:tr w:rsidR="00B06DAD" w:rsidRPr="00884521" w14:paraId="20168897" w14:textId="77777777" w:rsidTr="00C534D8">
        <w:trPr>
          <w:trHeight w:val="261"/>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379091B"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24</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5F0449"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RED Rajgangpur</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9343631"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Commercial Vehicles for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402D4C"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4298013.14</w:t>
            </w:r>
          </w:p>
        </w:tc>
      </w:tr>
      <w:tr w:rsidR="00B06DAD" w:rsidRPr="00884521" w14:paraId="18D50780" w14:textId="77777777" w:rsidTr="00C534D8">
        <w:trPr>
          <w:trHeight w:val="277"/>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B82C361"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25</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8E0E66"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BNED Brajrajnagar</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CB0E56"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Commercial Vehicles for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77C534"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4200647.15</w:t>
            </w:r>
          </w:p>
        </w:tc>
      </w:tr>
      <w:tr w:rsidR="00B06DAD" w:rsidRPr="00884521" w14:paraId="7347591F" w14:textId="77777777" w:rsidTr="00C534D8">
        <w:trPr>
          <w:trHeight w:val="253"/>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F8D8866"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26</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B69529"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JED Jharsuguda</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851324"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Commercial Vehicles for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76D7F3"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6008872.74</w:t>
            </w:r>
          </w:p>
        </w:tc>
      </w:tr>
      <w:tr w:rsidR="00B06DAD" w:rsidRPr="00884521" w14:paraId="4E0BCFD5" w14:textId="77777777" w:rsidTr="00C534D8">
        <w:trPr>
          <w:trHeight w:val="259"/>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332DDEB"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27</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784A54"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 xml:space="preserve">DED </w:t>
            </w:r>
            <w:proofErr w:type="spellStart"/>
            <w:r w:rsidRPr="00C534D8">
              <w:rPr>
                <w:rFonts w:asciiTheme="majorHAnsi" w:hAnsiTheme="majorHAnsi" w:cs="Calibri"/>
                <w:bCs/>
                <w:sz w:val="22"/>
                <w:szCs w:val="22"/>
              </w:rPr>
              <w:t>Deogarh</w:t>
            </w:r>
            <w:proofErr w:type="spellEnd"/>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C836B5"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Commercial Vehicles for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6F548F"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2392421.55</w:t>
            </w:r>
          </w:p>
        </w:tc>
      </w:tr>
      <w:tr w:rsidR="00B06DAD" w:rsidRPr="00884521" w14:paraId="7919B4D2" w14:textId="77777777" w:rsidTr="00C534D8">
        <w:trPr>
          <w:trHeight w:val="274"/>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6310F12"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28</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1C0693"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SED Sambalpur</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34F17F"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Commercial Vehicles for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E09750"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2976617.52</w:t>
            </w:r>
          </w:p>
        </w:tc>
      </w:tr>
      <w:tr w:rsidR="00B06DAD" w:rsidRPr="00884521" w14:paraId="613BA956" w14:textId="77777777" w:rsidTr="00C534D8">
        <w:trPr>
          <w:trHeight w:val="251"/>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A3AD78B"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29</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6BE80E"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SEED Sambalpur</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B244E4"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Commercial Vehicles for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AE3533"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2976617.52</w:t>
            </w:r>
          </w:p>
        </w:tc>
      </w:tr>
      <w:tr w:rsidR="00B06DAD" w:rsidRPr="00884521" w14:paraId="4CE44AB9" w14:textId="77777777" w:rsidTr="00C534D8">
        <w:trPr>
          <w:trHeight w:val="268"/>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8DC30D8"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30</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4A97D3" w14:textId="471ACB4D"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 xml:space="preserve">BED </w:t>
            </w:r>
            <w:r w:rsidR="00C534D8" w:rsidRPr="00C534D8">
              <w:rPr>
                <w:rFonts w:asciiTheme="majorHAnsi" w:hAnsiTheme="majorHAnsi" w:cs="Calibri"/>
                <w:bCs/>
                <w:sz w:val="22"/>
                <w:szCs w:val="22"/>
              </w:rPr>
              <w:t>BOLANGIR</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2AF4CD3"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Commercial Vehicles for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266B04"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5313401.36</w:t>
            </w:r>
          </w:p>
        </w:tc>
      </w:tr>
      <w:tr w:rsidR="00B06DAD" w:rsidRPr="00884521" w14:paraId="2960D954" w14:textId="77777777" w:rsidTr="00C534D8">
        <w:trPr>
          <w:trHeight w:val="259"/>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D1385FA"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31</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07C1CE"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 xml:space="preserve">TED Titlagarh </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A2CA96"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Commercial Vehicles for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C331F9"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6676525.27</w:t>
            </w:r>
          </w:p>
        </w:tc>
      </w:tr>
      <w:tr w:rsidR="00B06DAD" w:rsidRPr="00884521" w14:paraId="34B6B966" w14:textId="77777777" w:rsidTr="00C534D8">
        <w:trPr>
          <w:trHeight w:val="262"/>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37E2404"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32</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385F48"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 xml:space="preserve">SED </w:t>
            </w:r>
            <w:proofErr w:type="spellStart"/>
            <w:r w:rsidRPr="00C534D8">
              <w:rPr>
                <w:rFonts w:asciiTheme="majorHAnsi" w:hAnsiTheme="majorHAnsi" w:cs="Calibri"/>
                <w:bCs/>
                <w:sz w:val="22"/>
                <w:szCs w:val="22"/>
              </w:rPr>
              <w:t>Sonepur</w:t>
            </w:r>
            <w:proofErr w:type="spellEnd"/>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AC1EFB"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Commercial Vehicles for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948B0E3"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3296534.35</w:t>
            </w:r>
          </w:p>
        </w:tc>
      </w:tr>
      <w:tr w:rsidR="00B06DAD" w:rsidRPr="00884521" w14:paraId="70D00675" w14:textId="77777777" w:rsidTr="00C534D8">
        <w:trPr>
          <w:trHeight w:val="267"/>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0F35C17"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33</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20B69E"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 xml:space="preserve">KEED </w:t>
            </w:r>
            <w:proofErr w:type="spellStart"/>
            <w:r w:rsidRPr="00C534D8">
              <w:rPr>
                <w:rFonts w:asciiTheme="majorHAnsi" w:hAnsiTheme="majorHAnsi" w:cs="Calibri"/>
                <w:bCs/>
                <w:sz w:val="22"/>
                <w:szCs w:val="22"/>
              </w:rPr>
              <w:t>Bhawanipatna</w:t>
            </w:r>
            <w:proofErr w:type="spellEnd"/>
            <w:r w:rsidRPr="00C534D8">
              <w:rPr>
                <w:rFonts w:asciiTheme="majorHAnsi" w:hAnsiTheme="majorHAnsi" w:cs="Calibri"/>
                <w:bCs/>
                <w:sz w:val="22"/>
                <w:szCs w:val="22"/>
              </w:rPr>
              <w:t xml:space="preserve"> </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0ACA8D"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Commercial Vehicles for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7B8CA8"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6481793.28</w:t>
            </w:r>
          </w:p>
        </w:tc>
      </w:tr>
      <w:tr w:rsidR="00B06DAD" w:rsidRPr="00884521" w14:paraId="73C70FC1" w14:textId="77777777" w:rsidTr="00C534D8">
        <w:trPr>
          <w:trHeight w:val="257"/>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794B967"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34</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998AD9"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 xml:space="preserve">KWED </w:t>
            </w:r>
            <w:proofErr w:type="spellStart"/>
            <w:r w:rsidRPr="00C534D8">
              <w:rPr>
                <w:rFonts w:asciiTheme="majorHAnsi" w:hAnsiTheme="majorHAnsi" w:cs="Calibri"/>
                <w:bCs/>
                <w:sz w:val="22"/>
                <w:szCs w:val="22"/>
              </w:rPr>
              <w:t>Bhawanipatna</w:t>
            </w:r>
            <w:proofErr w:type="spellEnd"/>
            <w:r w:rsidRPr="00C534D8">
              <w:rPr>
                <w:rFonts w:asciiTheme="majorHAnsi" w:hAnsiTheme="majorHAnsi" w:cs="Calibri"/>
                <w:bCs/>
                <w:sz w:val="22"/>
                <w:szCs w:val="22"/>
              </w:rPr>
              <w:t xml:space="preserve"> </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7065FF"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Commercial Vehicles for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8A96C7"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6426155.57</w:t>
            </w:r>
          </w:p>
        </w:tc>
      </w:tr>
      <w:tr w:rsidR="00B06DAD" w:rsidRPr="00884521" w14:paraId="1BCC4AF8" w14:textId="77777777" w:rsidTr="00C534D8">
        <w:trPr>
          <w:trHeight w:val="261"/>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6B4598C"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rPr>
              <w:t>35</w:t>
            </w:r>
          </w:p>
        </w:tc>
        <w:tc>
          <w:tcPr>
            <w:tcW w:w="23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FDC2235"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 xml:space="preserve">NED </w:t>
            </w:r>
            <w:proofErr w:type="spellStart"/>
            <w:r w:rsidRPr="00C534D8">
              <w:rPr>
                <w:rFonts w:asciiTheme="majorHAnsi" w:hAnsiTheme="majorHAnsi" w:cs="Calibri"/>
                <w:bCs/>
                <w:sz w:val="22"/>
                <w:szCs w:val="22"/>
              </w:rPr>
              <w:t>Nuapada</w:t>
            </w:r>
            <w:proofErr w:type="spellEnd"/>
            <w:r w:rsidRPr="00C534D8">
              <w:rPr>
                <w:rFonts w:asciiTheme="majorHAnsi" w:hAnsiTheme="majorHAnsi" w:cs="Calibri"/>
                <w:bCs/>
                <w:sz w:val="22"/>
                <w:szCs w:val="22"/>
              </w:rPr>
              <w:t xml:space="preserve"> </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1916A1" w14:textId="77777777" w:rsidR="00B06DAD" w:rsidRPr="00C534D8" w:rsidRDefault="00B06DAD" w:rsidP="00C534D8">
            <w:pPr>
              <w:jc w:val="both"/>
              <w:rPr>
                <w:rFonts w:asciiTheme="majorHAnsi" w:hAnsiTheme="majorHAnsi" w:cs="Calibri"/>
                <w:bCs/>
                <w:sz w:val="22"/>
                <w:szCs w:val="22"/>
                <w:lang w:val="en-IN"/>
              </w:rPr>
            </w:pPr>
            <w:r w:rsidRPr="00C534D8">
              <w:rPr>
                <w:rFonts w:asciiTheme="majorHAnsi" w:hAnsiTheme="majorHAnsi" w:cs="Calibri"/>
                <w:bCs/>
                <w:sz w:val="22"/>
                <w:szCs w:val="22"/>
              </w:rPr>
              <w:t>Commercial Vehicles for Collection Agency</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E81DCF" w14:textId="77777777" w:rsidR="00B06DAD" w:rsidRPr="00C534D8" w:rsidRDefault="00B06DAD" w:rsidP="00C534D8">
            <w:pPr>
              <w:jc w:val="center"/>
              <w:rPr>
                <w:rFonts w:asciiTheme="majorHAnsi" w:hAnsiTheme="majorHAnsi" w:cs="Calibri"/>
                <w:bCs/>
                <w:sz w:val="22"/>
                <w:szCs w:val="22"/>
                <w:lang w:val="en-IN"/>
              </w:rPr>
            </w:pPr>
            <w:r w:rsidRPr="00C534D8">
              <w:rPr>
                <w:rFonts w:asciiTheme="majorHAnsi" w:hAnsiTheme="majorHAnsi" w:cs="Calibri"/>
                <w:bCs/>
                <w:sz w:val="22"/>
                <w:szCs w:val="22"/>
                <w:lang w:val="en-IN"/>
              </w:rPr>
              <w:t>5174307.08</w:t>
            </w:r>
          </w:p>
        </w:tc>
      </w:tr>
      <w:tr w:rsidR="00B06DAD" w:rsidRPr="00884521" w14:paraId="111375CE" w14:textId="77777777" w:rsidTr="00C534D8">
        <w:trPr>
          <w:trHeight w:val="276"/>
        </w:trPr>
        <w:tc>
          <w:tcPr>
            <w:tcW w:w="7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764CB7D" w14:textId="34A6CE3D" w:rsidR="00B06DAD" w:rsidRPr="00C534D8" w:rsidRDefault="00B06DAD" w:rsidP="00C534D8">
            <w:pPr>
              <w:jc w:val="center"/>
              <w:rPr>
                <w:rFonts w:asciiTheme="majorHAnsi" w:hAnsiTheme="majorHAnsi" w:cs="Calibri"/>
                <w:b/>
                <w:bCs/>
                <w:sz w:val="22"/>
                <w:szCs w:val="22"/>
                <w:lang w:val="en-IN"/>
              </w:rPr>
            </w:pPr>
          </w:p>
        </w:tc>
        <w:tc>
          <w:tcPr>
            <w:tcW w:w="235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DF2126" w14:textId="77777777" w:rsidR="00B06DAD" w:rsidRPr="00C534D8" w:rsidRDefault="00B06DAD" w:rsidP="00C534D8">
            <w:pPr>
              <w:jc w:val="both"/>
              <w:rPr>
                <w:rFonts w:asciiTheme="majorHAnsi" w:hAnsiTheme="majorHAnsi" w:cs="Calibri"/>
                <w:b/>
                <w:bCs/>
                <w:sz w:val="22"/>
                <w:szCs w:val="22"/>
                <w:lang w:val="en-IN"/>
              </w:rPr>
            </w:pPr>
            <w:r w:rsidRPr="00C534D8">
              <w:rPr>
                <w:rFonts w:asciiTheme="majorHAnsi" w:hAnsiTheme="majorHAnsi" w:cs="Calibri"/>
                <w:b/>
                <w:bCs/>
                <w:sz w:val="22"/>
                <w:szCs w:val="22"/>
              </w:rPr>
              <w:t> </w:t>
            </w:r>
          </w:p>
        </w:tc>
        <w:tc>
          <w:tcPr>
            <w:tcW w:w="42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07851F" w14:textId="32E23C76" w:rsidR="00B06DAD" w:rsidRPr="00C534D8" w:rsidRDefault="00B06DAD" w:rsidP="00C534D8">
            <w:pPr>
              <w:jc w:val="both"/>
              <w:rPr>
                <w:rFonts w:asciiTheme="majorHAnsi" w:hAnsiTheme="majorHAnsi" w:cs="Calibri"/>
                <w:b/>
                <w:bCs/>
                <w:sz w:val="22"/>
                <w:szCs w:val="22"/>
                <w:lang w:val="en-IN"/>
              </w:rPr>
            </w:pPr>
            <w:r w:rsidRPr="00C534D8">
              <w:rPr>
                <w:rFonts w:asciiTheme="majorHAnsi" w:hAnsiTheme="majorHAnsi" w:cs="Calibri"/>
                <w:b/>
                <w:bCs/>
                <w:sz w:val="22"/>
                <w:szCs w:val="22"/>
              </w:rPr>
              <w:t>Grand Total In Rs.</w:t>
            </w:r>
          </w:p>
        </w:tc>
        <w:tc>
          <w:tcPr>
            <w:tcW w:w="16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1101571" w14:textId="77777777" w:rsidR="00B06DAD" w:rsidRPr="00C534D8" w:rsidRDefault="00B06DAD" w:rsidP="00C534D8">
            <w:pPr>
              <w:jc w:val="center"/>
              <w:rPr>
                <w:rFonts w:asciiTheme="majorHAnsi" w:hAnsiTheme="majorHAnsi" w:cs="Calibri"/>
                <w:b/>
                <w:bCs/>
                <w:sz w:val="22"/>
                <w:szCs w:val="22"/>
                <w:lang w:val="en-IN"/>
              </w:rPr>
            </w:pPr>
            <w:r w:rsidRPr="00C534D8">
              <w:rPr>
                <w:rFonts w:asciiTheme="majorHAnsi" w:hAnsiTheme="majorHAnsi" w:cs="Calibri"/>
                <w:b/>
                <w:bCs/>
                <w:sz w:val="22"/>
                <w:szCs w:val="22"/>
                <w:lang w:val="en-IN"/>
              </w:rPr>
              <w:t>797035711</w:t>
            </w:r>
          </w:p>
        </w:tc>
      </w:tr>
    </w:tbl>
    <w:p w14:paraId="1260F8DC" w14:textId="00C43347" w:rsidR="009C6AE7" w:rsidRPr="00DF31C8" w:rsidRDefault="00884521" w:rsidP="009C6AE7">
      <w:pPr>
        <w:jc w:val="both"/>
        <w:rPr>
          <w:rFonts w:asciiTheme="majorHAnsi" w:hAnsiTheme="majorHAnsi" w:cs="Calibri"/>
          <w:bCs/>
        </w:rPr>
      </w:pPr>
      <w:r>
        <w:rPr>
          <w:rFonts w:asciiTheme="majorHAnsi" w:hAnsiTheme="majorHAnsi" w:cs="Calibri"/>
          <w:bCs/>
        </w:rPr>
        <w:t xml:space="preserve"> </w:t>
      </w:r>
    </w:p>
    <w:p w14:paraId="23F0A043" w14:textId="77777777" w:rsidR="00B57674" w:rsidRPr="00051738" w:rsidRDefault="00B57674" w:rsidP="001D5C75">
      <w:pPr>
        <w:pStyle w:val="Heading3"/>
        <w:numPr>
          <w:ilvl w:val="2"/>
          <w:numId w:val="1"/>
        </w:numPr>
        <w:shd w:val="clear" w:color="auto" w:fill="002060"/>
        <w:spacing w:after="240"/>
        <w:rPr>
          <w:rFonts w:asciiTheme="majorHAnsi" w:hAnsiTheme="majorHAnsi"/>
          <w:sz w:val="24"/>
          <w:szCs w:val="24"/>
        </w:rPr>
      </w:pPr>
      <w:bookmarkStart w:id="44" w:name="_Toc215250615"/>
      <w:r w:rsidRPr="00051738">
        <w:rPr>
          <w:rFonts w:asciiTheme="majorHAnsi" w:hAnsiTheme="majorHAnsi"/>
          <w:sz w:val="24"/>
          <w:szCs w:val="24"/>
        </w:rPr>
        <w:t>Vigilance &amp; Enforcement Activity</w:t>
      </w:r>
      <w:bookmarkEnd w:id="44"/>
      <w:r w:rsidRPr="00051738">
        <w:rPr>
          <w:rFonts w:asciiTheme="majorHAnsi" w:hAnsiTheme="majorHAnsi"/>
          <w:sz w:val="24"/>
          <w:szCs w:val="24"/>
        </w:rPr>
        <w:t xml:space="preserve"> </w:t>
      </w:r>
      <w:r w:rsidRPr="00051738">
        <w:rPr>
          <w:rFonts w:asciiTheme="majorHAnsi" w:hAnsiTheme="majorHAnsi"/>
          <w:sz w:val="24"/>
          <w:szCs w:val="24"/>
        </w:rPr>
        <w:tab/>
      </w:r>
    </w:p>
    <w:p w14:paraId="6140DF03" w14:textId="40E43E62" w:rsidR="00B57674" w:rsidRDefault="00526079" w:rsidP="00526079">
      <w:pPr>
        <w:spacing w:before="240" w:after="240" w:line="360" w:lineRule="auto"/>
        <w:jc w:val="both"/>
        <w:rPr>
          <w:rFonts w:ascii="Cambria" w:hAnsi="Cambria"/>
        </w:rPr>
      </w:pPr>
      <w:r w:rsidRPr="00526079">
        <w:rPr>
          <w:rFonts w:ascii="Cambria" w:hAnsi="Cambria"/>
        </w:rPr>
        <w:t>To reduce AT&amp;C losses, various measures have been implemented at the Division and Sub-Division levels. While some of these efforts have yielded positive results, additional work is necessary to meet the targets set by the Regulator. A constant watch is essential to prevent TPWODL customers and the public from resorting to unauthorized means to access TPWODL services</w:t>
      </w:r>
      <w:r w:rsidR="001D5C75">
        <w:rPr>
          <w:rFonts w:ascii="Cambria" w:hAnsi="Cambria"/>
        </w:rPr>
        <w:t>.</w:t>
      </w:r>
    </w:p>
    <w:p w14:paraId="10B86A88" w14:textId="77777777" w:rsidR="00B57674" w:rsidRPr="00E32BF6" w:rsidRDefault="00B57674" w:rsidP="0032543F">
      <w:pPr>
        <w:spacing w:before="240" w:after="240" w:line="360" w:lineRule="auto"/>
        <w:jc w:val="both"/>
        <w:rPr>
          <w:rFonts w:ascii="Cambria" w:hAnsi="Cambria"/>
          <w:b/>
        </w:rPr>
      </w:pPr>
      <w:r w:rsidRPr="00E32BF6">
        <w:rPr>
          <w:rFonts w:ascii="Cambria" w:hAnsi="Cambria"/>
          <w:b/>
        </w:rPr>
        <w:t>Scope of Work</w:t>
      </w:r>
    </w:p>
    <w:p w14:paraId="0DDBA13A" w14:textId="67EA3161" w:rsidR="00B57674" w:rsidRDefault="0032543F" w:rsidP="0032543F">
      <w:pPr>
        <w:spacing w:before="240" w:after="240" w:line="360" w:lineRule="auto"/>
        <w:jc w:val="both"/>
        <w:rPr>
          <w:rFonts w:ascii="Cambria" w:hAnsi="Cambria"/>
        </w:rPr>
      </w:pPr>
      <w:r w:rsidRPr="0032543F">
        <w:rPr>
          <w:rFonts w:ascii="Cambria" w:hAnsi="Cambria"/>
        </w:rPr>
        <w:t>The Enforcement Team will inspect meters during replacements, investigate suspected disconnected meters classified under the TD category, address misuse, and detect power theft in live meters based on available information (e.g., billing records, computer data, etc.) and intelligence gathered through covert surveillance and source work. This also includes conducting raids during night and early morning hours, as scheduled by TPWODL, to achieve optimal results.</w:t>
      </w:r>
    </w:p>
    <w:p w14:paraId="25E7D99C" w14:textId="77777777" w:rsidR="004660B0" w:rsidRPr="0061420C" w:rsidRDefault="004660B0" w:rsidP="00C25A8B">
      <w:pPr>
        <w:pStyle w:val="ListParagraph"/>
        <w:numPr>
          <w:ilvl w:val="1"/>
          <w:numId w:val="31"/>
        </w:numPr>
        <w:spacing w:after="160" w:line="240" w:lineRule="auto"/>
        <w:ind w:left="993"/>
        <w:jc w:val="both"/>
        <w:rPr>
          <w:rFonts w:asciiTheme="majorHAnsi" w:hAnsiTheme="majorHAnsi" w:cstheme="minorHAnsi"/>
          <w:sz w:val="24"/>
          <w:szCs w:val="24"/>
        </w:rPr>
      </w:pPr>
      <w:r w:rsidRPr="0061420C">
        <w:rPr>
          <w:rFonts w:asciiTheme="majorHAnsi" w:hAnsiTheme="majorHAnsi" w:cstheme="minorHAnsi"/>
          <w:sz w:val="24"/>
          <w:szCs w:val="24"/>
        </w:rPr>
        <w:t>Identification of theft cases.</w:t>
      </w:r>
    </w:p>
    <w:p w14:paraId="4A93ECE5" w14:textId="77777777" w:rsidR="004660B0" w:rsidRPr="0061420C" w:rsidRDefault="004660B0" w:rsidP="00C25A8B">
      <w:pPr>
        <w:pStyle w:val="ListParagraph"/>
        <w:numPr>
          <w:ilvl w:val="1"/>
          <w:numId w:val="31"/>
        </w:numPr>
        <w:spacing w:after="160" w:line="240" w:lineRule="auto"/>
        <w:ind w:left="993"/>
        <w:jc w:val="both"/>
        <w:rPr>
          <w:rFonts w:asciiTheme="majorHAnsi" w:hAnsiTheme="majorHAnsi" w:cstheme="minorHAnsi"/>
          <w:sz w:val="24"/>
          <w:szCs w:val="24"/>
        </w:rPr>
      </w:pPr>
      <w:r w:rsidRPr="0061420C">
        <w:rPr>
          <w:rFonts w:asciiTheme="majorHAnsi" w:hAnsiTheme="majorHAnsi" w:cstheme="minorHAnsi"/>
          <w:sz w:val="24"/>
          <w:szCs w:val="24"/>
        </w:rPr>
        <w:t xml:space="preserve">Preparation of a complete physical verification report after capturing all the evidence </w:t>
      </w:r>
    </w:p>
    <w:p w14:paraId="27F3E203" w14:textId="77777777" w:rsidR="004660B0" w:rsidRPr="0061420C" w:rsidRDefault="004660B0" w:rsidP="00C25A8B">
      <w:pPr>
        <w:pStyle w:val="ListParagraph"/>
        <w:numPr>
          <w:ilvl w:val="1"/>
          <w:numId w:val="31"/>
        </w:numPr>
        <w:spacing w:after="160" w:line="240" w:lineRule="auto"/>
        <w:ind w:left="993"/>
        <w:jc w:val="both"/>
        <w:rPr>
          <w:rFonts w:asciiTheme="majorHAnsi" w:hAnsiTheme="majorHAnsi" w:cstheme="minorHAnsi"/>
          <w:sz w:val="24"/>
          <w:szCs w:val="24"/>
        </w:rPr>
      </w:pPr>
      <w:r w:rsidRPr="0061420C">
        <w:rPr>
          <w:rFonts w:asciiTheme="majorHAnsi" w:hAnsiTheme="majorHAnsi" w:cstheme="minorHAnsi"/>
          <w:sz w:val="24"/>
          <w:szCs w:val="24"/>
        </w:rPr>
        <w:t>Seizure of material, preparation of seizure memo and handing over seized material to the concerned Section in charge.</w:t>
      </w:r>
    </w:p>
    <w:p w14:paraId="5232583E" w14:textId="77777777" w:rsidR="004660B0" w:rsidRPr="0061420C" w:rsidRDefault="004660B0" w:rsidP="00C25A8B">
      <w:pPr>
        <w:pStyle w:val="ListParagraph"/>
        <w:numPr>
          <w:ilvl w:val="1"/>
          <w:numId w:val="31"/>
        </w:numPr>
        <w:spacing w:after="160" w:line="240" w:lineRule="auto"/>
        <w:ind w:left="993"/>
        <w:jc w:val="both"/>
        <w:rPr>
          <w:rFonts w:asciiTheme="majorHAnsi" w:hAnsiTheme="majorHAnsi" w:cstheme="minorHAnsi"/>
          <w:sz w:val="24"/>
          <w:szCs w:val="24"/>
        </w:rPr>
      </w:pPr>
      <w:r w:rsidRPr="0061420C">
        <w:rPr>
          <w:rFonts w:asciiTheme="majorHAnsi" w:hAnsiTheme="majorHAnsi" w:cstheme="minorHAnsi"/>
          <w:sz w:val="24"/>
          <w:szCs w:val="24"/>
        </w:rPr>
        <w:t xml:space="preserve">Submission of PVR report to concerned SDO/ Executive Engineer on the same day or the next morning. </w:t>
      </w:r>
    </w:p>
    <w:p w14:paraId="7070237A" w14:textId="77777777" w:rsidR="004660B0" w:rsidRPr="0061420C" w:rsidRDefault="004660B0" w:rsidP="00C25A8B">
      <w:pPr>
        <w:pStyle w:val="ListParagraph"/>
        <w:numPr>
          <w:ilvl w:val="1"/>
          <w:numId w:val="31"/>
        </w:numPr>
        <w:spacing w:after="160" w:line="240" w:lineRule="auto"/>
        <w:ind w:left="993"/>
        <w:jc w:val="both"/>
        <w:rPr>
          <w:rFonts w:asciiTheme="majorHAnsi" w:hAnsiTheme="majorHAnsi" w:cstheme="minorHAnsi"/>
          <w:sz w:val="24"/>
          <w:szCs w:val="24"/>
        </w:rPr>
      </w:pPr>
      <w:r w:rsidRPr="0061420C">
        <w:rPr>
          <w:rFonts w:asciiTheme="majorHAnsi" w:hAnsiTheme="majorHAnsi" w:cstheme="minorHAnsi"/>
          <w:sz w:val="24"/>
          <w:szCs w:val="24"/>
        </w:rPr>
        <w:t xml:space="preserve">The team shall be responsible for maintaining and sharing the MIS of cases checked and booked in the prescribed format provided by TPWODL daily. </w:t>
      </w:r>
    </w:p>
    <w:p w14:paraId="190E012C" w14:textId="77777777" w:rsidR="004660B0" w:rsidRPr="0061420C" w:rsidRDefault="004660B0" w:rsidP="00C25A8B">
      <w:pPr>
        <w:pStyle w:val="ListParagraph"/>
        <w:numPr>
          <w:ilvl w:val="1"/>
          <w:numId w:val="31"/>
        </w:numPr>
        <w:spacing w:after="160" w:line="240" w:lineRule="auto"/>
        <w:ind w:left="993"/>
        <w:jc w:val="both"/>
        <w:rPr>
          <w:rFonts w:asciiTheme="majorHAnsi" w:hAnsiTheme="majorHAnsi" w:cstheme="minorHAnsi"/>
          <w:sz w:val="24"/>
          <w:szCs w:val="24"/>
        </w:rPr>
      </w:pPr>
      <w:r w:rsidRPr="0061420C">
        <w:rPr>
          <w:rFonts w:asciiTheme="majorHAnsi" w:hAnsiTheme="majorHAnsi" w:cstheme="minorHAnsi"/>
          <w:sz w:val="24"/>
          <w:szCs w:val="24"/>
        </w:rPr>
        <w:t xml:space="preserve">The team shall do door-to-door checking of at least 40 premises in the absence of any theft-related information. </w:t>
      </w:r>
    </w:p>
    <w:p w14:paraId="494FC695" w14:textId="77777777" w:rsidR="004660B0" w:rsidRPr="0061420C" w:rsidRDefault="004660B0" w:rsidP="00C25A8B">
      <w:pPr>
        <w:pStyle w:val="ListParagraph"/>
        <w:numPr>
          <w:ilvl w:val="1"/>
          <w:numId w:val="31"/>
        </w:numPr>
        <w:spacing w:after="160" w:line="240" w:lineRule="auto"/>
        <w:ind w:left="993"/>
        <w:jc w:val="both"/>
        <w:rPr>
          <w:rFonts w:asciiTheme="majorHAnsi" w:hAnsiTheme="majorHAnsi" w:cstheme="minorHAnsi"/>
          <w:sz w:val="24"/>
          <w:szCs w:val="24"/>
        </w:rPr>
      </w:pPr>
      <w:r w:rsidRPr="0061420C">
        <w:rPr>
          <w:rFonts w:asciiTheme="majorHAnsi" w:hAnsiTheme="majorHAnsi" w:cstheme="minorHAnsi"/>
          <w:sz w:val="24"/>
          <w:szCs w:val="24"/>
        </w:rPr>
        <w:t>Facilitate Police in investigations like site identification, user and material evidence identification and submitting the material evidence at police stations.</w:t>
      </w:r>
    </w:p>
    <w:p w14:paraId="1482148E" w14:textId="77777777" w:rsidR="004660B0" w:rsidRPr="0061420C" w:rsidRDefault="004660B0" w:rsidP="00C25A8B">
      <w:pPr>
        <w:pStyle w:val="ListParagraph"/>
        <w:numPr>
          <w:ilvl w:val="1"/>
          <w:numId w:val="31"/>
        </w:numPr>
        <w:spacing w:after="160" w:line="240" w:lineRule="auto"/>
        <w:ind w:left="993"/>
        <w:jc w:val="both"/>
        <w:rPr>
          <w:rFonts w:asciiTheme="majorHAnsi" w:hAnsiTheme="majorHAnsi" w:cstheme="minorHAnsi"/>
          <w:sz w:val="24"/>
          <w:szCs w:val="24"/>
        </w:rPr>
      </w:pPr>
      <w:r w:rsidRPr="0061420C">
        <w:rPr>
          <w:rFonts w:asciiTheme="majorHAnsi" w:hAnsiTheme="majorHAnsi" w:cstheme="minorHAnsi"/>
          <w:sz w:val="24"/>
          <w:szCs w:val="24"/>
        </w:rPr>
        <w:t>The involved team member needs to be present physically to proceed with the witness for trial by courts. Any expenses like (DA +TA for presenting the witness) need to be borne by the Business Associate.</w:t>
      </w:r>
    </w:p>
    <w:p w14:paraId="5D5B3791" w14:textId="77777777" w:rsidR="004660B0" w:rsidRPr="0061420C" w:rsidRDefault="004660B0" w:rsidP="00C25A8B">
      <w:pPr>
        <w:pStyle w:val="ListParagraph"/>
        <w:numPr>
          <w:ilvl w:val="1"/>
          <w:numId w:val="31"/>
        </w:numPr>
        <w:spacing w:after="160" w:line="240" w:lineRule="auto"/>
        <w:ind w:left="993"/>
        <w:jc w:val="both"/>
        <w:rPr>
          <w:rFonts w:asciiTheme="majorHAnsi" w:hAnsiTheme="majorHAnsi" w:cstheme="minorHAnsi"/>
          <w:sz w:val="24"/>
          <w:szCs w:val="24"/>
        </w:rPr>
      </w:pPr>
      <w:r w:rsidRPr="0061420C">
        <w:rPr>
          <w:rFonts w:asciiTheme="majorHAnsi" w:hAnsiTheme="majorHAnsi" w:cstheme="minorHAnsi"/>
          <w:sz w:val="24"/>
          <w:szCs w:val="24"/>
        </w:rPr>
        <w:t>Reporting of Reading Accumulation Cases/ MD violations etc. abnormality to the department/ back office concerned for its resolution.</w:t>
      </w:r>
    </w:p>
    <w:p w14:paraId="0F6FA76C" w14:textId="77777777" w:rsidR="004660B0" w:rsidRPr="007D2A48" w:rsidRDefault="004660B0" w:rsidP="00C25A8B">
      <w:pPr>
        <w:pStyle w:val="ListParagraph"/>
        <w:numPr>
          <w:ilvl w:val="1"/>
          <w:numId w:val="31"/>
        </w:numPr>
        <w:spacing w:after="160" w:line="240" w:lineRule="auto"/>
        <w:ind w:left="993"/>
        <w:jc w:val="both"/>
        <w:rPr>
          <w:rFonts w:asciiTheme="minorHAnsi" w:hAnsiTheme="minorHAnsi" w:cstheme="minorHAnsi"/>
          <w:sz w:val="20"/>
          <w:szCs w:val="20"/>
        </w:rPr>
      </w:pPr>
      <w:r w:rsidRPr="0061420C">
        <w:rPr>
          <w:rFonts w:asciiTheme="majorHAnsi" w:hAnsiTheme="majorHAnsi" w:cstheme="minorHAnsi"/>
          <w:sz w:val="24"/>
          <w:szCs w:val="24"/>
        </w:rPr>
        <w:t>Supporting Enforcement Assessment cell team in conducting settlement camps for recovery from theft booked cases</w:t>
      </w:r>
      <w:r w:rsidRPr="007D2A48">
        <w:rPr>
          <w:rFonts w:asciiTheme="minorHAnsi" w:hAnsiTheme="minorHAnsi" w:cstheme="minorHAnsi"/>
          <w:sz w:val="20"/>
          <w:szCs w:val="20"/>
        </w:rPr>
        <w:t>.</w:t>
      </w:r>
    </w:p>
    <w:p w14:paraId="1E31752B" w14:textId="77777777" w:rsidR="00B57674" w:rsidRPr="006C70EA" w:rsidRDefault="00B57674" w:rsidP="00B57674">
      <w:pPr>
        <w:spacing w:line="360" w:lineRule="auto"/>
        <w:jc w:val="both"/>
        <w:rPr>
          <w:rFonts w:ascii="Cambria" w:hAnsi="Cambria" w:cstheme="minorHAnsi"/>
        </w:rPr>
      </w:pPr>
      <w:r w:rsidRPr="006C70EA">
        <w:rPr>
          <w:rFonts w:ascii="Cambria" w:hAnsi="Cambria" w:cstheme="minorHAnsi"/>
        </w:rPr>
        <w:t>Details of deployment of Enforcement teams are as follows:</w:t>
      </w:r>
    </w:p>
    <w:p w14:paraId="6A68C0B2" w14:textId="4E995B47" w:rsidR="00B57674" w:rsidRPr="006C70EA" w:rsidRDefault="00B57674" w:rsidP="00985F6F">
      <w:pPr>
        <w:pStyle w:val="ListParagraph"/>
        <w:numPr>
          <w:ilvl w:val="0"/>
          <w:numId w:val="32"/>
        </w:numPr>
        <w:spacing w:after="160" w:line="240" w:lineRule="auto"/>
        <w:jc w:val="both"/>
        <w:rPr>
          <w:rFonts w:ascii="Cambria" w:hAnsi="Cambria" w:cstheme="minorHAnsi"/>
          <w:sz w:val="24"/>
          <w:szCs w:val="24"/>
        </w:rPr>
      </w:pPr>
      <w:r w:rsidRPr="006C70EA">
        <w:rPr>
          <w:rFonts w:ascii="Cambria" w:hAnsi="Cambria" w:cstheme="minorHAnsi"/>
          <w:sz w:val="24"/>
          <w:szCs w:val="24"/>
        </w:rPr>
        <w:t xml:space="preserve">Sambalpur – 14 Teams </w:t>
      </w:r>
    </w:p>
    <w:p w14:paraId="4FB550D8" w14:textId="0521705F" w:rsidR="00B57674" w:rsidRPr="006C70EA" w:rsidRDefault="00B57674" w:rsidP="00985F6F">
      <w:pPr>
        <w:pStyle w:val="ListParagraph"/>
        <w:numPr>
          <w:ilvl w:val="0"/>
          <w:numId w:val="32"/>
        </w:numPr>
        <w:spacing w:after="160" w:line="240" w:lineRule="auto"/>
        <w:jc w:val="both"/>
        <w:rPr>
          <w:rFonts w:ascii="Cambria" w:hAnsi="Cambria" w:cstheme="minorHAnsi"/>
          <w:sz w:val="24"/>
          <w:szCs w:val="24"/>
        </w:rPr>
      </w:pPr>
      <w:r w:rsidRPr="006C70EA">
        <w:rPr>
          <w:rFonts w:ascii="Cambria" w:hAnsi="Cambria" w:cstheme="minorHAnsi"/>
          <w:sz w:val="24"/>
          <w:szCs w:val="24"/>
        </w:rPr>
        <w:t xml:space="preserve">Rourkela – 9 Teams </w:t>
      </w:r>
    </w:p>
    <w:p w14:paraId="79EB42AF" w14:textId="077CF83A" w:rsidR="00B57674" w:rsidRPr="006C70EA" w:rsidRDefault="00B57674" w:rsidP="00985F6F">
      <w:pPr>
        <w:pStyle w:val="ListParagraph"/>
        <w:numPr>
          <w:ilvl w:val="0"/>
          <w:numId w:val="32"/>
        </w:numPr>
        <w:spacing w:after="160" w:line="240" w:lineRule="auto"/>
        <w:jc w:val="both"/>
        <w:rPr>
          <w:rFonts w:ascii="Cambria" w:hAnsi="Cambria" w:cstheme="minorHAnsi"/>
          <w:sz w:val="24"/>
          <w:szCs w:val="24"/>
        </w:rPr>
      </w:pPr>
      <w:r w:rsidRPr="006C70EA">
        <w:rPr>
          <w:rFonts w:ascii="Cambria" w:hAnsi="Cambria" w:cstheme="minorHAnsi"/>
          <w:sz w:val="24"/>
          <w:szCs w:val="24"/>
        </w:rPr>
        <w:t xml:space="preserve">Bolangir- 16 Teams </w:t>
      </w:r>
    </w:p>
    <w:p w14:paraId="516A3A12" w14:textId="3613E6B9" w:rsidR="00B57674" w:rsidRPr="006C70EA" w:rsidRDefault="00B57674" w:rsidP="00985F6F">
      <w:pPr>
        <w:pStyle w:val="ListParagraph"/>
        <w:numPr>
          <w:ilvl w:val="0"/>
          <w:numId w:val="32"/>
        </w:numPr>
        <w:spacing w:after="160" w:line="240" w:lineRule="auto"/>
        <w:jc w:val="both"/>
        <w:rPr>
          <w:rFonts w:ascii="Cambria" w:hAnsi="Cambria" w:cstheme="minorHAnsi"/>
          <w:sz w:val="24"/>
          <w:szCs w:val="24"/>
        </w:rPr>
      </w:pPr>
      <w:r w:rsidRPr="006C70EA">
        <w:rPr>
          <w:rFonts w:ascii="Cambria" w:hAnsi="Cambria" w:cstheme="minorHAnsi"/>
          <w:sz w:val="24"/>
          <w:szCs w:val="24"/>
        </w:rPr>
        <w:t xml:space="preserve">Kalahandi – 12 Teams </w:t>
      </w:r>
    </w:p>
    <w:p w14:paraId="7342A02C" w14:textId="4A232A20" w:rsidR="00B57674" w:rsidRPr="006C70EA" w:rsidRDefault="00B57674" w:rsidP="00985F6F">
      <w:pPr>
        <w:pStyle w:val="ListParagraph"/>
        <w:numPr>
          <w:ilvl w:val="0"/>
          <w:numId w:val="32"/>
        </w:numPr>
        <w:spacing w:after="160" w:line="240" w:lineRule="auto"/>
        <w:jc w:val="both"/>
        <w:rPr>
          <w:rFonts w:ascii="Cambria" w:hAnsi="Cambria" w:cstheme="minorHAnsi"/>
          <w:sz w:val="24"/>
          <w:szCs w:val="24"/>
        </w:rPr>
      </w:pPr>
      <w:r w:rsidRPr="006C70EA">
        <w:rPr>
          <w:rFonts w:ascii="Cambria" w:hAnsi="Cambria" w:cstheme="minorHAnsi"/>
          <w:sz w:val="24"/>
          <w:szCs w:val="24"/>
        </w:rPr>
        <w:t>Bargarh -14 Teams</w:t>
      </w:r>
    </w:p>
    <w:p w14:paraId="0C8A2070" w14:textId="790012D1" w:rsidR="00B57674" w:rsidRPr="006C70EA" w:rsidRDefault="00B57674" w:rsidP="00923A86">
      <w:pPr>
        <w:spacing w:beforeLines="100" w:before="240" w:afterLines="100" w:after="240" w:line="360" w:lineRule="auto"/>
        <w:jc w:val="both"/>
        <w:rPr>
          <w:rFonts w:ascii="Cambria" w:hAnsi="Cambria" w:cstheme="minorHAnsi"/>
        </w:rPr>
      </w:pPr>
      <w:r w:rsidRPr="006C70EA">
        <w:rPr>
          <w:rFonts w:ascii="Cambria" w:hAnsi="Cambria" w:cstheme="minorHAnsi"/>
        </w:rPr>
        <w:t>Each team consists of 1 Supervisor, 1 Technician, 1 Helper/Photographer and 1 Female Person</w:t>
      </w:r>
      <w:r w:rsidR="0059013E">
        <w:rPr>
          <w:rFonts w:ascii="Cambria" w:hAnsi="Cambria" w:cstheme="minorHAnsi"/>
        </w:rPr>
        <w:t>nel</w:t>
      </w:r>
      <w:r w:rsidRPr="006C70EA">
        <w:rPr>
          <w:rFonts w:ascii="Cambria" w:hAnsi="Cambria" w:cstheme="minorHAnsi"/>
        </w:rPr>
        <w:t>. The outsource team will be led by TPWODL employees.</w:t>
      </w:r>
      <w:r w:rsidR="0059013E">
        <w:rPr>
          <w:rFonts w:ascii="Cambria" w:hAnsi="Cambria" w:cstheme="minorHAnsi"/>
        </w:rPr>
        <w:t xml:space="preserve"> </w:t>
      </w:r>
      <w:r w:rsidR="006B1EBF" w:rsidRPr="006B1EBF">
        <w:rPr>
          <w:rFonts w:ascii="Cambria" w:hAnsi="Cambria" w:cstheme="minorHAnsi"/>
        </w:rPr>
        <w:t xml:space="preserve">At present around 65 teams are involved in enforcement activities in 5 circles, and 17 commercial assistants at division and corporate back office. The cost of those is estimated at </w:t>
      </w:r>
      <w:r w:rsidR="006B1EBF" w:rsidRPr="005A2E79">
        <w:rPr>
          <w:rFonts w:ascii="Cambria" w:hAnsi="Cambria" w:cstheme="minorHAnsi"/>
          <w:b/>
          <w:bCs/>
        </w:rPr>
        <w:t>Rs. 12.70 Cr. Per annum</w:t>
      </w:r>
      <w:r w:rsidR="005A2E79">
        <w:rPr>
          <w:rFonts w:ascii="Cambria" w:hAnsi="Cambria" w:cstheme="minorHAnsi"/>
          <w:b/>
          <w:bCs/>
        </w:rPr>
        <w:t xml:space="preserve"> in FY 25-26 &amp; Rs.13.96 Cr. in FY 26-27</w:t>
      </w:r>
      <w:r w:rsidR="006B1EBF" w:rsidRPr="005A2E79">
        <w:rPr>
          <w:rFonts w:ascii="Cambria" w:hAnsi="Cambria" w:cstheme="minorHAnsi"/>
          <w:b/>
          <w:bCs/>
        </w:rPr>
        <w:t>.</w:t>
      </w:r>
    </w:p>
    <w:p w14:paraId="08AE78A3" w14:textId="559ADE9D" w:rsidR="00B57674" w:rsidRDefault="002C59F0" w:rsidP="002C59F0">
      <w:pPr>
        <w:spacing w:beforeLines="100" w:before="240" w:afterLines="100" w:after="240" w:line="360" w:lineRule="auto"/>
        <w:jc w:val="both"/>
        <w:rPr>
          <w:rFonts w:ascii="Cambria" w:hAnsi="Cambria" w:cstheme="minorHAnsi"/>
        </w:rPr>
      </w:pPr>
      <w:r w:rsidRPr="002C59F0">
        <w:rPr>
          <w:rFonts w:ascii="Cambria" w:hAnsi="Cambria" w:cstheme="minorHAnsi"/>
        </w:rPr>
        <w:t xml:space="preserve">Also, Over the last 4.5 years, the Enforcement Team has successfully booked over 1.5 lakh theft cases, resulting in an accumulated </w:t>
      </w:r>
      <w:r w:rsidRPr="005A2E79">
        <w:rPr>
          <w:rFonts w:ascii="Cambria" w:hAnsi="Cambria" w:cstheme="minorHAnsi"/>
          <w:b/>
          <w:bCs/>
        </w:rPr>
        <w:t xml:space="preserve">arrear of Rs. 210 </w:t>
      </w:r>
      <w:r w:rsidR="005A2E79">
        <w:rPr>
          <w:rFonts w:ascii="Cambria" w:hAnsi="Cambria" w:cstheme="minorHAnsi"/>
          <w:b/>
          <w:bCs/>
        </w:rPr>
        <w:t>C</w:t>
      </w:r>
      <w:r w:rsidRPr="005A2E79">
        <w:rPr>
          <w:rFonts w:ascii="Cambria" w:hAnsi="Cambria" w:cstheme="minorHAnsi"/>
          <w:b/>
          <w:bCs/>
        </w:rPr>
        <w:t>r</w:t>
      </w:r>
      <w:r w:rsidRPr="002C59F0">
        <w:rPr>
          <w:rFonts w:ascii="Cambria" w:hAnsi="Cambria" w:cstheme="minorHAnsi"/>
        </w:rPr>
        <w:t xml:space="preserve">. Regular AMC teams, under the supervision of SDOs, are already engaged in maintenance and routine collection activities, leaving them with limited </w:t>
      </w:r>
      <w:r w:rsidR="00DE77AC">
        <w:rPr>
          <w:rFonts w:ascii="Cambria" w:hAnsi="Cambria" w:cstheme="minorHAnsi"/>
        </w:rPr>
        <w:t xml:space="preserve">availability </w:t>
      </w:r>
      <w:r w:rsidRPr="002C59F0">
        <w:rPr>
          <w:rFonts w:ascii="Cambria" w:hAnsi="Cambria" w:cstheme="minorHAnsi"/>
        </w:rPr>
        <w:t xml:space="preserve">to address theft-related arrears. To tackle the arrears and recover the pending amount, 10 dedicated Disconnection teams have been deployed for 6 months of this FY 26 and the same </w:t>
      </w:r>
      <w:r w:rsidR="00DE77AC">
        <w:rPr>
          <w:rFonts w:ascii="Cambria" w:hAnsi="Cambria" w:cstheme="minorHAnsi"/>
        </w:rPr>
        <w:t xml:space="preserve">activity </w:t>
      </w:r>
      <w:r w:rsidRPr="002C59F0">
        <w:rPr>
          <w:rFonts w:ascii="Cambria" w:hAnsi="Cambria" w:cstheme="minorHAnsi"/>
        </w:rPr>
        <w:t>will be continued after reviewing the performance</w:t>
      </w:r>
      <w:r w:rsidR="00DE77AC">
        <w:rPr>
          <w:rFonts w:ascii="Cambria" w:hAnsi="Cambria" w:cstheme="minorHAnsi"/>
        </w:rPr>
        <w:t xml:space="preserve"> of the teams</w:t>
      </w:r>
      <w:r w:rsidRPr="002C59F0">
        <w:rPr>
          <w:rFonts w:ascii="Cambria" w:hAnsi="Cambria" w:cstheme="minorHAnsi"/>
        </w:rPr>
        <w:t>.</w:t>
      </w:r>
      <w:r w:rsidR="000161C6">
        <w:rPr>
          <w:rFonts w:ascii="Cambria" w:hAnsi="Cambria" w:cstheme="minorHAnsi"/>
        </w:rPr>
        <w:t xml:space="preserve"> </w:t>
      </w:r>
      <w:r w:rsidRPr="002C59F0">
        <w:rPr>
          <w:rFonts w:ascii="Cambria" w:hAnsi="Cambria" w:cstheme="minorHAnsi"/>
        </w:rPr>
        <w:t>The following amount has been estimated under enforcement activities for FY 26-27:</w:t>
      </w:r>
    </w:p>
    <w:tbl>
      <w:tblPr>
        <w:tblpPr w:leftFromText="180" w:rightFromText="180" w:vertAnchor="text" w:tblpXSpec="cente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27"/>
        <w:gridCol w:w="728"/>
        <w:gridCol w:w="1134"/>
        <w:gridCol w:w="1036"/>
      </w:tblGrid>
      <w:tr w:rsidR="00602BEA" w:rsidRPr="006C70EA" w14:paraId="0196B08A" w14:textId="77777777" w:rsidTr="000161C6">
        <w:trPr>
          <w:trHeight w:val="54"/>
        </w:trPr>
        <w:tc>
          <w:tcPr>
            <w:tcW w:w="6527" w:type="dxa"/>
            <w:tcMar>
              <w:top w:w="0" w:type="dxa"/>
              <w:left w:w="108" w:type="dxa"/>
              <w:bottom w:w="0" w:type="dxa"/>
              <w:right w:w="108" w:type="dxa"/>
            </w:tcMar>
            <w:vAlign w:val="center"/>
            <w:hideMark/>
          </w:tcPr>
          <w:p w14:paraId="0FB519AD" w14:textId="77777777" w:rsidR="00602BEA" w:rsidRPr="006C70EA" w:rsidRDefault="00602BEA" w:rsidP="00795798">
            <w:pPr>
              <w:spacing w:line="240" w:lineRule="atLeast"/>
              <w:rPr>
                <w:rFonts w:ascii="Cambria" w:hAnsi="Cambria" w:cstheme="minorHAnsi"/>
                <w:b/>
                <w:sz w:val="22"/>
                <w:szCs w:val="22"/>
                <w:lang w:eastAsia="en-IN"/>
              </w:rPr>
            </w:pPr>
            <w:r w:rsidRPr="006C70EA">
              <w:rPr>
                <w:rFonts w:ascii="Cambria" w:hAnsi="Cambria" w:cstheme="minorHAnsi"/>
                <w:b/>
                <w:sz w:val="22"/>
                <w:szCs w:val="22"/>
                <w:lang w:eastAsia="en-IN"/>
              </w:rPr>
              <w:t>Name of the Vendor</w:t>
            </w:r>
          </w:p>
        </w:tc>
        <w:tc>
          <w:tcPr>
            <w:tcW w:w="728" w:type="dxa"/>
            <w:vAlign w:val="center"/>
          </w:tcPr>
          <w:p w14:paraId="31A6B780" w14:textId="77777777" w:rsidR="00602BEA" w:rsidRPr="006C70EA" w:rsidRDefault="00602BEA" w:rsidP="00795798">
            <w:pPr>
              <w:spacing w:line="240" w:lineRule="atLeast"/>
              <w:rPr>
                <w:rFonts w:ascii="Cambria" w:hAnsi="Cambria" w:cstheme="minorHAnsi"/>
                <w:b/>
                <w:sz w:val="22"/>
                <w:szCs w:val="22"/>
                <w:lang w:eastAsia="en-IN"/>
              </w:rPr>
            </w:pPr>
            <w:r w:rsidRPr="006C70EA">
              <w:rPr>
                <w:rFonts w:ascii="Cambria" w:hAnsi="Cambria" w:cstheme="minorHAnsi"/>
                <w:b/>
                <w:sz w:val="22"/>
                <w:szCs w:val="22"/>
                <w:lang w:eastAsia="en-IN"/>
              </w:rPr>
              <w:t>UoM</w:t>
            </w:r>
          </w:p>
        </w:tc>
        <w:tc>
          <w:tcPr>
            <w:tcW w:w="1134" w:type="dxa"/>
            <w:vAlign w:val="center"/>
          </w:tcPr>
          <w:p w14:paraId="63DA7613" w14:textId="1B96A031" w:rsidR="00602BEA" w:rsidRPr="006C70EA" w:rsidRDefault="00602BEA" w:rsidP="00795798">
            <w:pPr>
              <w:spacing w:line="240" w:lineRule="atLeast"/>
              <w:rPr>
                <w:rFonts w:ascii="Cambria" w:hAnsi="Cambria" w:cstheme="minorHAnsi"/>
                <w:b/>
                <w:sz w:val="22"/>
                <w:szCs w:val="22"/>
                <w:lang w:eastAsia="en-IN"/>
              </w:rPr>
            </w:pPr>
            <w:r w:rsidRPr="006C70EA">
              <w:rPr>
                <w:rFonts w:ascii="Cambria" w:hAnsi="Cambria" w:cstheme="minorHAnsi"/>
                <w:b/>
                <w:sz w:val="22"/>
                <w:szCs w:val="22"/>
                <w:lang w:eastAsia="en-IN"/>
              </w:rPr>
              <w:t>FY 2</w:t>
            </w:r>
            <w:r w:rsidR="005A2E79">
              <w:rPr>
                <w:rFonts w:ascii="Cambria" w:hAnsi="Cambria" w:cstheme="minorHAnsi"/>
                <w:b/>
                <w:sz w:val="22"/>
                <w:szCs w:val="22"/>
                <w:lang w:eastAsia="en-IN"/>
              </w:rPr>
              <w:t>5-26</w:t>
            </w:r>
          </w:p>
        </w:tc>
        <w:tc>
          <w:tcPr>
            <w:tcW w:w="1036" w:type="dxa"/>
            <w:vAlign w:val="center"/>
          </w:tcPr>
          <w:p w14:paraId="4EF0A92B" w14:textId="77777777" w:rsidR="00602BEA" w:rsidRPr="006C70EA" w:rsidRDefault="00602BEA" w:rsidP="00795798">
            <w:pPr>
              <w:spacing w:line="240" w:lineRule="atLeast"/>
              <w:rPr>
                <w:rFonts w:ascii="Cambria" w:hAnsi="Cambria" w:cstheme="minorHAnsi"/>
                <w:b/>
                <w:sz w:val="22"/>
                <w:szCs w:val="22"/>
                <w:lang w:eastAsia="en-IN"/>
              </w:rPr>
            </w:pPr>
            <w:r w:rsidRPr="006C70EA">
              <w:rPr>
                <w:rFonts w:ascii="Cambria" w:hAnsi="Cambria" w:cstheme="minorHAnsi"/>
                <w:b/>
                <w:sz w:val="22"/>
                <w:szCs w:val="22"/>
                <w:lang w:eastAsia="en-IN"/>
              </w:rPr>
              <w:t xml:space="preserve">FY </w:t>
            </w:r>
            <w:r>
              <w:rPr>
                <w:rFonts w:ascii="Cambria" w:hAnsi="Cambria" w:cstheme="minorHAnsi"/>
                <w:b/>
                <w:sz w:val="22"/>
                <w:szCs w:val="22"/>
                <w:lang w:eastAsia="en-IN"/>
              </w:rPr>
              <w:t>26-27</w:t>
            </w:r>
          </w:p>
        </w:tc>
      </w:tr>
      <w:tr w:rsidR="002B697B" w:rsidRPr="006C70EA" w14:paraId="4D482B4E" w14:textId="77777777" w:rsidTr="000161C6">
        <w:trPr>
          <w:trHeight w:val="195"/>
        </w:trPr>
        <w:tc>
          <w:tcPr>
            <w:tcW w:w="6527" w:type="dxa"/>
            <w:noWrap/>
            <w:tcMar>
              <w:top w:w="0" w:type="dxa"/>
              <w:left w:w="108" w:type="dxa"/>
              <w:bottom w:w="0" w:type="dxa"/>
              <w:right w:w="108" w:type="dxa"/>
            </w:tcMar>
            <w:vAlign w:val="center"/>
            <w:hideMark/>
          </w:tcPr>
          <w:p w14:paraId="0CFF506A" w14:textId="013372FC" w:rsidR="002B697B" w:rsidRPr="006C70EA" w:rsidRDefault="002B697B" w:rsidP="000161C6">
            <w:pPr>
              <w:spacing w:line="240" w:lineRule="atLeast"/>
              <w:rPr>
                <w:rFonts w:ascii="Cambria" w:hAnsi="Cambria" w:cstheme="minorHAnsi"/>
                <w:bCs/>
                <w:sz w:val="22"/>
                <w:szCs w:val="22"/>
                <w:lang w:eastAsia="en-IN"/>
              </w:rPr>
            </w:pPr>
            <w:r w:rsidRPr="006C70EA">
              <w:rPr>
                <w:rFonts w:ascii="Cambria" w:hAnsi="Cambria" w:cstheme="minorHAnsi"/>
                <w:bCs/>
                <w:sz w:val="22"/>
                <w:szCs w:val="22"/>
                <w:lang w:eastAsia="en-IN"/>
              </w:rPr>
              <w:t>M/S Amman Associate</w:t>
            </w:r>
            <w:r w:rsidR="000161C6">
              <w:rPr>
                <w:rFonts w:ascii="Cambria" w:hAnsi="Cambria" w:cstheme="minorHAnsi"/>
                <w:bCs/>
                <w:sz w:val="22"/>
                <w:szCs w:val="22"/>
                <w:lang w:eastAsia="en-IN"/>
              </w:rPr>
              <w:t xml:space="preserve"> </w:t>
            </w:r>
            <w:r w:rsidRPr="006C70EA">
              <w:rPr>
                <w:rFonts w:ascii="Cambria" w:hAnsi="Cambria" w:cstheme="minorHAnsi"/>
                <w:bCs/>
                <w:sz w:val="22"/>
                <w:szCs w:val="22"/>
                <w:lang w:eastAsia="en-IN"/>
              </w:rPr>
              <w:t>(Sambalpur, Bargarh</w:t>
            </w:r>
            <w:r>
              <w:rPr>
                <w:rFonts w:ascii="Cambria" w:hAnsi="Cambria" w:cstheme="minorHAnsi"/>
                <w:bCs/>
                <w:sz w:val="22"/>
                <w:szCs w:val="22"/>
                <w:lang w:eastAsia="en-IN"/>
              </w:rPr>
              <w:t xml:space="preserve"> </w:t>
            </w:r>
            <w:r w:rsidRPr="006C70EA">
              <w:rPr>
                <w:rFonts w:ascii="Cambria" w:hAnsi="Cambria" w:cstheme="minorHAnsi"/>
                <w:bCs/>
                <w:sz w:val="22"/>
                <w:szCs w:val="22"/>
                <w:lang w:eastAsia="en-IN"/>
              </w:rPr>
              <w:t>and Kalahandi Circles)</w:t>
            </w:r>
          </w:p>
        </w:tc>
        <w:tc>
          <w:tcPr>
            <w:tcW w:w="728" w:type="dxa"/>
            <w:vAlign w:val="center"/>
          </w:tcPr>
          <w:p w14:paraId="39BCA16A" w14:textId="77777777" w:rsidR="002B697B" w:rsidRPr="006C70EA" w:rsidRDefault="002B697B" w:rsidP="00795798">
            <w:pPr>
              <w:spacing w:line="240" w:lineRule="atLeast"/>
              <w:jc w:val="center"/>
              <w:rPr>
                <w:rFonts w:ascii="Cambria" w:hAnsi="Cambria" w:cstheme="minorHAnsi"/>
                <w:bCs/>
                <w:sz w:val="22"/>
                <w:szCs w:val="22"/>
                <w:lang w:eastAsia="en-IN"/>
              </w:rPr>
            </w:pPr>
            <w:r w:rsidRPr="006C70EA">
              <w:rPr>
                <w:rFonts w:ascii="Cambria" w:hAnsi="Cambria" w:cstheme="minorHAnsi"/>
                <w:bCs/>
                <w:sz w:val="22"/>
                <w:szCs w:val="22"/>
                <w:lang w:eastAsia="en-IN"/>
              </w:rPr>
              <w:t>Rs. Cr.</w:t>
            </w:r>
          </w:p>
        </w:tc>
        <w:tc>
          <w:tcPr>
            <w:tcW w:w="1134" w:type="dxa"/>
            <w:vAlign w:val="center"/>
          </w:tcPr>
          <w:p w14:paraId="1489399D" w14:textId="390A3C6A" w:rsidR="002B697B" w:rsidRPr="006C70EA" w:rsidRDefault="002B697B" w:rsidP="00795798">
            <w:pPr>
              <w:spacing w:line="240" w:lineRule="atLeast"/>
              <w:jc w:val="center"/>
              <w:rPr>
                <w:rFonts w:ascii="Cambria" w:hAnsi="Cambria" w:cstheme="minorHAnsi"/>
                <w:bCs/>
                <w:sz w:val="22"/>
                <w:szCs w:val="22"/>
                <w:lang w:eastAsia="en-IN"/>
              </w:rPr>
            </w:pPr>
            <w:r w:rsidRPr="00B274CB">
              <w:t>7.39</w:t>
            </w:r>
          </w:p>
        </w:tc>
        <w:tc>
          <w:tcPr>
            <w:tcW w:w="1036" w:type="dxa"/>
            <w:vAlign w:val="center"/>
          </w:tcPr>
          <w:p w14:paraId="6F73EC96" w14:textId="51D086A3" w:rsidR="002B697B" w:rsidRPr="006C70EA" w:rsidRDefault="002B697B" w:rsidP="00795798">
            <w:pPr>
              <w:spacing w:line="240" w:lineRule="atLeast"/>
              <w:jc w:val="center"/>
              <w:rPr>
                <w:rFonts w:ascii="Cambria" w:hAnsi="Cambria" w:cstheme="minorHAnsi"/>
                <w:bCs/>
                <w:sz w:val="22"/>
                <w:szCs w:val="22"/>
                <w:lang w:eastAsia="en-IN"/>
              </w:rPr>
            </w:pPr>
            <w:r w:rsidRPr="00B274CB">
              <w:t>7.76</w:t>
            </w:r>
          </w:p>
        </w:tc>
      </w:tr>
      <w:tr w:rsidR="002B697B" w:rsidRPr="006C70EA" w14:paraId="5A466D62" w14:textId="77777777" w:rsidTr="000161C6">
        <w:trPr>
          <w:trHeight w:val="245"/>
        </w:trPr>
        <w:tc>
          <w:tcPr>
            <w:tcW w:w="6527" w:type="dxa"/>
            <w:noWrap/>
            <w:tcMar>
              <w:top w:w="0" w:type="dxa"/>
              <w:left w:w="108" w:type="dxa"/>
              <w:bottom w:w="0" w:type="dxa"/>
              <w:right w:w="108" w:type="dxa"/>
            </w:tcMar>
            <w:vAlign w:val="center"/>
            <w:hideMark/>
          </w:tcPr>
          <w:p w14:paraId="64B23011" w14:textId="6F9D59A0" w:rsidR="002B697B" w:rsidRPr="006C70EA" w:rsidRDefault="002B697B" w:rsidP="000161C6">
            <w:pPr>
              <w:spacing w:line="240" w:lineRule="atLeast"/>
              <w:rPr>
                <w:rFonts w:ascii="Cambria" w:hAnsi="Cambria" w:cstheme="minorHAnsi"/>
                <w:bCs/>
                <w:sz w:val="22"/>
                <w:szCs w:val="22"/>
                <w:lang w:eastAsia="en-IN"/>
              </w:rPr>
            </w:pPr>
            <w:r w:rsidRPr="006C70EA">
              <w:rPr>
                <w:rFonts w:ascii="Cambria" w:hAnsi="Cambria" w:cstheme="minorHAnsi"/>
                <w:bCs/>
                <w:sz w:val="22"/>
                <w:szCs w:val="22"/>
                <w:lang w:eastAsia="en-IN"/>
              </w:rPr>
              <w:t>M/S Unix services(Rourkela)</w:t>
            </w:r>
          </w:p>
        </w:tc>
        <w:tc>
          <w:tcPr>
            <w:tcW w:w="728" w:type="dxa"/>
            <w:vAlign w:val="center"/>
          </w:tcPr>
          <w:p w14:paraId="22EAE920" w14:textId="77777777" w:rsidR="002B697B" w:rsidRPr="006C70EA" w:rsidRDefault="002B697B" w:rsidP="00795798">
            <w:pPr>
              <w:spacing w:line="240" w:lineRule="atLeast"/>
              <w:jc w:val="center"/>
              <w:rPr>
                <w:rFonts w:ascii="Cambria" w:hAnsi="Cambria" w:cstheme="minorHAnsi"/>
                <w:bCs/>
                <w:sz w:val="22"/>
                <w:szCs w:val="22"/>
                <w:lang w:eastAsia="en-IN"/>
              </w:rPr>
            </w:pPr>
            <w:r w:rsidRPr="006C70EA">
              <w:rPr>
                <w:rFonts w:ascii="Cambria" w:hAnsi="Cambria" w:cstheme="minorHAnsi"/>
                <w:bCs/>
                <w:sz w:val="22"/>
                <w:szCs w:val="22"/>
                <w:lang w:eastAsia="en-IN"/>
              </w:rPr>
              <w:t>Rs. Cr.</w:t>
            </w:r>
          </w:p>
        </w:tc>
        <w:tc>
          <w:tcPr>
            <w:tcW w:w="1134" w:type="dxa"/>
            <w:vAlign w:val="center"/>
          </w:tcPr>
          <w:p w14:paraId="28FE2826" w14:textId="289199DB" w:rsidR="002B697B" w:rsidRPr="006C70EA" w:rsidRDefault="002B697B" w:rsidP="00795798">
            <w:pPr>
              <w:spacing w:line="240" w:lineRule="atLeast"/>
              <w:jc w:val="center"/>
              <w:rPr>
                <w:rFonts w:ascii="Cambria" w:hAnsi="Cambria" w:cstheme="minorHAnsi"/>
                <w:bCs/>
                <w:sz w:val="22"/>
                <w:szCs w:val="22"/>
                <w:lang w:eastAsia="en-IN"/>
              </w:rPr>
            </w:pPr>
            <w:r w:rsidRPr="00B274CB">
              <w:t>0.00</w:t>
            </w:r>
          </w:p>
        </w:tc>
        <w:tc>
          <w:tcPr>
            <w:tcW w:w="1036" w:type="dxa"/>
            <w:vAlign w:val="center"/>
          </w:tcPr>
          <w:p w14:paraId="39570422" w14:textId="3F9DCEC6" w:rsidR="002B697B" w:rsidRPr="006C70EA" w:rsidRDefault="002B697B" w:rsidP="00795798">
            <w:pPr>
              <w:spacing w:line="240" w:lineRule="atLeast"/>
              <w:jc w:val="center"/>
              <w:rPr>
                <w:rFonts w:ascii="Cambria" w:hAnsi="Cambria" w:cstheme="minorHAnsi"/>
                <w:bCs/>
                <w:sz w:val="22"/>
                <w:szCs w:val="22"/>
                <w:lang w:eastAsia="en-IN"/>
              </w:rPr>
            </w:pPr>
            <w:r w:rsidRPr="00B274CB">
              <w:t>0.00</w:t>
            </w:r>
          </w:p>
        </w:tc>
      </w:tr>
      <w:tr w:rsidR="002B697B" w:rsidRPr="006C70EA" w14:paraId="303BA363" w14:textId="77777777" w:rsidTr="000161C6">
        <w:trPr>
          <w:trHeight w:val="245"/>
        </w:trPr>
        <w:tc>
          <w:tcPr>
            <w:tcW w:w="6527" w:type="dxa"/>
            <w:noWrap/>
            <w:tcMar>
              <w:top w:w="0" w:type="dxa"/>
              <w:left w:w="108" w:type="dxa"/>
              <w:bottom w:w="0" w:type="dxa"/>
              <w:right w:w="108" w:type="dxa"/>
            </w:tcMar>
            <w:vAlign w:val="center"/>
          </w:tcPr>
          <w:p w14:paraId="5ADF2B0E" w14:textId="05B62C86" w:rsidR="002B697B" w:rsidRPr="006C70EA" w:rsidRDefault="002B697B" w:rsidP="000161C6">
            <w:pPr>
              <w:spacing w:line="240" w:lineRule="atLeast"/>
              <w:rPr>
                <w:rFonts w:ascii="Cambria" w:hAnsi="Cambria" w:cstheme="minorHAnsi"/>
                <w:bCs/>
                <w:sz w:val="22"/>
                <w:szCs w:val="22"/>
                <w:lang w:eastAsia="en-IN"/>
              </w:rPr>
            </w:pPr>
            <w:r w:rsidRPr="006C70EA">
              <w:rPr>
                <w:rFonts w:ascii="Cambria" w:hAnsi="Cambria" w:cstheme="minorHAnsi"/>
                <w:bCs/>
                <w:sz w:val="22"/>
                <w:szCs w:val="22"/>
                <w:lang w:eastAsia="en-IN"/>
              </w:rPr>
              <w:t>M/S Nirmal Kumar Samantray(Rourkela and B</w:t>
            </w:r>
            <w:r>
              <w:rPr>
                <w:rFonts w:ascii="Cambria" w:hAnsi="Cambria" w:cstheme="minorHAnsi"/>
                <w:bCs/>
                <w:sz w:val="22"/>
                <w:szCs w:val="22"/>
                <w:lang w:eastAsia="en-IN"/>
              </w:rPr>
              <w:t>o</w:t>
            </w:r>
            <w:r w:rsidRPr="006C70EA">
              <w:rPr>
                <w:rFonts w:ascii="Cambria" w:hAnsi="Cambria" w:cstheme="minorHAnsi"/>
                <w:bCs/>
                <w:sz w:val="22"/>
                <w:szCs w:val="22"/>
                <w:lang w:eastAsia="en-IN"/>
              </w:rPr>
              <w:t>langir)</w:t>
            </w:r>
          </w:p>
        </w:tc>
        <w:tc>
          <w:tcPr>
            <w:tcW w:w="728" w:type="dxa"/>
            <w:vAlign w:val="center"/>
          </w:tcPr>
          <w:p w14:paraId="3E83ABDA" w14:textId="77777777" w:rsidR="002B697B" w:rsidRPr="006C70EA" w:rsidRDefault="002B697B" w:rsidP="00795798">
            <w:pPr>
              <w:spacing w:line="240" w:lineRule="atLeast"/>
              <w:jc w:val="center"/>
              <w:rPr>
                <w:rFonts w:ascii="Cambria" w:hAnsi="Cambria" w:cstheme="minorHAnsi"/>
                <w:bCs/>
                <w:sz w:val="22"/>
                <w:szCs w:val="22"/>
                <w:lang w:eastAsia="en-IN"/>
              </w:rPr>
            </w:pPr>
            <w:r w:rsidRPr="006C70EA">
              <w:rPr>
                <w:rFonts w:ascii="Cambria" w:hAnsi="Cambria" w:cstheme="minorHAnsi"/>
                <w:bCs/>
                <w:sz w:val="22"/>
                <w:szCs w:val="22"/>
                <w:lang w:eastAsia="en-IN"/>
              </w:rPr>
              <w:t>Rs. Cr.</w:t>
            </w:r>
          </w:p>
        </w:tc>
        <w:tc>
          <w:tcPr>
            <w:tcW w:w="1134" w:type="dxa"/>
            <w:vAlign w:val="center"/>
          </w:tcPr>
          <w:p w14:paraId="5C649605" w14:textId="6D467E08" w:rsidR="002B697B" w:rsidRPr="006C70EA" w:rsidRDefault="002B697B" w:rsidP="00795798">
            <w:pPr>
              <w:spacing w:line="240" w:lineRule="atLeast"/>
              <w:jc w:val="center"/>
              <w:rPr>
                <w:rFonts w:ascii="Cambria" w:hAnsi="Cambria" w:cstheme="minorHAnsi"/>
                <w:bCs/>
                <w:sz w:val="22"/>
                <w:szCs w:val="22"/>
                <w:lang w:eastAsia="en-IN"/>
              </w:rPr>
            </w:pPr>
            <w:r w:rsidRPr="00B274CB">
              <w:t>5.32</w:t>
            </w:r>
          </w:p>
        </w:tc>
        <w:tc>
          <w:tcPr>
            <w:tcW w:w="1036" w:type="dxa"/>
            <w:vAlign w:val="center"/>
          </w:tcPr>
          <w:p w14:paraId="19DC3721" w14:textId="62C04936" w:rsidR="002B697B" w:rsidRPr="006C70EA" w:rsidRDefault="002B697B" w:rsidP="00795798">
            <w:pPr>
              <w:spacing w:line="240" w:lineRule="atLeast"/>
              <w:jc w:val="center"/>
              <w:rPr>
                <w:rFonts w:ascii="Cambria" w:hAnsi="Cambria" w:cstheme="minorHAnsi"/>
                <w:bCs/>
                <w:sz w:val="22"/>
                <w:szCs w:val="22"/>
                <w:lang w:eastAsia="en-IN"/>
              </w:rPr>
            </w:pPr>
            <w:r w:rsidRPr="00B274CB">
              <w:t>6.21</w:t>
            </w:r>
          </w:p>
        </w:tc>
      </w:tr>
      <w:tr w:rsidR="002B697B" w:rsidRPr="006C70EA" w14:paraId="1DDD1887" w14:textId="77777777" w:rsidTr="000161C6">
        <w:trPr>
          <w:trHeight w:val="54"/>
        </w:trPr>
        <w:tc>
          <w:tcPr>
            <w:tcW w:w="6527" w:type="dxa"/>
            <w:noWrap/>
            <w:tcMar>
              <w:top w:w="0" w:type="dxa"/>
              <w:left w:w="108" w:type="dxa"/>
              <w:bottom w:w="0" w:type="dxa"/>
              <w:right w:w="108" w:type="dxa"/>
            </w:tcMar>
            <w:vAlign w:val="center"/>
            <w:hideMark/>
          </w:tcPr>
          <w:p w14:paraId="7AF7E1DB" w14:textId="77777777" w:rsidR="002B697B" w:rsidRPr="006C70EA" w:rsidRDefault="002B697B" w:rsidP="00795798">
            <w:pPr>
              <w:spacing w:line="240" w:lineRule="atLeast"/>
              <w:rPr>
                <w:rFonts w:ascii="Cambria" w:hAnsi="Cambria" w:cstheme="minorHAnsi"/>
                <w:b/>
                <w:sz w:val="22"/>
                <w:szCs w:val="22"/>
                <w:lang w:eastAsia="en-IN"/>
              </w:rPr>
            </w:pPr>
            <w:r w:rsidRPr="006C70EA">
              <w:rPr>
                <w:rFonts w:ascii="Cambria" w:hAnsi="Cambria" w:cstheme="minorHAnsi"/>
                <w:b/>
                <w:sz w:val="22"/>
                <w:szCs w:val="22"/>
                <w:lang w:eastAsia="en-IN"/>
              </w:rPr>
              <w:t>Total Amount</w:t>
            </w:r>
          </w:p>
        </w:tc>
        <w:tc>
          <w:tcPr>
            <w:tcW w:w="728" w:type="dxa"/>
            <w:vAlign w:val="center"/>
          </w:tcPr>
          <w:p w14:paraId="12A0870C" w14:textId="77777777" w:rsidR="002B697B" w:rsidRPr="006C70EA" w:rsidRDefault="002B697B" w:rsidP="00795798">
            <w:pPr>
              <w:spacing w:line="240" w:lineRule="atLeast"/>
              <w:jc w:val="center"/>
              <w:rPr>
                <w:rFonts w:ascii="Cambria" w:hAnsi="Cambria" w:cstheme="minorHAnsi"/>
                <w:b/>
                <w:sz w:val="22"/>
                <w:szCs w:val="22"/>
                <w:lang w:eastAsia="en-IN"/>
              </w:rPr>
            </w:pPr>
            <w:r w:rsidRPr="006C70EA">
              <w:rPr>
                <w:rFonts w:ascii="Cambria" w:hAnsi="Cambria" w:cstheme="minorHAnsi"/>
                <w:b/>
                <w:sz w:val="22"/>
                <w:szCs w:val="22"/>
                <w:lang w:eastAsia="en-IN"/>
              </w:rPr>
              <w:t>Rs. Cr.</w:t>
            </w:r>
          </w:p>
        </w:tc>
        <w:tc>
          <w:tcPr>
            <w:tcW w:w="1134" w:type="dxa"/>
            <w:vAlign w:val="center"/>
          </w:tcPr>
          <w:p w14:paraId="33698DD5" w14:textId="076BE97E" w:rsidR="002B697B" w:rsidRPr="002B697B" w:rsidRDefault="002B697B" w:rsidP="00795798">
            <w:pPr>
              <w:spacing w:line="240" w:lineRule="atLeast"/>
              <w:jc w:val="center"/>
              <w:rPr>
                <w:rFonts w:ascii="Cambria" w:hAnsi="Cambria" w:cstheme="minorHAnsi"/>
                <w:b/>
                <w:bCs/>
                <w:sz w:val="22"/>
                <w:szCs w:val="22"/>
                <w:lang w:eastAsia="en-IN"/>
              </w:rPr>
            </w:pPr>
            <w:r w:rsidRPr="002B697B">
              <w:rPr>
                <w:b/>
                <w:bCs/>
              </w:rPr>
              <w:t>12.70</w:t>
            </w:r>
          </w:p>
        </w:tc>
        <w:tc>
          <w:tcPr>
            <w:tcW w:w="1036" w:type="dxa"/>
            <w:vAlign w:val="center"/>
          </w:tcPr>
          <w:p w14:paraId="7373003D" w14:textId="7CA00D15" w:rsidR="002B697B" w:rsidRPr="002B697B" w:rsidRDefault="002B697B" w:rsidP="00795798">
            <w:pPr>
              <w:spacing w:line="240" w:lineRule="atLeast"/>
              <w:jc w:val="center"/>
              <w:rPr>
                <w:rFonts w:ascii="Cambria" w:hAnsi="Cambria" w:cstheme="minorHAnsi"/>
                <w:b/>
                <w:bCs/>
                <w:sz w:val="22"/>
                <w:szCs w:val="22"/>
                <w:lang w:eastAsia="en-IN"/>
              </w:rPr>
            </w:pPr>
            <w:r w:rsidRPr="002B697B">
              <w:rPr>
                <w:b/>
                <w:bCs/>
              </w:rPr>
              <w:t>13.96</w:t>
            </w:r>
          </w:p>
        </w:tc>
      </w:tr>
    </w:tbl>
    <w:p w14:paraId="4A34D84E" w14:textId="77777777" w:rsidR="00115C9C" w:rsidRPr="00BB3C52" w:rsidRDefault="00115C9C" w:rsidP="00BB3C52">
      <w:pPr>
        <w:pStyle w:val="Heading3"/>
        <w:numPr>
          <w:ilvl w:val="2"/>
          <w:numId w:val="1"/>
        </w:numPr>
        <w:shd w:val="clear" w:color="auto" w:fill="002060"/>
        <w:rPr>
          <w:rFonts w:asciiTheme="majorHAnsi" w:hAnsiTheme="majorHAnsi"/>
          <w:sz w:val="24"/>
          <w:szCs w:val="24"/>
        </w:rPr>
      </w:pPr>
      <w:bookmarkStart w:id="45" w:name="_Toc215250616"/>
      <w:r w:rsidRPr="00BB3C52">
        <w:rPr>
          <w:rFonts w:asciiTheme="majorHAnsi" w:hAnsiTheme="majorHAnsi"/>
          <w:sz w:val="24"/>
          <w:szCs w:val="24"/>
        </w:rPr>
        <w:t xml:space="preserve">OT Initiatives for improvement of Reliability, SCADA/GIS </w:t>
      </w:r>
      <w:proofErr w:type="spellStart"/>
      <w:r w:rsidRPr="00BB3C52">
        <w:rPr>
          <w:rFonts w:asciiTheme="majorHAnsi" w:hAnsiTheme="majorHAnsi"/>
          <w:sz w:val="24"/>
          <w:szCs w:val="24"/>
        </w:rPr>
        <w:t>etc</w:t>
      </w:r>
      <w:bookmarkEnd w:id="45"/>
      <w:proofErr w:type="spellEnd"/>
    </w:p>
    <w:p w14:paraId="685AFBCE" w14:textId="31A62447" w:rsidR="00115C9C" w:rsidRPr="00DF31C8" w:rsidRDefault="00115C9C" w:rsidP="00115C9C">
      <w:pPr>
        <w:spacing w:beforeLines="100" w:before="240" w:afterLines="100" w:after="240" w:line="360" w:lineRule="auto"/>
        <w:jc w:val="both"/>
        <w:rPr>
          <w:rFonts w:asciiTheme="majorHAnsi" w:hAnsiTheme="majorHAnsi"/>
        </w:rPr>
      </w:pPr>
      <w:r w:rsidRPr="00DF31C8">
        <w:rPr>
          <w:rFonts w:asciiTheme="majorHAnsi" w:hAnsiTheme="majorHAnsi"/>
        </w:rPr>
        <w:t>In order to enhance reliability, reducing losses and optimi</w:t>
      </w:r>
      <w:r>
        <w:rPr>
          <w:rFonts w:asciiTheme="majorHAnsi" w:hAnsiTheme="majorHAnsi"/>
        </w:rPr>
        <w:t>z</w:t>
      </w:r>
      <w:r w:rsidRPr="00DF31C8">
        <w:rPr>
          <w:rFonts w:asciiTheme="majorHAnsi" w:hAnsiTheme="majorHAnsi"/>
        </w:rPr>
        <w:t xml:space="preserve">ing overall performance </w:t>
      </w:r>
      <w:r w:rsidRPr="00865455">
        <w:rPr>
          <w:rFonts w:asciiTheme="majorHAnsi" w:hAnsiTheme="majorHAnsi"/>
        </w:rPr>
        <w:t>require the effective adoption and implementation of advanced digital technologies.</w:t>
      </w:r>
      <w:r w:rsidRPr="00DF31C8">
        <w:rPr>
          <w:rFonts w:asciiTheme="majorHAnsi" w:hAnsiTheme="majorHAnsi"/>
        </w:rPr>
        <w:t xml:space="preserve"> TPWODL </w:t>
      </w:r>
      <w:r w:rsidRPr="008370D6">
        <w:rPr>
          <w:rFonts w:asciiTheme="majorHAnsi" w:hAnsiTheme="majorHAnsi"/>
        </w:rPr>
        <w:t>is presently undertaking a comprehensive technology transformation initiative aimed at improving customer service quality and ensuring the delivery of a safe, reliable, and high-quality power supply. This transformation is being executed in alignment with regulatory standards and best operational practices, with systematic investments planned in Operational Technology (OT) to integrate state-of-the-art advancements in the power distribution sector.</w:t>
      </w:r>
      <w:r w:rsidRPr="00DF31C8">
        <w:rPr>
          <w:rFonts w:asciiTheme="majorHAnsi" w:hAnsiTheme="majorHAnsi"/>
        </w:rPr>
        <w:t xml:space="preserve"> TPWODL has strategically planned systematic investments in Operation Technology to integrate the latest advancements.</w:t>
      </w:r>
    </w:p>
    <w:p w14:paraId="057AF504" w14:textId="77777777" w:rsidR="00115C9C" w:rsidRDefault="00115C9C" w:rsidP="00115C9C">
      <w:pPr>
        <w:spacing w:beforeLines="100" w:before="240" w:afterLines="100" w:after="240" w:line="360" w:lineRule="auto"/>
        <w:jc w:val="both"/>
        <w:rPr>
          <w:rFonts w:asciiTheme="majorHAnsi" w:hAnsiTheme="majorHAnsi"/>
        </w:rPr>
      </w:pPr>
      <w:r w:rsidRPr="007A6141">
        <w:rPr>
          <w:rFonts w:asciiTheme="majorHAnsi" w:hAnsiTheme="majorHAnsi"/>
        </w:rPr>
        <w:t>A key milestone under this initiative is the establishment of a 24x7 Power System Control Centre (PSCC), which functions as the central hub for real-time monitoring and control of the distribution network. To strengthen field-level operations, mobile applications have been deployed across all 33/11 kV Primary Substations, enabling seamless operational data collection, planned outage tracking, and timely communication of information to consumers. TPWODL has adopted a proactive approach toward planned outage management, ensuring that consumers are informed about scheduled outages at least 48 hours in advance. In addition, Area Power System Control Centers (APSCCs) have been established in 9 divisions to oversee localized network operations and outage management. This initiative has substantially enhanced network visibility and reliability, particularly across the 11 kV and LT networks.</w:t>
      </w:r>
    </w:p>
    <w:p w14:paraId="59165280" w14:textId="77777777" w:rsidR="00115C9C" w:rsidRDefault="00115C9C" w:rsidP="00115C9C">
      <w:pPr>
        <w:spacing w:beforeLines="100" w:before="240" w:afterLines="100" w:after="240" w:line="360" w:lineRule="auto"/>
        <w:jc w:val="both"/>
        <w:rPr>
          <w:rFonts w:asciiTheme="majorHAnsi" w:hAnsiTheme="majorHAnsi"/>
        </w:rPr>
      </w:pPr>
      <w:r w:rsidRPr="00D00D69">
        <w:rPr>
          <w:rFonts w:asciiTheme="majorHAnsi" w:hAnsiTheme="majorHAnsi"/>
        </w:rPr>
        <w:t>Over the past four years, the deployment of Operation Technology has played a pivotal role in the company’s organizational transformation. These initiatives have resulted in measurable improvements in operational efficiency, service reliability, and consumer satisfaction. The key OT initiatives include</w:t>
      </w:r>
      <w:r>
        <w:rPr>
          <w:rFonts w:asciiTheme="majorHAnsi" w:hAnsiTheme="majorHAnsi"/>
        </w:rPr>
        <w:t xml:space="preserve"> as follows: </w:t>
      </w:r>
    </w:p>
    <w:p w14:paraId="4867CD3E" w14:textId="77777777" w:rsidR="00115C9C" w:rsidRPr="007C7913" w:rsidRDefault="00115C9C" w:rsidP="00985F6F">
      <w:pPr>
        <w:pStyle w:val="ListParagraph"/>
        <w:numPr>
          <w:ilvl w:val="0"/>
          <w:numId w:val="43"/>
        </w:numPr>
        <w:spacing w:beforeLines="100" w:before="240" w:afterLines="100" w:after="240" w:line="240" w:lineRule="auto"/>
        <w:ind w:left="714" w:hanging="357"/>
        <w:jc w:val="both"/>
        <w:rPr>
          <w:rFonts w:asciiTheme="majorHAnsi" w:hAnsiTheme="majorHAnsi"/>
          <w:sz w:val="24"/>
          <w:szCs w:val="24"/>
        </w:rPr>
      </w:pPr>
      <w:r w:rsidRPr="007C7913">
        <w:rPr>
          <w:rFonts w:asciiTheme="majorHAnsi" w:hAnsiTheme="majorHAnsi"/>
          <w:sz w:val="24"/>
          <w:szCs w:val="24"/>
        </w:rPr>
        <w:t>Substation Automation through Supervisory Control and Data Acquisition (SCADA),</w:t>
      </w:r>
    </w:p>
    <w:p w14:paraId="5139AE12" w14:textId="77777777" w:rsidR="00115C9C" w:rsidRPr="007C7913" w:rsidRDefault="00115C9C" w:rsidP="00985F6F">
      <w:pPr>
        <w:pStyle w:val="ListParagraph"/>
        <w:numPr>
          <w:ilvl w:val="0"/>
          <w:numId w:val="43"/>
        </w:numPr>
        <w:spacing w:beforeLines="100" w:before="240" w:afterLines="100" w:after="240" w:line="240" w:lineRule="auto"/>
        <w:ind w:left="714" w:hanging="357"/>
        <w:jc w:val="both"/>
        <w:rPr>
          <w:rFonts w:asciiTheme="majorHAnsi" w:hAnsiTheme="majorHAnsi"/>
          <w:sz w:val="24"/>
          <w:szCs w:val="24"/>
        </w:rPr>
      </w:pPr>
      <w:r w:rsidRPr="007C7913">
        <w:rPr>
          <w:rFonts w:asciiTheme="majorHAnsi" w:hAnsiTheme="majorHAnsi"/>
          <w:sz w:val="24"/>
          <w:szCs w:val="24"/>
        </w:rPr>
        <w:t xml:space="preserve">Consumer and Asset Mapping using Geographical Information System (GIS), </w:t>
      </w:r>
    </w:p>
    <w:p w14:paraId="2CD7CD9E" w14:textId="77777777" w:rsidR="00115C9C" w:rsidRPr="007C7913" w:rsidRDefault="00115C9C" w:rsidP="00985F6F">
      <w:pPr>
        <w:pStyle w:val="ListParagraph"/>
        <w:numPr>
          <w:ilvl w:val="0"/>
          <w:numId w:val="43"/>
        </w:numPr>
        <w:spacing w:beforeLines="100" w:before="240" w:afterLines="100" w:after="240" w:line="240" w:lineRule="auto"/>
        <w:ind w:left="714" w:hanging="357"/>
        <w:jc w:val="both"/>
        <w:rPr>
          <w:rFonts w:asciiTheme="majorHAnsi" w:hAnsiTheme="majorHAnsi"/>
          <w:sz w:val="24"/>
          <w:szCs w:val="24"/>
        </w:rPr>
      </w:pPr>
      <w:r>
        <w:rPr>
          <w:rFonts w:asciiTheme="majorHAnsi" w:hAnsiTheme="majorHAnsi"/>
          <w:sz w:val="24"/>
          <w:szCs w:val="24"/>
        </w:rPr>
        <w:t>I</w:t>
      </w:r>
      <w:r w:rsidRPr="007C7913">
        <w:rPr>
          <w:rFonts w:asciiTheme="majorHAnsi" w:hAnsiTheme="majorHAnsi"/>
          <w:sz w:val="24"/>
          <w:szCs w:val="24"/>
        </w:rPr>
        <w:t xml:space="preserve">ntegration of Information and Communication Technology (ICT) solutions, and </w:t>
      </w:r>
    </w:p>
    <w:p w14:paraId="6DF80182" w14:textId="77777777" w:rsidR="00115C9C" w:rsidRPr="007C7913" w:rsidRDefault="00115C9C" w:rsidP="00985F6F">
      <w:pPr>
        <w:pStyle w:val="ListParagraph"/>
        <w:numPr>
          <w:ilvl w:val="0"/>
          <w:numId w:val="43"/>
        </w:numPr>
        <w:spacing w:beforeLines="100" w:before="240" w:afterLines="100" w:after="240" w:line="240" w:lineRule="auto"/>
        <w:ind w:left="714" w:hanging="357"/>
        <w:jc w:val="both"/>
        <w:rPr>
          <w:rFonts w:asciiTheme="majorHAnsi" w:hAnsiTheme="majorHAnsi"/>
          <w:sz w:val="24"/>
          <w:szCs w:val="24"/>
        </w:rPr>
      </w:pPr>
      <w:r>
        <w:rPr>
          <w:rFonts w:asciiTheme="majorHAnsi" w:hAnsiTheme="majorHAnsi"/>
          <w:sz w:val="24"/>
          <w:szCs w:val="24"/>
        </w:rPr>
        <w:t>D</w:t>
      </w:r>
      <w:r w:rsidRPr="007C7913">
        <w:rPr>
          <w:rFonts w:asciiTheme="majorHAnsi" w:hAnsiTheme="majorHAnsi"/>
          <w:sz w:val="24"/>
          <w:szCs w:val="24"/>
        </w:rPr>
        <w:t>evelopment of backend infrastructure to support Smart Meter implementation.</w:t>
      </w:r>
    </w:p>
    <w:p w14:paraId="0290181D" w14:textId="085B5174" w:rsidR="00115C9C" w:rsidRDefault="00115C9C" w:rsidP="00115C9C">
      <w:pPr>
        <w:spacing w:beforeLines="100" w:before="240" w:afterLines="100" w:after="240" w:line="360" w:lineRule="auto"/>
        <w:jc w:val="both"/>
        <w:rPr>
          <w:rFonts w:ascii="Cambria" w:hAnsi="Cambria"/>
          <w:b/>
          <w:u w:val="single"/>
        </w:rPr>
      </w:pPr>
      <w:r w:rsidRPr="003578DA">
        <w:rPr>
          <w:rFonts w:ascii="Cambria" w:hAnsi="Cambria"/>
          <w:b/>
          <w:u w:val="single"/>
        </w:rPr>
        <w:t>Automation through Supervisory Control and Data Acquisition (SCADA)</w:t>
      </w:r>
      <w:r>
        <w:rPr>
          <w:rFonts w:ascii="Cambria" w:hAnsi="Cambria"/>
          <w:b/>
          <w:u w:val="single"/>
        </w:rPr>
        <w:t>:</w:t>
      </w:r>
    </w:p>
    <w:p w14:paraId="6CF9C2CF" w14:textId="77777777" w:rsidR="00115C9C" w:rsidRDefault="00115C9C" w:rsidP="00115C9C">
      <w:pPr>
        <w:spacing w:beforeLines="100" w:before="240" w:afterLines="100" w:after="240" w:line="360" w:lineRule="auto"/>
        <w:jc w:val="both"/>
        <w:rPr>
          <w:rFonts w:ascii="Cambria" w:hAnsi="Cambria"/>
          <w:bCs/>
        </w:rPr>
      </w:pPr>
      <w:r w:rsidRPr="001B50F4">
        <w:rPr>
          <w:rFonts w:ascii="Cambria" w:hAnsi="Cambria"/>
          <w:bCs/>
        </w:rPr>
        <w:t xml:space="preserve">The Supervisory Control and Data Acquisition (SCADA) Control Centre </w:t>
      </w:r>
      <w:r>
        <w:rPr>
          <w:rFonts w:ascii="Cambria" w:hAnsi="Cambria"/>
          <w:bCs/>
        </w:rPr>
        <w:t xml:space="preserve">at Burla, Sambalpur </w:t>
      </w:r>
      <w:r w:rsidRPr="001B50F4">
        <w:rPr>
          <w:rFonts w:ascii="Cambria" w:hAnsi="Cambria"/>
          <w:bCs/>
        </w:rPr>
        <w:t>enables centralized monitoring and control of the 33 kV and 11 kV networks across TPWODL’s operational areas in Western Odisha. As of date, approximately 240 nos. of 33/11 kV Primary Substations (PSS) have been SCADA-enabled, out of which 22</w:t>
      </w:r>
      <w:r>
        <w:rPr>
          <w:rFonts w:ascii="Cambria" w:hAnsi="Cambria"/>
          <w:bCs/>
        </w:rPr>
        <w:t xml:space="preserve">6 </w:t>
      </w:r>
      <w:r w:rsidRPr="001B50F4">
        <w:rPr>
          <w:rFonts w:ascii="Cambria" w:hAnsi="Cambria"/>
          <w:bCs/>
        </w:rPr>
        <w:t>substations are continuously monitored and controlled from the Power System Control Centre (PSCC) on a 24x7 basis</w:t>
      </w:r>
      <w:r>
        <w:rPr>
          <w:rFonts w:ascii="Cambria" w:hAnsi="Cambria"/>
          <w:bCs/>
        </w:rPr>
        <w:t xml:space="preserve"> across the area of the Licensee</w:t>
      </w:r>
      <w:r w:rsidRPr="001B50F4">
        <w:rPr>
          <w:rFonts w:ascii="Cambria" w:hAnsi="Cambria"/>
          <w:bCs/>
        </w:rPr>
        <w:t>.</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917"/>
      </w:tblGrid>
      <w:tr w:rsidR="00115C9C" w:rsidRPr="002B1672" w14:paraId="1959BC96" w14:textId="77777777" w:rsidTr="00BF51B3">
        <w:trPr>
          <w:trHeight w:val="221"/>
          <w:jc w:val="center"/>
        </w:trPr>
        <w:tc>
          <w:tcPr>
            <w:tcW w:w="1465" w:type="dxa"/>
            <w:noWrap/>
            <w:vAlign w:val="center"/>
            <w:hideMark/>
          </w:tcPr>
          <w:p w14:paraId="44B37AD5" w14:textId="77777777" w:rsidR="00115C9C" w:rsidRPr="002B1672" w:rsidRDefault="00115C9C" w:rsidP="000F221E">
            <w:pPr>
              <w:jc w:val="center"/>
              <w:rPr>
                <w:rFonts w:asciiTheme="majorHAnsi" w:hAnsiTheme="majorHAnsi"/>
                <w:b/>
                <w:bCs/>
                <w:color w:val="000000"/>
                <w:sz w:val="22"/>
                <w:szCs w:val="22"/>
              </w:rPr>
            </w:pPr>
            <w:r w:rsidRPr="002B1672">
              <w:rPr>
                <w:rFonts w:asciiTheme="majorHAnsi" w:hAnsiTheme="majorHAnsi"/>
                <w:b/>
                <w:bCs/>
                <w:color w:val="000000"/>
                <w:sz w:val="22"/>
                <w:szCs w:val="22"/>
              </w:rPr>
              <w:t>Year</w:t>
            </w:r>
          </w:p>
        </w:tc>
        <w:tc>
          <w:tcPr>
            <w:tcW w:w="3917" w:type="dxa"/>
            <w:noWrap/>
            <w:vAlign w:val="center"/>
            <w:hideMark/>
          </w:tcPr>
          <w:p w14:paraId="347C230F" w14:textId="77777777" w:rsidR="00115C9C" w:rsidRPr="002B1672" w:rsidRDefault="00115C9C" w:rsidP="000F221E">
            <w:pPr>
              <w:jc w:val="center"/>
              <w:rPr>
                <w:rFonts w:asciiTheme="majorHAnsi" w:hAnsiTheme="majorHAnsi"/>
                <w:b/>
                <w:bCs/>
                <w:color w:val="000000"/>
                <w:sz w:val="22"/>
                <w:szCs w:val="22"/>
              </w:rPr>
            </w:pPr>
            <w:r w:rsidRPr="002B1672">
              <w:rPr>
                <w:rFonts w:asciiTheme="majorHAnsi" w:hAnsiTheme="majorHAnsi"/>
                <w:b/>
                <w:bCs/>
                <w:color w:val="000000"/>
                <w:sz w:val="22"/>
                <w:szCs w:val="22"/>
              </w:rPr>
              <w:t>No. of PSS Monitored through SCADA</w:t>
            </w:r>
          </w:p>
        </w:tc>
      </w:tr>
      <w:tr w:rsidR="00115C9C" w:rsidRPr="002B1672" w14:paraId="413FB7B8" w14:textId="77777777" w:rsidTr="00BF51B3">
        <w:trPr>
          <w:trHeight w:val="214"/>
          <w:jc w:val="center"/>
        </w:trPr>
        <w:tc>
          <w:tcPr>
            <w:tcW w:w="1465" w:type="dxa"/>
            <w:noWrap/>
            <w:vAlign w:val="center"/>
            <w:hideMark/>
          </w:tcPr>
          <w:p w14:paraId="22A47A92" w14:textId="77777777" w:rsidR="00115C9C" w:rsidRPr="002B1672" w:rsidRDefault="00115C9C" w:rsidP="000F221E">
            <w:pPr>
              <w:jc w:val="center"/>
              <w:rPr>
                <w:rFonts w:asciiTheme="majorHAnsi" w:hAnsiTheme="majorHAnsi"/>
                <w:color w:val="000000"/>
                <w:sz w:val="22"/>
                <w:szCs w:val="22"/>
              </w:rPr>
            </w:pPr>
            <w:r w:rsidRPr="002B1672">
              <w:rPr>
                <w:rFonts w:asciiTheme="majorHAnsi" w:hAnsiTheme="majorHAnsi"/>
                <w:color w:val="000000"/>
                <w:sz w:val="22"/>
                <w:szCs w:val="22"/>
              </w:rPr>
              <w:t>FY 22-23</w:t>
            </w:r>
          </w:p>
        </w:tc>
        <w:tc>
          <w:tcPr>
            <w:tcW w:w="3917" w:type="dxa"/>
            <w:noWrap/>
            <w:vAlign w:val="center"/>
            <w:hideMark/>
          </w:tcPr>
          <w:p w14:paraId="1AFEEFBC" w14:textId="77777777" w:rsidR="00115C9C" w:rsidRPr="002B1672" w:rsidRDefault="00115C9C" w:rsidP="000F221E">
            <w:pPr>
              <w:jc w:val="center"/>
              <w:rPr>
                <w:rFonts w:asciiTheme="majorHAnsi" w:hAnsiTheme="majorHAnsi"/>
                <w:color w:val="000000"/>
                <w:sz w:val="22"/>
                <w:szCs w:val="22"/>
              </w:rPr>
            </w:pPr>
            <w:r w:rsidRPr="002B1672">
              <w:rPr>
                <w:rFonts w:asciiTheme="majorHAnsi" w:hAnsiTheme="majorHAnsi"/>
                <w:color w:val="000000"/>
                <w:sz w:val="22"/>
                <w:szCs w:val="22"/>
              </w:rPr>
              <w:t>115</w:t>
            </w:r>
          </w:p>
        </w:tc>
      </w:tr>
      <w:tr w:rsidR="00115C9C" w:rsidRPr="002B1672" w14:paraId="5AF516D9" w14:textId="77777777" w:rsidTr="00BF51B3">
        <w:trPr>
          <w:trHeight w:val="214"/>
          <w:jc w:val="center"/>
        </w:trPr>
        <w:tc>
          <w:tcPr>
            <w:tcW w:w="1465" w:type="dxa"/>
            <w:noWrap/>
            <w:vAlign w:val="center"/>
            <w:hideMark/>
          </w:tcPr>
          <w:p w14:paraId="4477DF11" w14:textId="77777777" w:rsidR="00115C9C" w:rsidRPr="002B1672" w:rsidRDefault="00115C9C" w:rsidP="000F221E">
            <w:pPr>
              <w:jc w:val="center"/>
              <w:rPr>
                <w:rFonts w:asciiTheme="majorHAnsi" w:hAnsiTheme="majorHAnsi"/>
                <w:color w:val="000000"/>
                <w:sz w:val="22"/>
                <w:szCs w:val="22"/>
              </w:rPr>
            </w:pPr>
            <w:r w:rsidRPr="002B1672">
              <w:rPr>
                <w:rFonts w:asciiTheme="majorHAnsi" w:hAnsiTheme="majorHAnsi"/>
                <w:color w:val="000000"/>
                <w:sz w:val="22"/>
                <w:szCs w:val="22"/>
              </w:rPr>
              <w:t>FY 23-24</w:t>
            </w:r>
          </w:p>
        </w:tc>
        <w:tc>
          <w:tcPr>
            <w:tcW w:w="3917" w:type="dxa"/>
            <w:noWrap/>
            <w:vAlign w:val="center"/>
            <w:hideMark/>
          </w:tcPr>
          <w:p w14:paraId="45B5651E" w14:textId="77777777" w:rsidR="00115C9C" w:rsidRPr="002B1672" w:rsidRDefault="00115C9C" w:rsidP="000F221E">
            <w:pPr>
              <w:jc w:val="center"/>
              <w:rPr>
                <w:rFonts w:asciiTheme="majorHAnsi" w:hAnsiTheme="majorHAnsi"/>
                <w:color w:val="000000"/>
                <w:sz w:val="22"/>
                <w:szCs w:val="22"/>
              </w:rPr>
            </w:pPr>
            <w:r w:rsidRPr="002B1672">
              <w:rPr>
                <w:rFonts w:asciiTheme="majorHAnsi" w:hAnsiTheme="majorHAnsi"/>
                <w:color w:val="000000"/>
                <w:sz w:val="22"/>
                <w:szCs w:val="22"/>
              </w:rPr>
              <w:t>77</w:t>
            </w:r>
          </w:p>
        </w:tc>
      </w:tr>
      <w:tr w:rsidR="00115C9C" w:rsidRPr="002B1672" w14:paraId="3083E7C7" w14:textId="77777777" w:rsidTr="00BF51B3">
        <w:trPr>
          <w:trHeight w:val="214"/>
          <w:jc w:val="center"/>
        </w:trPr>
        <w:tc>
          <w:tcPr>
            <w:tcW w:w="1465" w:type="dxa"/>
            <w:noWrap/>
            <w:vAlign w:val="center"/>
            <w:hideMark/>
          </w:tcPr>
          <w:p w14:paraId="077A72B4" w14:textId="77777777" w:rsidR="00115C9C" w:rsidRPr="002B1672" w:rsidRDefault="00115C9C" w:rsidP="000F221E">
            <w:pPr>
              <w:jc w:val="center"/>
              <w:rPr>
                <w:rFonts w:asciiTheme="majorHAnsi" w:hAnsiTheme="majorHAnsi"/>
                <w:color w:val="000000"/>
                <w:sz w:val="22"/>
                <w:szCs w:val="22"/>
              </w:rPr>
            </w:pPr>
            <w:r w:rsidRPr="002B1672">
              <w:rPr>
                <w:rFonts w:asciiTheme="majorHAnsi" w:hAnsiTheme="majorHAnsi"/>
                <w:color w:val="000000"/>
                <w:sz w:val="22"/>
                <w:szCs w:val="22"/>
              </w:rPr>
              <w:t>FY 24-25</w:t>
            </w:r>
          </w:p>
        </w:tc>
        <w:tc>
          <w:tcPr>
            <w:tcW w:w="3917" w:type="dxa"/>
            <w:noWrap/>
            <w:vAlign w:val="center"/>
            <w:hideMark/>
          </w:tcPr>
          <w:p w14:paraId="7F8F1E21" w14:textId="77777777" w:rsidR="00115C9C" w:rsidRPr="002B1672" w:rsidRDefault="00115C9C" w:rsidP="000F221E">
            <w:pPr>
              <w:jc w:val="center"/>
              <w:rPr>
                <w:rFonts w:asciiTheme="majorHAnsi" w:hAnsiTheme="majorHAnsi"/>
                <w:color w:val="000000"/>
                <w:sz w:val="22"/>
                <w:szCs w:val="22"/>
              </w:rPr>
            </w:pPr>
            <w:r w:rsidRPr="002B1672">
              <w:rPr>
                <w:rFonts w:asciiTheme="majorHAnsi" w:hAnsiTheme="majorHAnsi"/>
                <w:color w:val="000000"/>
                <w:sz w:val="22"/>
                <w:szCs w:val="22"/>
              </w:rPr>
              <w:t>28</w:t>
            </w:r>
          </w:p>
        </w:tc>
      </w:tr>
      <w:tr w:rsidR="00115C9C" w:rsidRPr="002B1672" w14:paraId="6251509F" w14:textId="77777777" w:rsidTr="00BF51B3">
        <w:trPr>
          <w:trHeight w:val="221"/>
          <w:jc w:val="center"/>
        </w:trPr>
        <w:tc>
          <w:tcPr>
            <w:tcW w:w="1465" w:type="dxa"/>
            <w:noWrap/>
            <w:vAlign w:val="center"/>
            <w:hideMark/>
          </w:tcPr>
          <w:p w14:paraId="4F5F86A6" w14:textId="77777777" w:rsidR="00115C9C" w:rsidRPr="002B1672" w:rsidRDefault="00115C9C" w:rsidP="000F221E">
            <w:pPr>
              <w:jc w:val="center"/>
              <w:rPr>
                <w:rFonts w:asciiTheme="majorHAnsi" w:hAnsiTheme="majorHAnsi"/>
                <w:color w:val="000000"/>
                <w:sz w:val="22"/>
                <w:szCs w:val="22"/>
              </w:rPr>
            </w:pPr>
            <w:r w:rsidRPr="002B1672">
              <w:rPr>
                <w:rFonts w:asciiTheme="majorHAnsi" w:hAnsiTheme="majorHAnsi"/>
                <w:color w:val="000000"/>
                <w:sz w:val="22"/>
                <w:szCs w:val="22"/>
              </w:rPr>
              <w:t>H1 FY 25-26</w:t>
            </w:r>
          </w:p>
        </w:tc>
        <w:tc>
          <w:tcPr>
            <w:tcW w:w="3917" w:type="dxa"/>
            <w:noWrap/>
            <w:vAlign w:val="center"/>
            <w:hideMark/>
          </w:tcPr>
          <w:p w14:paraId="1EBD617A" w14:textId="77777777" w:rsidR="00115C9C" w:rsidRPr="002B1672" w:rsidRDefault="00115C9C" w:rsidP="000F221E">
            <w:pPr>
              <w:jc w:val="center"/>
              <w:rPr>
                <w:rFonts w:asciiTheme="majorHAnsi" w:hAnsiTheme="majorHAnsi"/>
                <w:color w:val="000000"/>
                <w:sz w:val="22"/>
                <w:szCs w:val="22"/>
              </w:rPr>
            </w:pPr>
            <w:r w:rsidRPr="002B1672">
              <w:rPr>
                <w:rFonts w:asciiTheme="majorHAnsi" w:hAnsiTheme="majorHAnsi"/>
                <w:color w:val="000000"/>
                <w:sz w:val="22"/>
                <w:szCs w:val="22"/>
              </w:rPr>
              <w:t>6</w:t>
            </w:r>
          </w:p>
        </w:tc>
      </w:tr>
      <w:tr w:rsidR="00115C9C" w:rsidRPr="002B1672" w14:paraId="2F125811" w14:textId="77777777" w:rsidTr="00BF51B3">
        <w:trPr>
          <w:trHeight w:val="221"/>
          <w:jc w:val="center"/>
        </w:trPr>
        <w:tc>
          <w:tcPr>
            <w:tcW w:w="1465" w:type="dxa"/>
            <w:noWrap/>
            <w:vAlign w:val="center"/>
            <w:hideMark/>
          </w:tcPr>
          <w:p w14:paraId="648ED2A7" w14:textId="77777777" w:rsidR="00115C9C" w:rsidRPr="002B1672" w:rsidRDefault="00115C9C" w:rsidP="000F221E">
            <w:pPr>
              <w:jc w:val="center"/>
              <w:rPr>
                <w:rFonts w:asciiTheme="majorHAnsi" w:hAnsiTheme="majorHAnsi"/>
                <w:b/>
                <w:bCs/>
                <w:color w:val="000000"/>
                <w:sz w:val="22"/>
                <w:szCs w:val="22"/>
              </w:rPr>
            </w:pPr>
            <w:r w:rsidRPr="002B1672">
              <w:rPr>
                <w:rFonts w:asciiTheme="majorHAnsi" w:hAnsiTheme="majorHAnsi"/>
                <w:b/>
                <w:bCs/>
                <w:color w:val="000000"/>
                <w:sz w:val="22"/>
                <w:szCs w:val="22"/>
              </w:rPr>
              <w:t>TOTAL</w:t>
            </w:r>
          </w:p>
        </w:tc>
        <w:tc>
          <w:tcPr>
            <w:tcW w:w="3917" w:type="dxa"/>
            <w:noWrap/>
            <w:vAlign w:val="center"/>
            <w:hideMark/>
          </w:tcPr>
          <w:p w14:paraId="56344A47" w14:textId="77777777" w:rsidR="00115C9C" w:rsidRPr="002B1672" w:rsidRDefault="00115C9C" w:rsidP="000F221E">
            <w:pPr>
              <w:jc w:val="center"/>
              <w:rPr>
                <w:rFonts w:asciiTheme="majorHAnsi" w:hAnsiTheme="majorHAnsi"/>
                <w:b/>
                <w:bCs/>
                <w:color w:val="000000"/>
                <w:sz w:val="22"/>
                <w:szCs w:val="22"/>
              </w:rPr>
            </w:pPr>
            <w:r w:rsidRPr="002B1672">
              <w:rPr>
                <w:rFonts w:asciiTheme="majorHAnsi" w:hAnsiTheme="majorHAnsi"/>
                <w:b/>
                <w:bCs/>
                <w:color w:val="000000"/>
                <w:sz w:val="22"/>
                <w:szCs w:val="22"/>
              </w:rPr>
              <w:t>226</w:t>
            </w:r>
          </w:p>
        </w:tc>
      </w:tr>
    </w:tbl>
    <w:p w14:paraId="6DC94895" w14:textId="77777777" w:rsidR="00115C9C" w:rsidRPr="001B50F4" w:rsidRDefault="00115C9C" w:rsidP="00115C9C">
      <w:pPr>
        <w:spacing w:beforeLines="100" w:before="240" w:afterLines="100" w:after="240" w:line="360" w:lineRule="auto"/>
        <w:jc w:val="both"/>
        <w:rPr>
          <w:rFonts w:ascii="Cambria" w:hAnsi="Cambria"/>
          <w:bCs/>
        </w:rPr>
      </w:pPr>
      <w:r w:rsidRPr="00F421FF">
        <w:rPr>
          <w:rFonts w:ascii="Cambria" w:hAnsi="Cambria"/>
          <w:bCs/>
        </w:rPr>
        <w:t>The SCADA Control Centre has improved TPWODL’s network reliability and efficiency by enabling real-time monitoring and remote control of 33 kV and 11 kV substations. It ensures faster fault detection and restoration, better load and voltage management, reduced outages, and enhanced safety. Overall, it strengthens operational efficiency and improves consumer service quality across TPWODL’s area.</w:t>
      </w:r>
    </w:p>
    <w:p w14:paraId="5DF2761C" w14:textId="77777777" w:rsidR="00115C9C" w:rsidRDefault="00115C9C" w:rsidP="00115C9C">
      <w:pPr>
        <w:spacing w:beforeLines="100" w:before="240" w:afterLines="100" w:after="240" w:line="360" w:lineRule="auto"/>
        <w:jc w:val="both"/>
        <w:rPr>
          <w:rFonts w:ascii="Cambria" w:hAnsi="Cambria"/>
          <w:bCs/>
        </w:rPr>
      </w:pPr>
      <w:r>
        <w:rPr>
          <w:rFonts w:ascii="Cambria" w:hAnsi="Cambria"/>
          <w:bCs/>
        </w:rPr>
        <w:t>Furthermore, i</w:t>
      </w:r>
      <w:r w:rsidRPr="00E92F81">
        <w:rPr>
          <w:rFonts w:ascii="Cambria" w:hAnsi="Cambria"/>
          <w:bCs/>
        </w:rPr>
        <w:t>n alignment with the Smart Grid initiative, the Advanced Distribution Management System (ADMS) software has been implemented on a pilot basis in the Rourkela (RSED) and Sambalpur (SED) Divisions. A full-scale rollout of ADMS across all divisions is planned by the end of FY 2026–27. Once fully integrated, the SCADA–ADMS platform will establish a new benchmark in reliable and intelligent power distribution by providing advanced network visibility, predictive analytics, and operational resilience.</w:t>
      </w:r>
    </w:p>
    <w:p w14:paraId="39AA0549" w14:textId="77777777" w:rsidR="00115C9C" w:rsidRPr="00CC55B7" w:rsidRDefault="00115C9C" w:rsidP="00115C9C">
      <w:pPr>
        <w:spacing w:beforeLines="100" w:before="240" w:afterLines="100" w:after="240" w:line="360" w:lineRule="auto"/>
        <w:jc w:val="both"/>
        <w:rPr>
          <w:rFonts w:ascii="Cambria" w:hAnsi="Cambria"/>
        </w:rPr>
      </w:pPr>
      <w:r w:rsidRPr="000A13AE">
        <w:rPr>
          <w:rFonts w:ascii="Cambria" w:hAnsi="Cambria"/>
          <w:bCs/>
        </w:rPr>
        <w:t>To sustain the reliability of these automated substations, adequate spare materials are essential. Maintaining an inventory of critical spare parts ensures quick replacement of any faulty or damaged equipment, minimizing outage duration and enabling remote restoration through SCADA operations</w:t>
      </w:r>
      <w:r>
        <w:rPr>
          <w:rFonts w:ascii="Cambria" w:hAnsi="Cambria"/>
          <w:bCs/>
        </w:rPr>
        <w:t xml:space="preserve">. </w:t>
      </w:r>
      <w:r w:rsidRPr="00CC55B7">
        <w:t xml:space="preserve">Budget required for </w:t>
      </w:r>
      <w:proofErr w:type="spellStart"/>
      <w:r w:rsidRPr="00CC55B7">
        <w:t>Opex</w:t>
      </w:r>
      <w:proofErr w:type="spellEnd"/>
      <w:r w:rsidRPr="00CC55B7">
        <w:t xml:space="preserve"> in FY 27:</w:t>
      </w:r>
    </w:p>
    <w:tbl>
      <w:tblPr>
        <w:tblW w:w="5524" w:type="dxa"/>
        <w:jc w:val="center"/>
        <w:tblLook w:val="04A0" w:firstRow="1" w:lastRow="0" w:firstColumn="1" w:lastColumn="0" w:noHBand="0" w:noVBand="1"/>
      </w:tblPr>
      <w:tblGrid>
        <w:gridCol w:w="3397"/>
        <w:gridCol w:w="2127"/>
      </w:tblGrid>
      <w:tr w:rsidR="00115C9C" w:rsidRPr="00146567" w14:paraId="6A4C2F77" w14:textId="77777777" w:rsidTr="000F221E">
        <w:trPr>
          <w:trHeight w:val="201"/>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997B0" w14:textId="77777777" w:rsidR="00115C9C" w:rsidRPr="00146567" w:rsidRDefault="00115C9C" w:rsidP="000F221E">
            <w:pPr>
              <w:rPr>
                <w:rFonts w:asciiTheme="majorHAnsi" w:hAnsiTheme="majorHAnsi" w:cs="Arial"/>
                <w:b/>
                <w:bCs/>
                <w:sz w:val="22"/>
                <w:szCs w:val="22"/>
              </w:rPr>
            </w:pPr>
            <w:r w:rsidRPr="00146567">
              <w:rPr>
                <w:rFonts w:asciiTheme="majorHAnsi" w:hAnsiTheme="majorHAnsi" w:cs="Arial"/>
                <w:b/>
                <w:bCs/>
                <w:sz w:val="22"/>
                <w:szCs w:val="22"/>
              </w:rPr>
              <w:t>Description</w:t>
            </w:r>
          </w:p>
        </w:tc>
        <w:tc>
          <w:tcPr>
            <w:tcW w:w="2127" w:type="dxa"/>
            <w:tcBorders>
              <w:top w:val="single" w:sz="4" w:space="0" w:color="auto"/>
              <w:left w:val="nil"/>
              <w:bottom w:val="single" w:sz="4" w:space="0" w:color="auto"/>
              <w:right w:val="single" w:sz="4" w:space="0" w:color="auto"/>
            </w:tcBorders>
            <w:noWrap/>
            <w:hideMark/>
          </w:tcPr>
          <w:p w14:paraId="015D106F" w14:textId="77777777" w:rsidR="00115C9C" w:rsidRPr="00146567" w:rsidRDefault="00115C9C" w:rsidP="000F221E">
            <w:pPr>
              <w:rPr>
                <w:rFonts w:asciiTheme="majorHAnsi" w:hAnsiTheme="majorHAnsi" w:cs="Arial"/>
                <w:b/>
                <w:bCs/>
                <w:sz w:val="22"/>
                <w:szCs w:val="22"/>
              </w:rPr>
            </w:pPr>
            <w:r w:rsidRPr="00146567">
              <w:rPr>
                <w:rFonts w:asciiTheme="majorHAnsi" w:hAnsiTheme="majorHAnsi" w:cs="Arial"/>
                <w:b/>
                <w:bCs/>
                <w:sz w:val="22"/>
                <w:szCs w:val="22"/>
              </w:rPr>
              <w:t>Amount (in Cr.)</w:t>
            </w:r>
          </w:p>
        </w:tc>
      </w:tr>
      <w:tr w:rsidR="00115C9C" w:rsidRPr="00146567" w14:paraId="565556F9" w14:textId="77777777" w:rsidTr="000F221E">
        <w:trPr>
          <w:trHeight w:val="194"/>
          <w:jc w:val="center"/>
        </w:trPr>
        <w:tc>
          <w:tcPr>
            <w:tcW w:w="3397" w:type="dxa"/>
            <w:tcBorders>
              <w:top w:val="nil"/>
              <w:left w:val="single" w:sz="4" w:space="0" w:color="auto"/>
              <w:bottom w:val="single" w:sz="4" w:space="0" w:color="auto"/>
              <w:right w:val="single" w:sz="4" w:space="0" w:color="auto"/>
            </w:tcBorders>
            <w:noWrap/>
            <w:hideMark/>
          </w:tcPr>
          <w:p w14:paraId="07C5CA77" w14:textId="77777777" w:rsidR="00115C9C" w:rsidRPr="00146567" w:rsidRDefault="00115C9C" w:rsidP="000F221E">
            <w:pPr>
              <w:rPr>
                <w:rFonts w:asciiTheme="majorHAnsi" w:hAnsiTheme="majorHAnsi" w:cs="Arial"/>
                <w:sz w:val="22"/>
                <w:szCs w:val="22"/>
              </w:rPr>
            </w:pPr>
            <w:r w:rsidRPr="00146567">
              <w:rPr>
                <w:rFonts w:asciiTheme="majorHAnsi" w:hAnsiTheme="majorHAnsi" w:cs="Arial"/>
                <w:sz w:val="22"/>
                <w:szCs w:val="22"/>
              </w:rPr>
              <w:t>SCADA-ADMS Spare Material</w:t>
            </w:r>
          </w:p>
        </w:tc>
        <w:tc>
          <w:tcPr>
            <w:tcW w:w="2127" w:type="dxa"/>
            <w:tcBorders>
              <w:top w:val="nil"/>
              <w:left w:val="nil"/>
              <w:bottom w:val="single" w:sz="4" w:space="0" w:color="auto"/>
              <w:right w:val="single" w:sz="4" w:space="0" w:color="auto"/>
            </w:tcBorders>
            <w:noWrap/>
            <w:hideMark/>
          </w:tcPr>
          <w:p w14:paraId="49F4FB31" w14:textId="77777777" w:rsidR="00115C9C" w:rsidRPr="00146567" w:rsidRDefault="00115C9C" w:rsidP="000F221E">
            <w:pPr>
              <w:jc w:val="right"/>
              <w:rPr>
                <w:rFonts w:asciiTheme="majorHAnsi" w:hAnsiTheme="majorHAnsi" w:cs="Arial"/>
                <w:sz w:val="22"/>
                <w:szCs w:val="22"/>
              </w:rPr>
            </w:pPr>
            <w:r w:rsidRPr="00146567">
              <w:rPr>
                <w:rFonts w:asciiTheme="majorHAnsi" w:hAnsiTheme="majorHAnsi" w:cs="Arial"/>
                <w:sz w:val="22"/>
                <w:szCs w:val="22"/>
              </w:rPr>
              <w:t>0.90</w:t>
            </w:r>
          </w:p>
        </w:tc>
      </w:tr>
      <w:tr w:rsidR="00115C9C" w:rsidRPr="00146567" w14:paraId="670FD4A5" w14:textId="77777777" w:rsidTr="000F221E">
        <w:trPr>
          <w:trHeight w:val="201"/>
          <w:jc w:val="center"/>
        </w:trPr>
        <w:tc>
          <w:tcPr>
            <w:tcW w:w="3397" w:type="dxa"/>
            <w:tcBorders>
              <w:top w:val="nil"/>
              <w:left w:val="single" w:sz="4" w:space="0" w:color="auto"/>
              <w:bottom w:val="single" w:sz="4" w:space="0" w:color="auto"/>
              <w:right w:val="single" w:sz="4" w:space="0" w:color="auto"/>
            </w:tcBorders>
            <w:noWrap/>
            <w:hideMark/>
          </w:tcPr>
          <w:p w14:paraId="22F675EF" w14:textId="77777777" w:rsidR="00115C9C" w:rsidRPr="00146567" w:rsidRDefault="00115C9C" w:rsidP="000F221E">
            <w:pPr>
              <w:rPr>
                <w:rFonts w:asciiTheme="majorHAnsi" w:hAnsiTheme="majorHAnsi" w:cs="Arial"/>
                <w:b/>
                <w:bCs/>
                <w:sz w:val="22"/>
                <w:szCs w:val="22"/>
              </w:rPr>
            </w:pPr>
            <w:r w:rsidRPr="00146567">
              <w:rPr>
                <w:rFonts w:asciiTheme="majorHAnsi" w:hAnsiTheme="majorHAnsi" w:cs="Arial"/>
                <w:b/>
                <w:bCs/>
                <w:sz w:val="22"/>
                <w:szCs w:val="22"/>
              </w:rPr>
              <w:t>TOTAL</w:t>
            </w:r>
          </w:p>
        </w:tc>
        <w:tc>
          <w:tcPr>
            <w:tcW w:w="2127" w:type="dxa"/>
            <w:tcBorders>
              <w:top w:val="nil"/>
              <w:left w:val="nil"/>
              <w:bottom w:val="single" w:sz="4" w:space="0" w:color="auto"/>
              <w:right w:val="single" w:sz="4" w:space="0" w:color="auto"/>
            </w:tcBorders>
            <w:noWrap/>
            <w:hideMark/>
          </w:tcPr>
          <w:p w14:paraId="641725BE" w14:textId="77777777" w:rsidR="00115C9C" w:rsidRPr="00146567" w:rsidRDefault="00115C9C" w:rsidP="000F221E">
            <w:pPr>
              <w:jc w:val="right"/>
              <w:rPr>
                <w:rFonts w:asciiTheme="majorHAnsi" w:hAnsiTheme="majorHAnsi" w:cs="Arial"/>
                <w:b/>
                <w:bCs/>
                <w:sz w:val="22"/>
                <w:szCs w:val="22"/>
              </w:rPr>
            </w:pPr>
            <w:r w:rsidRPr="00146567">
              <w:rPr>
                <w:rFonts w:asciiTheme="majorHAnsi" w:hAnsiTheme="majorHAnsi" w:cs="Arial"/>
                <w:b/>
                <w:bCs/>
                <w:sz w:val="22"/>
                <w:szCs w:val="22"/>
              </w:rPr>
              <w:t>0.90</w:t>
            </w:r>
          </w:p>
        </w:tc>
      </w:tr>
    </w:tbl>
    <w:p w14:paraId="655DA9FC" w14:textId="77777777" w:rsidR="00115C9C" w:rsidRDefault="00115C9C" w:rsidP="00115C9C">
      <w:pPr>
        <w:spacing w:beforeLines="100" w:before="240" w:afterLines="100" w:after="240" w:line="360" w:lineRule="auto"/>
        <w:jc w:val="both"/>
        <w:rPr>
          <w:rFonts w:ascii="Cambria" w:hAnsi="Cambria"/>
          <w:b/>
          <w:u w:val="single"/>
        </w:rPr>
      </w:pPr>
      <w:r w:rsidRPr="008003C8">
        <w:rPr>
          <w:rFonts w:ascii="Cambria" w:hAnsi="Cambria"/>
          <w:b/>
          <w:u w:val="single"/>
        </w:rPr>
        <w:t>Consumer and Asset Mapping using Geographical Information System (GIS)</w:t>
      </w:r>
      <w:r>
        <w:rPr>
          <w:rFonts w:ascii="Cambria" w:hAnsi="Cambria"/>
          <w:b/>
          <w:u w:val="single"/>
        </w:rPr>
        <w:t xml:space="preserve">: </w:t>
      </w:r>
    </w:p>
    <w:p w14:paraId="554F25E7" w14:textId="77777777" w:rsidR="00115C9C" w:rsidRPr="00DE77AC" w:rsidRDefault="00115C9C" w:rsidP="00115C9C">
      <w:pPr>
        <w:spacing w:beforeLines="100" w:before="240" w:afterLines="100" w:after="240" w:line="360" w:lineRule="auto"/>
        <w:jc w:val="both"/>
        <w:rPr>
          <w:rFonts w:asciiTheme="majorHAnsi" w:hAnsiTheme="majorHAnsi"/>
        </w:rPr>
      </w:pPr>
      <w:r w:rsidRPr="00DE77AC">
        <w:rPr>
          <w:rFonts w:asciiTheme="majorHAnsi" w:hAnsiTheme="majorHAnsi"/>
        </w:rPr>
        <w:t>TPWODL has successfully completed the Geographical Information System (GIS) project across all five operational circles, covering the comprehensive mapping of Extra High Tension (EHT) and High Tension (HT) consumers throughout the license area. The implementation of the E-GIS platform has enabled improved asset visibility, network planning, outage localization, and performance optimization, thus supporting data-driven decision-making such as identifying overloaded feeders and transformers, prioritizing network augmentation, planning preventive maintenance, analyzing consumer connectivity for loss reduction, and optimizing field crew deployment during faults or outages. This has significantly strengthened operational governance, efficiency, and consumer service reliability across TPWODL’s network.</w:t>
      </w:r>
    </w:p>
    <w:p w14:paraId="651B71F9" w14:textId="4FF3E9C6" w:rsidR="00A7398C" w:rsidRPr="00DE77AC" w:rsidRDefault="00115C9C" w:rsidP="00115C9C">
      <w:pPr>
        <w:spacing w:beforeLines="100" w:before="240" w:afterLines="100" w:after="240" w:line="360" w:lineRule="auto"/>
        <w:jc w:val="both"/>
        <w:rPr>
          <w:rFonts w:asciiTheme="majorHAnsi" w:hAnsiTheme="majorHAnsi"/>
        </w:rPr>
      </w:pPr>
      <w:r w:rsidRPr="00DE77AC">
        <w:rPr>
          <w:rFonts w:asciiTheme="majorHAnsi" w:hAnsiTheme="majorHAnsi"/>
        </w:rPr>
        <w:t>With a consumer base of over 21 lakh, accurate mapping of every consumer meter in a single survey posed a considerable challenge. To enhance data accuracy and completeness, repetitive field surveys were conducted by dedicated field coordinators to validate and update meter and network data. This iterative approach has substantially improved mapping precision, ensuring better alignment of consumer and asset data within the GIS platform. The following table illustrates the progressive increase in consumer mapping, including newly connected New Service Connection (NSC) consumers, demonstrating TPWODL’s commitment to maintaining an accurate and up-to-date digital network database.</w:t>
      </w:r>
    </w:p>
    <w:tbl>
      <w:tblPr>
        <w:tblW w:w="8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1045"/>
        <w:gridCol w:w="1502"/>
        <w:gridCol w:w="1502"/>
        <w:gridCol w:w="1685"/>
      </w:tblGrid>
      <w:tr w:rsidR="00115C9C" w:rsidRPr="003F16D8" w14:paraId="30F483F8" w14:textId="77777777" w:rsidTr="00DE77AC">
        <w:trPr>
          <w:trHeight w:val="416"/>
          <w:jc w:val="center"/>
        </w:trPr>
        <w:tc>
          <w:tcPr>
            <w:tcW w:w="2689" w:type="dxa"/>
            <w:tcMar>
              <w:top w:w="0" w:type="dxa"/>
              <w:left w:w="108" w:type="dxa"/>
              <w:bottom w:w="0" w:type="dxa"/>
              <w:right w:w="108" w:type="dxa"/>
            </w:tcMar>
            <w:vAlign w:val="center"/>
            <w:hideMark/>
          </w:tcPr>
          <w:p w14:paraId="0ADD93C8" w14:textId="77777777" w:rsidR="00115C9C" w:rsidRPr="003F16D8" w:rsidRDefault="00115C9C" w:rsidP="00DE77AC">
            <w:pPr>
              <w:spacing w:line="240" w:lineRule="atLeast"/>
              <w:jc w:val="center"/>
              <w:rPr>
                <w:rFonts w:asciiTheme="majorHAnsi" w:eastAsiaTheme="minorHAnsi" w:hAnsiTheme="majorHAnsi"/>
                <w:b/>
                <w:bCs/>
                <w:color w:val="000000"/>
                <w:sz w:val="22"/>
                <w:szCs w:val="22"/>
              </w:rPr>
            </w:pPr>
            <w:r w:rsidRPr="003F16D8">
              <w:rPr>
                <w:rFonts w:asciiTheme="majorHAnsi" w:hAnsiTheme="majorHAnsi"/>
                <w:b/>
                <w:bCs/>
                <w:color w:val="000000"/>
                <w:sz w:val="22"/>
                <w:szCs w:val="22"/>
              </w:rPr>
              <w:t>Status</w:t>
            </w:r>
          </w:p>
        </w:tc>
        <w:tc>
          <w:tcPr>
            <w:tcW w:w="1045" w:type="dxa"/>
            <w:tcMar>
              <w:top w:w="0" w:type="dxa"/>
              <w:left w:w="108" w:type="dxa"/>
              <w:bottom w:w="0" w:type="dxa"/>
              <w:right w:w="108" w:type="dxa"/>
            </w:tcMar>
            <w:vAlign w:val="center"/>
            <w:hideMark/>
          </w:tcPr>
          <w:p w14:paraId="717B1FA4" w14:textId="77777777" w:rsidR="00115C9C" w:rsidRPr="003F16D8" w:rsidRDefault="00115C9C" w:rsidP="00DE77AC">
            <w:pPr>
              <w:spacing w:line="240" w:lineRule="atLeast"/>
              <w:jc w:val="center"/>
              <w:rPr>
                <w:rFonts w:asciiTheme="majorHAnsi" w:hAnsiTheme="majorHAnsi"/>
                <w:b/>
                <w:bCs/>
                <w:color w:val="000000"/>
                <w:sz w:val="22"/>
                <w:szCs w:val="22"/>
              </w:rPr>
            </w:pPr>
            <w:r w:rsidRPr="003F16D8">
              <w:rPr>
                <w:rFonts w:asciiTheme="majorHAnsi" w:hAnsiTheme="majorHAnsi"/>
                <w:b/>
                <w:bCs/>
                <w:color w:val="000000"/>
                <w:sz w:val="22"/>
                <w:szCs w:val="22"/>
              </w:rPr>
              <w:t>FY23</w:t>
            </w:r>
          </w:p>
        </w:tc>
        <w:tc>
          <w:tcPr>
            <w:tcW w:w="1502" w:type="dxa"/>
            <w:noWrap/>
            <w:tcMar>
              <w:top w:w="0" w:type="dxa"/>
              <w:left w:w="108" w:type="dxa"/>
              <w:bottom w:w="0" w:type="dxa"/>
              <w:right w:w="108" w:type="dxa"/>
            </w:tcMar>
            <w:vAlign w:val="center"/>
            <w:hideMark/>
          </w:tcPr>
          <w:p w14:paraId="1B79DB6E" w14:textId="77777777" w:rsidR="00115C9C" w:rsidRPr="003F16D8" w:rsidRDefault="00115C9C" w:rsidP="00DE77AC">
            <w:pPr>
              <w:spacing w:line="240" w:lineRule="atLeast"/>
              <w:jc w:val="center"/>
              <w:rPr>
                <w:rFonts w:asciiTheme="majorHAnsi" w:hAnsiTheme="majorHAnsi"/>
                <w:b/>
                <w:bCs/>
                <w:color w:val="000000"/>
                <w:sz w:val="22"/>
                <w:szCs w:val="22"/>
              </w:rPr>
            </w:pPr>
            <w:r w:rsidRPr="003F16D8">
              <w:rPr>
                <w:rFonts w:asciiTheme="majorHAnsi" w:hAnsiTheme="majorHAnsi"/>
                <w:b/>
                <w:bCs/>
                <w:color w:val="000000"/>
                <w:sz w:val="22"/>
                <w:szCs w:val="22"/>
              </w:rPr>
              <w:t>FY24</w:t>
            </w:r>
          </w:p>
        </w:tc>
        <w:tc>
          <w:tcPr>
            <w:tcW w:w="1502" w:type="dxa"/>
            <w:noWrap/>
            <w:tcMar>
              <w:top w:w="0" w:type="dxa"/>
              <w:left w:w="108" w:type="dxa"/>
              <w:bottom w:w="0" w:type="dxa"/>
              <w:right w:w="108" w:type="dxa"/>
            </w:tcMar>
            <w:vAlign w:val="center"/>
            <w:hideMark/>
          </w:tcPr>
          <w:p w14:paraId="2CE3C063" w14:textId="77777777" w:rsidR="00115C9C" w:rsidRPr="003F16D8" w:rsidRDefault="00115C9C" w:rsidP="00DE77AC">
            <w:pPr>
              <w:spacing w:line="240" w:lineRule="atLeast"/>
              <w:jc w:val="center"/>
              <w:rPr>
                <w:rFonts w:asciiTheme="majorHAnsi" w:hAnsiTheme="majorHAnsi"/>
                <w:b/>
                <w:bCs/>
                <w:color w:val="000000"/>
                <w:sz w:val="22"/>
                <w:szCs w:val="22"/>
              </w:rPr>
            </w:pPr>
            <w:r w:rsidRPr="003F16D8">
              <w:rPr>
                <w:rFonts w:asciiTheme="majorHAnsi" w:hAnsiTheme="majorHAnsi"/>
                <w:b/>
                <w:bCs/>
                <w:color w:val="000000"/>
                <w:sz w:val="22"/>
                <w:szCs w:val="22"/>
              </w:rPr>
              <w:t>FY25</w:t>
            </w:r>
          </w:p>
        </w:tc>
        <w:tc>
          <w:tcPr>
            <w:tcW w:w="1685" w:type="dxa"/>
            <w:noWrap/>
            <w:tcMar>
              <w:top w:w="0" w:type="dxa"/>
              <w:left w:w="108" w:type="dxa"/>
              <w:bottom w:w="0" w:type="dxa"/>
              <w:right w:w="108" w:type="dxa"/>
            </w:tcMar>
            <w:vAlign w:val="center"/>
            <w:hideMark/>
          </w:tcPr>
          <w:p w14:paraId="38585CFF" w14:textId="77777777" w:rsidR="00115C9C" w:rsidRPr="003F16D8" w:rsidRDefault="00115C9C" w:rsidP="00DE77AC">
            <w:pPr>
              <w:spacing w:line="240" w:lineRule="atLeast"/>
              <w:jc w:val="center"/>
              <w:rPr>
                <w:rFonts w:asciiTheme="majorHAnsi" w:hAnsiTheme="majorHAnsi"/>
                <w:b/>
                <w:bCs/>
                <w:color w:val="000000"/>
                <w:sz w:val="22"/>
                <w:szCs w:val="22"/>
              </w:rPr>
            </w:pPr>
            <w:r w:rsidRPr="003F16D8">
              <w:rPr>
                <w:rFonts w:asciiTheme="majorHAnsi" w:hAnsiTheme="majorHAnsi"/>
                <w:b/>
                <w:bCs/>
                <w:color w:val="000000"/>
                <w:sz w:val="22"/>
                <w:szCs w:val="22"/>
              </w:rPr>
              <w:t>FY26(H1)</w:t>
            </w:r>
          </w:p>
        </w:tc>
      </w:tr>
      <w:tr w:rsidR="00115C9C" w:rsidRPr="003F16D8" w14:paraId="10535F9C" w14:textId="77777777" w:rsidTr="00A7398C">
        <w:trPr>
          <w:trHeight w:val="70"/>
          <w:jc w:val="center"/>
        </w:trPr>
        <w:tc>
          <w:tcPr>
            <w:tcW w:w="2689" w:type="dxa"/>
            <w:tcMar>
              <w:top w:w="0" w:type="dxa"/>
              <w:left w:w="108" w:type="dxa"/>
              <w:bottom w:w="0" w:type="dxa"/>
              <w:right w:w="108" w:type="dxa"/>
            </w:tcMar>
            <w:vAlign w:val="center"/>
            <w:hideMark/>
          </w:tcPr>
          <w:p w14:paraId="2F779910" w14:textId="77777777" w:rsidR="00115C9C" w:rsidRPr="003F16D8" w:rsidRDefault="00115C9C" w:rsidP="000F221E">
            <w:pPr>
              <w:spacing w:line="240" w:lineRule="atLeast"/>
              <w:jc w:val="center"/>
              <w:rPr>
                <w:rFonts w:asciiTheme="majorHAnsi" w:hAnsiTheme="majorHAnsi"/>
                <w:color w:val="000000"/>
                <w:sz w:val="22"/>
                <w:szCs w:val="22"/>
              </w:rPr>
            </w:pPr>
            <w:r w:rsidRPr="003F16D8">
              <w:rPr>
                <w:rFonts w:asciiTheme="majorHAnsi" w:hAnsiTheme="majorHAnsi"/>
                <w:color w:val="000000"/>
                <w:sz w:val="22"/>
                <w:szCs w:val="22"/>
              </w:rPr>
              <w:t>GIS Consumer Indexing</w:t>
            </w:r>
          </w:p>
        </w:tc>
        <w:tc>
          <w:tcPr>
            <w:tcW w:w="1045" w:type="dxa"/>
            <w:noWrap/>
            <w:tcMar>
              <w:top w:w="0" w:type="dxa"/>
              <w:left w:w="108" w:type="dxa"/>
              <w:bottom w:w="0" w:type="dxa"/>
              <w:right w:w="108" w:type="dxa"/>
            </w:tcMar>
            <w:vAlign w:val="center"/>
            <w:hideMark/>
          </w:tcPr>
          <w:p w14:paraId="1A37B7BB" w14:textId="77777777" w:rsidR="00115C9C" w:rsidRPr="003F16D8" w:rsidRDefault="00115C9C" w:rsidP="000F221E">
            <w:pPr>
              <w:spacing w:line="240" w:lineRule="atLeast"/>
              <w:jc w:val="center"/>
              <w:rPr>
                <w:rFonts w:asciiTheme="majorHAnsi" w:hAnsiTheme="majorHAnsi"/>
                <w:color w:val="000000"/>
                <w:sz w:val="22"/>
                <w:szCs w:val="22"/>
              </w:rPr>
            </w:pPr>
            <w:r w:rsidRPr="003F16D8">
              <w:rPr>
                <w:rFonts w:asciiTheme="majorHAnsi" w:hAnsiTheme="majorHAnsi"/>
                <w:color w:val="000000"/>
                <w:sz w:val="22"/>
                <w:szCs w:val="22"/>
              </w:rPr>
              <w:t>875326</w:t>
            </w:r>
          </w:p>
        </w:tc>
        <w:tc>
          <w:tcPr>
            <w:tcW w:w="1502" w:type="dxa"/>
            <w:noWrap/>
            <w:tcMar>
              <w:top w:w="0" w:type="dxa"/>
              <w:left w:w="108" w:type="dxa"/>
              <w:bottom w:w="0" w:type="dxa"/>
              <w:right w:w="108" w:type="dxa"/>
            </w:tcMar>
            <w:vAlign w:val="center"/>
            <w:hideMark/>
          </w:tcPr>
          <w:p w14:paraId="66904E42" w14:textId="77777777" w:rsidR="00115C9C" w:rsidRPr="003F16D8" w:rsidRDefault="00115C9C" w:rsidP="000F221E">
            <w:pPr>
              <w:spacing w:line="240" w:lineRule="atLeast"/>
              <w:jc w:val="center"/>
              <w:rPr>
                <w:rFonts w:asciiTheme="majorHAnsi" w:hAnsiTheme="majorHAnsi"/>
                <w:color w:val="000000"/>
                <w:sz w:val="22"/>
                <w:szCs w:val="22"/>
              </w:rPr>
            </w:pPr>
            <w:r w:rsidRPr="003F16D8">
              <w:rPr>
                <w:rFonts w:asciiTheme="majorHAnsi" w:hAnsiTheme="majorHAnsi"/>
                <w:color w:val="000000"/>
                <w:sz w:val="22"/>
                <w:szCs w:val="22"/>
              </w:rPr>
              <w:t>1608464</w:t>
            </w:r>
          </w:p>
        </w:tc>
        <w:tc>
          <w:tcPr>
            <w:tcW w:w="1502" w:type="dxa"/>
            <w:noWrap/>
            <w:tcMar>
              <w:top w:w="0" w:type="dxa"/>
              <w:left w:w="108" w:type="dxa"/>
              <w:bottom w:w="0" w:type="dxa"/>
              <w:right w:w="108" w:type="dxa"/>
            </w:tcMar>
            <w:vAlign w:val="center"/>
            <w:hideMark/>
          </w:tcPr>
          <w:p w14:paraId="49172533" w14:textId="77777777" w:rsidR="00115C9C" w:rsidRPr="003F16D8" w:rsidRDefault="00115C9C" w:rsidP="000F221E">
            <w:pPr>
              <w:spacing w:line="240" w:lineRule="atLeast"/>
              <w:jc w:val="center"/>
              <w:rPr>
                <w:rFonts w:asciiTheme="majorHAnsi" w:hAnsiTheme="majorHAnsi"/>
                <w:color w:val="000000"/>
                <w:sz w:val="22"/>
                <w:szCs w:val="22"/>
              </w:rPr>
            </w:pPr>
            <w:r w:rsidRPr="003F16D8">
              <w:rPr>
                <w:rFonts w:asciiTheme="majorHAnsi" w:hAnsiTheme="majorHAnsi"/>
                <w:color w:val="000000"/>
                <w:sz w:val="22"/>
                <w:szCs w:val="22"/>
              </w:rPr>
              <w:t>2130538</w:t>
            </w:r>
          </w:p>
        </w:tc>
        <w:tc>
          <w:tcPr>
            <w:tcW w:w="1685" w:type="dxa"/>
            <w:noWrap/>
            <w:tcMar>
              <w:top w:w="0" w:type="dxa"/>
              <w:left w:w="108" w:type="dxa"/>
              <w:bottom w:w="0" w:type="dxa"/>
              <w:right w:w="108" w:type="dxa"/>
            </w:tcMar>
            <w:vAlign w:val="center"/>
            <w:hideMark/>
          </w:tcPr>
          <w:p w14:paraId="17FAEC99" w14:textId="77777777" w:rsidR="00115C9C" w:rsidRPr="003F16D8" w:rsidRDefault="00115C9C" w:rsidP="000F221E">
            <w:pPr>
              <w:spacing w:line="240" w:lineRule="atLeast"/>
              <w:jc w:val="center"/>
              <w:rPr>
                <w:rFonts w:asciiTheme="majorHAnsi" w:hAnsiTheme="majorHAnsi"/>
                <w:color w:val="000000"/>
                <w:sz w:val="22"/>
                <w:szCs w:val="22"/>
              </w:rPr>
            </w:pPr>
            <w:r w:rsidRPr="003F16D8">
              <w:rPr>
                <w:rFonts w:asciiTheme="majorHAnsi" w:hAnsiTheme="majorHAnsi"/>
                <w:color w:val="000000"/>
                <w:sz w:val="22"/>
                <w:szCs w:val="22"/>
              </w:rPr>
              <w:t>2153600</w:t>
            </w:r>
          </w:p>
        </w:tc>
      </w:tr>
    </w:tbl>
    <w:p w14:paraId="698795B9" w14:textId="77777777" w:rsidR="00115C9C" w:rsidRPr="00A7398C" w:rsidRDefault="00115C9C" w:rsidP="00115C9C">
      <w:pPr>
        <w:spacing w:beforeLines="100" w:before="240" w:afterLines="100" w:after="240" w:line="360" w:lineRule="auto"/>
        <w:jc w:val="both"/>
        <w:rPr>
          <w:rFonts w:asciiTheme="majorHAnsi" w:hAnsiTheme="majorHAnsi"/>
        </w:rPr>
      </w:pPr>
      <w:r w:rsidRPr="00A7398C">
        <w:rPr>
          <w:rFonts w:asciiTheme="majorHAnsi" w:hAnsiTheme="majorHAnsi"/>
        </w:rPr>
        <w:t xml:space="preserve">As the project transitions into the sustenance phase, certain operational expenditures (OPEX) will be required to maintain data accuracy and system performance. This includes recurring costs as indicated table below for software licenses, printing consumables (paper rolls, inks, stickering), and other system maintenance requirements necessary to ensure GIS data remains current and reliable. Budget required for </w:t>
      </w:r>
      <w:proofErr w:type="spellStart"/>
      <w:r w:rsidRPr="00A7398C">
        <w:rPr>
          <w:rFonts w:asciiTheme="majorHAnsi" w:hAnsiTheme="majorHAnsi"/>
        </w:rPr>
        <w:t>Opex</w:t>
      </w:r>
      <w:proofErr w:type="spellEnd"/>
      <w:r w:rsidRPr="00A7398C">
        <w:rPr>
          <w:rFonts w:asciiTheme="majorHAnsi" w:hAnsiTheme="majorHAnsi"/>
        </w:rPr>
        <w:t xml:space="preserve"> in FY 27:</w:t>
      </w:r>
    </w:p>
    <w:tbl>
      <w:tblPr>
        <w:tblW w:w="6538" w:type="dxa"/>
        <w:jc w:val="center"/>
        <w:tblLook w:val="04A0" w:firstRow="1" w:lastRow="0" w:firstColumn="1" w:lastColumn="0" w:noHBand="0" w:noVBand="1"/>
      </w:tblPr>
      <w:tblGrid>
        <w:gridCol w:w="4005"/>
        <w:gridCol w:w="2533"/>
      </w:tblGrid>
      <w:tr w:rsidR="00115C9C" w:rsidRPr="00146567" w14:paraId="7190EB7D" w14:textId="77777777" w:rsidTr="000F221E">
        <w:trPr>
          <w:trHeight w:val="190"/>
          <w:jc w:val="center"/>
        </w:trPr>
        <w:tc>
          <w:tcPr>
            <w:tcW w:w="4005" w:type="dxa"/>
            <w:tcBorders>
              <w:top w:val="single" w:sz="4" w:space="0" w:color="auto"/>
              <w:left w:val="single" w:sz="4" w:space="0" w:color="auto"/>
              <w:bottom w:val="single" w:sz="4" w:space="0" w:color="auto"/>
              <w:right w:val="single" w:sz="4" w:space="0" w:color="auto"/>
            </w:tcBorders>
            <w:noWrap/>
            <w:hideMark/>
          </w:tcPr>
          <w:p w14:paraId="1187C0F0" w14:textId="77777777" w:rsidR="00115C9C" w:rsidRPr="00146567" w:rsidRDefault="00115C9C" w:rsidP="000F221E">
            <w:pPr>
              <w:rPr>
                <w:rFonts w:asciiTheme="majorHAnsi" w:hAnsiTheme="majorHAnsi" w:cs="Arial"/>
                <w:b/>
                <w:bCs/>
                <w:sz w:val="22"/>
                <w:szCs w:val="22"/>
              </w:rPr>
            </w:pPr>
            <w:r w:rsidRPr="00146567">
              <w:rPr>
                <w:rFonts w:asciiTheme="majorHAnsi" w:hAnsiTheme="majorHAnsi" w:cs="Arial"/>
                <w:b/>
                <w:bCs/>
                <w:sz w:val="22"/>
                <w:szCs w:val="22"/>
              </w:rPr>
              <w:t>Description</w:t>
            </w:r>
          </w:p>
        </w:tc>
        <w:tc>
          <w:tcPr>
            <w:tcW w:w="2533" w:type="dxa"/>
            <w:tcBorders>
              <w:top w:val="single" w:sz="4" w:space="0" w:color="auto"/>
              <w:left w:val="nil"/>
              <w:bottom w:val="single" w:sz="4" w:space="0" w:color="auto"/>
              <w:right w:val="single" w:sz="4" w:space="0" w:color="auto"/>
            </w:tcBorders>
            <w:noWrap/>
            <w:hideMark/>
          </w:tcPr>
          <w:p w14:paraId="20016BCA" w14:textId="77777777" w:rsidR="00115C9C" w:rsidRPr="00146567" w:rsidRDefault="00115C9C" w:rsidP="000F221E">
            <w:pPr>
              <w:rPr>
                <w:rFonts w:asciiTheme="majorHAnsi" w:hAnsiTheme="majorHAnsi" w:cs="Arial"/>
                <w:b/>
                <w:bCs/>
                <w:sz w:val="22"/>
                <w:szCs w:val="22"/>
              </w:rPr>
            </w:pPr>
            <w:r w:rsidRPr="00146567">
              <w:rPr>
                <w:rFonts w:asciiTheme="majorHAnsi" w:hAnsiTheme="majorHAnsi" w:cs="Arial"/>
                <w:b/>
                <w:bCs/>
                <w:sz w:val="22"/>
                <w:szCs w:val="22"/>
              </w:rPr>
              <w:t>Amount (in Cr.)</w:t>
            </w:r>
          </w:p>
        </w:tc>
      </w:tr>
      <w:tr w:rsidR="00115C9C" w:rsidRPr="00146567" w14:paraId="51136805" w14:textId="77777777" w:rsidTr="000F221E">
        <w:trPr>
          <w:trHeight w:val="183"/>
          <w:jc w:val="center"/>
        </w:trPr>
        <w:tc>
          <w:tcPr>
            <w:tcW w:w="4005" w:type="dxa"/>
            <w:tcBorders>
              <w:top w:val="nil"/>
              <w:left w:val="single" w:sz="4" w:space="0" w:color="auto"/>
              <w:bottom w:val="single" w:sz="4" w:space="0" w:color="auto"/>
              <w:right w:val="single" w:sz="4" w:space="0" w:color="auto"/>
            </w:tcBorders>
            <w:noWrap/>
            <w:hideMark/>
          </w:tcPr>
          <w:p w14:paraId="5FA702B5" w14:textId="77777777" w:rsidR="00115C9C" w:rsidRPr="00146567" w:rsidRDefault="00115C9C" w:rsidP="000F221E">
            <w:pPr>
              <w:rPr>
                <w:rFonts w:asciiTheme="majorHAnsi" w:hAnsiTheme="majorHAnsi" w:cs="Arial"/>
                <w:sz w:val="22"/>
                <w:szCs w:val="22"/>
              </w:rPr>
            </w:pPr>
            <w:r w:rsidRPr="00146567">
              <w:rPr>
                <w:rFonts w:asciiTheme="majorHAnsi" w:hAnsiTheme="majorHAnsi" w:cs="Arial"/>
                <w:sz w:val="22"/>
                <w:szCs w:val="22"/>
              </w:rPr>
              <w:t>CAD Licensee</w:t>
            </w:r>
          </w:p>
        </w:tc>
        <w:tc>
          <w:tcPr>
            <w:tcW w:w="2533" w:type="dxa"/>
            <w:tcBorders>
              <w:top w:val="nil"/>
              <w:left w:val="nil"/>
              <w:bottom w:val="single" w:sz="4" w:space="0" w:color="auto"/>
              <w:right w:val="single" w:sz="4" w:space="0" w:color="auto"/>
            </w:tcBorders>
            <w:noWrap/>
            <w:hideMark/>
          </w:tcPr>
          <w:p w14:paraId="251FD3F7" w14:textId="77777777" w:rsidR="00115C9C" w:rsidRPr="00146567" w:rsidRDefault="00115C9C" w:rsidP="000F221E">
            <w:pPr>
              <w:jc w:val="right"/>
              <w:rPr>
                <w:rFonts w:asciiTheme="majorHAnsi" w:hAnsiTheme="majorHAnsi" w:cs="Arial"/>
                <w:sz w:val="22"/>
                <w:szCs w:val="22"/>
              </w:rPr>
            </w:pPr>
            <w:r w:rsidRPr="00146567">
              <w:rPr>
                <w:rFonts w:asciiTheme="majorHAnsi" w:hAnsiTheme="majorHAnsi" w:cs="Arial"/>
                <w:sz w:val="22"/>
                <w:szCs w:val="22"/>
              </w:rPr>
              <w:t>0.1</w:t>
            </w:r>
          </w:p>
        </w:tc>
      </w:tr>
      <w:tr w:rsidR="00115C9C" w:rsidRPr="00146567" w14:paraId="5EE38532" w14:textId="77777777" w:rsidTr="000F221E">
        <w:trPr>
          <w:trHeight w:val="183"/>
          <w:jc w:val="center"/>
        </w:trPr>
        <w:tc>
          <w:tcPr>
            <w:tcW w:w="4005" w:type="dxa"/>
            <w:tcBorders>
              <w:top w:val="nil"/>
              <w:left w:val="single" w:sz="4" w:space="0" w:color="auto"/>
              <w:bottom w:val="single" w:sz="4" w:space="0" w:color="auto"/>
              <w:right w:val="single" w:sz="4" w:space="0" w:color="auto"/>
            </w:tcBorders>
            <w:noWrap/>
            <w:hideMark/>
          </w:tcPr>
          <w:p w14:paraId="708A77FB" w14:textId="77777777" w:rsidR="00115C9C" w:rsidRPr="00146567" w:rsidRDefault="00115C9C" w:rsidP="000F221E">
            <w:pPr>
              <w:rPr>
                <w:rFonts w:asciiTheme="majorHAnsi" w:hAnsiTheme="majorHAnsi" w:cs="Arial"/>
                <w:sz w:val="22"/>
                <w:szCs w:val="22"/>
              </w:rPr>
            </w:pPr>
            <w:r w:rsidRPr="00146567">
              <w:rPr>
                <w:rFonts w:asciiTheme="majorHAnsi" w:hAnsiTheme="majorHAnsi" w:cs="Arial"/>
                <w:sz w:val="22"/>
                <w:szCs w:val="22"/>
              </w:rPr>
              <w:t>Paper Roll and Stickering</w:t>
            </w:r>
          </w:p>
        </w:tc>
        <w:tc>
          <w:tcPr>
            <w:tcW w:w="2533" w:type="dxa"/>
            <w:tcBorders>
              <w:top w:val="nil"/>
              <w:left w:val="nil"/>
              <w:bottom w:val="single" w:sz="4" w:space="0" w:color="auto"/>
              <w:right w:val="single" w:sz="4" w:space="0" w:color="auto"/>
            </w:tcBorders>
            <w:noWrap/>
            <w:hideMark/>
          </w:tcPr>
          <w:p w14:paraId="0B29D52B" w14:textId="77777777" w:rsidR="00115C9C" w:rsidRPr="00146567" w:rsidRDefault="00115C9C" w:rsidP="000F221E">
            <w:pPr>
              <w:jc w:val="right"/>
              <w:rPr>
                <w:rFonts w:asciiTheme="majorHAnsi" w:hAnsiTheme="majorHAnsi" w:cs="Arial"/>
                <w:sz w:val="22"/>
                <w:szCs w:val="22"/>
              </w:rPr>
            </w:pPr>
            <w:r w:rsidRPr="00146567">
              <w:rPr>
                <w:rFonts w:asciiTheme="majorHAnsi" w:hAnsiTheme="majorHAnsi" w:cs="Arial"/>
                <w:sz w:val="22"/>
                <w:szCs w:val="22"/>
              </w:rPr>
              <w:t>0.3</w:t>
            </w:r>
          </w:p>
        </w:tc>
      </w:tr>
      <w:tr w:rsidR="00115C9C" w:rsidRPr="00146567" w14:paraId="7C699FA7" w14:textId="77777777" w:rsidTr="000F221E">
        <w:trPr>
          <w:trHeight w:val="190"/>
          <w:jc w:val="center"/>
        </w:trPr>
        <w:tc>
          <w:tcPr>
            <w:tcW w:w="4005" w:type="dxa"/>
            <w:tcBorders>
              <w:top w:val="nil"/>
              <w:left w:val="single" w:sz="4" w:space="0" w:color="auto"/>
              <w:bottom w:val="single" w:sz="4" w:space="0" w:color="auto"/>
              <w:right w:val="single" w:sz="4" w:space="0" w:color="auto"/>
            </w:tcBorders>
            <w:noWrap/>
            <w:hideMark/>
          </w:tcPr>
          <w:p w14:paraId="5979C04E" w14:textId="77777777" w:rsidR="00115C9C" w:rsidRPr="00146567" w:rsidRDefault="00115C9C" w:rsidP="000F221E">
            <w:pPr>
              <w:rPr>
                <w:rFonts w:asciiTheme="majorHAnsi" w:hAnsiTheme="majorHAnsi" w:cs="Arial"/>
                <w:b/>
                <w:bCs/>
                <w:sz w:val="22"/>
                <w:szCs w:val="22"/>
              </w:rPr>
            </w:pPr>
            <w:r w:rsidRPr="00146567">
              <w:rPr>
                <w:rFonts w:asciiTheme="majorHAnsi" w:hAnsiTheme="majorHAnsi" w:cs="Arial"/>
                <w:b/>
                <w:bCs/>
                <w:sz w:val="22"/>
                <w:szCs w:val="22"/>
              </w:rPr>
              <w:t>TOTAL</w:t>
            </w:r>
          </w:p>
        </w:tc>
        <w:tc>
          <w:tcPr>
            <w:tcW w:w="2533" w:type="dxa"/>
            <w:tcBorders>
              <w:top w:val="nil"/>
              <w:left w:val="nil"/>
              <w:bottom w:val="single" w:sz="4" w:space="0" w:color="auto"/>
              <w:right w:val="single" w:sz="4" w:space="0" w:color="auto"/>
            </w:tcBorders>
            <w:noWrap/>
            <w:hideMark/>
          </w:tcPr>
          <w:p w14:paraId="2ED354D1" w14:textId="77777777" w:rsidR="00115C9C" w:rsidRPr="00146567" w:rsidRDefault="00115C9C" w:rsidP="000F221E">
            <w:pPr>
              <w:jc w:val="right"/>
              <w:rPr>
                <w:rFonts w:asciiTheme="majorHAnsi" w:hAnsiTheme="majorHAnsi" w:cs="Arial"/>
                <w:b/>
                <w:bCs/>
                <w:sz w:val="22"/>
                <w:szCs w:val="22"/>
              </w:rPr>
            </w:pPr>
            <w:r w:rsidRPr="00146567">
              <w:rPr>
                <w:rFonts w:asciiTheme="majorHAnsi" w:hAnsiTheme="majorHAnsi" w:cs="Arial"/>
                <w:b/>
                <w:bCs/>
                <w:sz w:val="22"/>
                <w:szCs w:val="22"/>
              </w:rPr>
              <w:t>0.4</w:t>
            </w:r>
          </w:p>
        </w:tc>
      </w:tr>
    </w:tbl>
    <w:p w14:paraId="65AC5358" w14:textId="630AF337" w:rsidR="00115C9C" w:rsidRDefault="009E20CB" w:rsidP="00115C9C">
      <w:pPr>
        <w:spacing w:beforeLines="100" w:before="240" w:afterLines="100" w:after="240" w:line="360" w:lineRule="auto"/>
        <w:jc w:val="both"/>
        <w:rPr>
          <w:rFonts w:ascii="Cambria" w:hAnsi="Cambria"/>
          <w:b/>
          <w:u w:val="single"/>
        </w:rPr>
      </w:pPr>
      <w:r>
        <w:rPr>
          <w:rFonts w:ascii="Cambria" w:hAnsi="Cambria"/>
          <w:b/>
          <w:u w:val="single"/>
        </w:rPr>
        <w:t>C</w:t>
      </w:r>
      <w:r w:rsidR="00115C9C" w:rsidRPr="00722198">
        <w:rPr>
          <w:rFonts w:ascii="Cambria" w:hAnsi="Cambria"/>
          <w:b/>
          <w:u w:val="single"/>
        </w:rPr>
        <w:t>ommunication Infrastructure:</w:t>
      </w:r>
      <w:r w:rsidR="00115C9C">
        <w:rPr>
          <w:rFonts w:ascii="Cambria" w:hAnsi="Cambria"/>
          <w:b/>
          <w:u w:val="single"/>
        </w:rPr>
        <w:t xml:space="preserve"> </w:t>
      </w:r>
    </w:p>
    <w:p w14:paraId="1F064EC8" w14:textId="77777777" w:rsidR="00115C9C" w:rsidRDefault="00115C9C" w:rsidP="00115C9C">
      <w:pPr>
        <w:spacing w:beforeLines="100" w:before="240" w:afterLines="100" w:after="240" w:line="360" w:lineRule="auto"/>
        <w:jc w:val="both"/>
        <w:rPr>
          <w:rFonts w:ascii="Cambria" w:hAnsi="Cambria"/>
        </w:rPr>
      </w:pPr>
      <w:r w:rsidRPr="009E7FDD">
        <w:rPr>
          <w:rFonts w:ascii="Cambria" w:hAnsi="Cambria"/>
          <w:b/>
          <w:bCs/>
          <w:u w:val="single"/>
        </w:rPr>
        <w:t>Internet Leased Lines (ILL) &amp; Multiprotocol Label Switching (MPLS) infrastructure:</w:t>
      </w:r>
      <w:r>
        <w:rPr>
          <w:rFonts w:ascii="Cambria" w:hAnsi="Cambria"/>
        </w:rPr>
        <w:t xml:space="preserve"> </w:t>
      </w:r>
      <w:r w:rsidRPr="00914712">
        <w:rPr>
          <w:rFonts w:ascii="Cambria" w:hAnsi="Cambria"/>
        </w:rPr>
        <w:t>To ensure seamless and reliable connectivity across various sites, offices, and control centers, TP Western Odisha Distribution Limited (TPWODL) has established a comprehensive communication infrastructure leveraging MPLS, Internet Leased Lines (ILL), and Optical Fiber Cable (OFC) networks. The entire TPWODL communication ecosystem operates through a combination of Multiprotocol Label Switching (MPLS) infrastructure and a proprietary captive optical fiber network, designed to support both Information Technology (IT) and Operational Technology (OT) services with high availability and low latency.</w:t>
      </w:r>
    </w:p>
    <w:p w14:paraId="50091324" w14:textId="77777777" w:rsidR="00115C9C" w:rsidRDefault="00115C9C" w:rsidP="00115C9C">
      <w:pPr>
        <w:spacing w:beforeLines="100" w:before="240" w:afterLines="100" w:after="240" w:line="360" w:lineRule="auto"/>
        <w:jc w:val="both"/>
        <w:rPr>
          <w:rFonts w:ascii="Cambria" w:hAnsi="Cambria"/>
        </w:rPr>
      </w:pPr>
      <w:r w:rsidRPr="000E49A1">
        <w:rPr>
          <w:rFonts w:ascii="Cambria" w:hAnsi="Cambria"/>
        </w:rPr>
        <w:t>At present, more than 485 MPLS links of varying bandwidths are operational across the TPWODL network, providing robust connectivity between field offices, substations, and central control systems. Additionally, multiple ILL links have been provisioned at the Data Centre (DC) to ensure uninterrupted internet access for mission-critical applications and corporate communication. The company has also laid over 320 kilometers of Optical Fiber Cable (OFC), enabling 64 offices to operate through high-speed fiber-based connectivity for integrated IT–OT operations.</w:t>
      </w:r>
    </w:p>
    <w:p w14:paraId="073026AC" w14:textId="08A74874" w:rsidR="00115C9C" w:rsidRDefault="00115C9C" w:rsidP="00115C9C">
      <w:pPr>
        <w:spacing w:beforeLines="100" w:before="240" w:afterLines="100" w:after="240" w:line="360" w:lineRule="auto"/>
        <w:jc w:val="both"/>
        <w:rPr>
          <w:rFonts w:ascii="Cambria" w:hAnsi="Cambria"/>
        </w:rPr>
      </w:pPr>
      <w:r w:rsidRPr="007C53BC">
        <w:rPr>
          <w:rFonts w:ascii="Cambria" w:hAnsi="Cambria"/>
        </w:rPr>
        <w:t>The reliability of remote operations at substations, including SCADA-based monitoring and control, is highly dependent on the performance of the communication network. Without stable and high-quality connectivity, remote automation and control functions would be severely constrained, potentially impacting network reliability and operational safety. Recognizing this critical dependency, the Communication team plays a vital role in ensuring network uptime and performance, working in close coordination with the Automation and IT teams to align network priorities and maintain seamless operational continuity. Furthermore, the Communication team extends support to the Smart Metering division by providing MPLS-based connectivity to enable real-time data transfer and meter communication with the Meter Data Management System (MDMS).</w:t>
      </w:r>
      <w:r w:rsidR="00F165B5">
        <w:rPr>
          <w:rFonts w:ascii="Cambria" w:hAnsi="Cambria"/>
        </w:rPr>
        <w:t xml:space="preserve"> The estima</w:t>
      </w:r>
      <w:r w:rsidR="003B1638">
        <w:rPr>
          <w:rFonts w:ascii="Cambria" w:hAnsi="Cambria"/>
        </w:rPr>
        <w:t>ted cost for the same is around Rs. 2.63 Cr.</w:t>
      </w:r>
    </w:p>
    <w:p w14:paraId="5D4838C0" w14:textId="77777777" w:rsidR="00115C9C" w:rsidRDefault="00115C9C" w:rsidP="00115C9C">
      <w:pPr>
        <w:spacing w:beforeLines="100" w:before="240" w:afterLines="100" w:after="240" w:line="360" w:lineRule="auto"/>
        <w:jc w:val="both"/>
        <w:rPr>
          <w:rFonts w:ascii="Cambria" w:hAnsi="Cambria"/>
        </w:rPr>
      </w:pPr>
      <w:r w:rsidRPr="00D30518">
        <w:rPr>
          <w:rFonts w:ascii="Cambria" w:hAnsi="Cambria"/>
          <w:b/>
          <w:bCs/>
          <w:u w:val="single"/>
        </w:rPr>
        <w:t>Communication Network (ICN):</w:t>
      </w:r>
      <w:r>
        <w:rPr>
          <w:rFonts w:ascii="Cambria" w:hAnsi="Cambria"/>
        </w:rPr>
        <w:t xml:space="preserve"> </w:t>
      </w:r>
      <w:r w:rsidRPr="00F32156">
        <w:rPr>
          <w:rFonts w:ascii="Cambria" w:hAnsi="Cambria"/>
        </w:rPr>
        <w:t xml:space="preserve">To further strengthen and unify communication infrastructure across all Tata Power Odisha </w:t>
      </w:r>
      <w:proofErr w:type="spellStart"/>
      <w:r w:rsidRPr="00F32156">
        <w:rPr>
          <w:rFonts w:ascii="Cambria" w:hAnsi="Cambria"/>
        </w:rPr>
        <w:t>Discoms</w:t>
      </w:r>
      <w:proofErr w:type="spellEnd"/>
      <w:r w:rsidRPr="00F32156">
        <w:rPr>
          <w:rFonts w:ascii="Cambria" w:hAnsi="Cambria"/>
        </w:rPr>
        <w:t xml:space="preserve"> - TPCODL, TPWODL, TPSODL, and TPNODL an Integrated Communication Network (ICN) is being implemented. The ICN is designed to be scalable, resilient, and interoperable, capable of withstanding challenges such as power disruptions and natural calamities. This integrated framework facilitates faster outage recovery, improved operational safety, and enhanced coordination between IT and OT systems.</w:t>
      </w:r>
    </w:p>
    <w:p w14:paraId="36B5F44B" w14:textId="235CD36E" w:rsidR="00115C9C" w:rsidRDefault="00115C9C" w:rsidP="00115C9C">
      <w:pPr>
        <w:spacing w:beforeLines="100" w:before="240" w:afterLines="100" w:after="240" w:line="360" w:lineRule="auto"/>
        <w:jc w:val="both"/>
        <w:rPr>
          <w:rFonts w:ascii="Cambria" w:hAnsi="Cambria"/>
        </w:rPr>
      </w:pPr>
      <w:r w:rsidRPr="00667A66">
        <w:rPr>
          <w:rFonts w:ascii="Cambria" w:hAnsi="Cambria"/>
          <w:b/>
          <w:bCs/>
          <w:u w:val="single"/>
        </w:rPr>
        <w:t xml:space="preserve">Lease </w:t>
      </w:r>
      <w:r>
        <w:rPr>
          <w:rFonts w:ascii="Cambria" w:hAnsi="Cambria"/>
          <w:b/>
          <w:bCs/>
          <w:u w:val="single"/>
        </w:rPr>
        <w:t xml:space="preserve">OPTCL </w:t>
      </w:r>
      <w:r w:rsidRPr="00667A66">
        <w:rPr>
          <w:rFonts w:ascii="Cambria" w:hAnsi="Cambria"/>
          <w:b/>
          <w:bCs/>
          <w:u w:val="single"/>
        </w:rPr>
        <w:t>optical fiber</w:t>
      </w:r>
      <w:r>
        <w:rPr>
          <w:rFonts w:ascii="Cambria" w:hAnsi="Cambria"/>
          <w:b/>
          <w:bCs/>
          <w:u w:val="single"/>
        </w:rPr>
        <w:t xml:space="preserve"> under </w:t>
      </w:r>
      <w:r w:rsidR="00CA50A7">
        <w:rPr>
          <w:rFonts w:ascii="Cambria" w:hAnsi="Cambria"/>
          <w:b/>
          <w:bCs/>
          <w:u w:val="single"/>
        </w:rPr>
        <w:t>A&amp;G</w:t>
      </w:r>
      <w:r w:rsidRPr="00E95093">
        <w:rPr>
          <w:rFonts w:ascii="Cambria" w:hAnsi="Cambria"/>
        </w:rPr>
        <w:t xml:space="preserve"> </w:t>
      </w:r>
      <w:r w:rsidRPr="00D15455">
        <w:rPr>
          <w:rFonts w:ascii="Cambria" w:hAnsi="Cambria"/>
        </w:rPr>
        <w:t>TPWODL submits that a reliable, redundant, and utility-grade communication backbone is essential for the effective functioning of critical IT/OT systems such as ADMS, Distribution Automation, AMI, SAP-ERP, MBC-CIS, CRM and other mission-critical applications. These systems directly impact network reliability, billing efficiency, consumer service levels, outage response time and overall operational performance mandated under the license conditions.</w:t>
      </w:r>
    </w:p>
    <w:p w14:paraId="1823F390" w14:textId="77777777" w:rsidR="00E369B2" w:rsidRDefault="00115C9C" w:rsidP="00115C9C">
      <w:pPr>
        <w:spacing w:beforeLines="100" w:before="240" w:afterLines="100" w:after="240" w:line="360" w:lineRule="auto"/>
        <w:jc w:val="both"/>
        <w:rPr>
          <w:rFonts w:ascii="Cambria" w:hAnsi="Cambria"/>
        </w:rPr>
      </w:pPr>
      <w:r w:rsidRPr="00E95093">
        <w:rPr>
          <w:rFonts w:ascii="Cambria" w:hAnsi="Cambria"/>
        </w:rPr>
        <w:t xml:space="preserve">In addition to the in-house communication infrastructure, all four Odisha </w:t>
      </w:r>
      <w:proofErr w:type="spellStart"/>
      <w:r w:rsidRPr="00E95093">
        <w:rPr>
          <w:rFonts w:ascii="Cambria" w:hAnsi="Cambria"/>
        </w:rPr>
        <w:t>Discoms</w:t>
      </w:r>
      <w:proofErr w:type="spellEnd"/>
      <w:r w:rsidRPr="00E95093">
        <w:rPr>
          <w:rFonts w:ascii="Cambria" w:hAnsi="Cambria"/>
        </w:rPr>
        <w:t xml:space="preserve"> have collectively taken a strategic initiative to lease optical fiber from OPTCL. Under this arrangement, </w:t>
      </w:r>
      <w:proofErr w:type="spellStart"/>
      <w:r w:rsidRPr="00E95093">
        <w:rPr>
          <w:rFonts w:ascii="Cambria" w:hAnsi="Cambria"/>
        </w:rPr>
        <w:t>Discoms</w:t>
      </w:r>
      <w:proofErr w:type="spellEnd"/>
      <w:r w:rsidRPr="00E95093">
        <w:rPr>
          <w:rFonts w:ascii="Cambria" w:hAnsi="Cambria"/>
        </w:rPr>
        <w:t xml:space="preserve"> pay</w:t>
      </w:r>
      <w:r>
        <w:rPr>
          <w:rFonts w:ascii="Cambria" w:hAnsi="Cambria"/>
        </w:rPr>
        <w:t xml:space="preserve">s </w:t>
      </w:r>
      <w:r w:rsidRPr="00E95093">
        <w:rPr>
          <w:rFonts w:ascii="Cambria" w:hAnsi="Cambria"/>
        </w:rPr>
        <w:t>license fee for fiber utilization. This initiative has proven to be both cost-effective and operationally efficient, as it significantly reduces capital expenditure (CAPEX) while simultaneously optimizing operational expenditure (OPEX). By leveraging existing high-capacity fiber infrastructure, TPWODL ensures high-speed, secure, and reliable data communication, reinforcing its commitment to building a resilient digital ecosystem that supports automation, smart metering, and advanced distribution management systems.</w:t>
      </w:r>
      <w:r>
        <w:rPr>
          <w:rFonts w:ascii="Cambria" w:hAnsi="Cambria"/>
        </w:rPr>
        <w:t xml:space="preserve"> </w:t>
      </w:r>
    </w:p>
    <w:p w14:paraId="7D69B337" w14:textId="634304CC" w:rsidR="00115C9C" w:rsidRDefault="00115C9C" w:rsidP="00115C9C">
      <w:pPr>
        <w:spacing w:beforeLines="100" w:before="240" w:afterLines="100" w:after="240" w:line="360" w:lineRule="auto"/>
        <w:jc w:val="both"/>
        <w:rPr>
          <w:rFonts w:ascii="Cambria" w:hAnsi="Cambria"/>
        </w:rPr>
      </w:pPr>
      <w:r>
        <w:rPr>
          <w:rFonts w:ascii="Cambria" w:hAnsi="Cambria"/>
        </w:rPr>
        <w:t xml:space="preserve">Accordingly, the licensee proposes </w:t>
      </w:r>
      <w:r w:rsidR="00E369B2">
        <w:rPr>
          <w:rFonts w:ascii="Cambria" w:hAnsi="Cambria"/>
        </w:rPr>
        <w:t xml:space="preserve">communication infrastructure </w:t>
      </w:r>
      <w:r>
        <w:rPr>
          <w:rFonts w:ascii="Cambria" w:hAnsi="Cambria"/>
        </w:rPr>
        <w:t xml:space="preserve">expenditure for FY 26-27 </w:t>
      </w:r>
      <w:r w:rsidR="00874A05">
        <w:rPr>
          <w:rFonts w:ascii="Cambria" w:hAnsi="Cambria"/>
        </w:rPr>
        <w:t xml:space="preserve">of around </w:t>
      </w:r>
      <w:r w:rsidR="00874A05" w:rsidRPr="00767586">
        <w:rPr>
          <w:rFonts w:ascii="Cambria" w:hAnsi="Cambria"/>
          <w:b/>
          <w:bCs/>
        </w:rPr>
        <w:t xml:space="preserve">Rs. </w:t>
      </w:r>
      <w:r w:rsidR="00E369B2">
        <w:rPr>
          <w:rFonts w:ascii="Cambria" w:hAnsi="Cambria"/>
          <w:b/>
          <w:bCs/>
        </w:rPr>
        <w:t>2.88</w:t>
      </w:r>
      <w:r w:rsidR="00874A05" w:rsidRPr="00767586">
        <w:rPr>
          <w:rFonts w:ascii="Cambria" w:hAnsi="Cambria"/>
          <w:b/>
          <w:bCs/>
        </w:rPr>
        <w:t xml:space="preserve"> Cr</w:t>
      </w:r>
      <w:r w:rsidR="0075079C" w:rsidRPr="00767586">
        <w:rPr>
          <w:rFonts w:ascii="Cambria" w:hAnsi="Cambria"/>
          <w:b/>
          <w:bCs/>
        </w:rPr>
        <w:t>.</w:t>
      </w:r>
      <w:r>
        <w:rPr>
          <w:rFonts w:ascii="Cambria" w:hAnsi="Cambria"/>
        </w:rPr>
        <w:t xml:space="preserve"> </w:t>
      </w:r>
    </w:p>
    <w:p w14:paraId="42EA6F8B" w14:textId="77777777" w:rsidR="005534FD" w:rsidRPr="00052929" w:rsidRDefault="005534FD" w:rsidP="005534FD">
      <w:pPr>
        <w:spacing w:beforeLines="100" w:before="240" w:afterLines="100" w:after="240" w:line="360" w:lineRule="auto"/>
        <w:jc w:val="both"/>
        <w:rPr>
          <w:rFonts w:ascii="Cambria" w:hAnsi="Cambria"/>
          <w:bCs/>
          <w:lang w:val="en-IN"/>
        </w:rPr>
      </w:pPr>
      <w:r w:rsidRPr="00052929">
        <w:rPr>
          <w:rFonts w:ascii="Cambria" w:hAnsi="Cambria"/>
          <w:bCs/>
          <w:lang w:val="en-IN"/>
        </w:rPr>
        <w:t xml:space="preserve">At present, TPWODL depends on multiple third-party telecom service providers such as Airtel, Reliance </w:t>
      </w:r>
      <w:proofErr w:type="spellStart"/>
      <w:r w:rsidRPr="00052929">
        <w:rPr>
          <w:rFonts w:ascii="Cambria" w:hAnsi="Cambria"/>
          <w:bCs/>
          <w:lang w:val="en-IN"/>
        </w:rPr>
        <w:t>Jio</w:t>
      </w:r>
      <w:proofErr w:type="spellEnd"/>
      <w:r w:rsidRPr="00052929">
        <w:rPr>
          <w:rFonts w:ascii="Cambria" w:hAnsi="Cambria"/>
          <w:bCs/>
          <w:lang w:val="en-IN"/>
        </w:rPr>
        <w:t xml:space="preserve"> and Vodafone-Idea. Major issues faced are:</w:t>
      </w:r>
    </w:p>
    <w:p w14:paraId="36C60263" w14:textId="77777777" w:rsidR="005534FD" w:rsidRPr="00052929" w:rsidRDefault="005534FD" w:rsidP="00056389">
      <w:pPr>
        <w:numPr>
          <w:ilvl w:val="0"/>
          <w:numId w:val="68"/>
        </w:numPr>
        <w:ind w:left="714" w:hanging="357"/>
        <w:jc w:val="both"/>
        <w:rPr>
          <w:rFonts w:ascii="Cambria" w:hAnsi="Cambria"/>
          <w:bCs/>
          <w:lang w:val="en-IN"/>
        </w:rPr>
      </w:pPr>
      <w:r w:rsidRPr="00052929">
        <w:rPr>
          <w:rFonts w:ascii="Cambria" w:hAnsi="Cambria"/>
          <w:bCs/>
          <w:lang w:val="en-IN"/>
        </w:rPr>
        <w:t>High third-party dependency and delayed fault restoration</w:t>
      </w:r>
    </w:p>
    <w:p w14:paraId="6556501A" w14:textId="77777777" w:rsidR="005534FD" w:rsidRPr="00052929" w:rsidRDefault="005534FD" w:rsidP="00056389">
      <w:pPr>
        <w:numPr>
          <w:ilvl w:val="0"/>
          <w:numId w:val="68"/>
        </w:numPr>
        <w:ind w:left="714" w:hanging="357"/>
        <w:jc w:val="both"/>
        <w:rPr>
          <w:rFonts w:ascii="Cambria" w:hAnsi="Cambria"/>
          <w:bCs/>
          <w:lang w:val="en-IN"/>
        </w:rPr>
      </w:pPr>
      <w:r w:rsidRPr="00052929">
        <w:rPr>
          <w:rFonts w:ascii="Cambria" w:hAnsi="Cambria"/>
          <w:bCs/>
          <w:lang w:val="en-IN"/>
        </w:rPr>
        <w:t>Lack of redundancy for remote and rural locations</w:t>
      </w:r>
    </w:p>
    <w:p w14:paraId="3B4BE1DE" w14:textId="77777777" w:rsidR="005534FD" w:rsidRPr="00052929" w:rsidRDefault="005534FD" w:rsidP="00056389">
      <w:pPr>
        <w:numPr>
          <w:ilvl w:val="0"/>
          <w:numId w:val="68"/>
        </w:numPr>
        <w:ind w:left="714" w:hanging="357"/>
        <w:jc w:val="both"/>
        <w:rPr>
          <w:rFonts w:ascii="Cambria" w:hAnsi="Cambria"/>
          <w:bCs/>
          <w:lang w:val="en-IN"/>
        </w:rPr>
      </w:pPr>
      <w:r w:rsidRPr="00052929">
        <w:rPr>
          <w:rFonts w:ascii="Cambria" w:hAnsi="Cambria"/>
          <w:bCs/>
          <w:lang w:val="en-IN"/>
        </w:rPr>
        <w:t>Scalability limitations for future expansion</w:t>
      </w:r>
    </w:p>
    <w:p w14:paraId="6924D51E" w14:textId="77777777" w:rsidR="005534FD" w:rsidRPr="00052929" w:rsidRDefault="005534FD" w:rsidP="00056389">
      <w:pPr>
        <w:numPr>
          <w:ilvl w:val="0"/>
          <w:numId w:val="68"/>
        </w:numPr>
        <w:ind w:left="714" w:hanging="357"/>
        <w:jc w:val="both"/>
        <w:rPr>
          <w:rFonts w:ascii="Cambria" w:hAnsi="Cambria"/>
          <w:bCs/>
          <w:lang w:val="en-IN"/>
        </w:rPr>
      </w:pPr>
      <w:r w:rsidRPr="00052929">
        <w:rPr>
          <w:rFonts w:ascii="Cambria" w:hAnsi="Cambria"/>
          <w:bCs/>
          <w:lang w:val="en-IN"/>
        </w:rPr>
        <w:t>No fibre availability in remote areas</w:t>
      </w:r>
    </w:p>
    <w:p w14:paraId="4510C713" w14:textId="77777777" w:rsidR="005534FD" w:rsidRPr="00052929" w:rsidRDefault="005534FD" w:rsidP="00056389">
      <w:pPr>
        <w:numPr>
          <w:ilvl w:val="0"/>
          <w:numId w:val="68"/>
        </w:numPr>
        <w:ind w:left="714" w:hanging="357"/>
        <w:jc w:val="both"/>
        <w:rPr>
          <w:rFonts w:ascii="Cambria" w:hAnsi="Cambria"/>
          <w:bCs/>
          <w:lang w:val="en-IN"/>
        </w:rPr>
      </w:pPr>
      <w:r w:rsidRPr="00052929">
        <w:rPr>
          <w:rFonts w:ascii="Cambria" w:hAnsi="Cambria"/>
          <w:bCs/>
          <w:lang w:val="en-IN"/>
        </w:rPr>
        <w:t>Large and diverse geography of Western Odisha</w:t>
      </w:r>
    </w:p>
    <w:p w14:paraId="2FB20250" w14:textId="59CDF0C8" w:rsidR="005534FD" w:rsidRDefault="005534FD" w:rsidP="005534FD">
      <w:pPr>
        <w:spacing w:beforeLines="100" w:before="240" w:afterLines="100" w:after="240" w:line="360" w:lineRule="auto"/>
        <w:jc w:val="both"/>
        <w:rPr>
          <w:rFonts w:ascii="Cambria" w:hAnsi="Cambria" w:cs="Arial"/>
          <w:highlight w:val="yellow"/>
          <w:lang w:val="en-GB"/>
        </w:rPr>
      </w:pPr>
      <w:r w:rsidRPr="00F079FD">
        <w:rPr>
          <w:rFonts w:asciiTheme="majorHAnsi" w:hAnsiTheme="majorHAnsi" w:cstheme="minorHAnsi"/>
        </w:rPr>
        <w:t>These concerns directly affect DISCOM operations, impacting billing, load monitoring, outage response, and customer service. A detailed technical and financial study was conducted and found that CAPEX model is neither economical nor operationally viable in the TPWODL geography &amp; OPEX leasing model ensures high reliability, faster deployment, cost-effectiveness and long-term sustainability. Given the operational necessity, cost-effectiveness, faster implementation and alignment with technology-driven reforms in the power sector, the proposed OPEX expenditure for leasing OPTCL OFC network qualifies as a “special measure” and may rightly be considered under A&amp;G Expenses, subject to prudence check by the Hon’ble Commission.</w:t>
      </w:r>
    </w:p>
    <w:p w14:paraId="1F42F1D7" w14:textId="7B6CA07D" w:rsidR="00115C9C" w:rsidRDefault="00115C9C" w:rsidP="00115C9C">
      <w:pPr>
        <w:spacing w:beforeLines="100" w:before="240" w:afterLines="100" w:after="240" w:line="360" w:lineRule="auto"/>
        <w:jc w:val="both"/>
        <w:rPr>
          <w:rFonts w:ascii="Cambria" w:hAnsi="Cambria"/>
          <w:b/>
          <w:u w:val="single"/>
        </w:rPr>
      </w:pPr>
      <w:r w:rsidRPr="005D64F1">
        <w:rPr>
          <w:rFonts w:ascii="Cambria" w:hAnsi="Cambria"/>
          <w:b/>
          <w:u w:val="single"/>
        </w:rPr>
        <w:t>Smart Metering</w:t>
      </w:r>
      <w:r>
        <w:rPr>
          <w:rFonts w:ascii="Cambria" w:hAnsi="Cambria"/>
          <w:b/>
          <w:u w:val="single"/>
        </w:rPr>
        <w:t xml:space="preserve"> Back</w:t>
      </w:r>
      <w:r w:rsidR="00BF51B3">
        <w:rPr>
          <w:rFonts w:ascii="Cambria" w:hAnsi="Cambria"/>
          <w:b/>
          <w:u w:val="single"/>
        </w:rPr>
        <w:t>-</w:t>
      </w:r>
      <w:r>
        <w:rPr>
          <w:rFonts w:ascii="Cambria" w:hAnsi="Cambria"/>
          <w:b/>
          <w:u w:val="single"/>
        </w:rPr>
        <w:t>end E</w:t>
      </w:r>
      <w:r w:rsidRPr="00EB73E4">
        <w:rPr>
          <w:rFonts w:ascii="Cambria" w:hAnsi="Cambria"/>
          <w:b/>
          <w:u w:val="single"/>
        </w:rPr>
        <w:t>cosystem</w:t>
      </w:r>
      <w:r w:rsidRPr="00722198">
        <w:rPr>
          <w:rFonts w:ascii="Cambria" w:hAnsi="Cambria"/>
          <w:b/>
          <w:u w:val="single"/>
        </w:rPr>
        <w:t>:</w:t>
      </w:r>
    </w:p>
    <w:p w14:paraId="6644762E" w14:textId="77777777" w:rsidR="00115C9C" w:rsidRDefault="00115C9C" w:rsidP="00115C9C">
      <w:pPr>
        <w:spacing w:beforeLines="100" w:before="240" w:afterLines="100" w:after="240" w:line="360" w:lineRule="auto"/>
        <w:jc w:val="both"/>
        <w:rPr>
          <w:rFonts w:ascii="Cambria" w:hAnsi="Cambria"/>
        </w:rPr>
      </w:pPr>
      <w:r w:rsidRPr="0000569F">
        <w:rPr>
          <w:rFonts w:ascii="Cambria" w:hAnsi="Cambria"/>
        </w:rPr>
        <w:t xml:space="preserve">With over 6 lakh smart meters already installed across TPWODL’s operational area and the number expected to grow substantially, the company is enhancing its smart metering </w:t>
      </w:r>
      <w:bookmarkStart w:id="46" w:name="_Hlk212807311"/>
      <w:r w:rsidRPr="0000569F">
        <w:rPr>
          <w:rFonts w:ascii="Cambria" w:hAnsi="Cambria"/>
        </w:rPr>
        <w:t xml:space="preserve">ecosystem </w:t>
      </w:r>
      <w:bookmarkEnd w:id="46"/>
      <w:r w:rsidRPr="0000569F">
        <w:rPr>
          <w:rFonts w:ascii="Cambria" w:hAnsi="Cambria"/>
        </w:rPr>
        <w:t xml:space="preserve">to ensure effective data communication and system reliability. This includes provisioning of dedicated SIMs for meter communication and ensuring Annual Maintenance Contracts (AMCs) for the Meter Data Management System (MDMS) servers, software support, and related licenses. These measures are critical for sustaining end-to-end smart meter functionality, enabling remote monitoring, accurate billing, and improved energy efficiency. </w:t>
      </w:r>
    </w:p>
    <w:p w14:paraId="7BD05E4F" w14:textId="5DE78F37" w:rsidR="00B9204B" w:rsidRDefault="00115C9C" w:rsidP="00BF51B3">
      <w:pPr>
        <w:spacing w:beforeLines="100" w:before="240" w:afterLines="100" w:after="240" w:line="360" w:lineRule="auto"/>
        <w:jc w:val="both"/>
        <w:rPr>
          <w:rFonts w:ascii="Cambria" w:hAnsi="Cambria"/>
        </w:rPr>
      </w:pPr>
      <w:r w:rsidRPr="003612D4">
        <w:rPr>
          <w:rFonts w:ascii="Cambria" w:hAnsi="Cambria"/>
        </w:rPr>
        <w:t xml:space="preserve">The implementation of smart meters has already begun delivering tangible results. As of August 2025, a total of 661.92 million units (MUs) of energy have been billed through the smart metering system, with a corresponding revenue collection of </w:t>
      </w:r>
      <w:r>
        <w:rPr>
          <w:rFonts w:ascii="Cambria" w:hAnsi="Cambria"/>
        </w:rPr>
        <w:t xml:space="preserve">Rs. </w:t>
      </w:r>
      <w:r w:rsidRPr="003612D4">
        <w:rPr>
          <w:rFonts w:ascii="Cambria" w:hAnsi="Cambria"/>
        </w:rPr>
        <w:t xml:space="preserve">371.27 crores. Notably, this revenue has been realized without the need for physical meter reading or field visits, significantly reducing operational expenditure (OPEX) and improving collection efficiency. </w:t>
      </w:r>
      <w:r w:rsidRPr="0000569F">
        <w:rPr>
          <w:rFonts w:ascii="Cambria" w:hAnsi="Cambria"/>
        </w:rPr>
        <w:t>The expenditure incurred for SIM can be considered under meter billing and collection category.</w:t>
      </w:r>
      <w:r>
        <w:rPr>
          <w:rFonts w:ascii="Cambria" w:hAnsi="Cambria"/>
        </w:rPr>
        <w:t xml:space="preserve"> </w:t>
      </w:r>
      <w:r w:rsidRPr="001B76A8">
        <w:rPr>
          <w:rFonts w:ascii="Cambria" w:hAnsi="Cambria"/>
        </w:rPr>
        <w:t>Through these strategic initiatives, TPWODL continues to strengthen its digital infrastructure, aligning with the broader objectives of Digital India and the National Smart Grid Mission (NSGM). These advancements in Operational Technology reaffirm the company’s commitment to delivering safe, reliable, and efficient electricity to consumers while setting a benchmark for modern utility operations in India.</w:t>
      </w:r>
    </w:p>
    <w:p w14:paraId="4F9311B3" w14:textId="764D4A29" w:rsidR="00060587" w:rsidRPr="00B9204B" w:rsidRDefault="00550935" w:rsidP="00B9204B">
      <w:pPr>
        <w:pStyle w:val="Heading3"/>
        <w:numPr>
          <w:ilvl w:val="2"/>
          <w:numId w:val="1"/>
        </w:numPr>
        <w:shd w:val="clear" w:color="auto" w:fill="002060"/>
        <w:rPr>
          <w:rFonts w:asciiTheme="majorHAnsi" w:hAnsiTheme="majorHAnsi"/>
          <w:sz w:val="24"/>
          <w:szCs w:val="24"/>
        </w:rPr>
      </w:pPr>
      <w:bookmarkStart w:id="47" w:name="_Toc215250617"/>
      <w:r>
        <w:rPr>
          <w:rFonts w:asciiTheme="majorHAnsi" w:hAnsiTheme="majorHAnsi"/>
          <w:sz w:val="24"/>
          <w:szCs w:val="24"/>
        </w:rPr>
        <w:t>IT</w:t>
      </w:r>
      <w:r w:rsidR="00192F5D" w:rsidRPr="00B9204B">
        <w:rPr>
          <w:rFonts w:asciiTheme="majorHAnsi" w:hAnsiTheme="majorHAnsi"/>
          <w:sz w:val="24"/>
          <w:szCs w:val="24"/>
        </w:rPr>
        <w:t xml:space="preserve"> Expenses:</w:t>
      </w:r>
      <w:bookmarkEnd w:id="47"/>
    </w:p>
    <w:p w14:paraId="1DC621B0" w14:textId="180D7373" w:rsidR="00115C9C" w:rsidRDefault="00115C9C" w:rsidP="00115C9C">
      <w:pPr>
        <w:spacing w:beforeLines="100" w:before="240" w:afterLines="100" w:after="240" w:line="360" w:lineRule="auto"/>
        <w:jc w:val="both"/>
        <w:rPr>
          <w:rFonts w:asciiTheme="majorHAnsi" w:hAnsiTheme="majorHAnsi"/>
        </w:rPr>
      </w:pPr>
      <w:r>
        <w:rPr>
          <w:rFonts w:asciiTheme="majorHAnsi" w:hAnsiTheme="majorHAnsi"/>
        </w:rPr>
        <w:t xml:space="preserve">The </w:t>
      </w:r>
      <w:r w:rsidRPr="00E76AB8">
        <w:rPr>
          <w:rFonts w:asciiTheme="majorHAnsi" w:hAnsiTheme="majorHAnsi"/>
        </w:rPr>
        <w:t>Hon’ble Commission had approved Rs.42.02 Cr in FY 21-22, Rs. 48.19 Cr in FY 22-23, Rs. 67.48 Cr in FY 23-24, Rs. 16.63 in FY</w:t>
      </w:r>
      <w:r w:rsidR="001E0A7B">
        <w:rPr>
          <w:rFonts w:asciiTheme="majorHAnsi" w:hAnsiTheme="majorHAnsi"/>
        </w:rPr>
        <w:t xml:space="preserve"> </w:t>
      </w:r>
      <w:r w:rsidRPr="00E76AB8">
        <w:rPr>
          <w:rFonts w:asciiTheme="majorHAnsi" w:hAnsiTheme="majorHAnsi"/>
        </w:rPr>
        <w:t>24-25 and Rs. 5.28 in FY</w:t>
      </w:r>
      <w:r w:rsidR="001E0A7B">
        <w:rPr>
          <w:rFonts w:asciiTheme="majorHAnsi" w:hAnsiTheme="majorHAnsi"/>
        </w:rPr>
        <w:t xml:space="preserve"> </w:t>
      </w:r>
      <w:r w:rsidRPr="00E76AB8">
        <w:rPr>
          <w:rFonts w:asciiTheme="majorHAnsi" w:hAnsiTheme="majorHAnsi"/>
        </w:rPr>
        <w:t>25-26 under CAPEX head. The licensee has spent the amount entirely as approved by Hon’ble Commission for FY 21-22, FY 22-23, FY 23-24, FY</w:t>
      </w:r>
      <w:r w:rsidR="001E0A7B">
        <w:rPr>
          <w:rFonts w:asciiTheme="majorHAnsi" w:hAnsiTheme="majorHAnsi"/>
        </w:rPr>
        <w:t xml:space="preserve"> </w:t>
      </w:r>
      <w:r w:rsidRPr="00E76AB8">
        <w:rPr>
          <w:rFonts w:asciiTheme="majorHAnsi" w:hAnsiTheme="majorHAnsi"/>
        </w:rPr>
        <w:t>24-25 and spen</w:t>
      </w:r>
      <w:r w:rsidR="001E0A7B">
        <w:rPr>
          <w:rFonts w:asciiTheme="majorHAnsi" w:hAnsiTheme="majorHAnsi"/>
        </w:rPr>
        <w:t>t</w:t>
      </w:r>
      <w:r w:rsidRPr="00E76AB8">
        <w:rPr>
          <w:rFonts w:asciiTheme="majorHAnsi" w:hAnsiTheme="majorHAnsi"/>
        </w:rPr>
        <w:t xml:space="preserve"> Rs. 3.07 Cr (till Oct-25) against approval of FY 25-26. To maintain such assets, </w:t>
      </w:r>
      <w:proofErr w:type="spellStart"/>
      <w:r w:rsidRPr="00E76AB8">
        <w:rPr>
          <w:rFonts w:asciiTheme="majorHAnsi" w:hAnsiTheme="majorHAnsi"/>
        </w:rPr>
        <w:t>Opex</w:t>
      </w:r>
      <w:proofErr w:type="spellEnd"/>
      <w:r w:rsidRPr="00E76AB8">
        <w:rPr>
          <w:rFonts w:asciiTheme="majorHAnsi" w:hAnsiTheme="majorHAnsi"/>
        </w:rPr>
        <w:t xml:space="preserve"> is a must. Upon implementation of various IT automation activities, lot of credible changes have been made in last 24 months of operation. Some of the completed activities have been appended for perusal of Hon’ble Commission.</w:t>
      </w:r>
    </w:p>
    <w:p w14:paraId="550726BE" w14:textId="77777777" w:rsidR="00115C9C" w:rsidRDefault="00115C9C" w:rsidP="001972DE">
      <w:pPr>
        <w:pStyle w:val="ListParagraph"/>
        <w:numPr>
          <w:ilvl w:val="0"/>
          <w:numId w:val="12"/>
        </w:numPr>
        <w:spacing w:after="240" w:line="360" w:lineRule="auto"/>
        <w:ind w:left="0" w:hanging="357"/>
        <w:contextualSpacing w:val="0"/>
        <w:jc w:val="both"/>
        <w:rPr>
          <w:rFonts w:asciiTheme="majorHAnsi" w:hAnsiTheme="majorHAnsi"/>
          <w:b/>
          <w:bCs/>
          <w:u w:val="single"/>
        </w:rPr>
      </w:pPr>
      <w:r w:rsidRPr="006D1999">
        <w:rPr>
          <w:rFonts w:asciiTheme="majorHAnsi" w:hAnsiTheme="majorHAnsi" w:cstheme="minorHAnsi"/>
          <w:b/>
          <w:bCs/>
          <w:sz w:val="24"/>
          <w:szCs w:val="24"/>
          <w:u w:val="single"/>
        </w:rPr>
        <w:t>Initiatives</w:t>
      </w:r>
      <w:r>
        <w:rPr>
          <w:rFonts w:asciiTheme="majorHAnsi" w:hAnsiTheme="majorHAnsi"/>
          <w:b/>
          <w:bCs/>
          <w:u w:val="single"/>
        </w:rPr>
        <w:t xml:space="preserve"> towards </w:t>
      </w:r>
      <w:r w:rsidRPr="003C4754">
        <w:rPr>
          <w:rFonts w:asciiTheme="majorHAnsi" w:hAnsiTheme="majorHAnsi"/>
          <w:b/>
          <w:bCs/>
          <w:sz w:val="24"/>
          <w:szCs w:val="24"/>
          <w:u w:val="single"/>
        </w:rPr>
        <w:t>Internal Process automation:</w:t>
      </w:r>
    </w:p>
    <w:p w14:paraId="0E661DA5" w14:textId="77777777" w:rsidR="00115C9C" w:rsidRPr="00754D8B" w:rsidRDefault="00115C9C" w:rsidP="00056389">
      <w:pPr>
        <w:pStyle w:val="ListParagraph"/>
        <w:numPr>
          <w:ilvl w:val="1"/>
          <w:numId w:val="58"/>
        </w:numPr>
        <w:spacing w:after="240" w:line="360" w:lineRule="auto"/>
        <w:ind w:left="426" w:hanging="357"/>
        <w:contextualSpacing w:val="0"/>
        <w:jc w:val="both"/>
        <w:rPr>
          <w:rFonts w:asciiTheme="majorHAnsi" w:hAnsiTheme="majorHAnsi" w:cstheme="minorHAnsi"/>
          <w:b/>
          <w:bCs/>
          <w:sz w:val="24"/>
          <w:szCs w:val="24"/>
          <w:u w:val="single"/>
        </w:rPr>
      </w:pPr>
      <w:r w:rsidRPr="00754D8B">
        <w:rPr>
          <w:rFonts w:asciiTheme="majorHAnsi" w:hAnsiTheme="majorHAnsi" w:cstheme="minorHAnsi"/>
          <w:b/>
          <w:bCs/>
          <w:sz w:val="24"/>
          <w:szCs w:val="24"/>
          <w:u w:val="single"/>
        </w:rPr>
        <w:t xml:space="preserve">Implementation of digital initiative (KHOJ Application) for inclusion of Customers to Billing System </w:t>
      </w:r>
    </w:p>
    <w:p w14:paraId="7E8BF584" w14:textId="3033E02D" w:rsidR="00115C9C" w:rsidRDefault="00115C9C" w:rsidP="00115C9C">
      <w:pPr>
        <w:autoSpaceDE w:val="0"/>
        <w:autoSpaceDN w:val="0"/>
        <w:adjustRightInd w:val="0"/>
        <w:spacing w:line="360" w:lineRule="auto"/>
        <w:ind w:left="426"/>
        <w:contextualSpacing/>
        <w:jc w:val="both"/>
        <w:rPr>
          <w:rFonts w:asciiTheme="majorHAnsi" w:hAnsiTheme="majorHAnsi"/>
        </w:rPr>
      </w:pPr>
      <w:r w:rsidRPr="00463E2D">
        <w:rPr>
          <w:rFonts w:asciiTheme="majorHAnsi" w:hAnsiTheme="majorHAnsi"/>
        </w:rPr>
        <w:t xml:space="preserve">In FY 24-25 &amp; </w:t>
      </w:r>
      <w:r w:rsidR="009F0893">
        <w:rPr>
          <w:rFonts w:asciiTheme="majorHAnsi" w:hAnsiTheme="majorHAnsi"/>
        </w:rPr>
        <w:t xml:space="preserve">FY </w:t>
      </w:r>
      <w:r w:rsidRPr="00463E2D">
        <w:rPr>
          <w:rFonts w:asciiTheme="majorHAnsi" w:hAnsiTheme="majorHAnsi"/>
        </w:rPr>
        <w:t>25-26, IT Team has implemented many digital innovations for the benefit of Customer as well as streamlining business process and growth of the company.</w:t>
      </w:r>
      <w:r>
        <w:rPr>
          <w:rFonts w:asciiTheme="majorHAnsi" w:hAnsiTheme="majorHAnsi"/>
        </w:rPr>
        <w:t xml:space="preserve"> </w:t>
      </w:r>
      <w:r w:rsidRPr="00463E2D">
        <w:rPr>
          <w:rFonts w:asciiTheme="majorHAnsi" w:hAnsiTheme="majorHAnsi"/>
        </w:rPr>
        <w:t>Many consumers have active connections but are not yet part of the formal billing network. This gap leaded to unaccounted energy usage and revenue loss for the D</w:t>
      </w:r>
      <w:r>
        <w:rPr>
          <w:rFonts w:asciiTheme="majorHAnsi" w:hAnsiTheme="majorHAnsi"/>
        </w:rPr>
        <w:t>ISCOM</w:t>
      </w:r>
      <w:r w:rsidRPr="00463E2D">
        <w:rPr>
          <w:rFonts w:asciiTheme="majorHAnsi" w:hAnsiTheme="majorHAnsi"/>
        </w:rPr>
        <w:t>. To address this issue, team developed an app called KHOJ. The app helps identify such consumers and facilitates their integration into the billing system. It enables field teams to locate, verify, and regularize these connections efficiently. KHOJ application supports data capture, geo-tagging, and status tracking to streamline the process. By bringing these consumers under the billing network, the app ensures better accountability and improved revenue realization. It also strengthens operational transparency and supports data-driven decision-making. Overall, KHOJ is a step towards smarter and more inclusive electricity governance.</w:t>
      </w:r>
    </w:p>
    <w:p w14:paraId="5A56BA18" w14:textId="77777777" w:rsidR="00115C9C" w:rsidRDefault="00115C9C" w:rsidP="00115C9C">
      <w:pPr>
        <w:autoSpaceDE w:val="0"/>
        <w:autoSpaceDN w:val="0"/>
        <w:adjustRightInd w:val="0"/>
        <w:spacing w:line="360" w:lineRule="auto"/>
        <w:contextualSpacing/>
        <w:jc w:val="both"/>
        <w:rPr>
          <w:rFonts w:asciiTheme="majorHAnsi" w:hAnsiTheme="majorHAnsi"/>
        </w:rPr>
      </w:pPr>
    </w:p>
    <w:p w14:paraId="4C2E0F59" w14:textId="77777777" w:rsidR="00115C9C" w:rsidRPr="00754D8B" w:rsidRDefault="00115C9C" w:rsidP="00056389">
      <w:pPr>
        <w:pStyle w:val="ListParagraph"/>
        <w:numPr>
          <w:ilvl w:val="1"/>
          <w:numId w:val="58"/>
        </w:numPr>
        <w:spacing w:after="240" w:line="360" w:lineRule="auto"/>
        <w:ind w:left="426" w:hanging="357"/>
        <w:contextualSpacing w:val="0"/>
        <w:jc w:val="both"/>
        <w:rPr>
          <w:rFonts w:asciiTheme="majorHAnsi" w:hAnsiTheme="majorHAnsi"/>
        </w:rPr>
      </w:pPr>
      <w:r w:rsidRPr="00754D8B">
        <w:rPr>
          <w:rFonts w:asciiTheme="majorHAnsi" w:hAnsiTheme="majorHAnsi" w:cstheme="minorHAnsi"/>
          <w:b/>
          <w:bCs/>
          <w:sz w:val="24"/>
          <w:szCs w:val="24"/>
          <w:u w:val="single"/>
        </w:rPr>
        <w:t>Implementation of Mangalam App to avoid billing errors and achieve billing efficiency</w:t>
      </w:r>
    </w:p>
    <w:p w14:paraId="1E0FA100" w14:textId="77777777" w:rsidR="00115C9C" w:rsidRPr="00754D8B" w:rsidRDefault="00115C9C" w:rsidP="00115C9C">
      <w:pPr>
        <w:autoSpaceDE w:val="0"/>
        <w:autoSpaceDN w:val="0"/>
        <w:adjustRightInd w:val="0"/>
        <w:spacing w:line="360" w:lineRule="auto"/>
        <w:ind w:left="426"/>
        <w:contextualSpacing/>
        <w:jc w:val="both"/>
        <w:rPr>
          <w:rFonts w:asciiTheme="majorHAnsi" w:hAnsiTheme="majorHAnsi"/>
        </w:rPr>
      </w:pPr>
      <w:r w:rsidRPr="00754D8B">
        <w:rPr>
          <w:rFonts w:asciiTheme="majorHAnsi" w:hAnsiTheme="majorHAnsi"/>
        </w:rPr>
        <w:t>Previously, upon receiving the meter readings and load survey data from the MMG team, the billing team had to perform manual calculations and data entry into the FG system. This process was time consuming and prone to human error, which could result in incorrect billing. To address these challenges, team developed the Mangalam application.</w:t>
      </w:r>
    </w:p>
    <w:p w14:paraId="58A04468" w14:textId="77777777" w:rsidR="00115C9C" w:rsidRPr="005E1F8D" w:rsidRDefault="00115C9C" w:rsidP="00115C9C">
      <w:pPr>
        <w:autoSpaceDE w:val="0"/>
        <w:autoSpaceDN w:val="0"/>
        <w:adjustRightInd w:val="0"/>
        <w:spacing w:line="360" w:lineRule="auto"/>
        <w:ind w:left="426"/>
        <w:contextualSpacing/>
        <w:jc w:val="both"/>
        <w:rPr>
          <w:rFonts w:asciiTheme="majorHAnsi" w:hAnsiTheme="majorHAnsi"/>
        </w:rPr>
      </w:pPr>
      <w:r w:rsidRPr="00754D8B">
        <w:rPr>
          <w:rFonts w:asciiTheme="majorHAnsi" w:hAnsiTheme="majorHAnsi"/>
        </w:rPr>
        <w:t>In line with our commitment to digitalization of the billing processes, the RCM (Non-SBM) and IT team has successfully developed and implemented a digital application named “Mangalam” for automating the billing process of EHT consumers and selected HT consumers.</w:t>
      </w:r>
      <w:r>
        <w:rPr>
          <w:rFonts w:asciiTheme="majorHAnsi" w:hAnsiTheme="majorHAnsi"/>
        </w:rPr>
        <w:t xml:space="preserve"> </w:t>
      </w:r>
      <w:r w:rsidRPr="005E1F8D">
        <w:rPr>
          <w:rFonts w:asciiTheme="majorHAnsi" w:hAnsiTheme="majorHAnsi"/>
        </w:rPr>
        <w:t>Key Benefits</w:t>
      </w:r>
      <w:r>
        <w:rPr>
          <w:rFonts w:asciiTheme="majorHAnsi" w:hAnsiTheme="majorHAnsi"/>
        </w:rPr>
        <w:t xml:space="preserve"> are as follows:</w:t>
      </w:r>
    </w:p>
    <w:p w14:paraId="176D2798" w14:textId="77777777" w:rsidR="00115C9C" w:rsidRPr="005E1F8D" w:rsidRDefault="00115C9C" w:rsidP="00056389">
      <w:pPr>
        <w:pStyle w:val="ListParagraph"/>
        <w:numPr>
          <w:ilvl w:val="0"/>
          <w:numId w:val="61"/>
        </w:numPr>
        <w:autoSpaceDE w:val="0"/>
        <w:autoSpaceDN w:val="0"/>
        <w:adjustRightInd w:val="0"/>
        <w:spacing w:line="360" w:lineRule="auto"/>
        <w:jc w:val="both"/>
        <w:rPr>
          <w:rFonts w:asciiTheme="majorHAnsi" w:hAnsiTheme="majorHAnsi"/>
          <w:sz w:val="24"/>
          <w:szCs w:val="24"/>
        </w:rPr>
      </w:pPr>
      <w:r w:rsidRPr="005E1F8D">
        <w:rPr>
          <w:rFonts w:asciiTheme="majorHAnsi" w:hAnsiTheme="majorHAnsi"/>
          <w:sz w:val="24"/>
          <w:szCs w:val="24"/>
        </w:rPr>
        <w:t xml:space="preserve">Time Efficiency – Significantly reduces processing time. </w:t>
      </w:r>
    </w:p>
    <w:p w14:paraId="5194B594" w14:textId="77777777" w:rsidR="00115C9C" w:rsidRPr="005E1F8D" w:rsidRDefault="00115C9C" w:rsidP="00056389">
      <w:pPr>
        <w:pStyle w:val="ListParagraph"/>
        <w:numPr>
          <w:ilvl w:val="0"/>
          <w:numId w:val="61"/>
        </w:numPr>
        <w:autoSpaceDE w:val="0"/>
        <w:autoSpaceDN w:val="0"/>
        <w:adjustRightInd w:val="0"/>
        <w:spacing w:line="360" w:lineRule="auto"/>
        <w:jc w:val="both"/>
        <w:rPr>
          <w:rFonts w:asciiTheme="majorHAnsi" w:hAnsiTheme="majorHAnsi"/>
          <w:sz w:val="24"/>
          <w:szCs w:val="24"/>
        </w:rPr>
      </w:pPr>
      <w:r w:rsidRPr="005E1F8D">
        <w:rPr>
          <w:rFonts w:asciiTheme="majorHAnsi" w:hAnsiTheme="majorHAnsi"/>
          <w:sz w:val="24"/>
          <w:szCs w:val="24"/>
        </w:rPr>
        <w:t>Improved Accuracy – Minimizes the chances of billing errors by eliminating manual intervention.</w:t>
      </w:r>
    </w:p>
    <w:p w14:paraId="5106D3EB" w14:textId="77777777" w:rsidR="00115C9C" w:rsidRPr="005E1F8D" w:rsidRDefault="00115C9C" w:rsidP="00056389">
      <w:pPr>
        <w:pStyle w:val="ListParagraph"/>
        <w:numPr>
          <w:ilvl w:val="0"/>
          <w:numId w:val="61"/>
        </w:numPr>
        <w:autoSpaceDE w:val="0"/>
        <w:autoSpaceDN w:val="0"/>
        <w:adjustRightInd w:val="0"/>
        <w:spacing w:after="240" w:line="360" w:lineRule="auto"/>
        <w:ind w:hanging="357"/>
        <w:contextualSpacing w:val="0"/>
        <w:jc w:val="both"/>
        <w:rPr>
          <w:rFonts w:asciiTheme="majorHAnsi" w:hAnsiTheme="majorHAnsi"/>
          <w:sz w:val="24"/>
          <w:szCs w:val="24"/>
        </w:rPr>
      </w:pPr>
      <w:r w:rsidRPr="005E1F8D">
        <w:rPr>
          <w:rFonts w:asciiTheme="majorHAnsi" w:hAnsiTheme="majorHAnsi"/>
          <w:sz w:val="24"/>
          <w:szCs w:val="24"/>
        </w:rPr>
        <w:t>Centralized Data Access – Ensures monthly readings and consumption records availability on a single digital platform.</w:t>
      </w:r>
    </w:p>
    <w:p w14:paraId="0DFCC075" w14:textId="77777777" w:rsidR="00115C9C" w:rsidRPr="002C7ABE" w:rsidRDefault="00115C9C" w:rsidP="00056389">
      <w:pPr>
        <w:pStyle w:val="ListParagraph"/>
        <w:numPr>
          <w:ilvl w:val="1"/>
          <w:numId w:val="58"/>
        </w:numPr>
        <w:spacing w:after="240" w:line="360" w:lineRule="auto"/>
        <w:ind w:left="426" w:hanging="357"/>
        <w:contextualSpacing w:val="0"/>
        <w:jc w:val="both"/>
        <w:rPr>
          <w:rFonts w:asciiTheme="majorHAnsi" w:hAnsiTheme="majorHAnsi"/>
          <w:b/>
          <w:bCs/>
          <w:sz w:val="24"/>
          <w:szCs w:val="24"/>
          <w:u w:val="single"/>
        </w:rPr>
      </w:pPr>
      <w:r w:rsidRPr="006D1999">
        <w:rPr>
          <w:rFonts w:asciiTheme="majorHAnsi" w:hAnsiTheme="majorHAnsi" w:cstheme="minorHAnsi"/>
          <w:b/>
          <w:bCs/>
          <w:sz w:val="24"/>
          <w:szCs w:val="24"/>
          <w:u w:val="single"/>
        </w:rPr>
        <w:t>Implementation</w:t>
      </w:r>
      <w:r w:rsidRPr="002C7ABE">
        <w:rPr>
          <w:rFonts w:asciiTheme="majorHAnsi" w:hAnsiTheme="majorHAnsi"/>
          <w:b/>
          <w:bCs/>
          <w:sz w:val="24"/>
          <w:szCs w:val="24"/>
          <w:u w:val="single"/>
        </w:rPr>
        <w:t xml:space="preserve"> of M-CAS App to boost ECL Collection</w:t>
      </w:r>
    </w:p>
    <w:p w14:paraId="346FF310" w14:textId="77777777" w:rsidR="00115C9C" w:rsidRPr="002C7ABE" w:rsidRDefault="00115C9C" w:rsidP="00115C9C">
      <w:pPr>
        <w:autoSpaceDE w:val="0"/>
        <w:autoSpaceDN w:val="0"/>
        <w:adjustRightInd w:val="0"/>
        <w:spacing w:line="360" w:lineRule="auto"/>
        <w:ind w:left="426"/>
        <w:contextualSpacing/>
        <w:jc w:val="both"/>
        <w:rPr>
          <w:rFonts w:asciiTheme="majorHAnsi" w:hAnsiTheme="majorHAnsi"/>
        </w:rPr>
      </w:pPr>
      <w:r w:rsidRPr="002C7ABE">
        <w:rPr>
          <w:rFonts w:asciiTheme="majorHAnsi" w:hAnsiTheme="majorHAnsi"/>
        </w:rPr>
        <w:t>ECL collection is a major concern for the organization. The primary objective of this application is to track the Bill Collector-wise daily ECL collection, real-time monitoring of the coverage of ECL consumer from their allocated ECL base and follow up for Unpaid Consumers</w:t>
      </w:r>
      <w:r>
        <w:rPr>
          <w:rFonts w:asciiTheme="majorHAnsi" w:hAnsiTheme="majorHAnsi"/>
        </w:rPr>
        <w:t xml:space="preserve"> and </w:t>
      </w:r>
      <w:r w:rsidRPr="002C7ABE">
        <w:rPr>
          <w:rFonts w:asciiTheme="majorHAnsi" w:hAnsiTheme="majorHAnsi"/>
        </w:rPr>
        <w:t>monitoring performance of Bill Collectors in real-time.</w:t>
      </w:r>
      <w:r>
        <w:rPr>
          <w:rFonts w:asciiTheme="majorHAnsi" w:hAnsiTheme="majorHAnsi"/>
        </w:rPr>
        <w:t xml:space="preserve"> </w:t>
      </w:r>
      <w:r w:rsidRPr="002C7ABE">
        <w:rPr>
          <w:rFonts w:asciiTheme="majorHAnsi" w:hAnsiTheme="majorHAnsi"/>
        </w:rPr>
        <w:t>The M-CAS application provides users with a fingertip tracking mechanism. It is easily accessible on mobile devices (currently supported on Android). Based on the Section selected by the user, the app displays the performance of Bill Collectors mapped to that Section.</w:t>
      </w:r>
    </w:p>
    <w:p w14:paraId="45CC8D3F" w14:textId="77777777" w:rsidR="00115C9C" w:rsidRDefault="00115C9C" w:rsidP="00115C9C">
      <w:pPr>
        <w:autoSpaceDE w:val="0"/>
        <w:autoSpaceDN w:val="0"/>
        <w:adjustRightInd w:val="0"/>
        <w:spacing w:line="360" w:lineRule="auto"/>
        <w:contextualSpacing/>
        <w:jc w:val="both"/>
        <w:rPr>
          <w:rFonts w:asciiTheme="majorHAnsi" w:hAnsiTheme="majorHAnsi"/>
        </w:rPr>
      </w:pPr>
    </w:p>
    <w:p w14:paraId="53537AF5" w14:textId="77777777" w:rsidR="00115C9C" w:rsidRPr="0058481D" w:rsidRDefault="00115C9C" w:rsidP="00056389">
      <w:pPr>
        <w:pStyle w:val="ListParagraph"/>
        <w:numPr>
          <w:ilvl w:val="1"/>
          <w:numId w:val="58"/>
        </w:numPr>
        <w:spacing w:after="0" w:line="360" w:lineRule="auto"/>
        <w:ind w:left="426"/>
        <w:contextualSpacing w:val="0"/>
        <w:jc w:val="both"/>
        <w:rPr>
          <w:rFonts w:asciiTheme="majorHAnsi" w:hAnsiTheme="majorHAnsi"/>
          <w:b/>
          <w:bCs/>
          <w:sz w:val="24"/>
          <w:szCs w:val="24"/>
          <w:u w:val="single"/>
        </w:rPr>
      </w:pPr>
      <w:r w:rsidRPr="006D1999">
        <w:rPr>
          <w:rFonts w:asciiTheme="majorHAnsi" w:hAnsiTheme="majorHAnsi" w:cstheme="minorHAnsi"/>
          <w:b/>
          <w:bCs/>
          <w:sz w:val="24"/>
          <w:szCs w:val="24"/>
          <w:u w:val="single"/>
        </w:rPr>
        <w:t>Implementation</w:t>
      </w:r>
      <w:r w:rsidRPr="0058481D">
        <w:rPr>
          <w:rFonts w:asciiTheme="majorHAnsi" w:hAnsiTheme="majorHAnsi"/>
          <w:b/>
          <w:bCs/>
          <w:sz w:val="24"/>
          <w:szCs w:val="24"/>
          <w:u w:val="single"/>
        </w:rPr>
        <w:t xml:space="preserve"> of new PAY &amp; WIN App</w:t>
      </w:r>
    </w:p>
    <w:p w14:paraId="44A0F760" w14:textId="77777777" w:rsidR="00115C9C" w:rsidRDefault="00115C9C" w:rsidP="00115C9C">
      <w:pPr>
        <w:pStyle w:val="ListParagraph"/>
        <w:spacing w:after="0" w:line="360" w:lineRule="auto"/>
        <w:ind w:left="426"/>
        <w:contextualSpacing w:val="0"/>
        <w:jc w:val="both"/>
        <w:rPr>
          <w:rFonts w:asciiTheme="majorHAnsi" w:hAnsiTheme="majorHAnsi"/>
          <w:sz w:val="24"/>
          <w:szCs w:val="24"/>
        </w:rPr>
      </w:pPr>
      <w:r w:rsidRPr="0058481D">
        <w:rPr>
          <w:rFonts w:asciiTheme="majorHAnsi" w:hAnsiTheme="majorHAnsi"/>
          <w:sz w:val="24"/>
          <w:szCs w:val="24"/>
        </w:rPr>
        <w:t xml:space="preserve">In alignment with our ongoing commitment to sustainable and reliable energy distribution, the company is pleased to roll-out the first lot of Prize items for the "Pay n Win - </w:t>
      </w:r>
      <w:proofErr w:type="spellStart"/>
      <w:r w:rsidRPr="0058481D">
        <w:rPr>
          <w:rFonts w:asciiTheme="majorHAnsi" w:hAnsiTheme="majorHAnsi"/>
          <w:sz w:val="24"/>
          <w:szCs w:val="24"/>
        </w:rPr>
        <w:t>Khul</w:t>
      </w:r>
      <w:proofErr w:type="spellEnd"/>
      <w:r w:rsidRPr="0058481D">
        <w:rPr>
          <w:rFonts w:asciiTheme="majorHAnsi" w:hAnsiTheme="majorHAnsi"/>
          <w:sz w:val="24"/>
          <w:szCs w:val="24"/>
        </w:rPr>
        <w:t xml:space="preserve"> Ja Sim </w:t>
      </w:r>
      <w:proofErr w:type="spellStart"/>
      <w:r w:rsidRPr="0058481D">
        <w:rPr>
          <w:rFonts w:asciiTheme="majorHAnsi" w:hAnsiTheme="majorHAnsi"/>
          <w:sz w:val="24"/>
          <w:szCs w:val="24"/>
        </w:rPr>
        <w:t>Sim</w:t>
      </w:r>
      <w:proofErr w:type="spellEnd"/>
      <w:r w:rsidRPr="0058481D">
        <w:rPr>
          <w:rFonts w:asciiTheme="majorHAnsi" w:hAnsiTheme="majorHAnsi"/>
          <w:sz w:val="24"/>
          <w:szCs w:val="24"/>
        </w:rPr>
        <w:t>" scheme. This scheme is designed to reward consumers who demonstrate consistent discipline – “Zero Arrears” in paying their monthly energy bills. To complement this initiative, a comprehensive marketing campaign is already rolled out to raise awareness among regular paying &amp; non-paying consumers, encouraging them to settle their bills and stand a chance to win exciting prizes.</w:t>
      </w:r>
    </w:p>
    <w:p w14:paraId="5E44B5C7" w14:textId="77777777" w:rsidR="00492390" w:rsidRDefault="00492390" w:rsidP="00115C9C">
      <w:pPr>
        <w:pStyle w:val="ListParagraph"/>
        <w:spacing w:after="0" w:line="360" w:lineRule="auto"/>
        <w:ind w:left="0"/>
        <w:contextualSpacing w:val="0"/>
        <w:jc w:val="both"/>
        <w:rPr>
          <w:rFonts w:asciiTheme="majorHAnsi" w:hAnsiTheme="majorHAnsi"/>
          <w:sz w:val="24"/>
          <w:szCs w:val="24"/>
        </w:rPr>
      </w:pPr>
    </w:p>
    <w:p w14:paraId="7E257681" w14:textId="77777777" w:rsidR="00115C9C" w:rsidRDefault="00115C9C" w:rsidP="001972DE">
      <w:pPr>
        <w:pStyle w:val="ListParagraph"/>
        <w:numPr>
          <w:ilvl w:val="0"/>
          <w:numId w:val="12"/>
        </w:numPr>
        <w:spacing w:after="0" w:line="360" w:lineRule="auto"/>
        <w:ind w:left="0"/>
        <w:contextualSpacing w:val="0"/>
        <w:jc w:val="both"/>
        <w:rPr>
          <w:rFonts w:asciiTheme="majorHAnsi" w:hAnsiTheme="majorHAnsi" w:cstheme="minorHAnsi"/>
          <w:b/>
          <w:bCs/>
          <w:sz w:val="24"/>
          <w:szCs w:val="24"/>
          <w:u w:val="single"/>
        </w:rPr>
      </w:pPr>
      <w:r w:rsidRPr="00DF2FF7">
        <w:rPr>
          <w:rFonts w:asciiTheme="majorHAnsi" w:hAnsiTheme="majorHAnsi" w:cstheme="minorHAnsi"/>
          <w:b/>
          <w:bCs/>
          <w:sz w:val="24"/>
          <w:szCs w:val="24"/>
          <w:u w:val="single"/>
        </w:rPr>
        <w:t>Initiatives and Development towards ERP</w:t>
      </w:r>
      <w:r>
        <w:rPr>
          <w:rFonts w:asciiTheme="majorHAnsi" w:hAnsiTheme="majorHAnsi" w:cstheme="minorHAnsi"/>
          <w:b/>
          <w:bCs/>
          <w:sz w:val="24"/>
          <w:szCs w:val="24"/>
          <w:u w:val="single"/>
        </w:rPr>
        <w:t>:</w:t>
      </w:r>
    </w:p>
    <w:p w14:paraId="7E404173" w14:textId="77777777" w:rsidR="00115C9C" w:rsidRDefault="00115C9C" w:rsidP="00115C9C">
      <w:pPr>
        <w:pStyle w:val="ListParagraph"/>
        <w:spacing w:after="0" w:line="360" w:lineRule="auto"/>
        <w:ind w:left="0"/>
        <w:contextualSpacing w:val="0"/>
        <w:jc w:val="both"/>
        <w:rPr>
          <w:rFonts w:asciiTheme="majorHAnsi" w:hAnsiTheme="majorHAnsi"/>
          <w:sz w:val="24"/>
          <w:szCs w:val="24"/>
        </w:rPr>
      </w:pPr>
      <w:r w:rsidRPr="008F03C7">
        <w:rPr>
          <w:rFonts w:asciiTheme="majorHAnsi" w:hAnsiTheme="majorHAnsi"/>
          <w:sz w:val="24"/>
          <w:szCs w:val="24"/>
        </w:rPr>
        <w:t>ERP (Enterprise Resource Planning) initiatives are essential for Utility companies because they streamline operations, improve efficiency, and enable better decision-making in a highly complex and regulated environment. Utilities manage multiple functions like; billing, procurement, inventory, HR, finance, and customer service. ERP integrates these into a single platform, reducing silos and improving coordination. Below mentioned are few major initiatives taken during FY2024-25</w:t>
      </w:r>
      <w:r>
        <w:rPr>
          <w:rFonts w:asciiTheme="majorHAnsi" w:hAnsiTheme="majorHAnsi"/>
          <w:sz w:val="24"/>
          <w:szCs w:val="24"/>
        </w:rPr>
        <w:t>:</w:t>
      </w:r>
    </w:p>
    <w:p w14:paraId="021BCC19" w14:textId="77777777" w:rsidR="00115C9C" w:rsidRDefault="00115C9C" w:rsidP="00115C9C">
      <w:pPr>
        <w:pStyle w:val="ListParagraph"/>
        <w:spacing w:after="0" w:line="360" w:lineRule="auto"/>
        <w:ind w:left="0"/>
        <w:contextualSpacing w:val="0"/>
        <w:jc w:val="both"/>
        <w:rPr>
          <w:rFonts w:asciiTheme="majorHAnsi" w:hAnsiTheme="majorHAnsi"/>
          <w:sz w:val="24"/>
          <w:szCs w:val="24"/>
        </w:rPr>
      </w:pPr>
    </w:p>
    <w:p w14:paraId="7F717D2C" w14:textId="77777777" w:rsidR="00115C9C" w:rsidRDefault="00115C9C" w:rsidP="00056389">
      <w:pPr>
        <w:pStyle w:val="ListParagraph"/>
        <w:numPr>
          <w:ilvl w:val="1"/>
          <w:numId w:val="62"/>
        </w:numPr>
        <w:spacing w:after="240" w:line="360" w:lineRule="auto"/>
        <w:ind w:left="567" w:hanging="357"/>
        <w:contextualSpacing w:val="0"/>
        <w:jc w:val="both"/>
        <w:rPr>
          <w:rFonts w:asciiTheme="majorHAnsi" w:hAnsiTheme="majorHAnsi" w:cstheme="minorHAnsi"/>
          <w:sz w:val="24"/>
          <w:szCs w:val="24"/>
        </w:rPr>
      </w:pPr>
      <w:r w:rsidRPr="00861BEF">
        <w:rPr>
          <w:rFonts w:asciiTheme="majorHAnsi" w:hAnsiTheme="majorHAnsi" w:cstheme="minorHAnsi"/>
          <w:b/>
          <w:bCs/>
          <w:sz w:val="24"/>
          <w:szCs w:val="24"/>
          <w:u w:val="single"/>
        </w:rPr>
        <w:t>PSS Daily Inspection (PDI) Mobile App:</w:t>
      </w:r>
      <w:r w:rsidRPr="00861BEF">
        <w:rPr>
          <w:rFonts w:asciiTheme="majorHAnsi" w:hAnsiTheme="majorHAnsi" w:cstheme="minorHAnsi"/>
          <w:b/>
          <w:bCs/>
          <w:sz w:val="24"/>
          <w:szCs w:val="24"/>
        </w:rPr>
        <w:t xml:space="preserve"> </w:t>
      </w:r>
      <w:r w:rsidRPr="00861BEF">
        <w:rPr>
          <w:rFonts w:asciiTheme="majorHAnsi" w:hAnsiTheme="majorHAnsi" w:cstheme="minorHAnsi"/>
          <w:sz w:val="24"/>
          <w:szCs w:val="24"/>
        </w:rPr>
        <w:t>PPS Operators were maintaining the health record of the PSS equipment's manually in the physical logbook. A Mobile application has been developed for the Condition monitoring of the PSS equipment in each shift by PSS operators. This helps to capture the Realtime data remotely.</w:t>
      </w:r>
    </w:p>
    <w:p w14:paraId="3FDBF3A1" w14:textId="77777777" w:rsidR="00115C9C" w:rsidRDefault="00115C9C" w:rsidP="00056389">
      <w:pPr>
        <w:pStyle w:val="ListParagraph"/>
        <w:numPr>
          <w:ilvl w:val="1"/>
          <w:numId w:val="62"/>
        </w:numPr>
        <w:spacing w:after="240" w:line="360" w:lineRule="auto"/>
        <w:ind w:left="567" w:hanging="357"/>
        <w:contextualSpacing w:val="0"/>
        <w:jc w:val="both"/>
        <w:rPr>
          <w:rFonts w:asciiTheme="majorHAnsi" w:hAnsiTheme="majorHAnsi" w:cstheme="minorHAnsi"/>
          <w:sz w:val="24"/>
          <w:szCs w:val="24"/>
        </w:rPr>
      </w:pPr>
      <w:r w:rsidRPr="00421F72">
        <w:rPr>
          <w:rFonts w:asciiTheme="majorHAnsi" w:hAnsiTheme="majorHAnsi" w:cstheme="minorHAnsi"/>
          <w:b/>
          <w:bCs/>
          <w:sz w:val="24"/>
          <w:szCs w:val="24"/>
          <w:u w:val="single"/>
        </w:rPr>
        <w:t xml:space="preserve">Suraksha </w:t>
      </w:r>
      <w:proofErr w:type="spellStart"/>
      <w:r w:rsidRPr="00421F72">
        <w:rPr>
          <w:rFonts w:asciiTheme="majorHAnsi" w:hAnsiTheme="majorHAnsi" w:cstheme="minorHAnsi"/>
          <w:b/>
          <w:bCs/>
          <w:sz w:val="24"/>
          <w:szCs w:val="24"/>
          <w:u w:val="single"/>
        </w:rPr>
        <w:t>Kavach</w:t>
      </w:r>
      <w:proofErr w:type="spellEnd"/>
      <w:r w:rsidRPr="00421F72">
        <w:rPr>
          <w:rFonts w:asciiTheme="majorHAnsi" w:hAnsiTheme="majorHAnsi" w:cstheme="minorHAnsi"/>
          <w:b/>
          <w:bCs/>
          <w:sz w:val="24"/>
          <w:szCs w:val="24"/>
          <w:u w:val="single"/>
        </w:rPr>
        <w:t xml:space="preserve"> 3.0 Project: </w:t>
      </w:r>
      <w:r w:rsidRPr="00421F72">
        <w:rPr>
          <w:rFonts w:asciiTheme="majorHAnsi" w:hAnsiTheme="majorHAnsi" w:cstheme="minorHAnsi"/>
          <w:sz w:val="24"/>
          <w:szCs w:val="24"/>
        </w:rPr>
        <w:t>Bridging People, Process &amp; Technology for Zero Incidents. Integration with AI/ML assisted method ensuring all HT work happens only after foolproof isolation achieved through Agile Maker checker system providing real time information to all stakeholders. Ensure work site is isolated &amp; process followed is foolproof, transparent &amp; under control of lineman</w:t>
      </w:r>
      <w:r>
        <w:rPr>
          <w:rFonts w:asciiTheme="majorHAnsi" w:hAnsiTheme="majorHAnsi" w:cstheme="minorHAnsi"/>
          <w:sz w:val="24"/>
          <w:szCs w:val="24"/>
        </w:rPr>
        <w:t xml:space="preserve"> </w:t>
      </w:r>
      <w:r w:rsidRPr="00421F72">
        <w:rPr>
          <w:rFonts w:asciiTheme="majorHAnsi" w:hAnsiTheme="majorHAnsi" w:cstheme="minorHAnsi"/>
          <w:sz w:val="24"/>
          <w:szCs w:val="24"/>
        </w:rPr>
        <w:t>Ensure all safety protocols are followed at site</w:t>
      </w:r>
      <w:r>
        <w:rPr>
          <w:rFonts w:asciiTheme="majorHAnsi" w:hAnsiTheme="majorHAnsi" w:cstheme="minorHAnsi"/>
          <w:sz w:val="24"/>
          <w:szCs w:val="24"/>
        </w:rPr>
        <w:t>.</w:t>
      </w:r>
    </w:p>
    <w:p w14:paraId="741E2E98" w14:textId="77777777" w:rsidR="00115C9C" w:rsidRPr="00456D53" w:rsidRDefault="00115C9C" w:rsidP="00056389">
      <w:pPr>
        <w:pStyle w:val="ListParagraph"/>
        <w:numPr>
          <w:ilvl w:val="1"/>
          <w:numId w:val="62"/>
        </w:numPr>
        <w:spacing w:after="240" w:line="360" w:lineRule="auto"/>
        <w:ind w:left="567" w:hanging="357"/>
        <w:contextualSpacing w:val="0"/>
        <w:jc w:val="both"/>
        <w:rPr>
          <w:rFonts w:asciiTheme="majorHAnsi" w:hAnsiTheme="majorHAnsi" w:cstheme="minorHAnsi"/>
          <w:b/>
          <w:bCs/>
          <w:sz w:val="24"/>
          <w:szCs w:val="24"/>
          <w:u w:val="single"/>
        </w:rPr>
      </w:pPr>
      <w:r w:rsidRPr="00A53122">
        <w:rPr>
          <w:rFonts w:asciiTheme="majorHAnsi" w:hAnsiTheme="majorHAnsi" w:cstheme="minorHAnsi"/>
          <w:b/>
          <w:bCs/>
          <w:sz w:val="24"/>
          <w:szCs w:val="24"/>
          <w:u w:val="single"/>
        </w:rPr>
        <w:t>DT Breakdown Analysis Report</w:t>
      </w:r>
      <w:r>
        <w:rPr>
          <w:rFonts w:asciiTheme="majorHAnsi" w:hAnsiTheme="majorHAnsi" w:cstheme="minorHAnsi"/>
          <w:b/>
          <w:bCs/>
          <w:sz w:val="24"/>
          <w:szCs w:val="24"/>
          <w:u w:val="single"/>
        </w:rPr>
        <w:t xml:space="preserve">: </w:t>
      </w:r>
      <w:r w:rsidRPr="00F77DC1">
        <w:rPr>
          <w:rFonts w:asciiTheme="majorHAnsi" w:hAnsiTheme="majorHAnsi" w:cstheme="minorHAnsi"/>
          <w:sz w:val="24"/>
          <w:szCs w:val="24"/>
        </w:rPr>
        <w:t>To track the total number of DT failed at Site, Breakdown report entry has been provisioned to Field operation team and workflow-based approval has been setup to certify the Breakdown entry. The Breakdown details help to identify the reason of failure and take corrective action to prevent the failure.</w:t>
      </w:r>
    </w:p>
    <w:p w14:paraId="44EE6585" w14:textId="77777777" w:rsidR="00115C9C" w:rsidRPr="00675820" w:rsidRDefault="00115C9C" w:rsidP="00056389">
      <w:pPr>
        <w:pStyle w:val="ListParagraph"/>
        <w:numPr>
          <w:ilvl w:val="1"/>
          <w:numId w:val="62"/>
        </w:numPr>
        <w:spacing w:after="240" w:line="360" w:lineRule="auto"/>
        <w:ind w:left="567"/>
        <w:jc w:val="both"/>
        <w:rPr>
          <w:rFonts w:asciiTheme="majorHAnsi" w:hAnsiTheme="majorHAnsi" w:cstheme="minorHAnsi"/>
          <w:b/>
          <w:bCs/>
          <w:sz w:val="24"/>
          <w:szCs w:val="24"/>
          <w:u w:val="single"/>
        </w:rPr>
      </w:pPr>
      <w:r w:rsidRPr="000340E4">
        <w:rPr>
          <w:rFonts w:asciiTheme="majorHAnsi" w:hAnsiTheme="majorHAnsi" w:cstheme="minorHAnsi"/>
          <w:b/>
          <w:bCs/>
          <w:sz w:val="24"/>
          <w:szCs w:val="24"/>
          <w:u w:val="single"/>
        </w:rPr>
        <w:t>Warranty Management Process</w:t>
      </w:r>
      <w:r>
        <w:rPr>
          <w:rFonts w:asciiTheme="majorHAnsi" w:hAnsiTheme="majorHAnsi" w:cstheme="minorHAnsi"/>
          <w:b/>
          <w:bCs/>
          <w:sz w:val="24"/>
          <w:szCs w:val="24"/>
          <w:u w:val="single"/>
        </w:rPr>
        <w:t xml:space="preserve">: </w:t>
      </w:r>
      <w:r w:rsidRPr="00675820">
        <w:rPr>
          <w:rFonts w:asciiTheme="majorHAnsi" w:hAnsiTheme="majorHAnsi" w:cstheme="minorHAnsi"/>
          <w:sz w:val="24"/>
          <w:szCs w:val="24"/>
        </w:rPr>
        <w:t>Implementation of the Warranty Management System in SAP. The Process enhances operational efficiency and reduces costs while ensuring robust warranty tracking mechanisms.</w:t>
      </w:r>
    </w:p>
    <w:p w14:paraId="08B9732A" w14:textId="77777777" w:rsidR="00115C9C" w:rsidRPr="008A0538" w:rsidRDefault="00115C9C" w:rsidP="00115C9C">
      <w:pPr>
        <w:pStyle w:val="ListParagraph"/>
        <w:spacing w:after="240" w:line="360" w:lineRule="auto"/>
        <w:ind w:left="567"/>
        <w:jc w:val="both"/>
        <w:rPr>
          <w:rFonts w:asciiTheme="majorHAnsi" w:hAnsiTheme="majorHAnsi" w:cstheme="minorHAnsi"/>
          <w:sz w:val="24"/>
          <w:szCs w:val="24"/>
        </w:rPr>
      </w:pPr>
      <w:r w:rsidRPr="008A0538">
        <w:rPr>
          <w:rFonts w:asciiTheme="majorHAnsi" w:hAnsiTheme="majorHAnsi" w:cstheme="minorHAnsi"/>
          <w:sz w:val="24"/>
          <w:szCs w:val="24"/>
        </w:rPr>
        <w:t>Efficient Monitoring: Real-time tracking of warranties using diverse inputs for the serialized materials.</w:t>
      </w:r>
    </w:p>
    <w:p w14:paraId="4D83CF8C" w14:textId="77777777" w:rsidR="00115C9C" w:rsidRPr="008A0538" w:rsidRDefault="00115C9C" w:rsidP="00115C9C">
      <w:pPr>
        <w:pStyle w:val="ListParagraph"/>
        <w:spacing w:after="240" w:line="360" w:lineRule="auto"/>
        <w:ind w:left="567"/>
        <w:jc w:val="both"/>
        <w:rPr>
          <w:rFonts w:asciiTheme="majorHAnsi" w:hAnsiTheme="majorHAnsi" w:cstheme="minorHAnsi"/>
          <w:sz w:val="24"/>
          <w:szCs w:val="24"/>
        </w:rPr>
      </w:pPr>
      <w:r w:rsidRPr="008A0538">
        <w:rPr>
          <w:rFonts w:asciiTheme="majorHAnsi" w:hAnsiTheme="majorHAnsi" w:cstheme="minorHAnsi"/>
          <w:sz w:val="24"/>
          <w:szCs w:val="24"/>
        </w:rPr>
        <w:t>Optimized Procurement: Enables timely planning for spares based on warranty validity and expiry.</w:t>
      </w:r>
    </w:p>
    <w:p w14:paraId="54BE1E07" w14:textId="77777777" w:rsidR="00115C9C" w:rsidRPr="008A0538" w:rsidRDefault="00115C9C" w:rsidP="00115C9C">
      <w:pPr>
        <w:pStyle w:val="ListParagraph"/>
        <w:spacing w:after="240" w:line="360" w:lineRule="auto"/>
        <w:ind w:left="567"/>
        <w:jc w:val="both"/>
        <w:rPr>
          <w:rFonts w:asciiTheme="majorHAnsi" w:hAnsiTheme="majorHAnsi" w:cstheme="minorHAnsi"/>
          <w:sz w:val="24"/>
          <w:szCs w:val="24"/>
        </w:rPr>
      </w:pPr>
      <w:r w:rsidRPr="008A0538">
        <w:rPr>
          <w:rFonts w:asciiTheme="majorHAnsi" w:hAnsiTheme="majorHAnsi" w:cstheme="minorHAnsi"/>
          <w:sz w:val="24"/>
          <w:szCs w:val="24"/>
        </w:rPr>
        <w:t xml:space="preserve">Cost Savings: Reduces </w:t>
      </w:r>
      <w:proofErr w:type="spellStart"/>
      <w:r w:rsidRPr="008A0538">
        <w:rPr>
          <w:rFonts w:asciiTheme="majorHAnsi" w:hAnsiTheme="majorHAnsi" w:cstheme="minorHAnsi"/>
          <w:sz w:val="24"/>
          <w:szCs w:val="24"/>
        </w:rPr>
        <w:t>Opex</w:t>
      </w:r>
      <w:proofErr w:type="spellEnd"/>
      <w:r w:rsidRPr="008A0538">
        <w:rPr>
          <w:rFonts w:asciiTheme="majorHAnsi" w:hAnsiTheme="majorHAnsi" w:cstheme="minorHAnsi"/>
          <w:sz w:val="24"/>
          <w:szCs w:val="24"/>
        </w:rPr>
        <w:t xml:space="preserve"> costs by eliminating unnecessary purchases during warranty periods.</w:t>
      </w:r>
    </w:p>
    <w:p w14:paraId="1C92C92A" w14:textId="77777777" w:rsidR="00115C9C" w:rsidRPr="008A0538" w:rsidRDefault="00115C9C" w:rsidP="00115C9C">
      <w:pPr>
        <w:pStyle w:val="ListParagraph"/>
        <w:spacing w:after="240" w:line="360" w:lineRule="auto"/>
        <w:ind w:left="567"/>
        <w:jc w:val="both"/>
        <w:rPr>
          <w:rFonts w:asciiTheme="majorHAnsi" w:hAnsiTheme="majorHAnsi" w:cstheme="minorHAnsi"/>
          <w:sz w:val="24"/>
          <w:szCs w:val="24"/>
        </w:rPr>
      </w:pPr>
      <w:r w:rsidRPr="008A0538">
        <w:rPr>
          <w:rFonts w:asciiTheme="majorHAnsi" w:hAnsiTheme="majorHAnsi" w:cstheme="minorHAnsi"/>
          <w:sz w:val="24"/>
          <w:szCs w:val="24"/>
        </w:rPr>
        <w:t>Vendor Satisfaction: Simplifies warranty-related processes, such as issuing warranty bank guarantees, improving the Business Associate satisfaction index.</w:t>
      </w:r>
    </w:p>
    <w:p w14:paraId="463C02D6" w14:textId="77777777" w:rsidR="00115C9C" w:rsidRPr="00A53122" w:rsidRDefault="00115C9C" w:rsidP="00115C9C">
      <w:pPr>
        <w:pStyle w:val="ListParagraph"/>
        <w:spacing w:after="240" w:line="360" w:lineRule="auto"/>
        <w:ind w:left="567"/>
        <w:contextualSpacing w:val="0"/>
        <w:jc w:val="both"/>
        <w:rPr>
          <w:rFonts w:asciiTheme="majorHAnsi" w:hAnsiTheme="majorHAnsi" w:cstheme="minorHAnsi"/>
          <w:b/>
          <w:bCs/>
          <w:sz w:val="24"/>
          <w:szCs w:val="24"/>
          <w:u w:val="single"/>
        </w:rPr>
      </w:pPr>
      <w:r w:rsidRPr="008A0538">
        <w:rPr>
          <w:rFonts w:asciiTheme="majorHAnsi" w:hAnsiTheme="majorHAnsi" w:cstheme="minorHAnsi"/>
          <w:sz w:val="24"/>
          <w:szCs w:val="24"/>
        </w:rPr>
        <w:t>Proactive Notifications: Ensures departments are well-prepared for warranty expirations with sufficient lead time.</w:t>
      </w:r>
    </w:p>
    <w:p w14:paraId="07459686" w14:textId="77777777" w:rsidR="00115C9C" w:rsidRPr="0001555D" w:rsidRDefault="00115C9C" w:rsidP="00056389">
      <w:pPr>
        <w:pStyle w:val="ListParagraph"/>
        <w:numPr>
          <w:ilvl w:val="1"/>
          <w:numId w:val="62"/>
        </w:numPr>
        <w:spacing w:after="240" w:line="360" w:lineRule="auto"/>
        <w:ind w:left="567" w:hanging="357"/>
        <w:contextualSpacing w:val="0"/>
        <w:jc w:val="both"/>
        <w:rPr>
          <w:rFonts w:asciiTheme="majorHAnsi" w:hAnsiTheme="majorHAnsi" w:cstheme="minorHAnsi"/>
          <w:b/>
          <w:bCs/>
          <w:sz w:val="24"/>
          <w:szCs w:val="24"/>
          <w:u w:val="single"/>
        </w:rPr>
      </w:pPr>
      <w:r w:rsidRPr="00B0740E">
        <w:rPr>
          <w:rFonts w:asciiTheme="majorHAnsi" w:hAnsiTheme="majorHAnsi" w:cstheme="minorHAnsi"/>
          <w:b/>
          <w:bCs/>
          <w:sz w:val="24"/>
          <w:szCs w:val="24"/>
          <w:u w:val="single"/>
        </w:rPr>
        <w:t>CT/PT Failure Record</w:t>
      </w:r>
      <w:r>
        <w:rPr>
          <w:rFonts w:asciiTheme="majorHAnsi" w:hAnsiTheme="majorHAnsi" w:cstheme="minorHAnsi"/>
          <w:b/>
          <w:bCs/>
          <w:sz w:val="24"/>
          <w:szCs w:val="24"/>
          <w:u w:val="single"/>
        </w:rPr>
        <w:t xml:space="preserve">: </w:t>
      </w:r>
      <w:r w:rsidRPr="0001555D">
        <w:rPr>
          <w:rFonts w:asciiTheme="majorHAnsi" w:hAnsiTheme="majorHAnsi" w:cstheme="minorHAnsi"/>
          <w:sz w:val="24"/>
          <w:szCs w:val="24"/>
        </w:rPr>
        <w:t>MMG Team was unable to track the failure, return and new installation of the CTPT unit across various divisions which resulted in revenue leakage. New Notification Type and with Order type has been configured in the system to capture failure reason along with consumption posting of the stock to capture the failure reason and installation location.</w:t>
      </w:r>
    </w:p>
    <w:p w14:paraId="13AC50CC" w14:textId="77777777" w:rsidR="00115C9C" w:rsidRPr="00D65E52" w:rsidRDefault="00115C9C" w:rsidP="00056389">
      <w:pPr>
        <w:pStyle w:val="ListParagraph"/>
        <w:numPr>
          <w:ilvl w:val="1"/>
          <w:numId w:val="62"/>
        </w:numPr>
        <w:spacing w:after="240" w:line="360" w:lineRule="auto"/>
        <w:ind w:left="567" w:hanging="357"/>
        <w:contextualSpacing w:val="0"/>
        <w:jc w:val="both"/>
        <w:rPr>
          <w:rFonts w:asciiTheme="majorHAnsi" w:hAnsiTheme="majorHAnsi" w:cstheme="minorHAnsi"/>
          <w:b/>
          <w:bCs/>
          <w:sz w:val="24"/>
          <w:szCs w:val="24"/>
          <w:u w:val="single"/>
        </w:rPr>
      </w:pPr>
      <w:r w:rsidRPr="007B65BA">
        <w:rPr>
          <w:rFonts w:asciiTheme="majorHAnsi" w:hAnsiTheme="majorHAnsi" w:cstheme="minorHAnsi"/>
          <w:b/>
          <w:bCs/>
          <w:sz w:val="24"/>
          <w:szCs w:val="24"/>
          <w:u w:val="single"/>
        </w:rPr>
        <w:t>Digitalization of Material Site Inspection &amp; MDCC</w:t>
      </w:r>
      <w:r>
        <w:rPr>
          <w:rFonts w:asciiTheme="majorHAnsi" w:hAnsiTheme="majorHAnsi" w:cstheme="minorHAnsi"/>
          <w:b/>
          <w:bCs/>
          <w:sz w:val="24"/>
          <w:szCs w:val="24"/>
          <w:u w:val="single"/>
        </w:rPr>
        <w:t xml:space="preserve">: </w:t>
      </w:r>
      <w:r w:rsidRPr="00E46D3C">
        <w:rPr>
          <w:rFonts w:asciiTheme="majorHAnsi" w:hAnsiTheme="majorHAnsi" w:cstheme="minorHAnsi"/>
          <w:sz w:val="24"/>
          <w:szCs w:val="24"/>
        </w:rPr>
        <w:t xml:space="preserve">Material inspection activities at vendor premises are done manually in excel and word and approval process is on note sheet. There was no platform to capture the Engineering documents and Approval. There was manual intervention which was led to track, and processing of the information across department was processed manually. A process has been developed in SAP to cater the Engineering Approval, Assignment of </w:t>
      </w:r>
      <w:proofErr w:type="spellStart"/>
      <w:r w:rsidRPr="00E46D3C">
        <w:rPr>
          <w:rFonts w:asciiTheme="majorHAnsi" w:hAnsiTheme="majorHAnsi" w:cstheme="minorHAnsi"/>
          <w:sz w:val="24"/>
          <w:szCs w:val="24"/>
        </w:rPr>
        <w:t>Engg</w:t>
      </w:r>
      <w:proofErr w:type="spellEnd"/>
      <w:r w:rsidRPr="00E46D3C">
        <w:rPr>
          <w:rFonts w:asciiTheme="majorHAnsi" w:hAnsiTheme="majorHAnsi" w:cstheme="minorHAnsi"/>
          <w:sz w:val="24"/>
          <w:szCs w:val="24"/>
        </w:rPr>
        <w:t xml:space="preserve"> resource, Approval of Engineering document, Verification upload of Engineering and Inspection Document, Allocation of inspector, recording of the factory visit result, Allocation of Delivery quantity and generation of MDCC.</w:t>
      </w:r>
    </w:p>
    <w:p w14:paraId="54A46BD6" w14:textId="77777777" w:rsidR="00115C9C" w:rsidRPr="006A1CD6" w:rsidRDefault="00115C9C" w:rsidP="00056389">
      <w:pPr>
        <w:pStyle w:val="ListParagraph"/>
        <w:numPr>
          <w:ilvl w:val="1"/>
          <w:numId w:val="62"/>
        </w:numPr>
        <w:spacing w:after="240" w:line="360" w:lineRule="auto"/>
        <w:ind w:left="567" w:hanging="357"/>
        <w:contextualSpacing w:val="0"/>
        <w:jc w:val="both"/>
        <w:rPr>
          <w:rFonts w:asciiTheme="majorHAnsi" w:hAnsiTheme="majorHAnsi" w:cstheme="minorHAnsi"/>
          <w:sz w:val="24"/>
          <w:szCs w:val="24"/>
        </w:rPr>
      </w:pPr>
      <w:r w:rsidRPr="001724F3">
        <w:rPr>
          <w:rFonts w:asciiTheme="majorHAnsi" w:hAnsiTheme="majorHAnsi" w:cstheme="minorHAnsi"/>
          <w:b/>
          <w:bCs/>
          <w:sz w:val="24"/>
          <w:szCs w:val="24"/>
          <w:u w:val="single"/>
        </w:rPr>
        <w:t>ADMS and FCC Integration:</w:t>
      </w:r>
      <w:r>
        <w:rPr>
          <w:rFonts w:asciiTheme="majorHAnsi" w:hAnsiTheme="majorHAnsi" w:cstheme="minorHAnsi"/>
          <w:b/>
          <w:bCs/>
          <w:sz w:val="24"/>
          <w:szCs w:val="24"/>
        </w:rPr>
        <w:t xml:space="preserve"> </w:t>
      </w:r>
      <w:r w:rsidRPr="006A1CD6">
        <w:rPr>
          <w:rFonts w:asciiTheme="majorHAnsi" w:hAnsiTheme="majorHAnsi" w:cstheme="minorHAnsi"/>
          <w:sz w:val="24"/>
          <w:szCs w:val="24"/>
        </w:rPr>
        <w:t>Developed the interface between FCC and ADMS to enable real-time data exchange -Single NPS based Incident Developed for TPSODL and TPWODL and Grouped NPS based Incident planned in April25 - Training to all linemen for accommodating changes in FCC App prior to deployment. Integration of FCC and ADMS leads to faster restoration times through automation of the DMS, more efficient dispatching of crews during outages through FCC, and improved customer communications through FCC</w:t>
      </w:r>
    </w:p>
    <w:p w14:paraId="42C9E6C1" w14:textId="77777777" w:rsidR="00115C9C" w:rsidRPr="00955A95" w:rsidRDefault="00115C9C" w:rsidP="00115C9C">
      <w:pPr>
        <w:ind w:left="567" w:firstLine="360"/>
        <w:rPr>
          <w:rFonts w:ascii="Century Gothic" w:hAnsi="Century Gothic" w:cstheme="minorHAnsi"/>
          <w:sz w:val="18"/>
          <w:szCs w:val="18"/>
        </w:rPr>
      </w:pPr>
    </w:p>
    <w:p w14:paraId="56A6572C" w14:textId="77777777" w:rsidR="00115C9C" w:rsidRPr="00263A68" w:rsidRDefault="00115C9C" w:rsidP="00056389">
      <w:pPr>
        <w:pStyle w:val="ListParagraph"/>
        <w:numPr>
          <w:ilvl w:val="1"/>
          <w:numId w:val="62"/>
        </w:numPr>
        <w:spacing w:after="240" w:line="360" w:lineRule="auto"/>
        <w:ind w:left="567" w:hanging="357"/>
        <w:contextualSpacing w:val="0"/>
        <w:jc w:val="both"/>
        <w:rPr>
          <w:rFonts w:asciiTheme="majorHAnsi" w:hAnsiTheme="majorHAnsi" w:cstheme="minorHAnsi"/>
          <w:sz w:val="24"/>
          <w:szCs w:val="24"/>
        </w:rPr>
      </w:pPr>
      <w:r w:rsidRPr="00331774">
        <w:rPr>
          <w:rFonts w:asciiTheme="majorHAnsi" w:hAnsiTheme="majorHAnsi" w:cstheme="minorHAnsi"/>
          <w:b/>
          <w:bCs/>
          <w:sz w:val="24"/>
          <w:szCs w:val="24"/>
          <w:u w:val="single"/>
        </w:rPr>
        <w:t>Maintenance Mobile Application for Online Survey</w:t>
      </w:r>
      <w:r w:rsidRPr="00331774">
        <w:rPr>
          <w:rFonts w:asciiTheme="majorHAnsi" w:hAnsiTheme="majorHAnsi" w:cstheme="minorHAnsi"/>
          <w:b/>
          <w:bCs/>
          <w:sz w:val="24"/>
          <w:szCs w:val="24"/>
        </w:rPr>
        <w:t>:</w:t>
      </w:r>
      <w:r>
        <w:rPr>
          <w:rFonts w:asciiTheme="majorHAnsi" w:hAnsiTheme="majorHAnsi" w:cstheme="minorHAnsi"/>
          <w:b/>
          <w:bCs/>
          <w:sz w:val="24"/>
          <w:szCs w:val="24"/>
        </w:rPr>
        <w:t xml:space="preserve"> </w:t>
      </w:r>
      <w:r w:rsidRPr="00331774">
        <w:rPr>
          <w:rFonts w:asciiTheme="majorHAnsi" w:hAnsiTheme="majorHAnsi" w:cstheme="minorHAnsi"/>
          <w:sz w:val="24"/>
          <w:szCs w:val="24"/>
        </w:rPr>
        <w:t>In the existing scenario Pole to Pole survey is being done by BA employees and data is recorded in the Pole survey checklist manually. After survey observation points are closed and compliance is submitted manually.</w:t>
      </w:r>
      <w:r>
        <w:rPr>
          <w:rFonts w:asciiTheme="majorHAnsi" w:hAnsiTheme="majorHAnsi" w:cstheme="minorHAnsi"/>
          <w:sz w:val="24"/>
          <w:szCs w:val="24"/>
        </w:rPr>
        <w:t xml:space="preserve"> </w:t>
      </w:r>
      <w:r w:rsidRPr="00263A68">
        <w:rPr>
          <w:rFonts w:asciiTheme="majorHAnsi" w:hAnsiTheme="majorHAnsi" w:cstheme="minorHAnsi"/>
          <w:sz w:val="24"/>
          <w:szCs w:val="24"/>
        </w:rPr>
        <w:t>A Mobile application has been developed to capture the Survey by BA, and the application has following facility.</w:t>
      </w:r>
    </w:p>
    <w:p w14:paraId="466B23C0" w14:textId="77777777" w:rsidR="00115C9C" w:rsidRPr="00331774" w:rsidRDefault="00115C9C" w:rsidP="00056389">
      <w:pPr>
        <w:pStyle w:val="ListParagraph"/>
        <w:numPr>
          <w:ilvl w:val="0"/>
          <w:numId w:val="63"/>
        </w:numPr>
        <w:ind w:left="1134"/>
        <w:rPr>
          <w:rFonts w:asciiTheme="majorHAnsi" w:hAnsiTheme="majorHAnsi" w:cstheme="minorHAnsi"/>
          <w:sz w:val="24"/>
          <w:szCs w:val="24"/>
        </w:rPr>
      </w:pPr>
      <w:r w:rsidRPr="00331774">
        <w:rPr>
          <w:rFonts w:asciiTheme="majorHAnsi" w:hAnsiTheme="majorHAnsi" w:cstheme="minorHAnsi"/>
          <w:sz w:val="24"/>
          <w:szCs w:val="24"/>
        </w:rPr>
        <w:t>Provision of the Survey for Feeder and Transformer Data</w:t>
      </w:r>
    </w:p>
    <w:p w14:paraId="174764C1" w14:textId="77777777" w:rsidR="00115C9C" w:rsidRPr="00331774" w:rsidRDefault="00115C9C" w:rsidP="00056389">
      <w:pPr>
        <w:pStyle w:val="ListParagraph"/>
        <w:numPr>
          <w:ilvl w:val="0"/>
          <w:numId w:val="63"/>
        </w:numPr>
        <w:ind w:left="1134"/>
        <w:rPr>
          <w:rFonts w:asciiTheme="majorHAnsi" w:hAnsiTheme="majorHAnsi" w:cstheme="minorHAnsi"/>
          <w:sz w:val="24"/>
          <w:szCs w:val="24"/>
        </w:rPr>
      </w:pPr>
      <w:r w:rsidRPr="00331774">
        <w:rPr>
          <w:rFonts w:asciiTheme="majorHAnsi" w:hAnsiTheme="majorHAnsi" w:cstheme="minorHAnsi"/>
          <w:sz w:val="24"/>
          <w:szCs w:val="24"/>
        </w:rPr>
        <w:t>Provision of Capturing the Fault on Pole</w:t>
      </w:r>
    </w:p>
    <w:p w14:paraId="28F0F816" w14:textId="77777777" w:rsidR="00115C9C" w:rsidRPr="00331774" w:rsidRDefault="00115C9C" w:rsidP="00056389">
      <w:pPr>
        <w:pStyle w:val="ListParagraph"/>
        <w:numPr>
          <w:ilvl w:val="0"/>
          <w:numId w:val="63"/>
        </w:numPr>
        <w:ind w:left="1134"/>
        <w:rPr>
          <w:rFonts w:asciiTheme="majorHAnsi" w:hAnsiTheme="majorHAnsi" w:cstheme="minorHAnsi"/>
          <w:sz w:val="24"/>
          <w:szCs w:val="24"/>
        </w:rPr>
      </w:pPr>
      <w:r w:rsidRPr="00331774">
        <w:rPr>
          <w:rFonts w:asciiTheme="majorHAnsi" w:hAnsiTheme="majorHAnsi" w:cstheme="minorHAnsi"/>
          <w:sz w:val="24"/>
          <w:szCs w:val="24"/>
        </w:rPr>
        <w:t>Capturing of the Site condition and upload of the Photo</w:t>
      </w:r>
    </w:p>
    <w:p w14:paraId="3F6A31C5" w14:textId="77777777" w:rsidR="00115C9C" w:rsidRPr="00331774" w:rsidRDefault="00115C9C" w:rsidP="00056389">
      <w:pPr>
        <w:pStyle w:val="ListParagraph"/>
        <w:numPr>
          <w:ilvl w:val="0"/>
          <w:numId w:val="63"/>
        </w:numPr>
        <w:ind w:left="1134"/>
        <w:rPr>
          <w:rFonts w:asciiTheme="majorHAnsi" w:hAnsiTheme="majorHAnsi" w:cstheme="minorHAnsi"/>
          <w:sz w:val="24"/>
          <w:szCs w:val="24"/>
        </w:rPr>
      </w:pPr>
      <w:r w:rsidRPr="00331774">
        <w:rPr>
          <w:rFonts w:asciiTheme="majorHAnsi" w:hAnsiTheme="majorHAnsi" w:cstheme="minorHAnsi"/>
          <w:sz w:val="24"/>
          <w:szCs w:val="24"/>
        </w:rPr>
        <w:t>Rectification of the Problem and Closure of the finding by BA</w:t>
      </w:r>
    </w:p>
    <w:p w14:paraId="68041ADF" w14:textId="77777777" w:rsidR="00115C9C" w:rsidRPr="00331774" w:rsidRDefault="00115C9C" w:rsidP="00056389">
      <w:pPr>
        <w:pStyle w:val="ListParagraph"/>
        <w:numPr>
          <w:ilvl w:val="0"/>
          <w:numId w:val="63"/>
        </w:numPr>
        <w:ind w:left="1134"/>
        <w:rPr>
          <w:rFonts w:asciiTheme="majorHAnsi" w:hAnsiTheme="majorHAnsi" w:cstheme="minorHAnsi"/>
          <w:sz w:val="24"/>
          <w:szCs w:val="24"/>
        </w:rPr>
      </w:pPr>
      <w:r w:rsidRPr="00331774">
        <w:rPr>
          <w:rFonts w:asciiTheme="majorHAnsi" w:hAnsiTheme="majorHAnsi" w:cstheme="minorHAnsi"/>
          <w:sz w:val="24"/>
          <w:szCs w:val="24"/>
        </w:rPr>
        <w:t>Reporting and MIS facility</w:t>
      </w:r>
    </w:p>
    <w:p w14:paraId="0087C1B8" w14:textId="77777777" w:rsidR="00115C9C" w:rsidRPr="00331774" w:rsidRDefault="00115C9C" w:rsidP="00115C9C">
      <w:pPr>
        <w:pStyle w:val="ListParagraph"/>
        <w:ind w:left="567"/>
        <w:rPr>
          <w:rFonts w:asciiTheme="majorHAnsi" w:hAnsiTheme="majorHAnsi" w:cstheme="minorHAnsi"/>
          <w:sz w:val="24"/>
          <w:szCs w:val="24"/>
        </w:rPr>
      </w:pPr>
    </w:p>
    <w:p w14:paraId="731F681D" w14:textId="77777777" w:rsidR="00115C9C" w:rsidRPr="00E370A1" w:rsidRDefault="00115C9C" w:rsidP="00056389">
      <w:pPr>
        <w:pStyle w:val="ListParagraph"/>
        <w:numPr>
          <w:ilvl w:val="1"/>
          <w:numId w:val="62"/>
        </w:numPr>
        <w:spacing w:after="240" w:line="360" w:lineRule="auto"/>
        <w:ind w:left="567" w:hanging="357"/>
        <w:contextualSpacing w:val="0"/>
        <w:jc w:val="both"/>
        <w:rPr>
          <w:rFonts w:asciiTheme="majorHAnsi" w:hAnsiTheme="majorHAnsi"/>
          <w:sz w:val="24"/>
          <w:szCs w:val="24"/>
        </w:rPr>
      </w:pPr>
      <w:r w:rsidRPr="00D7289F">
        <w:rPr>
          <w:rFonts w:asciiTheme="majorHAnsi" w:hAnsiTheme="majorHAnsi" w:cstheme="minorHAnsi"/>
          <w:b/>
          <w:bCs/>
          <w:sz w:val="24"/>
          <w:szCs w:val="24"/>
          <w:u w:val="single"/>
        </w:rPr>
        <w:t>Scheduled Material Delivery</w:t>
      </w:r>
      <w:r>
        <w:rPr>
          <w:rFonts w:asciiTheme="majorHAnsi" w:hAnsiTheme="majorHAnsi" w:cstheme="minorHAnsi"/>
          <w:b/>
          <w:bCs/>
          <w:sz w:val="24"/>
          <w:szCs w:val="24"/>
          <w:u w:val="single"/>
        </w:rPr>
        <w:t>:</w:t>
      </w:r>
      <w:r w:rsidRPr="007E3890">
        <w:rPr>
          <w:rFonts w:asciiTheme="majorHAnsi" w:hAnsiTheme="majorHAnsi" w:cstheme="minorHAnsi"/>
          <w:b/>
          <w:bCs/>
          <w:sz w:val="24"/>
          <w:szCs w:val="24"/>
        </w:rPr>
        <w:t xml:space="preserve"> </w:t>
      </w:r>
      <w:r w:rsidRPr="007E3890">
        <w:rPr>
          <w:rFonts w:asciiTheme="majorHAnsi" w:hAnsiTheme="majorHAnsi" w:cstheme="minorHAnsi"/>
          <w:sz w:val="24"/>
          <w:szCs w:val="24"/>
        </w:rPr>
        <w:t>Currently there was no facility for communication of a material pickup schedule date and time by stores team. Result in there is huge rush of material pickup by project and maintenance team which leads to lager lead time to delivery of the Material. Store MRN process has been developed, post approval of Material reservation from competent authorities, a schedule (Date/Time IN-Out) may be provided to the users from store to field team in case of all planned maintenance and project related activities material drawls.</w:t>
      </w:r>
    </w:p>
    <w:p w14:paraId="16EA0A30" w14:textId="77777777" w:rsidR="00115C9C" w:rsidRPr="00573845" w:rsidRDefault="00115C9C" w:rsidP="00056389">
      <w:pPr>
        <w:pStyle w:val="ListParagraph"/>
        <w:numPr>
          <w:ilvl w:val="1"/>
          <w:numId w:val="62"/>
        </w:numPr>
        <w:spacing w:after="240" w:line="360" w:lineRule="auto"/>
        <w:ind w:left="567" w:hanging="357"/>
        <w:contextualSpacing w:val="0"/>
        <w:jc w:val="both"/>
        <w:rPr>
          <w:rFonts w:asciiTheme="majorHAnsi" w:hAnsiTheme="majorHAnsi"/>
          <w:sz w:val="28"/>
          <w:szCs w:val="28"/>
        </w:rPr>
      </w:pPr>
      <w:r w:rsidRPr="00573845">
        <w:rPr>
          <w:rFonts w:asciiTheme="majorHAnsi" w:hAnsiTheme="majorHAnsi" w:cstheme="minorHAnsi"/>
          <w:b/>
          <w:bCs/>
          <w:sz w:val="24"/>
          <w:szCs w:val="24"/>
          <w:u w:val="single"/>
        </w:rPr>
        <w:t>Protocol for Management of Assets created out of Govt Funded Schemes (</w:t>
      </w:r>
      <w:proofErr w:type="spellStart"/>
      <w:r w:rsidRPr="00573845">
        <w:rPr>
          <w:rFonts w:asciiTheme="majorHAnsi" w:hAnsiTheme="majorHAnsi" w:cstheme="minorHAnsi"/>
          <w:b/>
          <w:bCs/>
          <w:sz w:val="24"/>
          <w:szCs w:val="24"/>
          <w:u w:val="single"/>
        </w:rPr>
        <w:t>GoO</w:t>
      </w:r>
      <w:proofErr w:type="spellEnd"/>
      <w:r w:rsidRPr="00573845">
        <w:rPr>
          <w:rFonts w:asciiTheme="majorHAnsi" w:hAnsiTheme="majorHAnsi" w:cstheme="minorHAnsi"/>
          <w:b/>
          <w:bCs/>
          <w:sz w:val="24"/>
          <w:szCs w:val="24"/>
          <w:u w:val="single"/>
        </w:rPr>
        <w:t>/</w:t>
      </w:r>
      <w:proofErr w:type="spellStart"/>
      <w:r w:rsidRPr="00573845">
        <w:rPr>
          <w:rFonts w:asciiTheme="majorHAnsi" w:hAnsiTheme="majorHAnsi" w:cstheme="minorHAnsi"/>
          <w:b/>
          <w:bCs/>
          <w:sz w:val="24"/>
          <w:szCs w:val="24"/>
          <w:u w:val="single"/>
        </w:rPr>
        <w:t>GoI</w:t>
      </w:r>
      <w:proofErr w:type="spellEnd"/>
      <w:r w:rsidRPr="00573845">
        <w:rPr>
          <w:rFonts w:asciiTheme="majorHAnsi" w:hAnsiTheme="majorHAnsi" w:cstheme="minorHAnsi"/>
          <w:b/>
          <w:bCs/>
          <w:sz w:val="24"/>
          <w:szCs w:val="24"/>
          <w:u w:val="single"/>
        </w:rPr>
        <w:t>):</w:t>
      </w:r>
      <w:r w:rsidRPr="00573845">
        <w:rPr>
          <w:rFonts w:asciiTheme="majorHAnsi" w:hAnsiTheme="majorHAnsi" w:cstheme="minorHAnsi"/>
          <w:b/>
          <w:bCs/>
          <w:sz w:val="24"/>
          <w:szCs w:val="24"/>
        </w:rPr>
        <w:t xml:space="preserve"> </w:t>
      </w:r>
      <w:r w:rsidRPr="00573845">
        <w:rPr>
          <w:rFonts w:asciiTheme="majorHAnsi" w:hAnsiTheme="majorHAnsi" w:cstheme="minorHAnsi"/>
          <w:sz w:val="24"/>
          <w:szCs w:val="24"/>
        </w:rPr>
        <w:t xml:space="preserve">As per OPTCL directive, TP ODISHA DISCOMS must manage Government equipment/assets currently operational within their respective areas. Each DISCOM is required to prepare a list of all such assets, including their current value, and upload it in the Fixed Asset Register (FAR) for proper management. </w:t>
      </w:r>
    </w:p>
    <w:p w14:paraId="2B9596CD" w14:textId="77777777" w:rsidR="00115C9C" w:rsidRPr="00BF51B3" w:rsidRDefault="00115C9C" w:rsidP="00056389">
      <w:pPr>
        <w:pStyle w:val="ListParagraph"/>
        <w:numPr>
          <w:ilvl w:val="1"/>
          <w:numId w:val="62"/>
        </w:numPr>
        <w:spacing w:after="240" w:line="360" w:lineRule="auto"/>
        <w:ind w:left="567" w:hanging="357"/>
        <w:contextualSpacing w:val="0"/>
        <w:jc w:val="both"/>
        <w:rPr>
          <w:rFonts w:asciiTheme="majorHAnsi" w:hAnsiTheme="majorHAnsi" w:cstheme="minorHAnsi"/>
          <w:sz w:val="24"/>
          <w:szCs w:val="24"/>
        </w:rPr>
      </w:pPr>
      <w:r w:rsidRPr="00B37F99">
        <w:rPr>
          <w:rFonts w:asciiTheme="majorHAnsi" w:hAnsiTheme="majorHAnsi" w:cstheme="minorHAnsi"/>
          <w:b/>
          <w:bCs/>
          <w:sz w:val="24"/>
          <w:szCs w:val="24"/>
          <w:u w:val="single"/>
        </w:rPr>
        <w:t>Implementation SAP Ariba Function:</w:t>
      </w:r>
      <w:r w:rsidRPr="00F7232A">
        <w:rPr>
          <w:rFonts w:asciiTheme="majorHAnsi" w:hAnsiTheme="majorHAnsi" w:cstheme="minorHAnsi"/>
          <w:b/>
          <w:bCs/>
          <w:sz w:val="24"/>
          <w:szCs w:val="24"/>
        </w:rPr>
        <w:t xml:space="preserve"> </w:t>
      </w:r>
      <w:r w:rsidRPr="00BF51B3">
        <w:rPr>
          <w:rFonts w:asciiTheme="majorHAnsi" w:hAnsiTheme="majorHAnsi" w:cstheme="minorHAnsi"/>
          <w:sz w:val="24"/>
          <w:szCs w:val="24"/>
        </w:rPr>
        <w:t xml:space="preserve">Towards efficient and economic procurement </w:t>
      </w:r>
      <w:r w:rsidRPr="00BF51B3">
        <w:rPr>
          <w:rFonts w:asciiTheme="majorHAnsi" w:hAnsiTheme="majorHAnsi"/>
          <w:sz w:val="24"/>
          <w:szCs w:val="24"/>
        </w:rPr>
        <w:t>Strategic Sourcing function helps the buyer in the Procure to Pay in terms of Sourcing</w:t>
      </w:r>
      <w:r w:rsidRPr="00BF51B3">
        <w:rPr>
          <w:rFonts w:asciiTheme="majorHAnsi" w:hAnsiTheme="majorHAnsi" w:cstheme="minorHAnsi"/>
          <w:sz w:val="24"/>
          <w:szCs w:val="24"/>
        </w:rPr>
        <w:t xml:space="preserve"> Events: RFIs, RFPs, and auctions to find the best suppliers. Contract Management: Creation, negotiation, and storage of contracts. </w:t>
      </w:r>
      <w:r w:rsidRPr="00BF51B3">
        <w:rPr>
          <w:rFonts w:asciiTheme="majorHAnsi" w:eastAsia="Times New Roman" w:hAnsiTheme="majorHAnsi" w:cstheme="minorHAnsi"/>
          <w:sz w:val="24"/>
          <w:szCs w:val="24"/>
        </w:rPr>
        <w:t>Spend Analysis: Insights into spending patterns to identify savings opportunities</w:t>
      </w:r>
    </w:p>
    <w:p w14:paraId="24C6F544" w14:textId="77777777" w:rsidR="00115C9C" w:rsidRDefault="00115C9C" w:rsidP="001972DE">
      <w:pPr>
        <w:pStyle w:val="ListParagraph"/>
        <w:numPr>
          <w:ilvl w:val="0"/>
          <w:numId w:val="12"/>
        </w:numPr>
        <w:spacing w:after="240" w:line="360" w:lineRule="auto"/>
        <w:ind w:left="0"/>
        <w:contextualSpacing w:val="0"/>
        <w:jc w:val="both"/>
        <w:rPr>
          <w:rFonts w:asciiTheme="majorHAnsi" w:hAnsiTheme="majorHAnsi" w:cstheme="minorHAnsi"/>
          <w:b/>
          <w:bCs/>
          <w:sz w:val="24"/>
          <w:szCs w:val="24"/>
          <w:u w:val="single"/>
        </w:rPr>
      </w:pPr>
      <w:r w:rsidRPr="00E651A6">
        <w:rPr>
          <w:rFonts w:asciiTheme="majorHAnsi" w:hAnsiTheme="majorHAnsi" w:cstheme="minorHAnsi"/>
          <w:b/>
          <w:bCs/>
          <w:sz w:val="24"/>
          <w:szCs w:val="24"/>
          <w:u w:val="single"/>
        </w:rPr>
        <w:t>Initiatives to Safeguard IT Infrastructure &amp; Application Landscape</w:t>
      </w:r>
      <w:r>
        <w:rPr>
          <w:rFonts w:asciiTheme="majorHAnsi" w:hAnsiTheme="majorHAnsi" w:cstheme="minorHAnsi"/>
          <w:b/>
          <w:bCs/>
          <w:sz w:val="24"/>
          <w:szCs w:val="24"/>
          <w:u w:val="single"/>
        </w:rPr>
        <w:t xml:space="preserve">: </w:t>
      </w:r>
      <w:r w:rsidRPr="00952A97">
        <w:rPr>
          <w:rFonts w:asciiTheme="majorHAnsi" w:hAnsiTheme="majorHAnsi" w:cstheme="minorHAnsi"/>
          <w:sz w:val="24"/>
          <w:szCs w:val="24"/>
        </w:rPr>
        <w:t>In today’s digital-first environment, safeguarding IT infrastructure and application landscapes is no longer optional but it’s a strategic imperative. For power utilities like TPWODL, where technology underpins critical operations and customer services, robust security initiatives ensure resilience, compliance, and trust. By integrating advanced protection measures, continuous monitoring, and proactive risk management, TPWODL is building a secure and robust IT Infrastructure &amp; Application foundation that supports innovations while defending against evolving cyber threats. Below mentioned are the critical Solution implementation which entrusted state-of-the-art IT infrastructure &amp; Cyber Security strategy</w:t>
      </w:r>
      <w:r>
        <w:rPr>
          <w:rFonts w:asciiTheme="majorHAnsi" w:hAnsiTheme="majorHAnsi" w:cstheme="minorHAnsi"/>
          <w:sz w:val="24"/>
          <w:szCs w:val="24"/>
        </w:rPr>
        <w:t>.</w:t>
      </w:r>
    </w:p>
    <w:p w14:paraId="7FBBED6B" w14:textId="77777777" w:rsidR="00115C9C" w:rsidRPr="00372FC1" w:rsidRDefault="00115C9C" w:rsidP="00056389">
      <w:pPr>
        <w:pStyle w:val="ListParagraph"/>
        <w:numPr>
          <w:ilvl w:val="1"/>
          <w:numId w:val="64"/>
        </w:numPr>
        <w:spacing w:after="0" w:line="360" w:lineRule="auto"/>
        <w:ind w:left="709" w:hanging="357"/>
        <w:contextualSpacing w:val="0"/>
        <w:jc w:val="both"/>
        <w:rPr>
          <w:rFonts w:asciiTheme="majorHAnsi" w:hAnsiTheme="majorHAnsi" w:cstheme="minorHAnsi"/>
          <w:b/>
          <w:bCs/>
          <w:sz w:val="36"/>
          <w:szCs w:val="36"/>
          <w:u w:val="single"/>
        </w:rPr>
      </w:pPr>
      <w:r w:rsidRPr="00372FC1">
        <w:rPr>
          <w:rFonts w:asciiTheme="majorHAnsi" w:hAnsiTheme="majorHAnsi" w:cstheme="minorHAnsi"/>
          <w:b/>
          <w:bCs/>
          <w:sz w:val="24"/>
          <w:szCs w:val="24"/>
          <w:u w:val="single"/>
        </w:rPr>
        <w:t>Cybersecurity: Building a Digital Fortress</w:t>
      </w:r>
      <w:r>
        <w:rPr>
          <w:rFonts w:asciiTheme="majorHAnsi" w:hAnsiTheme="majorHAnsi" w:cstheme="minorHAnsi"/>
          <w:b/>
          <w:bCs/>
          <w:sz w:val="24"/>
          <w:szCs w:val="24"/>
          <w:u w:val="single"/>
        </w:rPr>
        <w:t xml:space="preserve">: </w:t>
      </w:r>
      <w:r w:rsidRPr="00372FC1">
        <w:rPr>
          <w:rFonts w:asciiTheme="majorHAnsi" w:hAnsiTheme="majorHAnsi" w:cstheme="minorHAnsi"/>
          <w:sz w:val="24"/>
          <w:szCs w:val="24"/>
        </w:rPr>
        <w:t>TPWODL’s IT team laid the foundation for a multi-layered cybersecurity architecture, aligned with ISO 27001 and CEA guidelines, to protect its enterprise assets and ensure business continuity. This included:</w:t>
      </w:r>
    </w:p>
    <w:p w14:paraId="67901928" w14:textId="77777777" w:rsidR="00115C9C" w:rsidRPr="00372FC1" w:rsidRDefault="00115C9C" w:rsidP="00115C9C">
      <w:pPr>
        <w:ind w:left="709" w:firstLine="360"/>
        <w:rPr>
          <w:rFonts w:asciiTheme="majorHAnsi" w:hAnsiTheme="majorHAnsi" w:cstheme="minorHAnsi"/>
          <w:sz w:val="16"/>
          <w:szCs w:val="16"/>
        </w:rPr>
      </w:pPr>
    </w:p>
    <w:p w14:paraId="1E21F3F7" w14:textId="77777777" w:rsidR="00115C9C" w:rsidRPr="00372FC1" w:rsidRDefault="00115C9C" w:rsidP="00056389">
      <w:pPr>
        <w:pStyle w:val="ListParagraph"/>
        <w:numPr>
          <w:ilvl w:val="0"/>
          <w:numId w:val="66"/>
        </w:numPr>
        <w:spacing w:line="360" w:lineRule="auto"/>
        <w:ind w:left="709" w:hanging="357"/>
        <w:contextualSpacing w:val="0"/>
        <w:jc w:val="both"/>
        <w:rPr>
          <w:rFonts w:asciiTheme="majorHAnsi" w:hAnsiTheme="majorHAnsi" w:cstheme="minorHAnsi"/>
          <w:sz w:val="24"/>
          <w:szCs w:val="24"/>
          <w:lang w:val="en-IN"/>
        </w:rPr>
      </w:pPr>
      <w:r w:rsidRPr="00372FC1">
        <w:rPr>
          <w:rFonts w:asciiTheme="majorHAnsi" w:hAnsiTheme="majorHAnsi" w:cstheme="minorHAnsi"/>
          <w:b/>
          <w:bCs/>
          <w:sz w:val="24"/>
          <w:szCs w:val="24"/>
          <w:lang w:val="en-IN"/>
        </w:rPr>
        <w:t>Network Segmentation &amp; Zero Trust:</w:t>
      </w:r>
      <w:r w:rsidRPr="00372FC1">
        <w:rPr>
          <w:rFonts w:asciiTheme="majorHAnsi" w:hAnsiTheme="majorHAnsi" w:cstheme="minorHAnsi"/>
          <w:sz w:val="24"/>
          <w:szCs w:val="24"/>
          <w:lang w:val="en-IN"/>
        </w:rPr>
        <w:t xml:space="preserve"> Firewalls, DMZs, and least-privilege access with continuous authentication. </w:t>
      </w:r>
    </w:p>
    <w:p w14:paraId="17991BCE" w14:textId="77777777" w:rsidR="00115C9C" w:rsidRPr="00372FC1" w:rsidRDefault="00115C9C" w:rsidP="00056389">
      <w:pPr>
        <w:pStyle w:val="ListParagraph"/>
        <w:numPr>
          <w:ilvl w:val="0"/>
          <w:numId w:val="66"/>
        </w:numPr>
        <w:spacing w:line="360" w:lineRule="auto"/>
        <w:ind w:left="709" w:hanging="357"/>
        <w:contextualSpacing w:val="0"/>
        <w:jc w:val="both"/>
        <w:rPr>
          <w:rFonts w:asciiTheme="majorHAnsi" w:hAnsiTheme="majorHAnsi" w:cstheme="minorHAnsi"/>
          <w:sz w:val="24"/>
          <w:szCs w:val="24"/>
          <w:lang w:val="en-IN"/>
        </w:rPr>
      </w:pPr>
      <w:r w:rsidRPr="00372FC1">
        <w:rPr>
          <w:rFonts w:asciiTheme="majorHAnsi" w:hAnsiTheme="majorHAnsi" w:cstheme="minorHAnsi"/>
          <w:b/>
          <w:bCs/>
          <w:sz w:val="24"/>
          <w:szCs w:val="24"/>
          <w:lang w:val="en-IN"/>
        </w:rPr>
        <w:t>Web Application Firewall (WAF):</w:t>
      </w:r>
      <w:r w:rsidRPr="00372FC1">
        <w:rPr>
          <w:rFonts w:asciiTheme="majorHAnsi" w:hAnsiTheme="majorHAnsi" w:cstheme="minorHAnsi"/>
          <w:sz w:val="24"/>
          <w:szCs w:val="24"/>
          <w:lang w:val="en-IN"/>
        </w:rPr>
        <w:t xml:space="preserve"> Real-time protection for critical apps against SQL Injection, XSS, and other attacks. </w:t>
      </w:r>
    </w:p>
    <w:p w14:paraId="67CC75D7" w14:textId="77777777" w:rsidR="00115C9C" w:rsidRPr="00372FC1" w:rsidRDefault="00115C9C" w:rsidP="00056389">
      <w:pPr>
        <w:pStyle w:val="ListParagraph"/>
        <w:numPr>
          <w:ilvl w:val="0"/>
          <w:numId w:val="66"/>
        </w:numPr>
        <w:spacing w:line="360" w:lineRule="auto"/>
        <w:ind w:left="709" w:hanging="357"/>
        <w:contextualSpacing w:val="0"/>
        <w:jc w:val="both"/>
        <w:rPr>
          <w:rFonts w:asciiTheme="majorHAnsi" w:hAnsiTheme="majorHAnsi" w:cstheme="minorHAnsi"/>
          <w:sz w:val="24"/>
          <w:szCs w:val="24"/>
          <w:lang w:val="en-IN"/>
        </w:rPr>
      </w:pPr>
      <w:r w:rsidRPr="00372FC1">
        <w:rPr>
          <w:rFonts w:asciiTheme="majorHAnsi" w:hAnsiTheme="majorHAnsi" w:cstheme="minorHAnsi"/>
          <w:b/>
          <w:bCs/>
          <w:sz w:val="24"/>
          <w:szCs w:val="24"/>
          <w:lang w:val="en-IN"/>
        </w:rPr>
        <w:t>Centralized Security Controls:</w:t>
      </w:r>
      <w:r w:rsidRPr="00372FC1">
        <w:rPr>
          <w:rFonts w:asciiTheme="majorHAnsi" w:hAnsiTheme="majorHAnsi" w:cstheme="minorHAnsi"/>
          <w:sz w:val="24"/>
          <w:szCs w:val="24"/>
          <w:lang w:val="en-IN"/>
        </w:rPr>
        <w:t xml:space="preserve"> Auto IOC blacklisting, DLP, email security, antivirus, HIPS, and EDR/XDR for rapid threat response. </w:t>
      </w:r>
    </w:p>
    <w:p w14:paraId="29D1A84D" w14:textId="77777777" w:rsidR="00115C9C" w:rsidRPr="00372FC1" w:rsidRDefault="00115C9C" w:rsidP="00056389">
      <w:pPr>
        <w:pStyle w:val="ListParagraph"/>
        <w:numPr>
          <w:ilvl w:val="0"/>
          <w:numId w:val="66"/>
        </w:numPr>
        <w:spacing w:line="360" w:lineRule="auto"/>
        <w:ind w:left="709" w:hanging="357"/>
        <w:contextualSpacing w:val="0"/>
        <w:jc w:val="both"/>
        <w:rPr>
          <w:rFonts w:asciiTheme="majorHAnsi" w:hAnsiTheme="majorHAnsi" w:cstheme="minorHAnsi"/>
          <w:sz w:val="24"/>
          <w:szCs w:val="24"/>
          <w:lang w:val="en-IN"/>
        </w:rPr>
      </w:pPr>
      <w:r w:rsidRPr="00372FC1">
        <w:rPr>
          <w:rFonts w:asciiTheme="majorHAnsi" w:hAnsiTheme="majorHAnsi" w:cstheme="minorHAnsi"/>
          <w:b/>
          <w:bCs/>
          <w:sz w:val="24"/>
          <w:szCs w:val="24"/>
          <w:lang w:val="en-IN"/>
        </w:rPr>
        <w:t>XDR Implementation:</w:t>
      </w:r>
      <w:r w:rsidRPr="00372FC1">
        <w:rPr>
          <w:rFonts w:asciiTheme="majorHAnsi" w:hAnsiTheme="majorHAnsi" w:cstheme="minorHAnsi"/>
          <w:sz w:val="24"/>
          <w:szCs w:val="24"/>
          <w:lang w:val="en-IN"/>
        </w:rPr>
        <w:t xml:space="preserve"> Unified detection and response across endpoints, servers, email, and cloud with advanced analytics. </w:t>
      </w:r>
    </w:p>
    <w:p w14:paraId="6B325ABA" w14:textId="77777777" w:rsidR="00115C9C" w:rsidRPr="00372FC1" w:rsidRDefault="00115C9C" w:rsidP="00056389">
      <w:pPr>
        <w:pStyle w:val="ListParagraph"/>
        <w:numPr>
          <w:ilvl w:val="0"/>
          <w:numId w:val="66"/>
        </w:numPr>
        <w:spacing w:line="360" w:lineRule="auto"/>
        <w:ind w:left="709" w:hanging="357"/>
        <w:contextualSpacing w:val="0"/>
        <w:jc w:val="both"/>
        <w:rPr>
          <w:rFonts w:asciiTheme="majorHAnsi" w:hAnsiTheme="majorHAnsi" w:cstheme="minorHAnsi"/>
          <w:sz w:val="24"/>
          <w:szCs w:val="24"/>
          <w:lang w:val="en-IN"/>
        </w:rPr>
      </w:pPr>
      <w:r w:rsidRPr="00372FC1">
        <w:rPr>
          <w:rFonts w:asciiTheme="majorHAnsi" w:hAnsiTheme="majorHAnsi" w:cstheme="minorHAnsi"/>
          <w:b/>
          <w:bCs/>
          <w:sz w:val="24"/>
          <w:szCs w:val="24"/>
          <w:lang w:val="en-IN"/>
        </w:rPr>
        <w:t>Strong Endpoint &amp; Access Management:</w:t>
      </w:r>
      <w:r w:rsidRPr="00372FC1">
        <w:rPr>
          <w:rFonts w:asciiTheme="majorHAnsi" w:hAnsiTheme="majorHAnsi" w:cstheme="minorHAnsi"/>
          <w:sz w:val="24"/>
          <w:szCs w:val="24"/>
          <w:lang w:val="en-IN"/>
        </w:rPr>
        <w:t xml:space="preserve"> Microsoft Intune, domain-based login, and 2FA for VPN to secure identities.</w:t>
      </w:r>
    </w:p>
    <w:p w14:paraId="05CF79B9" w14:textId="77777777" w:rsidR="00115C9C" w:rsidRPr="00372FC1" w:rsidRDefault="00115C9C" w:rsidP="00056389">
      <w:pPr>
        <w:pStyle w:val="ListParagraph"/>
        <w:numPr>
          <w:ilvl w:val="0"/>
          <w:numId w:val="66"/>
        </w:numPr>
        <w:spacing w:line="360" w:lineRule="auto"/>
        <w:ind w:left="709" w:hanging="357"/>
        <w:contextualSpacing w:val="0"/>
        <w:jc w:val="both"/>
        <w:rPr>
          <w:rFonts w:asciiTheme="majorHAnsi" w:hAnsiTheme="majorHAnsi" w:cstheme="minorHAnsi"/>
          <w:sz w:val="24"/>
          <w:szCs w:val="24"/>
          <w:lang w:val="en-IN"/>
        </w:rPr>
      </w:pPr>
      <w:r w:rsidRPr="00372FC1">
        <w:rPr>
          <w:rFonts w:asciiTheme="majorHAnsi" w:eastAsia="Times New Roman" w:hAnsiTheme="majorHAnsi" w:cstheme="minorHAnsi"/>
          <w:b/>
          <w:bCs/>
          <w:sz w:val="24"/>
          <w:szCs w:val="24"/>
        </w:rPr>
        <w:t>DDoS Protection:</w:t>
      </w:r>
      <w:r w:rsidRPr="00372FC1">
        <w:rPr>
          <w:rFonts w:asciiTheme="majorHAnsi" w:eastAsia="Times New Roman" w:hAnsiTheme="majorHAnsi" w:cstheme="minorHAnsi"/>
          <w:sz w:val="24"/>
          <w:szCs w:val="24"/>
        </w:rPr>
        <w:t xml:space="preserve"> Ensures uninterrupted services by mitigating large-scale attacks through traffic filtering, rate limiting, and upstream mitigation—safeguarding network availability and operational reliability.</w:t>
      </w:r>
    </w:p>
    <w:p w14:paraId="037D7445" w14:textId="320E204A" w:rsidR="00115C9C" w:rsidRDefault="00115C9C" w:rsidP="00115C9C">
      <w:pPr>
        <w:spacing w:line="360" w:lineRule="auto"/>
        <w:ind w:left="709"/>
        <w:jc w:val="both"/>
        <w:rPr>
          <w:rFonts w:asciiTheme="majorHAnsi" w:eastAsia="Calibri" w:hAnsiTheme="majorHAnsi" w:cstheme="minorHAnsi"/>
        </w:rPr>
      </w:pPr>
      <w:r w:rsidRPr="00DC3B9C">
        <w:rPr>
          <w:rFonts w:asciiTheme="majorHAnsi" w:eastAsia="Calibri" w:hAnsiTheme="majorHAnsi" w:cstheme="minorHAnsi"/>
        </w:rPr>
        <w:t>These controls collectively enhanced the Confidentiality, Integrity, and Availability (CIA) of TPWODL’s digital services, ensuring secure operations and regulatory compliance.</w:t>
      </w:r>
    </w:p>
    <w:p w14:paraId="62F97D63" w14:textId="184C3C3F" w:rsidR="00BF51B3" w:rsidRDefault="00BF51B3" w:rsidP="00115C9C">
      <w:pPr>
        <w:spacing w:line="360" w:lineRule="auto"/>
        <w:ind w:left="709"/>
        <w:jc w:val="both"/>
        <w:rPr>
          <w:rFonts w:asciiTheme="majorHAnsi" w:eastAsia="Calibri" w:hAnsiTheme="majorHAnsi" w:cstheme="minorHAnsi"/>
        </w:rPr>
      </w:pPr>
    </w:p>
    <w:p w14:paraId="3FB00B56" w14:textId="4D8219FA" w:rsidR="00BF51B3" w:rsidRDefault="00BF51B3" w:rsidP="00115C9C">
      <w:pPr>
        <w:spacing w:line="360" w:lineRule="auto"/>
        <w:ind w:left="709"/>
        <w:jc w:val="both"/>
        <w:rPr>
          <w:rFonts w:asciiTheme="majorHAnsi" w:eastAsia="Calibri" w:hAnsiTheme="majorHAnsi" w:cstheme="minorHAnsi"/>
        </w:rPr>
      </w:pPr>
    </w:p>
    <w:p w14:paraId="132B7480" w14:textId="77777777" w:rsidR="000565A2" w:rsidRPr="00DC3B9C" w:rsidRDefault="000565A2" w:rsidP="00115C9C">
      <w:pPr>
        <w:spacing w:line="360" w:lineRule="auto"/>
        <w:ind w:left="709"/>
        <w:jc w:val="both"/>
        <w:rPr>
          <w:rFonts w:asciiTheme="majorHAnsi" w:eastAsia="Calibri" w:hAnsiTheme="majorHAnsi" w:cstheme="minorHAnsi"/>
        </w:rPr>
      </w:pPr>
    </w:p>
    <w:p w14:paraId="7EE2282B" w14:textId="77777777" w:rsidR="00115C9C" w:rsidRPr="00955A95" w:rsidRDefault="00115C9C" w:rsidP="00115C9C">
      <w:pPr>
        <w:spacing w:before="120" w:after="120" w:line="360" w:lineRule="auto"/>
        <w:ind w:left="709"/>
        <w:contextualSpacing/>
        <w:jc w:val="both"/>
        <w:rPr>
          <w:rFonts w:ascii="Century Gothic" w:hAnsi="Century Gothic" w:cstheme="minorHAnsi"/>
          <w:sz w:val="10"/>
          <w:szCs w:val="10"/>
        </w:rPr>
      </w:pPr>
    </w:p>
    <w:p w14:paraId="452C0729" w14:textId="77777777" w:rsidR="00115C9C" w:rsidRPr="00993617" w:rsidRDefault="00115C9C" w:rsidP="00056389">
      <w:pPr>
        <w:pStyle w:val="ListParagraph"/>
        <w:numPr>
          <w:ilvl w:val="1"/>
          <w:numId w:val="64"/>
        </w:numPr>
        <w:spacing w:after="240" w:line="360" w:lineRule="auto"/>
        <w:ind w:left="709" w:hanging="357"/>
        <w:contextualSpacing w:val="0"/>
        <w:jc w:val="both"/>
        <w:rPr>
          <w:rFonts w:asciiTheme="majorHAnsi" w:hAnsiTheme="majorHAnsi" w:cstheme="minorHAnsi"/>
          <w:b/>
          <w:bCs/>
          <w:sz w:val="24"/>
          <w:szCs w:val="24"/>
          <w:u w:val="single"/>
        </w:rPr>
      </w:pPr>
      <w:r w:rsidRPr="00993617">
        <w:rPr>
          <w:rFonts w:asciiTheme="majorHAnsi" w:hAnsiTheme="majorHAnsi" w:cstheme="minorHAnsi"/>
          <w:b/>
          <w:bCs/>
          <w:sz w:val="24"/>
          <w:szCs w:val="24"/>
          <w:u w:val="single"/>
        </w:rPr>
        <w:t>Strengthening IT Infrastructure and Network Resilience</w:t>
      </w:r>
    </w:p>
    <w:p w14:paraId="451B8E61" w14:textId="77777777" w:rsidR="00115C9C" w:rsidRPr="000C6913" w:rsidRDefault="00115C9C" w:rsidP="00056389">
      <w:pPr>
        <w:pStyle w:val="NormalWeb"/>
        <w:numPr>
          <w:ilvl w:val="1"/>
          <w:numId w:val="67"/>
        </w:numPr>
        <w:spacing w:before="0" w:beforeAutospacing="0" w:after="240" w:afterAutospacing="0" w:line="360" w:lineRule="auto"/>
        <w:ind w:left="709"/>
        <w:jc w:val="both"/>
        <w:rPr>
          <w:rFonts w:asciiTheme="majorHAnsi" w:eastAsia="Calibri" w:hAnsiTheme="majorHAnsi" w:cstheme="minorHAnsi"/>
        </w:rPr>
      </w:pPr>
      <w:r w:rsidRPr="000C6913">
        <w:rPr>
          <w:rFonts w:asciiTheme="majorHAnsi" w:eastAsia="Calibri" w:hAnsiTheme="majorHAnsi" w:cstheme="minorHAnsi"/>
          <w:b/>
          <w:bCs/>
        </w:rPr>
        <w:t>High-Speed Fiber-Based ICT Core Ring:</w:t>
      </w:r>
      <w:r w:rsidRPr="000C6913">
        <w:rPr>
          <w:rFonts w:asciiTheme="majorHAnsi" w:eastAsia="Calibri" w:hAnsiTheme="majorHAnsi" w:cstheme="minorHAnsi"/>
        </w:rPr>
        <w:t xml:space="preserve"> Established to unify DISCOM operations by interconnecting key operational hubs, minimizing downtime, and supporting mission-critical applications such as MBS-CIS, SAP, SCADA, and AMI. Intelligent traffic distribution through Link Load Balancers and automatic failover via Network Load Balancers ensures uninterrupted service.</w:t>
      </w:r>
    </w:p>
    <w:p w14:paraId="4D31FAF3" w14:textId="77777777" w:rsidR="00115C9C" w:rsidRPr="000C6913" w:rsidRDefault="00115C9C" w:rsidP="00056389">
      <w:pPr>
        <w:pStyle w:val="NormalWeb"/>
        <w:numPr>
          <w:ilvl w:val="1"/>
          <w:numId w:val="67"/>
        </w:numPr>
        <w:spacing w:before="0" w:beforeAutospacing="0" w:after="240" w:afterAutospacing="0" w:line="360" w:lineRule="auto"/>
        <w:ind w:left="709"/>
        <w:jc w:val="both"/>
        <w:rPr>
          <w:rFonts w:asciiTheme="majorHAnsi" w:eastAsia="Calibri" w:hAnsiTheme="majorHAnsi" w:cstheme="minorHAnsi"/>
        </w:rPr>
      </w:pPr>
      <w:r w:rsidRPr="000C6913">
        <w:rPr>
          <w:rFonts w:asciiTheme="majorHAnsi" w:eastAsia="Calibri" w:hAnsiTheme="majorHAnsi" w:cstheme="minorHAnsi"/>
          <w:b/>
          <w:bCs/>
        </w:rPr>
        <w:t>Enterprise-Grade Infrastructure:</w:t>
      </w:r>
      <w:r w:rsidRPr="000C6913">
        <w:rPr>
          <w:rFonts w:asciiTheme="majorHAnsi" w:eastAsia="Calibri" w:hAnsiTheme="majorHAnsi" w:cstheme="minorHAnsi"/>
        </w:rPr>
        <w:t xml:space="preserve"> High-performance servers, SAN storage, and advanced backup solutions power applications like Official Website, Enterprise Domain environment, Bespoke Application and business Solutions viz. GIS, HES, and MDM. Dedicated UAT and production environments enable agile development and deployment, while server load balancing in the HES environment ensures scalability during peak loads.</w:t>
      </w:r>
    </w:p>
    <w:p w14:paraId="117522B5" w14:textId="77777777" w:rsidR="00115C9C" w:rsidRPr="000C6913" w:rsidRDefault="00115C9C" w:rsidP="00056389">
      <w:pPr>
        <w:pStyle w:val="NormalWeb"/>
        <w:numPr>
          <w:ilvl w:val="1"/>
          <w:numId w:val="67"/>
        </w:numPr>
        <w:spacing w:before="0" w:beforeAutospacing="0" w:after="240" w:afterAutospacing="0" w:line="360" w:lineRule="auto"/>
        <w:ind w:left="709"/>
        <w:jc w:val="both"/>
        <w:rPr>
          <w:rFonts w:asciiTheme="majorHAnsi" w:eastAsia="Calibri" w:hAnsiTheme="majorHAnsi" w:cstheme="minorHAnsi"/>
        </w:rPr>
      </w:pPr>
      <w:r w:rsidRPr="000C6913">
        <w:rPr>
          <w:rFonts w:asciiTheme="majorHAnsi" w:eastAsia="Calibri" w:hAnsiTheme="majorHAnsi" w:cstheme="minorHAnsi"/>
          <w:b/>
          <w:bCs/>
        </w:rPr>
        <w:t>Strategic Disaster Recovery (DR) Setup:</w:t>
      </w:r>
      <w:r w:rsidRPr="000C6913">
        <w:rPr>
          <w:rFonts w:asciiTheme="majorHAnsi" w:eastAsia="Calibri" w:hAnsiTheme="majorHAnsi" w:cstheme="minorHAnsi"/>
        </w:rPr>
        <w:t xml:space="preserve"> A DR center in Burla serves as a backup to the Bhubaneswar Technology Centre, located in a low-risk region to prioritize business continuity for TPCODL, TPNODL, and TPSODL. IPSec tunnels enable real-time encrypted data replication, ensuring rapid recovery and regulatory compliance.</w:t>
      </w:r>
    </w:p>
    <w:p w14:paraId="55C138D8" w14:textId="77777777" w:rsidR="00115C9C" w:rsidRPr="000C6913" w:rsidRDefault="00115C9C" w:rsidP="00056389">
      <w:pPr>
        <w:pStyle w:val="NormalWeb"/>
        <w:numPr>
          <w:ilvl w:val="1"/>
          <w:numId w:val="67"/>
        </w:numPr>
        <w:spacing w:before="0" w:beforeAutospacing="0" w:after="240" w:afterAutospacing="0" w:line="360" w:lineRule="auto"/>
        <w:ind w:left="709"/>
        <w:jc w:val="both"/>
        <w:rPr>
          <w:rFonts w:asciiTheme="majorHAnsi" w:eastAsia="Calibri" w:hAnsiTheme="majorHAnsi" w:cstheme="minorHAnsi"/>
        </w:rPr>
      </w:pPr>
      <w:r w:rsidRPr="000C6913">
        <w:rPr>
          <w:rFonts w:asciiTheme="majorHAnsi" w:eastAsia="Calibri" w:hAnsiTheme="majorHAnsi" w:cstheme="minorHAnsi"/>
        </w:rPr>
        <w:t xml:space="preserve">To elevate customer experience, TPWODL transitioned its call center operations to a </w:t>
      </w:r>
      <w:r w:rsidRPr="000C6913">
        <w:rPr>
          <w:rFonts w:asciiTheme="majorHAnsi" w:eastAsia="Calibri" w:hAnsiTheme="majorHAnsi" w:cstheme="minorHAnsi"/>
          <w:b/>
          <w:bCs/>
        </w:rPr>
        <w:t>Unified Call Center (ICC) platform</w:t>
      </w:r>
      <w:r w:rsidRPr="000C6913">
        <w:rPr>
          <w:rFonts w:asciiTheme="majorHAnsi" w:eastAsia="Calibri" w:hAnsiTheme="majorHAnsi" w:cstheme="minorHAnsi"/>
        </w:rPr>
        <w:t>. This initiative enabled seamless process migration, advanced IVR capabilities, intelligent call routing, integration with existing CRM and complaint systems, and real-time analytics</w:t>
      </w:r>
      <w:r>
        <w:rPr>
          <w:rFonts w:asciiTheme="majorHAnsi" w:eastAsia="Calibri" w:hAnsiTheme="majorHAnsi" w:cstheme="minorHAnsi"/>
        </w:rPr>
        <w:t xml:space="preserve"> </w:t>
      </w:r>
      <w:r w:rsidRPr="000C6913">
        <w:rPr>
          <w:rFonts w:asciiTheme="majorHAnsi" w:eastAsia="Calibri" w:hAnsiTheme="majorHAnsi" w:cstheme="minorHAnsi"/>
        </w:rPr>
        <w:t>resulting in faster, more efficient delivery service.</w:t>
      </w:r>
    </w:p>
    <w:p w14:paraId="70AE8E0F" w14:textId="77777777" w:rsidR="00115C9C" w:rsidRPr="008A3535" w:rsidRDefault="00115C9C" w:rsidP="00115C9C">
      <w:pPr>
        <w:spacing w:after="240" w:line="360" w:lineRule="auto"/>
        <w:ind w:left="709"/>
        <w:jc w:val="both"/>
        <w:rPr>
          <w:rFonts w:asciiTheme="majorHAnsi" w:eastAsia="Calibri" w:hAnsiTheme="majorHAnsi" w:cstheme="minorHAnsi"/>
        </w:rPr>
      </w:pPr>
      <w:r w:rsidRPr="008A3535">
        <w:rPr>
          <w:rFonts w:asciiTheme="majorHAnsi" w:eastAsia="Calibri" w:hAnsiTheme="majorHAnsi" w:cstheme="minorHAnsi"/>
        </w:rPr>
        <w:t xml:space="preserve">TPWODL’s initiatives have not only modernized its IT infrastructure and application landscape but also built a strong foundation for a smart, agile, and future-ready power utility. With secure systems, seamless connectivity, and real-time insights, TPWODL is now empowered to deliver reliable, transparent, and innovative services to millions of consumers. </w:t>
      </w:r>
    </w:p>
    <w:p w14:paraId="738CBC3F" w14:textId="77777777" w:rsidR="00115C9C" w:rsidRPr="004306EA" w:rsidRDefault="00115C9C" w:rsidP="00056389">
      <w:pPr>
        <w:pStyle w:val="ListParagraph"/>
        <w:numPr>
          <w:ilvl w:val="1"/>
          <w:numId w:val="64"/>
        </w:numPr>
        <w:spacing w:after="240" w:line="360" w:lineRule="auto"/>
        <w:ind w:left="709" w:hanging="357"/>
        <w:contextualSpacing w:val="0"/>
        <w:jc w:val="both"/>
        <w:rPr>
          <w:rFonts w:asciiTheme="majorHAnsi" w:hAnsiTheme="majorHAnsi" w:cstheme="minorHAnsi"/>
          <w:b/>
          <w:bCs/>
          <w:sz w:val="24"/>
          <w:szCs w:val="24"/>
        </w:rPr>
      </w:pPr>
      <w:r w:rsidRPr="004306EA">
        <w:rPr>
          <w:rFonts w:asciiTheme="majorHAnsi" w:hAnsiTheme="majorHAnsi" w:cstheme="minorHAnsi"/>
          <w:b/>
          <w:bCs/>
          <w:sz w:val="24"/>
          <w:szCs w:val="24"/>
          <w:u w:val="single"/>
        </w:rPr>
        <w:t>BCP Strategy: Strengthening Business Continuity</w:t>
      </w:r>
      <w:r w:rsidRPr="004306EA">
        <w:rPr>
          <w:rFonts w:asciiTheme="majorHAnsi" w:hAnsiTheme="majorHAnsi" w:cstheme="minorHAnsi"/>
          <w:b/>
          <w:bCs/>
          <w:sz w:val="24"/>
          <w:szCs w:val="24"/>
        </w:rPr>
        <w:t xml:space="preserve"> </w:t>
      </w:r>
      <w:r w:rsidRPr="004306EA">
        <w:rPr>
          <w:rFonts w:asciiTheme="majorHAnsi" w:hAnsiTheme="majorHAnsi" w:cstheme="minorHAnsi"/>
          <w:sz w:val="24"/>
          <w:szCs w:val="24"/>
        </w:rPr>
        <w:t>TPWODL has built a robust strategy that turns disruptions into opportunities and incidents into lessons learned.</w:t>
      </w:r>
      <w:r>
        <w:rPr>
          <w:rFonts w:asciiTheme="majorHAnsi" w:hAnsiTheme="majorHAnsi" w:cstheme="minorHAnsi"/>
          <w:sz w:val="24"/>
          <w:szCs w:val="24"/>
        </w:rPr>
        <w:t xml:space="preserve"> The list of activities are as follows: </w:t>
      </w:r>
    </w:p>
    <w:p w14:paraId="791EC52E" w14:textId="77777777" w:rsidR="00115C9C" w:rsidRPr="004306EA" w:rsidRDefault="00115C9C" w:rsidP="001972DE">
      <w:pPr>
        <w:pStyle w:val="NormalWeb"/>
        <w:numPr>
          <w:ilvl w:val="2"/>
          <w:numId w:val="12"/>
        </w:numPr>
        <w:spacing w:before="0" w:beforeAutospacing="0" w:after="240" w:afterAutospacing="0" w:line="360" w:lineRule="auto"/>
        <w:jc w:val="both"/>
        <w:rPr>
          <w:rFonts w:asciiTheme="majorHAnsi" w:eastAsia="Calibri" w:hAnsiTheme="majorHAnsi" w:cstheme="minorHAnsi"/>
        </w:rPr>
      </w:pPr>
      <w:r w:rsidRPr="00B4652F">
        <w:rPr>
          <w:rFonts w:asciiTheme="majorHAnsi" w:eastAsia="Calibri" w:hAnsiTheme="majorHAnsi" w:cstheme="minorHAnsi"/>
          <w:b/>
          <w:bCs/>
        </w:rPr>
        <w:t>Disaster Recovery (DR):</w:t>
      </w:r>
      <w:r w:rsidRPr="004306EA">
        <w:rPr>
          <w:rFonts w:asciiTheme="majorHAnsi" w:eastAsia="Calibri" w:hAnsiTheme="majorHAnsi" w:cstheme="minorHAnsi"/>
        </w:rPr>
        <w:t xml:space="preserve"> More than a contingency plan, DR is a living protocol</w:t>
      </w:r>
      <w:r>
        <w:rPr>
          <w:rFonts w:asciiTheme="majorHAnsi" w:eastAsia="Calibri" w:hAnsiTheme="majorHAnsi" w:cstheme="minorHAnsi"/>
        </w:rPr>
        <w:t xml:space="preserve"> </w:t>
      </w:r>
      <w:r w:rsidRPr="004306EA">
        <w:rPr>
          <w:rFonts w:asciiTheme="majorHAnsi" w:eastAsia="Calibri" w:hAnsiTheme="majorHAnsi" w:cstheme="minorHAnsi"/>
        </w:rPr>
        <w:t>tested and refined regularly.</w:t>
      </w:r>
    </w:p>
    <w:p w14:paraId="2C7F5F23" w14:textId="77777777" w:rsidR="00115C9C" w:rsidRPr="004306EA" w:rsidRDefault="00115C9C" w:rsidP="001972DE">
      <w:pPr>
        <w:pStyle w:val="NormalWeb"/>
        <w:numPr>
          <w:ilvl w:val="4"/>
          <w:numId w:val="12"/>
        </w:numPr>
        <w:spacing w:before="0" w:beforeAutospacing="0" w:after="0" w:afterAutospacing="0" w:line="360" w:lineRule="auto"/>
        <w:jc w:val="both"/>
        <w:rPr>
          <w:rFonts w:asciiTheme="majorHAnsi" w:eastAsia="Calibri" w:hAnsiTheme="majorHAnsi" w:cstheme="minorHAnsi"/>
        </w:rPr>
      </w:pPr>
      <w:r w:rsidRPr="004306EA">
        <w:rPr>
          <w:rFonts w:asciiTheme="majorHAnsi" w:eastAsia="Calibri" w:hAnsiTheme="majorHAnsi" w:cstheme="minorHAnsi"/>
        </w:rPr>
        <w:t>Automated, encrypted backups across critical infrastructure</w:t>
      </w:r>
    </w:p>
    <w:p w14:paraId="2D718B12" w14:textId="77777777" w:rsidR="00115C9C" w:rsidRPr="004306EA" w:rsidRDefault="00115C9C" w:rsidP="001972DE">
      <w:pPr>
        <w:pStyle w:val="NormalWeb"/>
        <w:numPr>
          <w:ilvl w:val="4"/>
          <w:numId w:val="12"/>
        </w:numPr>
        <w:spacing w:before="0" w:beforeAutospacing="0" w:after="240" w:afterAutospacing="0" w:line="360" w:lineRule="auto"/>
        <w:jc w:val="both"/>
        <w:rPr>
          <w:rFonts w:asciiTheme="majorHAnsi" w:eastAsia="Calibri" w:hAnsiTheme="majorHAnsi" w:cstheme="minorHAnsi"/>
        </w:rPr>
      </w:pPr>
      <w:r w:rsidRPr="004306EA">
        <w:rPr>
          <w:rFonts w:asciiTheme="majorHAnsi" w:eastAsia="Calibri" w:hAnsiTheme="majorHAnsi" w:cstheme="minorHAnsi"/>
        </w:rPr>
        <w:t>Periodic recovery drills to validate readiness</w:t>
      </w:r>
    </w:p>
    <w:p w14:paraId="77F104B5" w14:textId="77777777" w:rsidR="00115C9C" w:rsidRPr="004306EA" w:rsidRDefault="00115C9C" w:rsidP="001972DE">
      <w:pPr>
        <w:pStyle w:val="NormalWeb"/>
        <w:numPr>
          <w:ilvl w:val="2"/>
          <w:numId w:val="12"/>
        </w:numPr>
        <w:spacing w:before="0" w:beforeAutospacing="0" w:after="240" w:afterAutospacing="0" w:line="360" w:lineRule="auto"/>
        <w:jc w:val="both"/>
        <w:rPr>
          <w:rFonts w:asciiTheme="majorHAnsi" w:eastAsia="Calibri" w:hAnsiTheme="majorHAnsi" w:cstheme="minorHAnsi"/>
        </w:rPr>
      </w:pPr>
      <w:r w:rsidRPr="00001C33">
        <w:rPr>
          <w:rFonts w:asciiTheme="majorHAnsi" w:eastAsia="Calibri" w:hAnsiTheme="majorHAnsi" w:cstheme="minorHAnsi"/>
          <w:b/>
          <w:bCs/>
        </w:rPr>
        <w:t>Business Continuity (BCP):</w:t>
      </w:r>
      <w:r w:rsidRPr="004306EA">
        <w:rPr>
          <w:rFonts w:asciiTheme="majorHAnsi" w:eastAsia="Calibri" w:hAnsiTheme="majorHAnsi" w:cstheme="minorHAnsi"/>
        </w:rPr>
        <w:t xml:space="preserve"> Designed to maintain operations during the most challenging scenarios.</w:t>
      </w:r>
    </w:p>
    <w:p w14:paraId="744E856B" w14:textId="77777777" w:rsidR="00115C9C" w:rsidRPr="004306EA" w:rsidRDefault="00115C9C" w:rsidP="001972DE">
      <w:pPr>
        <w:pStyle w:val="NormalWeb"/>
        <w:numPr>
          <w:ilvl w:val="4"/>
          <w:numId w:val="12"/>
        </w:numPr>
        <w:spacing w:before="0" w:beforeAutospacing="0" w:after="0" w:afterAutospacing="0" w:line="360" w:lineRule="auto"/>
        <w:jc w:val="both"/>
        <w:rPr>
          <w:rFonts w:asciiTheme="majorHAnsi" w:eastAsia="Calibri" w:hAnsiTheme="majorHAnsi" w:cstheme="minorHAnsi"/>
        </w:rPr>
      </w:pPr>
      <w:r w:rsidRPr="004306EA">
        <w:rPr>
          <w:rFonts w:asciiTheme="majorHAnsi" w:eastAsia="Calibri" w:hAnsiTheme="majorHAnsi" w:cstheme="minorHAnsi"/>
        </w:rPr>
        <w:t>Alternate workflows and failover mechanisms for uninterrupted service</w:t>
      </w:r>
    </w:p>
    <w:p w14:paraId="036148D8" w14:textId="77777777" w:rsidR="00115C9C" w:rsidRPr="004306EA" w:rsidRDefault="00115C9C" w:rsidP="001972DE">
      <w:pPr>
        <w:pStyle w:val="NormalWeb"/>
        <w:numPr>
          <w:ilvl w:val="4"/>
          <w:numId w:val="12"/>
        </w:numPr>
        <w:spacing w:before="0" w:beforeAutospacing="0" w:after="0" w:afterAutospacing="0" w:line="360" w:lineRule="auto"/>
        <w:jc w:val="both"/>
        <w:rPr>
          <w:rFonts w:asciiTheme="majorHAnsi" w:eastAsia="Calibri" w:hAnsiTheme="majorHAnsi" w:cstheme="minorHAnsi"/>
        </w:rPr>
      </w:pPr>
      <w:r w:rsidRPr="004306EA">
        <w:rPr>
          <w:rFonts w:asciiTheme="majorHAnsi" w:eastAsia="Calibri" w:hAnsiTheme="majorHAnsi" w:cstheme="minorHAnsi"/>
        </w:rPr>
        <w:t>Transparent customer communication to maintain trust</w:t>
      </w:r>
    </w:p>
    <w:p w14:paraId="46343A65" w14:textId="77777777" w:rsidR="00115C9C" w:rsidRPr="004306EA" w:rsidRDefault="00115C9C" w:rsidP="001972DE">
      <w:pPr>
        <w:pStyle w:val="NormalWeb"/>
        <w:numPr>
          <w:ilvl w:val="4"/>
          <w:numId w:val="12"/>
        </w:numPr>
        <w:spacing w:before="0" w:beforeAutospacing="0" w:after="240" w:afterAutospacing="0" w:line="360" w:lineRule="auto"/>
        <w:jc w:val="both"/>
        <w:rPr>
          <w:rFonts w:asciiTheme="majorHAnsi" w:eastAsia="Calibri" w:hAnsiTheme="majorHAnsi" w:cstheme="minorHAnsi"/>
        </w:rPr>
      </w:pPr>
      <w:r w:rsidRPr="004306EA">
        <w:rPr>
          <w:rFonts w:asciiTheme="majorHAnsi" w:eastAsia="Calibri" w:hAnsiTheme="majorHAnsi" w:cstheme="minorHAnsi"/>
        </w:rPr>
        <w:t>Cross-functional coordination for productivity and responsiveness</w:t>
      </w:r>
    </w:p>
    <w:p w14:paraId="5CB109CF" w14:textId="77777777" w:rsidR="00115C9C" w:rsidRPr="004306EA" w:rsidRDefault="00115C9C" w:rsidP="001972DE">
      <w:pPr>
        <w:pStyle w:val="NormalWeb"/>
        <w:numPr>
          <w:ilvl w:val="2"/>
          <w:numId w:val="12"/>
        </w:numPr>
        <w:spacing w:before="0" w:beforeAutospacing="0" w:after="240" w:afterAutospacing="0" w:line="360" w:lineRule="auto"/>
        <w:jc w:val="both"/>
        <w:rPr>
          <w:rFonts w:asciiTheme="majorHAnsi" w:eastAsia="Calibri" w:hAnsiTheme="majorHAnsi" w:cstheme="minorHAnsi"/>
        </w:rPr>
      </w:pPr>
      <w:r w:rsidRPr="00001C33">
        <w:rPr>
          <w:rFonts w:asciiTheme="majorHAnsi" w:eastAsia="Calibri" w:hAnsiTheme="majorHAnsi" w:cstheme="minorHAnsi"/>
          <w:b/>
          <w:bCs/>
        </w:rPr>
        <w:t>Incident Response:</w:t>
      </w:r>
      <w:r w:rsidRPr="004306EA">
        <w:rPr>
          <w:rFonts w:asciiTheme="majorHAnsi" w:eastAsia="Calibri" w:hAnsiTheme="majorHAnsi" w:cstheme="minorHAnsi"/>
        </w:rPr>
        <w:t xml:space="preserve"> Scenario-specific playbooks ensure rapid containment and recovery.</w:t>
      </w:r>
    </w:p>
    <w:p w14:paraId="0ED2313B" w14:textId="77777777" w:rsidR="00115C9C" w:rsidRPr="004306EA" w:rsidRDefault="00115C9C" w:rsidP="001972DE">
      <w:pPr>
        <w:pStyle w:val="NormalWeb"/>
        <w:numPr>
          <w:ilvl w:val="4"/>
          <w:numId w:val="12"/>
        </w:numPr>
        <w:spacing w:before="0" w:beforeAutospacing="0" w:after="0" w:afterAutospacing="0" w:line="360" w:lineRule="auto"/>
        <w:jc w:val="both"/>
        <w:rPr>
          <w:rFonts w:asciiTheme="majorHAnsi" w:eastAsia="Calibri" w:hAnsiTheme="majorHAnsi" w:cstheme="minorHAnsi"/>
        </w:rPr>
      </w:pPr>
      <w:r w:rsidRPr="004306EA">
        <w:rPr>
          <w:rFonts w:asciiTheme="majorHAnsi" w:eastAsia="Calibri" w:hAnsiTheme="majorHAnsi" w:cstheme="minorHAnsi"/>
        </w:rPr>
        <w:t>Network quarantine to prevent threat spread</w:t>
      </w:r>
    </w:p>
    <w:p w14:paraId="30B74E8B" w14:textId="77777777" w:rsidR="00115C9C" w:rsidRPr="004306EA" w:rsidRDefault="00115C9C" w:rsidP="001972DE">
      <w:pPr>
        <w:pStyle w:val="NormalWeb"/>
        <w:numPr>
          <w:ilvl w:val="4"/>
          <w:numId w:val="12"/>
        </w:numPr>
        <w:spacing w:before="0" w:beforeAutospacing="0" w:after="0" w:afterAutospacing="0" w:line="360" w:lineRule="auto"/>
        <w:jc w:val="both"/>
        <w:rPr>
          <w:rFonts w:asciiTheme="majorHAnsi" w:eastAsia="Calibri" w:hAnsiTheme="majorHAnsi" w:cstheme="minorHAnsi"/>
        </w:rPr>
      </w:pPr>
      <w:r w:rsidRPr="004306EA">
        <w:rPr>
          <w:rFonts w:asciiTheme="majorHAnsi" w:eastAsia="Calibri" w:hAnsiTheme="majorHAnsi" w:cstheme="minorHAnsi"/>
        </w:rPr>
        <w:t>Ransomware: Isolation, forensic analysis, and restoration from clean backups</w:t>
      </w:r>
    </w:p>
    <w:p w14:paraId="034D077C" w14:textId="74D4D787" w:rsidR="00115C9C" w:rsidRPr="00F73E3D" w:rsidRDefault="00115C9C" w:rsidP="001972DE">
      <w:pPr>
        <w:pStyle w:val="NormalWeb"/>
        <w:numPr>
          <w:ilvl w:val="4"/>
          <w:numId w:val="12"/>
        </w:numPr>
        <w:spacing w:before="0" w:beforeAutospacing="0" w:after="0" w:afterAutospacing="0" w:line="360" w:lineRule="auto"/>
        <w:jc w:val="both"/>
        <w:rPr>
          <w:rFonts w:asciiTheme="majorHAnsi" w:eastAsia="Calibri" w:hAnsiTheme="majorHAnsi" w:cstheme="minorHAnsi"/>
        </w:rPr>
      </w:pPr>
      <w:r w:rsidRPr="004306EA">
        <w:rPr>
          <w:rFonts w:asciiTheme="majorHAnsi" w:eastAsia="Calibri" w:hAnsiTheme="majorHAnsi" w:cstheme="minorHAnsi"/>
        </w:rPr>
        <w:t>Insider threats: Real-time access revoc</w:t>
      </w:r>
      <w:r w:rsidRPr="00F73E3D">
        <w:rPr>
          <w:rFonts w:asciiTheme="majorHAnsi" w:eastAsia="Calibri" w:hAnsiTheme="majorHAnsi" w:cstheme="minorHAnsi"/>
        </w:rPr>
        <w:t xml:space="preserve">ation and </w:t>
      </w:r>
      <w:r w:rsidR="00BF51B3" w:rsidRPr="00F73E3D">
        <w:rPr>
          <w:rFonts w:asciiTheme="majorHAnsi" w:eastAsia="Calibri" w:hAnsiTheme="majorHAnsi" w:cstheme="minorHAnsi"/>
        </w:rPr>
        <w:t>behavioral</w:t>
      </w:r>
      <w:r w:rsidRPr="00F73E3D">
        <w:rPr>
          <w:rFonts w:asciiTheme="majorHAnsi" w:eastAsia="Calibri" w:hAnsiTheme="majorHAnsi" w:cstheme="minorHAnsi"/>
        </w:rPr>
        <w:t xml:space="preserve"> monitoring</w:t>
      </w:r>
    </w:p>
    <w:p w14:paraId="3D24E37C" w14:textId="77777777" w:rsidR="00115C9C" w:rsidRPr="00C730D1" w:rsidRDefault="00115C9C" w:rsidP="001972DE">
      <w:pPr>
        <w:pStyle w:val="NormalWeb"/>
        <w:numPr>
          <w:ilvl w:val="2"/>
          <w:numId w:val="12"/>
        </w:numPr>
        <w:spacing w:before="0" w:beforeAutospacing="0" w:after="240" w:afterAutospacing="0" w:line="360" w:lineRule="auto"/>
        <w:jc w:val="both"/>
        <w:rPr>
          <w:rFonts w:asciiTheme="majorHAnsi" w:eastAsia="Calibri" w:hAnsiTheme="majorHAnsi" w:cstheme="minorHAnsi"/>
          <w:b/>
          <w:bCs/>
        </w:rPr>
      </w:pPr>
      <w:r w:rsidRPr="00C730D1">
        <w:rPr>
          <w:rFonts w:asciiTheme="majorHAnsi" w:eastAsia="Calibri" w:hAnsiTheme="majorHAnsi" w:cstheme="minorHAnsi"/>
          <w:b/>
          <w:bCs/>
        </w:rPr>
        <w:t>Post-Incident Review:</w:t>
      </w:r>
    </w:p>
    <w:p w14:paraId="4B37D1CF" w14:textId="77777777" w:rsidR="00115C9C" w:rsidRPr="004306EA" w:rsidRDefault="00115C9C" w:rsidP="001972DE">
      <w:pPr>
        <w:pStyle w:val="NormalWeb"/>
        <w:numPr>
          <w:ilvl w:val="4"/>
          <w:numId w:val="12"/>
        </w:numPr>
        <w:spacing w:before="0" w:beforeAutospacing="0" w:after="0" w:afterAutospacing="0" w:line="360" w:lineRule="auto"/>
        <w:jc w:val="both"/>
        <w:rPr>
          <w:rFonts w:asciiTheme="majorHAnsi" w:eastAsia="Calibri" w:hAnsiTheme="majorHAnsi" w:cstheme="minorHAnsi"/>
        </w:rPr>
      </w:pPr>
      <w:r w:rsidRPr="004306EA">
        <w:rPr>
          <w:rFonts w:asciiTheme="majorHAnsi" w:eastAsia="Calibri" w:hAnsiTheme="majorHAnsi" w:cstheme="minorHAnsi"/>
        </w:rPr>
        <w:t>Root Cause Analysis to identify vulnerabilities</w:t>
      </w:r>
    </w:p>
    <w:p w14:paraId="3778C0CD" w14:textId="77777777" w:rsidR="00115C9C" w:rsidRPr="004306EA" w:rsidRDefault="00115C9C" w:rsidP="001972DE">
      <w:pPr>
        <w:pStyle w:val="NormalWeb"/>
        <w:numPr>
          <w:ilvl w:val="4"/>
          <w:numId w:val="12"/>
        </w:numPr>
        <w:spacing w:before="0" w:beforeAutospacing="0" w:after="0" w:afterAutospacing="0" w:line="360" w:lineRule="auto"/>
        <w:jc w:val="both"/>
        <w:rPr>
          <w:rFonts w:asciiTheme="majorHAnsi" w:eastAsia="Calibri" w:hAnsiTheme="majorHAnsi" w:cstheme="minorHAnsi"/>
        </w:rPr>
      </w:pPr>
      <w:r w:rsidRPr="004306EA">
        <w:rPr>
          <w:rFonts w:asciiTheme="majorHAnsi" w:eastAsia="Calibri" w:hAnsiTheme="majorHAnsi" w:cstheme="minorHAnsi"/>
        </w:rPr>
        <w:t>Lessons Learned workshops to enhance readiness</w:t>
      </w:r>
    </w:p>
    <w:p w14:paraId="2E8940B4" w14:textId="77777777" w:rsidR="00115C9C" w:rsidRPr="004306EA" w:rsidRDefault="00115C9C" w:rsidP="001972DE">
      <w:pPr>
        <w:pStyle w:val="NormalWeb"/>
        <w:numPr>
          <w:ilvl w:val="4"/>
          <w:numId w:val="12"/>
        </w:numPr>
        <w:spacing w:before="0" w:beforeAutospacing="0" w:after="0" w:afterAutospacing="0" w:line="360" w:lineRule="auto"/>
        <w:jc w:val="both"/>
        <w:rPr>
          <w:rFonts w:asciiTheme="majorHAnsi" w:eastAsia="Calibri" w:hAnsiTheme="majorHAnsi" w:cstheme="minorHAnsi"/>
        </w:rPr>
      </w:pPr>
      <w:r w:rsidRPr="004306EA">
        <w:rPr>
          <w:rFonts w:asciiTheme="majorHAnsi" w:eastAsia="Calibri" w:hAnsiTheme="majorHAnsi" w:cstheme="minorHAnsi"/>
        </w:rPr>
        <w:t>Control enhancements to prevent recurrence</w:t>
      </w:r>
    </w:p>
    <w:p w14:paraId="62841720" w14:textId="77777777" w:rsidR="00115C9C" w:rsidRDefault="00115C9C" w:rsidP="00115C9C">
      <w:pPr>
        <w:pStyle w:val="ListParagraph"/>
        <w:spacing w:after="240" w:line="360" w:lineRule="auto"/>
        <w:ind w:left="709"/>
        <w:contextualSpacing w:val="0"/>
        <w:jc w:val="both"/>
        <w:rPr>
          <w:rFonts w:asciiTheme="majorHAnsi" w:hAnsiTheme="majorHAnsi" w:cstheme="minorHAnsi"/>
          <w:b/>
          <w:bCs/>
          <w:sz w:val="24"/>
          <w:szCs w:val="24"/>
        </w:rPr>
      </w:pPr>
    </w:p>
    <w:p w14:paraId="00780962" w14:textId="77777777" w:rsidR="00115C9C" w:rsidRPr="00746851" w:rsidRDefault="00115C9C" w:rsidP="00BF51B3">
      <w:pPr>
        <w:pStyle w:val="ListParagraph"/>
        <w:numPr>
          <w:ilvl w:val="0"/>
          <w:numId w:val="12"/>
        </w:numPr>
        <w:spacing w:after="240" w:line="360" w:lineRule="auto"/>
        <w:contextualSpacing w:val="0"/>
        <w:jc w:val="both"/>
        <w:rPr>
          <w:rFonts w:asciiTheme="majorHAnsi" w:hAnsiTheme="majorHAnsi" w:cstheme="minorHAnsi"/>
          <w:b/>
          <w:bCs/>
          <w:sz w:val="24"/>
          <w:szCs w:val="24"/>
        </w:rPr>
      </w:pPr>
      <w:r w:rsidRPr="00746851">
        <w:rPr>
          <w:rFonts w:asciiTheme="majorHAnsi" w:hAnsiTheme="majorHAnsi" w:cstheme="minorHAnsi"/>
          <w:b/>
          <w:bCs/>
          <w:sz w:val="24"/>
          <w:szCs w:val="24"/>
          <w:u w:val="single"/>
        </w:rPr>
        <w:t>Governance &amp; Compliance Readiness:</w:t>
      </w:r>
      <w:r w:rsidRPr="00746851">
        <w:rPr>
          <w:rFonts w:asciiTheme="majorHAnsi" w:hAnsiTheme="majorHAnsi" w:cstheme="minorHAnsi"/>
          <w:b/>
          <w:bCs/>
          <w:sz w:val="24"/>
          <w:szCs w:val="24"/>
        </w:rPr>
        <w:t xml:space="preserve"> </w:t>
      </w:r>
      <w:r w:rsidRPr="00787FA4">
        <w:rPr>
          <w:rFonts w:asciiTheme="majorHAnsi" w:hAnsiTheme="majorHAnsi" w:cstheme="minorHAnsi"/>
          <w:sz w:val="24"/>
          <w:szCs w:val="24"/>
          <w:lang w:val="en-IN"/>
        </w:rPr>
        <w:t>With regulations constantly evolving (e.g., GDPR, HIPAA, PCI-DSS), organizations must stay agile and adapt quickly. TPWODL conducts regular compliance audits to ensure alignment with current standards, while teams are continuously trained on new requirements.</w:t>
      </w:r>
      <w:r>
        <w:rPr>
          <w:rFonts w:asciiTheme="majorHAnsi" w:hAnsiTheme="majorHAnsi" w:cstheme="minorHAnsi"/>
          <w:sz w:val="24"/>
          <w:szCs w:val="24"/>
          <w:lang w:val="en-IN"/>
        </w:rPr>
        <w:t xml:space="preserve"> Audits &amp; Certifications status are as follows: </w:t>
      </w:r>
    </w:p>
    <w:p w14:paraId="180CB784" w14:textId="77777777" w:rsidR="00115C9C" w:rsidRPr="00746851" w:rsidRDefault="00115C9C" w:rsidP="00056389">
      <w:pPr>
        <w:numPr>
          <w:ilvl w:val="0"/>
          <w:numId w:val="65"/>
        </w:numPr>
        <w:tabs>
          <w:tab w:val="clear" w:pos="1080"/>
          <w:tab w:val="num" w:pos="720"/>
        </w:tabs>
        <w:spacing w:after="240" w:line="360" w:lineRule="auto"/>
        <w:ind w:left="709" w:hanging="357"/>
        <w:jc w:val="both"/>
        <w:rPr>
          <w:rFonts w:asciiTheme="majorHAnsi" w:hAnsiTheme="majorHAnsi" w:cstheme="minorHAnsi"/>
          <w:lang w:val="en-IN"/>
        </w:rPr>
      </w:pPr>
      <w:r w:rsidRPr="00746851">
        <w:rPr>
          <w:rFonts w:asciiTheme="majorHAnsi" w:hAnsiTheme="majorHAnsi" w:cstheme="minorHAnsi"/>
          <w:b/>
          <w:bCs/>
          <w:lang w:val="en-IN"/>
        </w:rPr>
        <w:t>ISO 27001 Certification:</w:t>
      </w:r>
      <w:r w:rsidRPr="00746851">
        <w:rPr>
          <w:rFonts w:asciiTheme="majorHAnsi" w:hAnsiTheme="majorHAnsi" w:cstheme="minorHAnsi"/>
          <w:lang w:val="en-IN"/>
        </w:rPr>
        <w:t xml:space="preserve"> TPWODL is ISO 27001 certified, an international standard for Information Security Management Systems (ISMS). This demonstrates a systematic approach to managing sensitive information, ensuring confidentiality, integrity, and availability through robust risk management and security controls.</w:t>
      </w:r>
    </w:p>
    <w:p w14:paraId="3AE8FE4C" w14:textId="77777777" w:rsidR="00115C9C" w:rsidRPr="00746851" w:rsidRDefault="00115C9C" w:rsidP="00056389">
      <w:pPr>
        <w:numPr>
          <w:ilvl w:val="0"/>
          <w:numId w:val="65"/>
        </w:numPr>
        <w:tabs>
          <w:tab w:val="num" w:pos="720"/>
        </w:tabs>
        <w:spacing w:after="240" w:line="360" w:lineRule="auto"/>
        <w:ind w:left="709" w:hanging="357"/>
        <w:jc w:val="both"/>
        <w:rPr>
          <w:rFonts w:asciiTheme="majorHAnsi" w:hAnsiTheme="majorHAnsi" w:cstheme="minorHAnsi"/>
          <w:lang w:val="en-IN"/>
        </w:rPr>
      </w:pPr>
      <w:r w:rsidRPr="00746851">
        <w:rPr>
          <w:rFonts w:asciiTheme="majorHAnsi" w:hAnsiTheme="majorHAnsi" w:cstheme="minorHAnsi"/>
          <w:b/>
          <w:bCs/>
          <w:lang w:val="en-IN"/>
        </w:rPr>
        <w:t>CMMI Level 5 Certification:</w:t>
      </w:r>
      <w:r w:rsidRPr="00746851">
        <w:rPr>
          <w:rFonts w:asciiTheme="majorHAnsi" w:hAnsiTheme="majorHAnsi" w:cstheme="minorHAnsi"/>
          <w:lang w:val="en-IN"/>
        </w:rPr>
        <w:t xml:space="preserve"> TPWODL proudly holds CMMI Level 5 certification</w:t>
      </w:r>
      <w:r>
        <w:rPr>
          <w:rFonts w:asciiTheme="majorHAnsi" w:hAnsiTheme="majorHAnsi" w:cstheme="minorHAnsi"/>
          <w:lang w:val="en-IN"/>
        </w:rPr>
        <w:t xml:space="preserve"> </w:t>
      </w:r>
      <w:r w:rsidRPr="00746851">
        <w:rPr>
          <w:rFonts w:asciiTheme="majorHAnsi" w:hAnsiTheme="majorHAnsi" w:cstheme="minorHAnsi"/>
          <w:lang w:val="en-IN"/>
        </w:rPr>
        <w:t>the highest maturity level</w:t>
      </w:r>
      <w:r>
        <w:rPr>
          <w:rFonts w:asciiTheme="majorHAnsi" w:hAnsiTheme="majorHAnsi" w:cstheme="minorHAnsi"/>
          <w:lang w:val="en-IN"/>
        </w:rPr>
        <w:t xml:space="preserve"> </w:t>
      </w:r>
      <w:r w:rsidRPr="00746851">
        <w:rPr>
          <w:rFonts w:asciiTheme="majorHAnsi" w:hAnsiTheme="majorHAnsi" w:cstheme="minorHAnsi"/>
          <w:lang w:val="en-IN"/>
        </w:rPr>
        <w:t>reflecting optimized processes, continuous improvement, and world-class delivery standards.</w:t>
      </w:r>
    </w:p>
    <w:p w14:paraId="1770898F" w14:textId="77777777" w:rsidR="00115C9C" w:rsidRPr="00746851" w:rsidRDefault="00115C9C" w:rsidP="00056389">
      <w:pPr>
        <w:numPr>
          <w:ilvl w:val="0"/>
          <w:numId w:val="65"/>
        </w:numPr>
        <w:tabs>
          <w:tab w:val="num" w:pos="720"/>
        </w:tabs>
        <w:spacing w:after="240" w:line="360" w:lineRule="auto"/>
        <w:ind w:left="709" w:hanging="357"/>
        <w:jc w:val="both"/>
        <w:rPr>
          <w:rFonts w:asciiTheme="majorHAnsi" w:hAnsiTheme="majorHAnsi" w:cstheme="minorHAnsi"/>
          <w:b/>
          <w:bCs/>
          <w:lang w:val="en-IN"/>
        </w:rPr>
      </w:pPr>
      <w:r w:rsidRPr="0042734F">
        <w:rPr>
          <w:rFonts w:asciiTheme="majorHAnsi" w:hAnsiTheme="majorHAnsi" w:cstheme="minorHAnsi"/>
          <w:b/>
          <w:bCs/>
          <w:lang w:val="en-IN"/>
        </w:rPr>
        <w:t>Information technology general controls (ITGC)</w:t>
      </w:r>
      <w:r>
        <w:rPr>
          <w:rFonts w:asciiTheme="majorHAnsi" w:hAnsiTheme="majorHAnsi" w:cstheme="minorHAnsi"/>
          <w:b/>
          <w:bCs/>
          <w:lang w:val="en-IN"/>
        </w:rPr>
        <w:t>:</w:t>
      </w:r>
    </w:p>
    <w:p w14:paraId="5359E9F2" w14:textId="77777777" w:rsidR="00115C9C" w:rsidRPr="00746851" w:rsidRDefault="00115C9C" w:rsidP="00056389">
      <w:pPr>
        <w:numPr>
          <w:ilvl w:val="1"/>
          <w:numId w:val="65"/>
        </w:numPr>
        <w:tabs>
          <w:tab w:val="clear" w:pos="1800"/>
          <w:tab w:val="num" w:pos="1443"/>
        </w:tabs>
        <w:spacing w:line="360" w:lineRule="auto"/>
        <w:ind w:left="709" w:hanging="357"/>
        <w:jc w:val="both"/>
        <w:rPr>
          <w:rFonts w:asciiTheme="majorHAnsi" w:hAnsiTheme="majorHAnsi" w:cstheme="minorHAnsi"/>
          <w:lang w:val="en-IN"/>
        </w:rPr>
      </w:pPr>
      <w:r w:rsidRPr="00746851">
        <w:rPr>
          <w:rFonts w:asciiTheme="majorHAnsi" w:hAnsiTheme="majorHAnsi" w:cstheme="minorHAnsi"/>
          <w:b/>
          <w:bCs/>
          <w:lang w:val="en-IN"/>
        </w:rPr>
        <w:t>Robust Framework</w:t>
      </w:r>
      <w:r w:rsidRPr="00746851">
        <w:rPr>
          <w:rFonts w:asciiTheme="majorHAnsi" w:hAnsiTheme="majorHAnsi" w:cstheme="minorHAnsi"/>
          <w:lang w:val="en-IN"/>
        </w:rPr>
        <w:t>: Our organization has implemented a comprehensive cybersecurity and governance structure to ensure operational integrity and regulatory compliance.</w:t>
      </w:r>
    </w:p>
    <w:p w14:paraId="3B70CF31" w14:textId="77777777" w:rsidR="00115C9C" w:rsidRPr="00746851" w:rsidRDefault="00115C9C" w:rsidP="00056389">
      <w:pPr>
        <w:numPr>
          <w:ilvl w:val="1"/>
          <w:numId w:val="65"/>
        </w:numPr>
        <w:tabs>
          <w:tab w:val="clear" w:pos="1800"/>
        </w:tabs>
        <w:spacing w:line="360" w:lineRule="auto"/>
        <w:ind w:left="709" w:hanging="357"/>
        <w:jc w:val="both"/>
        <w:rPr>
          <w:rFonts w:asciiTheme="majorHAnsi" w:hAnsiTheme="majorHAnsi" w:cstheme="minorHAnsi"/>
          <w:lang w:val="en-IN"/>
        </w:rPr>
      </w:pPr>
      <w:r w:rsidRPr="00746851">
        <w:rPr>
          <w:rFonts w:asciiTheme="majorHAnsi" w:hAnsiTheme="majorHAnsi" w:cstheme="minorHAnsi"/>
          <w:b/>
          <w:bCs/>
          <w:lang w:val="en-IN"/>
        </w:rPr>
        <w:t>Automated Change Management</w:t>
      </w:r>
      <w:r w:rsidRPr="00746851">
        <w:rPr>
          <w:rFonts w:asciiTheme="majorHAnsi" w:hAnsiTheme="majorHAnsi" w:cstheme="minorHAnsi"/>
          <w:lang w:val="en-IN"/>
        </w:rPr>
        <w:t>:</w:t>
      </w:r>
    </w:p>
    <w:p w14:paraId="71C96250" w14:textId="77777777" w:rsidR="00115C9C" w:rsidRPr="00746851" w:rsidRDefault="00115C9C" w:rsidP="00056389">
      <w:pPr>
        <w:numPr>
          <w:ilvl w:val="2"/>
          <w:numId w:val="65"/>
        </w:numPr>
        <w:tabs>
          <w:tab w:val="clear" w:pos="2520"/>
        </w:tabs>
        <w:spacing w:line="360" w:lineRule="auto"/>
        <w:ind w:left="709" w:hanging="357"/>
        <w:jc w:val="both"/>
        <w:rPr>
          <w:rFonts w:asciiTheme="majorHAnsi" w:hAnsiTheme="majorHAnsi" w:cstheme="minorHAnsi"/>
          <w:lang w:val="en-IN"/>
        </w:rPr>
      </w:pPr>
      <w:r w:rsidRPr="00746851">
        <w:rPr>
          <w:rFonts w:asciiTheme="majorHAnsi" w:hAnsiTheme="majorHAnsi" w:cstheme="minorHAnsi"/>
          <w:lang w:val="en-IN"/>
        </w:rPr>
        <w:t xml:space="preserve">Fully automated through </w:t>
      </w:r>
      <w:proofErr w:type="spellStart"/>
      <w:r w:rsidRPr="00746851">
        <w:rPr>
          <w:rFonts w:asciiTheme="majorHAnsi" w:hAnsiTheme="majorHAnsi" w:cstheme="minorHAnsi"/>
          <w:b/>
          <w:bCs/>
          <w:lang w:val="en-IN"/>
        </w:rPr>
        <w:t>iCAMS</w:t>
      </w:r>
      <w:proofErr w:type="spellEnd"/>
      <w:r w:rsidRPr="00746851">
        <w:rPr>
          <w:rFonts w:asciiTheme="majorHAnsi" w:hAnsiTheme="majorHAnsi" w:cstheme="minorHAnsi"/>
          <w:lang w:val="en-IN"/>
        </w:rPr>
        <w:t xml:space="preserve"> application and infrastructure.</w:t>
      </w:r>
    </w:p>
    <w:p w14:paraId="55CD9D42" w14:textId="77777777" w:rsidR="00115C9C" w:rsidRPr="00746851" w:rsidRDefault="00115C9C" w:rsidP="00056389">
      <w:pPr>
        <w:numPr>
          <w:ilvl w:val="2"/>
          <w:numId w:val="65"/>
        </w:numPr>
        <w:tabs>
          <w:tab w:val="clear" w:pos="2520"/>
        </w:tabs>
        <w:spacing w:line="360" w:lineRule="auto"/>
        <w:ind w:left="709" w:hanging="357"/>
        <w:jc w:val="both"/>
        <w:rPr>
          <w:rFonts w:asciiTheme="majorHAnsi" w:hAnsiTheme="majorHAnsi" w:cstheme="minorHAnsi"/>
          <w:lang w:val="en-IN"/>
        </w:rPr>
      </w:pPr>
      <w:r w:rsidRPr="00746851">
        <w:rPr>
          <w:rFonts w:asciiTheme="majorHAnsi" w:hAnsiTheme="majorHAnsi" w:cstheme="minorHAnsi"/>
          <w:lang w:val="en-IN"/>
        </w:rPr>
        <w:t>Incorporates systematic checks to minimize human errors.</w:t>
      </w:r>
    </w:p>
    <w:p w14:paraId="4C16D31A" w14:textId="77777777" w:rsidR="00115C9C" w:rsidRPr="00746851" w:rsidRDefault="00115C9C" w:rsidP="00056389">
      <w:pPr>
        <w:numPr>
          <w:ilvl w:val="1"/>
          <w:numId w:val="65"/>
        </w:numPr>
        <w:tabs>
          <w:tab w:val="clear" w:pos="1800"/>
        </w:tabs>
        <w:spacing w:line="360" w:lineRule="auto"/>
        <w:ind w:left="709" w:hanging="357"/>
        <w:jc w:val="both"/>
        <w:rPr>
          <w:rFonts w:asciiTheme="majorHAnsi" w:hAnsiTheme="majorHAnsi" w:cstheme="minorHAnsi"/>
          <w:lang w:val="en-IN"/>
        </w:rPr>
      </w:pPr>
      <w:r w:rsidRPr="00746851">
        <w:rPr>
          <w:rFonts w:asciiTheme="majorHAnsi" w:hAnsiTheme="majorHAnsi" w:cstheme="minorHAnsi"/>
          <w:b/>
          <w:bCs/>
          <w:lang w:val="en-IN"/>
        </w:rPr>
        <w:t>Release Management</w:t>
      </w:r>
      <w:r w:rsidRPr="00746851">
        <w:rPr>
          <w:rFonts w:asciiTheme="majorHAnsi" w:hAnsiTheme="majorHAnsi" w:cstheme="minorHAnsi"/>
          <w:lang w:val="en-IN"/>
        </w:rPr>
        <w:t>:</w:t>
      </w:r>
    </w:p>
    <w:p w14:paraId="22AD7C64" w14:textId="77777777" w:rsidR="00115C9C" w:rsidRPr="00746851" w:rsidRDefault="00115C9C" w:rsidP="00056389">
      <w:pPr>
        <w:numPr>
          <w:ilvl w:val="2"/>
          <w:numId w:val="65"/>
        </w:numPr>
        <w:tabs>
          <w:tab w:val="clear" w:pos="2520"/>
        </w:tabs>
        <w:spacing w:line="360" w:lineRule="auto"/>
        <w:ind w:left="709" w:hanging="357"/>
        <w:jc w:val="both"/>
        <w:rPr>
          <w:rFonts w:asciiTheme="majorHAnsi" w:hAnsiTheme="majorHAnsi" w:cstheme="minorHAnsi"/>
          <w:lang w:val="en-IN"/>
        </w:rPr>
      </w:pPr>
      <w:r w:rsidRPr="00746851">
        <w:rPr>
          <w:rFonts w:asciiTheme="majorHAnsi" w:hAnsiTheme="majorHAnsi" w:cstheme="minorHAnsi"/>
          <w:lang w:val="en-IN"/>
        </w:rPr>
        <w:t xml:space="preserve">Tools like </w:t>
      </w:r>
      <w:r w:rsidRPr="00144484">
        <w:rPr>
          <w:rFonts w:asciiTheme="majorHAnsi" w:hAnsiTheme="majorHAnsi" w:cstheme="minorHAnsi"/>
          <w:lang w:val="en-IN"/>
        </w:rPr>
        <w:t>FG-MBC/CIS</w:t>
      </w:r>
      <w:r w:rsidRPr="00746851">
        <w:rPr>
          <w:rFonts w:asciiTheme="majorHAnsi" w:hAnsiTheme="majorHAnsi" w:cstheme="minorHAnsi"/>
          <w:lang w:val="en-IN"/>
        </w:rPr>
        <w:t xml:space="preserve"> streamline patch deployment.</w:t>
      </w:r>
    </w:p>
    <w:p w14:paraId="7489CA0A" w14:textId="77777777" w:rsidR="00115C9C" w:rsidRPr="00746851" w:rsidRDefault="00115C9C" w:rsidP="00056389">
      <w:pPr>
        <w:numPr>
          <w:ilvl w:val="2"/>
          <w:numId w:val="65"/>
        </w:numPr>
        <w:tabs>
          <w:tab w:val="clear" w:pos="2520"/>
        </w:tabs>
        <w:spacing w:line="360" w:lineRule="auto"/>
        <w:ind w:left="709" w:hanging="357"/>
        <w:jc w:val="both"/>
        <w:rPr>
          <w:rFonts w:asciiTheme="majorHAnsi" w:hAnsiTheme="majorHAnsi" w:cstheme="minorHAnsi"/>
          <w:lang w:val="en-IN"/>
        </w:rPr>
      </w:pPr>
      <w:r w:rsidRPr="00746851">
        <w:rPr>
          <w:rFonts w:asciiTheme="majorHAnsi" w:hAnsiTheme="majorHAnsi" w:cstheme="minorHAnsi"/>
          <w:lang w:val="en-IN"/>
        </w:rPr>
        <w:t>Ensures timely updates and maintains system reliability.</w:t>
      </w:r>
    </w:p>
    <w:p w14:paraId="6518C6EF" w14:textId="77777777" w:rsidR="00115C9C" w:rsidRPr="00746851" w:rsidRDefault="00115C9C" w:rsidP="00056389">
      <w:pPr>
        <w:numPr>
          <w:ilvl w:val="1"/>
          <w:numId w:val="65"/>
        </w:numPr>
        <w:tabs>
          <w:tab w:val="clear" w:pos="1800"/>
        </w:tabs>
        <w:spacing w:line="360" w:lineRule="auto"/>
        <w:ind w:left="709" w:hanging="357"/>
        <w:jc w:val="both"/>
        <w:rPr>
          <w:rFonts w:asciiTheme="majorHAnsi" w:hAnsiTheme="majorHAnsi" w:cstheme="minorHAnsi"/>
          <w:lang w:val="en-IN"/>
        </w:rPr>
      </w:pPr>
      <w:r w:rsidRPr="00746851">
        <w:rPr>
          <w:rFonts w:asciiTheme="majorHAnsi" w:hAnsiTheme="majorHAnsi" w:cstheme="minorHAnsi"/>
          <w:b/>
          <w:bCs/>
          <w:lang w:val="en-IN"/>
        </w:rPr>
        <w:t>Access Control</w:t>
      </w:r>
      <w:r w:rsidRPr="00746851">
        <w:rPr>
          <w:rFonts w:asciiTheme="majorHAnsi" w:hAnsiTheme="majorHAnsi" w:cstheme="minorHAnsi"/>
          <w:lang w:val="en-IN"/>
        </w:rPr>
        <w:t>:</w:t>
      </w:r>
    </w:p>
    <w:p w14:paraId="0294AED9" w14:textId="77777777" w:rsidR="00115C9C" w:rsidRPr="00746851" w:rsidRDefault="00115C9C" w:rsidP="00056389">
      <w:pPr>
        <w:numPr>
          <w:ilvl w:val="2"/>
          <w:numId w:val="65"/>
        </w:numPr>
        <w:tabs>
          <w:tab w:val="clear" w:pos="2520"/>
        </w:tabs>
        <w:spacing w:line="360" w:lineRule="auto"/>
        <w:ind w:left="709" w:hanging="357"/>
        <w:jc w:val="both"/>
        <w:rPr>
          <w:rFonts w:asciiTheme="majorHAnsi" w:hAnsiTheme="majorHAnsi" w:cstheme="minorHAnsi"/>
          <w:lang w:val="en-IN"/>
        </w:rPr>
      </w:pPr>
      <w:r w:rsidRPr="00746851">
        <w:rPr>
          <w:rFonts w:asciiTheme="majorHAnsi" w:hAnsiTheme="majorHAnsi" w:cstheme="minorHAnsi"/>
          <w:lang w:val="en-IN"/>
        </w:rPr>
        <w:t>Enforced across all four DISCOMs with strong password policies.</w:t>
      </w:r>
    </w:p>
    <w:p w14:paraId="1D045D27" w14:textId="77777777" w:rsidR="00115C9C" w:rsidRPr="00746851" w:rsidRDefault="00115C9C" w:rsidP="00056389">
      <w:pPr>
        <w:numPr>
          <w:ilvl w:val="1"/>
          <w:numId w:val="65"/>
        </w:numPr>
        <w:tabs>
          <w:tab w:val="clear" w:pos="1800"/>
        </w:tabs>
        <w:spacing w:line="360" w:lineRule="auto"/>
        <w:ind w:left="709" w:hanging="357"/>
        <w:jc w:val="both"/>
        <w:rPr>
          <w:rFonts w:asciiTheme="majorHAnsi" w:hAnsiTheme="majorHAnsi" w:cstheme="minorHAnsi"/>
          <w:lang w:val="en-IN"/>
        </w:rPr>
      </w:pPr>
      <w:r w:rsidRPr="00746851">
        <w:rPr>
          <w:rFonts w:asciiTheme="majorHAnsi" w:hAnsiTheme="majorHAnsi" w:cstheme="minorHAnsi"/>
          <w:b/>
          <w:bCs/>
          <w:lang w:val="en-IN"/>
        </w:rPr>
        <w:t>UAMS application</w:t>
      </w:r>
      <w:r w:rsidRPr="00746851">
        <w:rPr>
          <w:rFonts w:asciiTheme="majorHAnsi" w:hAnsiTheme="majorHAnsi" w:cstheme="minorHAnsi"/>
          <w:lang w:val="en-IN"/>
        </w:rPr>
        <w:t xml:space="preserve">, integrated with </w:t>
      </w:r>
      <w:r w:rsidRPr="00746851">
        <w:rPr>
          <w:rFonts w:asciiTheme="majorHAnsi" w:hAnsiTheme="majorHAnsi" w:cstheme="minorHAnsi"/>
          <w:b/>
          <w:bCs/>
          <w:lang w:val="en-IN"/>
        </w:rPr>
        <w:t>SAP GRC</w:t>
      </w:r>
      <w:r w:rsidRPr="00746851">
        <w:rPr>
          <w:rFonts w:asciiTheme="majorHAnsi" w:hAnsiTheme="majorHAnsi" w:cstheme="minorHAnsi"/>
          <w:lang w:val="en-IN"/>
        </w:rPr>
        <w:t>, automates user lifecycle management and periodic reviews.</w:t>
      </w:r>
    </w:p>
    <w:p w14:paraId="4B765BFD" w14:textId="77777777" w:rsidR="00115C9C" w:rsidRPr="00746851" w:rsidRDefault="00115C9C" w:rsidP="00056389">
      <w:pPr>
        <w:numPr>
          <w:ilvl w:val="1"/>
          <w:numId w:val="65"/>
        </w:numPr>
        <w:tabs>
          <w:tab w:val="clear" w:pos="1800"/>
        </w:tabs>
        <w:spacing w:line="360" w:lineRule="auto"/>
        <w:ind w:left="709" w:hanging="357"/>
        <w:jc w:val="both"/>
        <w:rPr>
          <w:rFonts w:asciiTheme="majorHAnsi" w:hAnsiTheme="majorHAnsi" w:cstheme="minorHAnsi"/>
          <w:lang w:val="en-IN"/>
        </w:rPr>
      </w:pPr>
      <w:r w:rsidRPr="00746851">
        <w:rPr>
          <w:rFonts w:asciiTheme="majorHAnsi" w:hAnsiTheme="majorHAnsi" w:cstheme="minorHAnsi"/>
          <w:b/>
          <w:bCs/>
          <w:lang w:val="en-IN"/>
        </w:rPr>
        <w:t>Governance &amp; Compliance</w:t>
      </w:r>
      <w:r w:rsidRPr="00746851">
        <w:rPr>
          <w:rFonts w:asciiTheme="majorHAnsi" w:hAnsiTheme="majorHAnsi" w:cstheme="minorHAnsi"/>
          <w:lang w:val="en-IN"/>
        </w:rPr>
        <w:t>:</w:t>
      </w:r>
    </w:p>
    <w:p w14:paraId="16B3D9F2" w14:textId="77777777" w:rsidR="00115C9C" w:rsidRPr="00746851" w:rsidRDefault="00115C9C" w:rsidP="00056389">
      <w:pPr>
        <w:numPr>
          <w:ilvl w:val="2"/>
          <w:numId w:val="65"/>
        </w:numPr>
        <w:tabs>
          <w:tab w:val="clear" w:pos="2520"/>
        </w:tabs>
        <w:spacing w:line="360" w:lineRule="auto"/>
        <w:ind w:left="709" w:hanging="357"/>
        <w:jc w:val="both"/>
        <w:rPr>
          <w:rFonts w:asciiTheme="majorHAnsi" w:hAnsiTheme="majorHAnsi" w:cstheme="minorHAnsi"/>
          <w:lang w:val="en-IN"/>
        </w:rPr>
      </w:pPr>
      <w:r w:rsidRPr="00746851">
        <w:rPr>
          <w:rFonts w:asciiTheme="majorHAnsi" w:hAnsiTheme="majorHAnsi" w:cstheme="minorHAnsi"/>
          <w:lang w:val="en-IN"/>
        </w:rPr>
        <w:t>Monthly admin checks and quarterly user audits.</w:t>
      </w:r>
    </w:p>
    <w:p w14:paraId="0CBCD503" w14:textId="77777777" w:rsidR="00115C9C" w:rsidRPr="00746851" w:rsidRDefault="00115C9C" w:rsidP="00056389">
      <w:pPr>
        <w:numPr>
          <w:ilvl w:val="2"/>
          <w:numId w:val="65"/>
        </w:numPr>
        <w:tabs>
          <w:tab w:val="clear" w:pos="2520"/>
        </w:tabs>
        <w:spacing w:line="360" w:lineRule="auto"/>
        <w:ind w:left="709" w:hanging="357"/>
        <w:jc w:val="both"/>
        <w:rPr>
          <w:rFonts w:asciiTheme="majorHAnsi" w:hAnsiTheme="majorHAnsi" w:cstheme="minorHAnsi"/>
          <w:lang w:val="en-IN"/>
        </w:rPr>
      </w:pPr>
      <w:r w:rsidRPr="00746851">
        <w:rPr>
          <w:rFonts w:asciiTheme="majorHAnsi" w:hAnsiTheme="majorHAnsi" w:cstheme="minorHAnsi"/>
          <w:lang w:val="en-IN"/>
        </w:rPr>
        <w:t>Cross-functional assessments for continuous improvement.</w:t>
      </w:r>
    </w:p>
    <w:p w14:paraId="43447B21" w14:textId="77777777" w:rsidR="00115C9C" w:rsidRPr="00746851" w:rsidRDefault="00115C9C" w:rsidP="00056389">
      <w:pPr>
        <w:numPr>
          <w:ilvl w:val="1"/>
          <w:numId w:val="65"/>
        </w:numPr>
        <w:tabs>
          <w:tab w:val="clear" w:pos="1800"/>
        </w:tabs>
        <w:spacing w:line="360" w:lineRule="auto"/>
        <w:ind w:left="709" w:hanging="357"/>
        <w:jc w:val="both"/>
        <w:rPr>
          <w:rFonts w:asciiTheme="majorHAnsi" w:hAnsiTheme="majorHAnsi" w:cstheme="minorHAnsi"/>
          <w:lang w:val="en-IN"/>
        </w:rPr>
      </w:pPr>
      <w:r w:rsidRPr="00746851">
        <w:rPr>
          <w:rFonts w:asciiTheme="majorHAnsi" w:hAnsiTheme="majorHAnsi" w:cstheme="minorHAnsi"/>
          <w:b/>
          <w:bCs/>
          <w:lang w:val="en-IN"/>
        </w:rPr>
        <w:t>Data Protection</w:t>
      </w:r>
      <w:r w:rsidRPr="00746851">
        <w:rPr>
          <w:rFonts w:asciiTheme="majorHAnsi" w:hAnsiTheme="majorHAnsi" w:cstheme="minorHAnsi"/>
          <w:lang w:val="en-IN"/>
        </w:rPr>
        <w:t>:</w:t>
      </w:r>
    </w:p>
    <w:p w14:paraId="35346CD1" w14:textId="77777777" w:rsidR="00115C9C" w:rsidRPr="00746851" w:rsidRDefault="00115C9C" w:rsidP="00056389">
      <w:pPr>
        <w:numPr>
          <w:ilvl w:val="2"/>
          <w:numId w:val="65"/>
        </w:numPr>
        <w:tabs>
          <w:tab w:val="clear" w:pos="2520"/>
        </w:tabs>
        <w:spacing w:line="360" w:lineRule="auto"/>
        <w:ind w:left="709" w:hanging="357"/>
        <w:jc w:val="both"/>
        <w:rPr>
          <w:rFonts w:asciiTheme="majorHAnsi" w:hAnsiTheme="majorHAnsi" w:cstheme="minorHAnsi"/>
          <w:lang w:val="en-IN"/>
        </w:rPr>
      </w:pPr>
      <w:r w:rsidRPr="00746851">
        <w:rPr>
          <w:rFonts w:asciiTheme="majorHAnsi" w:hAnsiTheme="majorHAnsi" w:cstheme="minorHAnsi"/>
          <w:lang w:val="en-IN"/>
        </w:rPr>
        <w:t>Well-defined backup policy with monthly reviews.</w:t>
      </w:r>
    </w:p>
    <w:p w14:paraId="77675F54" w14:textId="77777777" w:rsidR="00806C7E" w:rsidRDefault="00115C9C" w:rsidP="00806C7E">
      <w:pPr>
        <w:numPr>
          <w:ilvl w:val="2"/>
          <w:numId w:val="65"/>
        </w:numPr>
        <w:tabs>
          <w:tab w:val="clear" w:pos="2520"/>
        </w:tabs>
        <w:spacing w:line="360" w:lineRule="auto"/>
        <w:ind w:left="709" w:hanging="357"/>
        <w:jc w:val="both"/>
        <w:rPr>
          <w:rFonts w:asciiTheme="majorHAnsi" w:hAnsiTheme="majorHAnsi" w:cstheme="minorHAnsi"/>
          <w:lang w:val="en-IN"/>
        </w:rPr>
      </w:pPr>
      <w:r w:rsidRPr="00746851">
        <w:rPr>
          <w:rFonts w:asciiTheme="majorHAnsi" w:hAnsiTheme="majorHAnsi" w:cstheme="minorHAnsi"/>
          <w:lang w:val="en-IN"/>
        </w:rPr>
        <w:t xml:space="preserve">Periodic </w:t>
      </w:r>
      <w:r w:rsidRPr="00CC2B3D">
        <w:rPr>
          <w:rFonts w:asciiTheme="majorHAnsi" w:hAnsiTheme="majorHAnsi" w:cstheme="minorHAnsi"/>
          <w:lang w:val="en-IN"/>
        </w:rPr>
        <w:t>Vulnerability Assessment &amp; Penetration Testing (VAPT)</w:t>
      </w:r>
      <w:r w:rsidRPr="00746851">
        <w:rPr>
          <w:rFonts w:asciiTheme="majorHAnsi" w:hAnsiTheme="majorHAnsi" w:cstheme="minorHAnsi"/>
          <w:lang w:val="en-IN"/>
        </w:rPr>
        <w:t xml:space="preserve"> to strengthen resilience.</w:t>
      </w:r>
    </w:p>
    <w:p w14:paraId="12BD34B9" w14:textId="1DBFCCD5" w:rsidR="00BF51B3" w:rsidRPr="00806C7E" w:rsidRDefault="00115C9C" w:rsidP="00806C7E">
      <w:pPr>
        <w:pStyle w:val="ListParagraph"/>
        <w:numPr>
          <w:ilvl w:val="0"/>
          <w:numId w:val="12"/>
        </w:numPr>
        <w:spacing w:line="360" w:lineRule="auto"/>
        <w:jc w:val="both"/>
        <w:rPr>
          <w:rFonts w:asciiTheme="majorHAnsi" w:hAnsiTheme="majorHAnsi" w:cstheme="minorHAnsi"/>
          <w:sz w:val="24"/>
          <w:lang w:val="en-IN"/>
        </w:rPr>
      </w:pPr>
      <w:r w:rsidRPr="00806C7E">
        <w:rPr>
          <w:rFonts w:asciiTheme="majorHAnsi" w:hAnsiTheme="majorHAnsi" w:cstheme="minorHAnsi"/>
          <w:b/>
          <w:bCs/>
          <w:sz w:val="24"/>
          <w:u w:val="single"/>
        </w:rPr>
        <w:t>Risk</w:t>
      </w:r>
      <w:r w:rsidRPr="00806C7E">
        <w:rPr>
          <w:rFonts w:asciiTheme="majorHAnsi" w:hAnsiTheme="majorHAnsi" w:cstheme="minorHAnsi"/>
          <w:b/>
          <w:bCs/>
          <w:sz w:val="24"/>
          <w:u w:val="single"/>
          <w:lang w:val="en-IN"/>
        </w:rPr>
        <w:t xml:space="preserve"> Compliance:</w:t>
      </w:r>
      <w:r w:rsidRPr="00806C7E">
        <w:rPr>
          <w:rFonts w:asciiTheme="majorHAnsi" w:hAnsiTheme="majorHAnsi" w:cstheme="minorHAnsi"/>
          <w:b/>
          <w:bCs/>
          <w:sz w:val="24"/>
          <w:lang w:val="en-IN"/>
        </w:rPr>
        <w:t xml:space="preserve"> </w:t>
      </w:r>
      <w:r w:rsidRPr="00806C7E">
        <w:rPr>
          <w:rFonts w:asciiTheme="majorHAnsi" w:hAnsiTheme="majorHAnsi" w:cstheme="minorHAnsi"/>
          <w:sz w:val="24"/>
          <w:lang w:val="en-IN"/>
        </w:rPr>
        <w:t>TPWODL ensures proactive identification and assessment of potential risks across operational processes through a structured Risk Management System (RMS). This approach involves risk categorization, impact analysis, and mitigation planning, followed by systematic execution. The RMS portal facilitates continuous monitoring and periodic reviews, ensuring that mitigation plans are successfully implemented, and compliance standards are maintained.</w:t>
      </w:r>
      <w:r w:rsidR="00327E7B" w:rsidRPr="00806C7E">
        <w:rPr>
          <w:rFonts w:asciiTheme="majorHAnsi" w:hAnsiTheme="majorHAnsi" w:cstheme="minorHAnsi"/>
          <w:sz w:val="24"/>
          <w:lang w:val="en-IN"/>
        </w:rPr>
        <w:t xml:space="preserve"> </w:t>
      </w:r>
    </w:p>
    <w:p w14:paraId="60171CBE" w14:textId="297B9931" w:rsidR="00115C9C" w:rsidRDefault="00021054" w:rsidP="00BF51B3">
      <w:pPr>
        <w:pStyle w:val="ListParagraph"/>
        <w:spacing w:after="240" w:line="360" w:lineRule="auto"/>
        <w:ind w:left="0"/>
        <w:contextualSpacing w:val="0"/>
        <w:jc w:val="both"/>
        <w:rPr>
          <w:rFonts w:ascii="Cambria" w:hAnsi="Cambria"/>
          <w:b/>
          <w:bCs/>
          <w:sz w:val="24"/>
        </w:rPr>
      </w:pPr>
      <w:r w:rsidRPr="00BF51B3">
        <w:rPr>
          <w:rFonts w:ascii="Cambria" w:hAnsi="Cambria"/>
          <w:sz w:val="24"/>
        </w:rPr>
        <w:t>In line with the above, t</w:t>
      </w:r>
      <w:r w:rsidR="00115C9C" w:rsidRPr="00BF51B3">
        <w:rPr>
          <w:rFonts w:ascii="Cambria" w:hAnsi="Cambria"/>
          <w:sz w:val="24"/>
        </w:rPr>
        <w:t xml:space="preserve">he </w:t>
      </w:r>
      <w:r w:rsidR="00BF51B3">
        <w:rPr>
          <w:rFonts w:ascii="Cambria" w:hAnsi="Cambria"/>
          <w:sz w:val="24"/>
        </w:rPr>
        <w:t>total</w:t>
      </w:r>
      <w:r w:rsidRPr="00BF51B3">
        <w:rPr>
          <w:rFonts w:ascii="Cambria" w:hAnsi="Cambria"/>
          <w:sz w:val="24"/>
        </w:rPr>
        <w:t xml:space="preserve"> cost projected </w:t>
      </w:r>
      <w:r w:rsidR="00BF51B3">
        <w:rPr>
          <w:rFonts w:ascii="Cambria" w:hAnsi="Cambria"/>
          <w:sz w:val="24"/>
        </w:rPr>
        <w:t xml:space="preserve">under </w:t>
      </w:r>
      <w:r w:rsidRPr="00BF51B3">
        <w:rPr>
          <w:rFonts w:ascii="Cambria" w:hAnsi="Cambria"/>
          <w:sz w:val="24"/>
        </w:rPr>
        <w:t xml:space="preserve">IT </w:t>
      </w:r>
      <w:r w:rsidR="00BF51B3">
        <w:rPr>
          <w:rFonts w:ascii="Cambria" w:hAnsi="Cambria"/>
          <w:sz w:val="24"/>
        </w:rPr>
        <w:t xml:space="preserve">component </w:t>
      </w:r>
      <w:r w:rsidRPr="00BF51B3">
        <w:rPr>
          <w:rFonts w:ascii="Cambria" w:hAnsi="Cambria"/>
          <w:sz w:val="24"/>
        </w:rPr>
        <w:t xml:space="preserve">for FY 26-27 is around </w:t>
      </w:r>
      <w:r w:rsidR="006873CD" w:rsidRPr="00BF51B3">
        <w:rPr>
          <w:rFonts w:ascii="Cambria" w:hAnsi="Cambria"/>
          <w:b/>
          <w:bCs/>
          <w:sz w:val="24"/>
        </w:rPr>
        <w:t xml:space="preserve">Rs. </w:t>
      </w:r>
      <w:r w:rsidR="00B92B32">
        <w:rPr>
          <w:rFonts w:ascii="Cambria" w:hAnsi="Cambria"/>
          <w:b/>
          <w:bCs/>
          <w:sz w:val="24"/>
        </w:rPr>
        <w:t>21.63</w:t>
      </w:r>
      <w:r w:rsidR="006873CD" w:rsidRPr="00BF51B3">
        <w:rPr>
          <w:rFonts w:ascii="Cambria" w:hAnsi="Cambria"/>
          <w:b/>
          <w:bCs/>
          <w:sz w:val="24"/>
        </w:rPr>
        <w:t xml:space="preserve"> Cr.</w:t>
      </w:r>
    </w:p>
    <w:p w14:paraId="21F809CA" w14:textId="2CFD5EB3" w:rsidR="00806C7E" w:rsidRPr="00BF51B3" w:rsidRDefault="00806C7E" w:rsidP="00BF51B3">
      <w:pPr>
        <w:pStyle w:val="ListParagraph"/>
        <w:spacing w:after="240" w:line="360" w:lineRule="auto"/>
        <w:ind w:left="0"/>
        <w:contextualSpacing w:val="0"/>
        <w:jc w:val="both"/>
        <w:rPr>
          <w:rFonts w:ascii="Cambria" w:hAnsi="Cambria" w:cstheme="majorHAnsi"/>
          <w:sz w:val="24"/>
          <w:highlight w:val="yellow"/>
        </w:rPr>
      </w:pPr>
      <w:r w:rsidRPr="00806C7E">
        <w:rPr>
          <w:rFonts w:ascii="Cambria" w:hAnsi="Cambria" w:cstheme="majorHAnsi"/>
          <w:sz w:val="24"/>
        </w:rPr>
        <w:t xml:space="preserve">Therefore, considering the above justification for </w:t>
      </w:r>
      <w:r>
        <w:rPr>
          <w:rFonts w:ascii="Cambria" w:hAnsi="Cambria" w:cstheme="majorHAnsi"/>
          <w:sz w:val="24"/>
        </w:rPr>
        <w:t>A&amp;G</w:t>
      </w:r>
      <w:r w:rsidRPr="00806C7E">
        <w:rPr>
          <w:rFonts w:ascii="Cambria" w:hAnsi="Cambria" w:cstheme="majorHAnsi"/>
          <w:sz w:val="24"/>
        </w:rPr>
        <w:t xml:space="preserve"> Expenses, the Licensee requests the Hon’ble Commission to approve </w:t>
      </w:r>
      <w:r w:rsidRPr="00806C7E">
        <w:rPr>
          <w:rFonts w:ascii="Cambria" w:hAnsi="Cambria" w:cstheme="majorHAnsi"/>
          <w:b/>
          <w:sz w:val="24"/>
        </w:rPr>
        <w:t xml:space="preserve">Rs. </w:t>
      </w:r>
      <w:r>
        <w:rPr>
          <w:rFonts w:ascii="Cambria" w:hAnsi="Cambria" w:cstheme="majorHAnsi"/>
          <w:b/>
          <w:sz w:val="24"/>
        </w:rPr>
        <w:t>2</w:t>
      </w:r>
      <w:r w:rsidR="00B92B32">
        <w:rPr>
          <w:rFonts w:ascii="Cambria" w:hAnsi="Cambria" w:cstheme="majorHAnsi"/>
          <w:b/>
          <w:sz w:val="24"/>
        </w:rPr>
        <w:t>72.14</w:t>
      </w:r>
      <w:r>
        <w:rPr>
          <w:rFonts w:ascii="Cambria" w:hAnsi="Cambria" w:cstheme="majorHAnsi"/>
          <w:b/>
          <w:sz w:val="24"/>
        </w:rPr>
        <w:t xml:space="preserve"> </w:t>
      </w:r>
      <w:r w:rsidRPr="00806C7E">
        <w:rPr>
          <w:rFonts w:ascii="Cambria" w:hAnsi="Cambria" w:cstheme="majorHAnsi"/>
          <w:b/>
          <w:sz w:val="24"/>
        </w:rPr>
        <w:t>Cr</w:t>
      </w:r>
      <w:r w:rsidR="00B92B32">
        <w:rPr>
          <w:rFonts w:ascii="Cambria" w:hAnsi="Cambria" w:cstheme="majorHAnsi"/>
          <w:b/>
          <w:sz w:val="24"/>
        </w:rPr>
        <w:t xml:space="preserve"> under A&amp;G head</w:t>
      </w:r>
      <w:r w:rsidRPr="00806C7E">
        <w:rPr>
          <w:rFonts w:ascii="Cambria" w:hAnsi="Cambria" w:cstheme="majorHAnsi"/>
          <w:sz w:val="24"/>
        </w:rPr>
        <w:t xml:space="preserve"> for FY 26-27.</w:t>
      </w:r>
    </w:p>
    <w:p w14:paraId="6BC6B08B" w14:textId="2088E77D" w:rsidR="004276A0" w:rsidRPr="00904B4F" w:rsidRDefault="004276A0" w:rsidP="00EB32D1">
      <w:pPr>
        <w:pStyle w:val="Heading2"/>
        <w:numPr>
          <w:ilvl w:val="1"/>
          <w:numId w:val="1"/>
        </w:numPr>
        <w:shd w:val="clear" w:color="auto" w:fill="002060"/>
        <w:tabs>
          <w:tab w:val="clear" w:pos="432"/>
          <w:tab w:val="num" w:pos="426"/>
        </w:tabs>
        <w:ind w:hanging="574"/>
        <w:rPr>
          <w:rFonts w:asciiTheme="majorHAnsi" w:hAnsiTheme="majorHAnsi"/>
          <w:i w:val="0"/>
          <w:iCs w:val="0"/>
          <w:sz w:val="24"/>
          <w:szCs w:val="24"/>
        </w:rPr>
      </w:pPr>
      <w:bookmarkStart w:id="48" w:name="_Toc152180098"/>
      <w:bookmarkStart w:id="49" w:name="_Toc183204710"/>
      <w:bookmarkStart w:id="50" w:name="_Toc215250618"/>
      <w:r w:rsidRPr="00904B4F">
        <w:rPr>
          <w:rFonts w:asciiTheme="majorHAnsi" w:hAnsiTheme="majorHAnsi"/>
          <w:i w:val="0"/>
          <w:iCs w:val="0"/>
          <w:sz w:val="24"/>
          <w:szCs w:val="24"/>
        </w:rPr>
        <w:t>Repair &amp; Maintenance Expenses</w:t>
      </w:r>
      <w:bookmarkEnd w:id="48"/>
      <w:bookmarkEnd w:id="49"/>
      <w:bookmarkEnd w:id="50"/>
    </w:p>
    <w:p w14:paraId="6D2A2D4E" w14:textId="6D964ADD" w:rsidR="00963280" w:rsidRDefault="00C00696" w:rsidP="004276A0">
      <w:pPr>
        <w:pStyle w:val="BodyText2"/>
        <w:spacing w:line="360" w:lineRule="auto"/>
        <w:jc w:val="both"/>
        <w:rPr>
          <w:rFonts w:ascii="Cambria" w:hAnsi="Cambria" w:cs="Arial"/>
          <w:sz w:val="24"/>
          <w:szCs w:val="24"/>
        </w:rPr>
      </w:pPr>
      <w:r>
        <w:rPr>
          <w:rFonts w:ascii="Cambria" w:hAnsi="Cambria" w:cs="Arial"/>
          <w:sz w:val="24"/>
          <w:szCs w:val="24"/>
        </w:rPr>
        <w:t xml:space="preserve">In the vesting order Hon’ble Commission </w:t>
      </w:r>
      <w:r w:rsidR="0056022B">
        <w:rPr>
          <w:rFonts w:ascii="Cambria" w:hAnsi="Cambria" w:cs="Arial"/>
          <w:sz w:val="24"/>
          <w:szCs w:val="24"/>
        </w:rPr>
        <w:t xml:space="preserve">vide para 53(d) </w:t>
      </w:r>
      <w:r>
        <w:rPr>
          <w:rFonts w:ascii="Cambria" w:hAnsi="Cambria" w:cs="Arial"/>
          <w:sz w:val="24"/>
          <w:szCs w:val="24"/>
        </w:rPr>
        <w:t>has</w:t>
      </w:r>
      <w:r w:rsidR="0056022B">
        <w:rPr>
          <w:rFonts w:ascii="Cambria" w:hAnsi="Cambria" w:cs="Arial"/>
          <w:sz w:val="24"/>
          <w:szCs w:val="24"/>
        </w:rPr>
        <w:t xml:space="preserve"> directed that</w:t>
      </w:r>
      <w:r w:rsidR="00221F38">
        <w:rPr>
          <w:rFonts w:ascii="Cambria" w:hAnsi="Cambria" w:cs="Arial"/>
          <w:sz w:val="24"/>
          <w:szCs w:val="24"/>
        </w:rPr>
        <w:t>:</w:t>
      </w:r>
    </w:p>
    <w:p w14:paraId="06F20317" w14:textId="17D4A8F4" w:rsidR="00963280" w:rsidRPr="00923A86" w:rsidRDefault="00963280" w:rsidP="00B12723">
      <w:pPr>
        <w:pStyle w:val="BodyText2"/>
        <w:ind w:left="720"/>
        <w:jc w:val="both"/>
        <w:rPr>
          <w:rFonts w:ascii="Cambria" w:hAnsi="Cambria" w:cs="Arial"/>
          <w:sz w:val="22"/>
          <w:szCs w:val="24"/>
        </w:rPr>
      </w:pPr>
      <w:r w:rsidRPr="00923A86">
        <w:rPr>
          <w:rFonts w:ascii="Cambria" w:hAnsi="Cambria" w:cs="Arial"/>
          <w:sz w:val="22"/>
          <w:szCs w:val="24"/>
        </w:rPr>
        <w:t>“…</w:t>
      </w:r>
      <w:r w:rsidRPr="00923A86">
        <w:rPr>
          <w:rFonts w:ascii="Cambria" w:hAnsi="Cambria" w:cs="Arial"/>
          <w:i/>
          <w:iCs/>
          <w:sz w:val="22"/>
          <w:szCs w:val="24"/>
        </w:rPr>
        <w:t>w</w:t>
      </w:r>
      <w:r w:rsidR="00897098" w:rsidRPr="00923A86">
        <w:rPr>
          <w:rFonts w:ascii="Cambria" w:hAnsi="Cambria" w:cs="Arial"/>
          <w:i/>
          <w:iCs/>
          <w:sz w:val="22"/>
          <w:szCs w:val="24"/>
        </w:rPr>
        <w:t>ith regards to R&amp;M expenses, the Commission shall allow in the Aggregate Revenue Requirement, R&amp;M expenses incurred on the existing assets transferred to TPWODL as well as assets created out of grants which are not reflected in the books of WESCO utility subject to prudence check by the Commission, as per existing practice.</w:t>
      </w:r>
      <w:r w:rsidRPr="00923A86">
        <w:rPr>
          <w:rFonts w:ascii="Cambria" w:hAnsi="Cambria" w:cs="Arial"/>
          <w:i/>
          <w:iCs/>
          <w:sz w:val="22"/>
          <w:szCs w:val="24"/>
        </w:rPr>
        <w:t>”</w:t>
      </w:r>
      <w:r w:rsidR="00897098" w:rsidRPr="00923A86">
        <w:rPr>
          <w:rFonts w:ascii="Cambria" w:hAnsi="Cambria" w:cs="Arial"/>
          <w:sz w:val="22"/>
          <w:szCs w:val="24"/>
        </w:rPr>
        <w:t xml:space="preserve"> </w:t>
      </w:r>
    </w:p>
    <w:p w14:paraId="6CBCC374" w14:textId="6077FF26" w:rsidR="00AE1D8B" w:rsidRDefault="008078A9" w:rsidP="004276A0">
      <w:pPr>
        <w:pStyle w:val="BodyText2"/>
        <w:spacing w:line="360" w:lineRule="auto"/>
        <w:jc w:val="both"/>
        <w:rPr>
          <w:rFonts w:ascii="Cambria" w:hAnsi="Cambria" w:cs="Arial"/>
          <w:sz w:val="24"/>
          <w:szCs w:val="24"/>
        </w:rPr>
      </w:pPr>
      <w:r w:rsidRPr="00B739E5">
        <w:rPr>
          <w:rFonts w:ascii="Cambria" w:hAnsi="Cambria" w:cs="Arial"/>
          <w:sz w:val="24"/>
          <w:szCs w:val="24"/>
        </w:rPr>
        <w:t>Accordingly</w:t>
      </w:r>
      <w:r w:rsidR="00221F08" w:rsidRPr="00B739E5">
        <w:rPr>
          <w:rFonts w:ascii="Cambria" w:hAnsi="Cambria" w:cs="Arial"/>
          <w:sz w:val="24"/>
          <w:szCs w:val="24"/>
        </w:rPr>
        <w:t>,</w:t>
      </w:r>
      <w:r w:rsidRPr="00B739E5">
        <w:rPr>
          <w:rFonts w:ascii="Cambria" w:hAnsi="Cambria" w:cs="Arial"/>
          <w:sz w:val="24"/>
          <w:szCs w:val="24"/>
        </w:rPr>
        <w:t xml:space="preserve"> Assets transferred as </w:t>
      </w:r>
      <w:r w:rsidR="00AC7A84" w:rsidRPr="00B739E5">
        <w:rPr>
          <w:rFonts w:ascii="Cambria" w:hAnsi="Cambria" w:cs="Arial"/>
          <w:sz w:val="24"/>
          <w:szCs w:val="24"/>
        </w:rPr>
        <w:t xml:space="preserve">on effective date </w:t>
      </w:r>
      <w:proofErr w:type="spellStart"/>
      <w:r w:rsidR="00AC7A84" w:rsidRPr="00B739E5">
        <w:rPr>
          <w:rFonts w:ascii="Cambria" w:hAnsi="Cambria" w:cs="Arial"/>
          <w:sz w:val="24"/>
          <w:szCs w:val="24"/>
        </w:rPr>
        <w:t>i.e</w:t>
      </w:r>
      <w:proofErr w:type="spellEnd"/>
      <w:r w:rsidR="00AC7A84" w:rsidRPr="00B739E5">
        <w:rPr>
          <w:rFonts w:ascii="Cambria" w:hAnsi="Cambria" w:cs="Arial"/>
          <w:sz w:val="24"/>
          <w:szCs w:val="24"/>
        </w:rPr>
        <w:t xml:space="preserve"> Dec-20 balance sheet </w:t>
      </w:r>
      <w:r w:rsidR="00C43037" w:rsidRPr="00B739E5">
        <w:rPr>
          <w:rFonts w:ascii="Cambria" w:hAnsi="Cambria" w:cs="Arial"/>
          <w:sz w:val="24"/>
          <w:szCs w:val="24"/>
        </w:rPr>
        <w:t xml:space="preserve">of </w:t>
      </w:r>
      <w:r w:rsidR="002D0D0B" w:rsidRPr="00B739E5">
        <w:rPr>
          <w:rFonts w:ascii="Cambria" w:hAnsi="Cambria" w:cs="Arial"/>
          <w:sz w:val="24"/>
          <w:szCs w:val="24"/>
        </w:rPr>
        <w:t xml:space="preserve">erstwhile </w:t>
      </w:r>
      <w:r w:rsidR="00221F08" w:rsidRPr="00B739E5">
        <w:rPr>
          <w:rFonts w:ascii="Cambria" w:hAnsi="Cambria" w:cs="Arial"/>
          <w:sz w:val="24"/>
          <w:szCs w:val="24"/>
        </w:rPr>
        <w:t>W</w:t>
      </w:r>
      <w:r w:rsidR="003F08BE">
        <w:rPr>
          <w:rFonts w:ascii="Cambria" w:hAnsi="Cambria" w:cs="Arial"/>
          <w:sz w:val="24"/>
          <w:szCs w:val="24"/>
        </w:rPr>
        <w:t>ESCO</w:t>
      </w:r>
      <w:r w:rsidR="00221F08" w:rsidRPr="00B739E5">
        <w:rPr>
          <w:rFonts w:ascii="Cambria" w:hAnsi="Cambria" w:cs="Arial"/>
          <w:sz w:val="24"/>
          <w:szCs w:val="24"/>
        </w:rPr>
        <w:t xml:space="preserve"> </w:t>
      </w:r>
      <w:r w:rsidR="00C43037" w:rsidRPr="00B739E5">
        <w:rPr>
          <w:rFonts w:ascii="Cambria" w:hAnsi="Cambria" w:cs="Arial"/>
          <w:sz w:val="24"/>
          <w:szCs w:val="24"/>
        </w:rPr>
        <w:t xml:space="preserve">utility </w:t>
      </w:r>
      <w:r w:rsidR="00AC7A84" w:rsidRPr="00B739E5">
        <w:rPr>
          <w:rFonts w:ascii="Cambria" w:hAnsi="Cambria" w:cs="Arial"/>
          <w:sz w:val="24"/>
          <w:szCs w:val="24"/>
        </w:rPr>
        <w:t>is Rs.</w:t>
      </w:r>
      <w:r w:rsidR="00E87AF3" w:rsidRPr="00B739E5">
        <w:rPr>
          <w:rFonts w:ascii="Cambria" w:hAnsi="Cambria" w:cs="Arial"/>
          <w:sz w:val="24"/>
          <w:szCs w:val="24"/>
        </w:rPr>
        <w:t>1964</w:t>
      </w:r>
      <w:r w:rsidR="00C43037" w:rsidRPr="00B739E5">
        <w:rPr>
          <w:rFonts w:ascii="Cambria" w:hAnsi="Cambria" w:cs="Arial"/>
          <w:sz w:val="24"/>
          <w:szCs w:val="24"/>
        </w:rPr>
        <w:t xml:space="preserve">.79 </w:t>
      </w:r>
      <w:r w:rsidR="0085183E">
        <w:rPr>
          <w:rFonts w:ascii="Cambria" w:hAnsi="Cambria" w:cs="Arial"/>
          <w:sz w:val="24"/>
          <w:szCs w:val="24"/>
        </w:rPr>
        <w:t>Cr</w:t>
      </w:r>
      <w:r w:rsidR="00221F08" w:rsidRPr="00B739E5">
        <w:rPr>
          <w:rFonts w:ascii="Cambria" w:hAnsi="Cambria" w:cs="Arial"/>
          <w:sz w:val="24"/>
          <w:szCs w:val="24"/>
        </w:rPr>
        <w:t xml:space="preserve">. </w:t>
      </w:r>
      <w:r w:rsidR="00265C06" w:rsidRPr="00B739E5">
        <w:rPr>
          <w:rFonts w:ascii="Cambria" w:hAnsi="Cambria" w:cs="Arial"/>
          <w:sz w:val="24"/>
          <w:szCs w:val="24"/>
        </w:rPr>
        <w:t xml:space="preserve">This includes </w:t>
      </w:r>
      <w:r w:rsidR="001D6181" w:rsidRPr="00B739E5">
        <w:rPr>
          <w:rFonts w:ascii="Cambria" w:hAnsi="Cambria" w:cs="Arial"/>
          <w:sz w:val="24"/>
          <w:szCs w:val="24"/>
        </w:rPr>
        <w:t>Land cost of Rs.</w:t>
      </w:r>
      <w:r w:rsidR="000C66EF" w:rsidRPr="00B739E5">
        <w:rPr>
          <w:rFonts w:ascii="Cambria" w:hAnsi="Cambria" w:cs="Arial"/>
          <w:sz w:val="24"/>
          <w:szCs w:val="24"/>
        </w:rPr>
        <w:t xml:space="preserve"> </w:t>
      </w:r>
      <w:r w:rsidR="001D6181" w:rsidRPr="00B739E5">
        <w:rPr>
          <w:rFonts w:ascii="Cambria" w:hAnsi="Cambria" w:cs="Arial"/>
          <w:sz w:val="24"/>
          <w:szCs w:val="24"/>
        </w:rPr>
        <w:t xml:space="preserve">1.77 </w:t>
      </w:r>
      <w:r w:rsidR="0085183E">
        <w:rPr>
          <w:rFonts w:ascii="Cambria" w:hAnsi="Cambria" w:cs="Arial"/>
          <w:sz w:val="24"/>
          <w:szCs w:val="24"/>
        </w:rPr>
        <w:t>Cr</w:t>
      </w:r>
      <w:r w:rsidR="003850CF" w:rsidRPr="00B739E5">
        <w:rPr>
          <w:rFonts w:ascii="Cambria" w:hAnsi="Cambria" w:cs="Arial"/>
          <w:sz w:val="24"/>
          <w:szCs w:val="24"/>
        </w:rPr>
        <w:t xml:space="preserve">. As </w:t>
      </w:r>
      <w:r w:rsidR="000C66EF" w:rsidRPr="00B739E5">
        <w:rPr>
          <w:rFonts w:ascii="Cambria" w:hAnsi="Cambria" w:cs="Arial"/>
          <w:sz w:val="24"/>
          <w:szCs w:val="24"/>
        </w:rPr>
        <w:t xml:space="preserve">per </w:t>
      </w:r>
      <w:r w:rsidR="00CF6361" w:rsidRPr="00B739E5">
        <w:rPr>
          <w:rFonts w:ascii="Cambria" w:hAnsi="Cambria" w:cs="Arial"/>
          <w:sz w:val="24"/>
          <w:szCs w:val="24"/>
        </w:rPr>
        <w:t>license condition</w:t>
      </w:r>
      <w:r w:rsidR="000C66EF" w:rsidRPr="00B739E5">
        <w:rPr>
          <w:rFonts w:ascii="Cambria" w:hAnsi="Cambria" w:cs="Arial"/>
          <w:sz w:val="24"/>
          <w:szCs w:val="24"/>
        </w:rPr>
        <w:t>,</w:t>
      </w:r>
      <w:r w:rsidR="00CF6361" w:rsidRPr="00B739E5">
        <w:rPr>
          <w:rFonts w:ascii="Cambria" w:hAnsi="Cambria" w:cs="Arial"/>
          <w:sz w:val="24"/>
          <w:szCs w:val="24"/>
        </w:rPr>
        <w:t xml:space="preserve"> </w:t>
      </w:r>
      <w:r w:rsidR="003850CF" w:rsidRPr="00B739E5">
        <w:rPr>
          <w:rFonts w:ascii="Cambria" w:hAnsi="Cambria" w:cs="Arial"/>
          <w:sz w:val="24"/>
          <w:szCs w:val="24"/>
        </w:rPr>
        <w:t xml:space="preserve">the new operating Company </w:t>
      </w:r>
      <w:r w:rsidR="009A4826" w:rsidRPr="00B739E5">
        <w:rPr>
          <w:rFonts w:ascii="Cambria" w:hAnsi="Cambria" w:cs="Arial"/>
          <w:sz w:val="24"/>
          <w:szCs w:val="24"/>
        </w:rPr>
        <w:t xml:space="preserve">TPWODL only retains the operational use of Land </w:t>
      </w:r>
      <w:r w:rsidR="00B42619" w:rsidRPr="00B739E5">
        <w:rPr>
          <w:rFonts w:ascii="Cambria" w:hAnsi="Cambria" w:cs="Arial"/>
          <w:sz w:val="24"/>
          <w:szCs w:val="24"/>
        </w:rPr>
        <w:t>for the purposes of carrying out distribution business</w:t>
      </w:r>
      <w:r w:rsidR="00CF6361" w:rsidRPr="00B739E5">
        <w:rPr>
          <w:rFonts w:ascii="Cambria" w:hAnsi="Cambria" w:cs="Arial"/>
          <w:sz w:val="24"/>
          <w:szCs w:val="24"/>
        </w:rPr>
        <w:t xml:space="preserve">. As per </w:t>
      </w:r>
      <w:r w:rsidR="00A5466C" w:rsidRPr="00B739E5">
        <w:rPr>
          <w:rFonts w:ascii="Cambria" w:hAnsi="Cambria" w:cs="Arial"/>
          <w:sz w:val="24"/>
          <w:szCs w:val="24"/>
        </w:rPr>
        <w:t>terms of vesting order, land has been given on lease basis</w:t>
      </w:r>
      <w:r w:rsidR="00DD743B" w:rsidRPr="00B739E5">
        <w:rPr>
          <w:rFonts w:ascii="Cambria" w:hAnsi="Cambria" w:cs="Arial"/>
          <w:sz w:val="24"/>
          <w:szCs w:val="24"/>
        </w:rPr>
        <w:t xml:space="preserve"> for </w:t>
      </w:r>
      <w:r w:rsidR="00B75B25" w:rsidRPr="00B739E5">
        <w:rPr>
          <w:rFonts w:ascii="Cambria" w:hAnsi="Cambria" w:cs="Arial"/>
          <w:sz w:val="24"/>
          <w:szCs w:val="24"/>
        </w:rPr>
        <w:t>nominal</w:t>
      </w:r>
      <w:r w:rsidR="00DD743B" w:rsidRPr="00B739E5">
        <w:rPr>
          <w:rFonts w:ascii="Cambria" w:hAnsi="Cambria" w:cs="Arial"/>
          <w:sz w:val="24"/>
          <w:szCs w:val="24"/>
        </w:rPr>
        <w:t xml:space="preserve"> consideration of R</w:t>
      </w:r>
      <w:r w:rsidR="00566B91">
        <w:rPr>
          <w:rFonts w:ascii="Cambria" w:hAnsi="Cambria" w:cs="Arial"/>
          <w:sz w:val="24"/>
          <w:szCs w:val="24"/>
        </w:rPr>
        <w:t xml:space="preserve">e. </w:t>
      </w:r>
      <w:r w:rsidR="00DD743B" w:rsidRPr="00B739E5">
        <w:rPr>
          <w:rFonts w:ascii="Cambria" w:hAnsi="Cambria" w:cs="Arial"/>
          <w:sz w:val="24"/>
          <w:szCs w:val="24"/>
        </w:rPr>
        <w:t>1 per year.</w:t>
      </w:r>
      <w:r w:rsidR="00062648" w:rsidRPr="00B739E5">
        <w:rPr>
          <w:rFonts w:ascii="Cambria" w:hAnsi="Cambria" w:cs="Arial"/>
          <w:sz w:val="24"/>
          <w:szCs w:val="24"/>
        </w:rPr>
        <w:t xml:space="preserve"> So, balance asset as on effective date is Rs.</w:t>
      </w:r>
      <w:r w:rsidR="00494F52" w:rsidRPr="00B739E5">
        <w:rPr>
          <w:rFonts w:ascii="Cambria" w:hAnsi="Cambria" w:cs="Arial"/>
          <w:sz w:val="24"/>
          <w:szCs w:val="24"/>
        </w:rPr>
        <w:t xml:space="preserve">1963.02 </w:t>
      </w:r>
      <w:r w:rsidR="0085183E">
        <w:rPr>
          <w:rFonts w:ascii="Cambria" w:hAnsi="Cambria" w:cs="Arial"/>
          <w:sz w:val="24"/>
          <w:szCs w:val="24"/>
        </w:rPr>
        <w:t>Cr</w:t>
      </w:r>
      <w:r w:rsidR="00494F52" w:rsidRPr="00B739E5">
        <w:rPr>
          <w:rFonts w:ascii="Cambria" w:hAnsi="Cambria" w:cs="Arial"/>
          <w:sz w:val="24"/>
          <w:szCs w:val="24"/>
        </w:rPr>
        <w:t xml:space="preserve">. </w:t>
      </w:r>
      <w:r w:rsidR="005E5D60" w:rsidRPr="00B739E5">
        <w:rPr>
          <w:rFonts w:ascii="Cambria" w:hAnsi="Cambria" w:cs="Arial"/>
          <w:sz w:val="24"/>
          <w:szCs w:val="24"/>
        </w:rPr>
        <w:t>The assets added by</w:t>
      </w:r>
      <w:r w:rsidR="00BC6A00" w:rsidRPr="00B739E5">
        <w:rPr>
          <w:rFonts w:ascii="Cambria" w:hAnsi="Cambria" w:cs="Arial"/>
          <w:sz w:val="24"/>
          <w:szCs w:val="24"/>
        </w:rPr>
        <w:t xml:space="preserve"> TPWODL during Jan-21 to March-21 is Rs.</w:t>
      </w:r>
      <w:r w:rsidR="00380F91" w:rsidRPr="00B739E5">
        <w:rPr>
          <w:rFonts w:ascii="Cambria" w:hAnsi="Cambria" w:cs="Arial"/>
          <w:sz w:val="24"/>
          <w:szCs w:val="24"/>
        </w:rPr>
        <w:t>0</w:t>
      </w:r>
      <w:r w:rsidR="00CF5166" w:rsidRPr="00B739E5">
        <w:rPr>
          <w:rFonts w:ascii="Cambria" w:hAnsi="Cambria" w:cs="Arial"/>
          <w:sz w:val="24"/>
          <w:szCs w:val="24"/>
        </w:rPr>
        <w:t>.</w:t>
      </w:r>
      <w:r w:rsidR="00E252FE" w:rsidRPr="00B739E5">
        <w:rPr>
          <w:rFonts w:ascii="Cambria" w:hAnsi="Cambria" w:cs="Arial"/>
          <w:sz w:val="24"/>
          <w:szCs w:val="24"/>
        </w:rPr>
        <w:t>28</w:t>
      </w:r>
      <w:r w:rsidR="00CF5166" w:rsidRPr="00B739E5">
        <w:rPr>
          <w:rFonts w:ascii="Cambria" w:hAnsi="Cambria" w:cs="Arial"/>
          <w:sz w:val="24"/>
          <w:szCs w:val="24"/>
        </w:rPr>
        <w:t xml:space="preserve"> </w:t>
      </w:r>
      <w:r w:rsidR="0085183E">
        <w:rPr>
          <w:rFonts w:ascii="Cambria" w:hAnsi="Cambria" w:cs="Arial"/>
          <w:sz w:val="24"/>
          <w:szCs w:val="24"/>
        </w:rPr>
        <w:t>Cr</w:t>
      </w:r>
      <w:r w:rsidR="00AE5E65" w:rsidRPr="00B739E5">
        <w:rPr>
          <w:rFonts w:ascii="Cambria" w:hAnsi="Cambria" w:cs="Arial"/>
          <w:sz w:val="24"/>
          <w:szCs w:val="24"/>
        </w:rPr>
        <w:t>. Therefore, opening GFA as on March-21 became Rs.</w:t>
      </w:r>
      <w:r w:rsidR="005C060A" w:rsidRPr="00B739E5">
        <w:rPr>
          <w:rFonts w:ascii="Cambria" w:hAnsi="Cambria" w:cs="Arial"/>
          <w:sz w:val="24"/>
          <w:szCs w:val="24"/>
        </w:rPr>
        <w:t xml:space="preserve">1963.30 </w:t>
      </w:r>
      <w:r w:rsidR="0085183E">
        <w:rPr>
          <w:rFonts w:ascii="Cambria" w:hAnsi="Cambria" w:cs="Arial"/>
          <w:sz w:val="24"/>
          <w:szCs w:val="24"/>
        </w:rPr>
        <w:t>Cr</w:t>
      </w:r>
      <w:r w:rsidR="005C060A" w:rsidRPr="00B739E5">
        <w:rPr>
          <w:rFonts w:ascii="Cambria" w:hAnsi="Cambria" w:cs="Arial"/>
          <w:sz w:val="24"/>
          <w:szCs w:val="24"/>
        </w:rPr>
        <w:t>.</w:t>
      </w:r>
      <w:r w:rsidR="00B739E5">
        <w:rPr>
          <w:rFonts w:ascii="Cambria" w:hAnsi="Cambria" w:cs="Arial"/>
          <w:sz w:val="24"/>
          <w:szCs w:val="24"/>
        </w:rPr>
        <w:t xml:space="preserve"> </w:t>
      </w:r>
      <w:r w:rsidR="00B739E5" w:rsidRPr="003C6C23">
        <w:rPr>
          <w:rFonts w:ascii="Cambria" w:hAnsi="Cambria" w:cs="Arial"/>
          <w:sz w:val="24"/>
          <w:szCs w:val="24"/>
        </w:rPr>
        <w:t>Subsequently, upon further additions of assets by TPWODL, the opening GFA as on 1</w:t>
      </w:r>
      <w:r w:rsidR="00B739E5" w:rsidRPr="003C6C23">
        <w:rPr>
          <w:rFonts w:ascii="Cambria" w:hAnsi="Cambria" w:cs="Arial"/>
          <w:sz w:val="24"/>
          <w:szCs w:val="24"/>
          <w:vertAlign w:val="superscript"/>
        </w:rPr>
        <w:t>st</w:t>
      </w:r>
      <w:r w:rsidR="00B739E5" w:rsidRPr="003C6C23">
        <w:rPr>
          <w:rFonts w:ascii="Cambria" w:hAnsi="Cambria" w:cs="Arial"/>
          <w:sz w:val="24"/>
          <w:szCs w:val="24"/>
        </w:rPr>
        <w:t xml:space="preserve"> April-2</w:t>
      </w:r>
      <w:r w:rsidR="003F08BE">
        <w:rPr>
          <w:rFonts w:ascii="Cambria" w:hAnsi="Cambria" w:cs="Arial"/>
          <w:sz w:val="24"/>
          <w:szCs w:val="24"/>
        </w:rPr>
        <w:t>5</w:t>
      </w:r>
      <w:r w:rsidR="00B739E5" w:rsidRPr="003C6C23">
        <w:rPr>
          <w:rFonts w:ascii="Cambria" w:hAnsi="Cambria" w:cs="Arial"/>
          <w:sz w:val="24"/>
          <w:szCs w:val="24"/>
        </w:rPr>
        <w:t xml:space="preserve"> is Rs. </w:t>
      </w:r>
      <w:r w:rsidR="00FD115F">
        <w:rPr>
          <w:rFonts w:ascii="Cambria" w:hAnsi="Cambria" w:cs="Arial"/>
          <w:sz w:val="24"/>
          <w:szCs w:val="24"/>
        </w:rPr>
        <w:t>5410.84</w:t>
      </w:r>
      <w:r w:rsidR="00B739E5" w:rsidRPr="003C6C23">
        <w:rPr>
          <w:rFonts w:ascii="Cambria" w:hAnsi="Cambria" w:cs="Arial"/>
          <w:sz w:val="24"/>
          <w:szCs w:val="24"/>
        </w:rPr>
        <w:t xml:space="preserve"> Cr.</w:t>
      </w:r>
      <w:r w:rsidR="00B739E5">
        <w:rPr>
          <w:rFonts w:ascii="Cambria" w:hAnsi="Cambria" w:cs="Arial"/>
          <w:sz w:val="24"/>
          <w:szCs w:val="24"/>
        </w:rPr>
        <w:t xml:space="preserve"> </w:t>
      </w:r>
      <w:r w:rsidR="005C060A">
        <w:rPr>
          <w:rFonts w:ascii="Cambria" w:hAnsi="Cambria" w:cs="Arial"/>
          <w:sz w:val="24"/>
          <w:szCs w:val="24"/>
        </w:rPr>
        <w:t xml:space="preserve"> </w:t>
      </w:r>
    </w:p>
    <w:p w14:paraId="014B9147" w14:textId="2B9DFBD6" w:rsidR="007E0B98" w:rsidRDefault="002C2881" w:rsidP="004276A0">
      <w:pPr>
        <w:pStyle w:val="BodyText2"/>
        <w:spacing w:line="360" w:lineRule="auto"/>
        <w:jc w:val="both"/>
        <w:rPr>
          <w:rFonts w:ascii="Cambria" w:hAnsi="Cambria" w:cs="Arial"/>
          <w:sz w:val="24"/>
          <w:szCs w:val="24"/>
        </w:rPr>
      </w:pPr>
      <w:r>
        <w:rPr>
          <w:rFonts w:ascii="Cambria" w:hAnsi="Cambria" w:cs="Arial"/>
          <w:sz w:val="24"/>
          <w:szCs w:val="24"/>
        </w:rPr>
        <w:t xml:space="preserve">Now as per new </w:t>
      </w:r>
      <w:r w:rsidR="007E0B98" w:rsidRPr="00DA1F45">
        <w:rPr>
          <w:rFonts w:ascii="Cambria" w:hAnsi="Cambria" w:cs="Arial"/>
          <w:sz w:val="24"/>
          <w:szCs w:val="24"/>
        </w:rPr>
        <w:t>Regulation for Determination of Wheeling &amp; Retail Supply Tariff, 2022.</w:t>
      </w:r>
      <w:r w:rsidR="007E0B98">
        <w:rPr>
          <w:rFonts w:ascii="Cambria" w:hAnsi="Cambria" w:cs="Arial"/>
          <w:sz w:val="24"/>
          <w:szCs w:val="24"/>
        </w:rPr>
        <w:t xml:space="preserve"> As per provision of new Regulation vide following para</w:t>
      </w:r>
      <w:r w:rsidR="00677A0A">
        <w:rPr>
          <w:rFonts w:ascii="Cambria" w:hAnsi="Cambria" w:cs="Arial"/>
          <w:sz w:val="24"/>
          <w:szCs w:val="24"/>
        </w:rPr>
        <w:t>;</w:t>
      </w:r>
      <w:r w:rsidR="007E0B98">
        <w:rPr>
          <w:rFonts w:ascii="Cambria" w:hAnsi="Cambria" w:cs="Arial"/>
          <w:sz w:val="24"/>
          <w:szCs w:val="24"/>
        </w:rPr>
        <w:t xml:space="preserve"> </w:t>
      </w:r>
    </w:p>
    <w:p w14:paraId="10C9EC64" w14:textId="2AB805FE" w:rsidR="007E0B98" w:rsidRPr="00923A86" w:rsidRDefault="007E0B98" w:rsidP="002C2881">
      <w:pPr>
        <w:autoSpaceDE w:val="0"/>
        <w:autoSpaceDN w:val="0"/>
        <w:adjustRightInd w:val="0"/>
        <w:ind w:left="1440" w:hanging="720"/>
        <w:jc w:val="both"/>
        <w:rPr>
          <w:rFonts w:asciiTheme="majorHAnsi" w:hAnsiTheme="majorHAnsi" w:cs="CIDFont+F3"/>
          <w:i/>
          <w:iCs/>
          <w:sz w:val="22"/>
          <w:lang w:val="en-IN" w:eastAsia="en-IN"/>
        </w:rPr>
      </w:pPr>
      <w:r w:rsidRPr="00923A86">
        <w:rPr>
          <w:rFonts w:asciiTheme="majorHAnsi" w:hAnsiTheme="majorHAnsi" w:cs="CIDFont+F3"/>
          <w:sz w:val="22"/>
          <w:lang w:val="en-IN" w:eastAsia="en-IN"/>
        </w:rPr>
        <w:t>“3.4.1</w:t>
      </w:r>
      <w:r w:rsidRPr="00923A86">
        <w:rPr>
          <w:rFonts w:asciiTheme="majorHAnsi" w:hAnsiTheme="majorHAnsi" w:cs="CIDFont+F3"/>
          <w:i/>
          <w:iCs/>
          <w:sz w:val="22"/>
          <w:lang w:val="en-IN" w:eastAsia="en-IN"/>
        </w:rPr>
        <w:t xml:space="preserve">. </w:t>
      </w:r>
      <w:r w:rsidRPr="00923A86">
        <w:rPr>
          <w:rFonts w:asciiTheme="majorHAnsi" w:hAnsiTheme="majorHAnsi" w:cs="CIDFont+F3"/>
          <w:i/>
          <w:iCs/>
          <w:sz w:val="22"/>
          <w:lang w:val="en-IN" w:eastAsia="en-IN"/>
        </w:rPr>
        <w:tab/>
        <w:t>The following nature of work carried out by the Distribution Licensee shall be classified under this category:</w:t>
      </w:r>
    </w:p>
    <w:p w14:paraId="66A14801" w14:textId="691533ED" w:rsidR="007E0B98" w:rsidRPr="00923A86" w:rsidRDefault="007E0B98" w:rsidP="002C2881">
      <w:pPr>
        <w:autoSpaceDE w:val="0"/>
        <w:autoSpaceDN w:val="0"/>
        <w:adjustRightInd w:val="0"/>
        <w:ind w:left="1440"/>
        <w:jc w:val="both"/>
        <w:rPr>
          <w:rFonts w:asciiTheme="majorHAnsi" w:hAnsiTheme="majorHAnsi" w:cs="CIDFont+F3"/>
          <w:i/>
          <w:iCs/>
          <w:sz w:val="22"/>
          <w:lang w:val="en-IN" w:eastAsia="en-IN"/>
        </w:rPr>
      </w:pPr>
      <w:r w:rsidRPr="00923A86">
        <w:rPr>
          <w:rFonts w:asciiTheme="majorHAnsi" w:hAnsiTheme="majorHAnsi" w:cs="CIDFont+F3"/>
          <w:i/>
          <w:iCs/>
          <w:sz w:val="22"/>
          <w:lang w:val="en-IN" w:eastAsia="en-IN"/>
        </w:rPr>
        <w:t>a. Works after obtaining a part or all of the funds from the users in the context of deposit works;</w:t>
      </w:r>
    </w:p>
    <w:p w14:paraId="3FF27262" w14:textId="625A94A3" w:rsidR="007E0B98" w:rsidRPr="00923A86" w:rsidRDefault="007E0B98" w:rsidP="002C2881">
      <w:pPr>
        <w:autoSpaceDE w:val="0"/>
        <w:autoSpaceDN w:val="0"/>
        <w:adjustRightInd w:val="0"/>
        <w:ind w:left="1440"/>
        <w:jc w:val="both"/>
        <w:rPr>
          <w:rFonts w:asciiTheme="majorHAnsi" w:hAnsiTheme="majorHAnsi" w:cs="CIDFont+F3"/>
          <w:i/>
          <w:iCs/>
          <w:sz w:val="22"/>
          <w:lang w:val="en-IN" w:eastAsia="en-IN"/>
        </w:rPr>
      </w:pPr>
      <w:r w:rsidRPr="00923A86">
        <w:rPr>
          <w:rFonts w:asciiTheme="majorHAnsi" w:hAnsiTheme="majorHAnsi" w:cs="CIDFont+F3"/>
          <w:i/>
          <w:iCs/>
          <w:sz w:val="22"/>
          <w:lang w:val="en-IN" w:eastAsia="en-IN"/>
        </w:rPr>
        <w:t>b. Capital works undertaken by utilising grants received from the State and Central Governments, including funds under various schemes;</w:t>
      </w:r>
    </w:p>
    <w:p w14:paraId="617C7852" w14:textId="4A48BF4C" w:rsidR="007E0B98" w:rsidRPr="00923A86" w:rsidRDefault="007E0B98" w:rsidP="002C2881">
      <w:pPr>
        <w:autoSpaceDE w:val="0"/>
        <w:autoSpaceDN w:val="0"/>
        <w:adjustRightInd w:val="0"/>
        <w:ind w:left="1440"/>
        <w:jc w:val="both"/>
        <w:rPr>
          <w:rFonts w:asciiTheme="majorHAnsi" w:hAnsiTheme="majorHAnsi" w:cs="CIDFont+F3"/>
          <w:i/>
          <w:iCs/>
          <w:sz w:val="22"/>
          <w:lang w:val="en-IN" w:eastAsia="en-IN"/>
        </w:rPr>
      </w:pPr>
      <w:r w:rsidRPr="00923A86">
        <w:rPr>
          <w:rFonts w:asciiTheme="majorHAnsi" w:hAnsiTheme="majorHAnsi" w:cs="CIDFont+F3"/>
          <w:i/>
          <w:iCs/>
          <w:sz w:val="22"/>
          <w:lang w:val="en-IN" w:eastAsia="en-IN"/>
        </w:rPr>
        <w:t>c. Capital investment from the depreciation to be allowed on the asset of the erstwhile DISCOMs as on effective date in terms of the provisions of Vesting Orders</w:t>
      </w:r>
    </w:p>
    <w:p w14:paraId="6F019BE8" w14:textId="5A7519AA" w:rsidR="007E0B98" w:rsidRPr="00923A86" w:rsidRDefault="007E0B98" w:rsidP="002C2881">
      <w:pPr>
        <w:autoSpaceDE w:val="0"/>
        <w:autoSpaceDN w:val="0"/>
        <w:adjustRightInd w:val="0"/>
        <w:ind w:left="1440"/>
        <w:jc w:val="both"/>
        <w:rPr>
          <w:rFonts w:asciiTheme="majorHAnsi" w:hAnsiTheme="majorHAnsi" w:cs="CIDFont+F3"/>
          <w:i/>
          <w:iCs/>
          <w:sz w:val="22"/>
          <w:lang w:val="en-IN" w:eastAsia="en-IN"/>
        </w:rPr>
      </w:pPr>
      <w:r w:rsidRPr="00923A86">
        <w:rPr>
          <w:rFonts w:asciiTheme="majorHAnsi" w:hAnsiTheme="majorHAnsi" w:cs="CIDFont+F3"/>
          <w:i/>
          <w:iCs/>
          <w:sz w:val="22"/>
          <w:lang w:val="en-IN" w:eastAsia="en-IN"/>
        </w:rPr>
        <w:t>d. Any other grant of similar nature and such amount received without any obligation to return the same and with no interest costs attached to such subvention.</w:t>
      </w:r>
    </w:p>
    <w:p w14:paraId="2BC7168F" w14:textId="77777777" w:rsidR="007E0B98" w:rsidRPr="00923A86" w:rsidRDefault="007E0B98" w:rsidP="002C2881">
      <w:pPr>
        <w:autoSpaceDE w:val="0"/>
        <w:autoSpaceDN w:val="0"/>
        <w:adjustRightInd w:val="0"/>
        <w:ind w:left="720"/>
        <w:jc w:val="both"/>
        <w:rPr>
          <w:rFonts w:asciiTheme="majorHAnsi" w:hAnsiTheme="majorHAnsi" w:cs="CIDFont+F3"/>
          <w:i/>
          <w:iCs/>
          <w:sz w:val="22"/>
          <w:lang w:val="en-IN" w:eastAsia="en-IN"/>
        </w:rPr>
      </w:pPr>
      <w:r w:rsidRPr="00923A86">
        <w:rPr>
          <w:rFonts w:asciiTheme="majorHAnsi" w:hAnsiTheme="majorHAnsi" w:cs="CIDFont+F3"/>
          <w:i/>
          <w:iCs/>
          <w:sz w:val="22"/>
          <w:lang w:val="en-IN" w:eastAsia="en-IN"/>
        </w:rPr>
        <w:t>3.4.2. The expenses on such capital expenditure shall be treated as follows:</w:t>
      </w:r>
    </w:p>
    <w:p w14:paraId="3D9AE227" w14:textId="5D3349F1" w:rsidR="007E0B98" w:rsidRPr="00923A86" w:rsidRDefault="007E0B98" w:rsidP="002C2881">
      <w:pPr>
        <w:pStyle w:val="BodyText2"/>
        <w:ind w:left="720" w:firstLine="720"/>
        <w:jc w:val="both"/>
        <w:rPr>
          <w:rFonts w:asciiTheme="majorHAnsi" w:hAnsiTheme="majorHAnsi" w:cs="CIDFont+F3"/>
          <w:i/>
          <w:iCs/>
          <w:sz w:val="22"/>
          <w:szCs w:val="24"/>
          <w:lang w:val="en-IN" w:eastAsia="en-IN"/>
        </w:rPr>
      </w:pPr>
      <w:r w:rsidRPr="00923A86">
        <w:rPr>
          <w:rFonts w:asciiTheme="majorHAnsi" w:hAnsiTheme="majorHAnsi" w:cs="CIDFont+F3"/>
          <w:b/>
          <w:bCs/>
          <w:i/>
          <w:iCs/>
          <w:sz w:val="22"/>
          <w:szCs w:val="24"/>
          <w:lang w:val="en-IN" w:eastAsia="en-IN"/>
        </w:rPr>
        <w:t>a.</w:t>
      </w:r>
      <w:r w:rsidRPr="00923A86">
        <w:rPr>
          <w:rFonts w:ascii="CIDFont+F3" w:hAnsi="CIDFont+F3" w:cs="CIDFont+F3"/>
          <w:b/>
          <w:bCs/>
          <w:i/>
          <w:iCs/>
          <w:sz w:val="42"/>
          <w:lang w:val="en-IN" w:eastAsia="en-IN"/>
        </w:rPr>
        <w:t xml:space="preserve"> </w:t>
      </w:r>
      <w:r w:rsidRPr="00923A86">
        <w:rPr>
          <w:rFonts w:asciiTheme="majorHAnsi" w:hAnsiTheme="majorHAnsi" w:cs="CIDFont+F3"/>
          <w:b/>
          <w:bCs/>
          <w:i/>
          <w:iCs/>
          <w:sz w:val="22"/>
          <w:szCs w:val="24"/>
          <w:lang w:val="en-IN" w:eastAsia="en-IN"/>
        </w:rPr>
        <w:t>normative O&amp;M expenses as specified in these Regulations shall be allowed</w:t>
      </w:r>
      <w:r w:rsidRPr="00923A86">
        <w:rPr>
          <w:rFonts w:asciiTheme="majorHAnsi" w:hAnsiTheme="majorHAnsi" w:cs="CIDFont+F3"/>
          <w:i/>
          <w:iCs/>
          <w:sz w:val="22"/>
          <w:szCs w:val="24"/>
          <w:lang w:val="en-IN" w:eastAsia="en-IN"/>
        </w:rPr>
        <w:t>;</w:t>
      </w:r>
    </w:p>
    <w:p w14:paraId="13A88A68" w14:textId="5FE16658" w:rsidR="007E0B98" w:rsidRPr="00923A86" w:rsidRDefault="007E0B98" w:rsidP="002C2881">
      <w:pPr>
        <w:pStyle w:val="BodyText2"/>
        <w:ind w:left="720" w:firstLine="720"/>
        <w:jc w:val="both"/>
        <w:rPr>
          <w:rFonts w:ascii="Cambria" w:hAnsi="Cambria" w:cs="Arial"/>
          <w:sz w:val="22"/>
          <w:szCs w:val="24"/>
        </w:rPr>
      </w:pPr>
      <w:r w:rsidRPr="00923A86">
        <w:rPr>
          <w:rFonts w:asciiTheme="majorHAnsi" w:hAnsiTheme="majorHAnsi" w:cs="CIDFont+F3"/>
          <w:sz w:val="22"/>
          <w:szCs w:val="24"/>
        </w:rPr>
        <w:t>………………………”</w:t>
      </w:r>
    </w:p>
    <w:p w14:paraId="5B78C3F9" w14:textId="4022DD72" w:rsidR="00507AD4" w:rsidRDefault="00507AD4" w:rsidP="008403B5">
      <w:pPr>
        <w:pStyle w:val="BodyText2"/>
        <w:spacing w:line="360" w:lineRule="auto"/>
        <w:jc w:val="both"/>
        <w:rPr>
          <w:rFonts w:ascii="Cambria" w:hAnsi="Cambria" w:cs="Arial"/>
          <w:sz w:val="24"/>
          <w:szCs w:val="24"/>
        </w:rPr>
      </w:pPr>
      <w:r>
        <w:rPr>
          <w:rFonts w:ascii="Cambria" w:hAnsi="Cambria" w:cs="Arial"/>
          <w:sz w:val="24"/>
          <w:szCs w:val="24"/>
        </w:rPr>
        <w:t xml:space="preserve">In line with vesting order as well as new regulation, for R&amp;M purposes assets are grouped under the </w:t>
      </w:r>
      <w:r w:rsidR="0062546D">
        <w:rPr>
          <w:rFonts w:ascii="Cambria" w:hAnsi="Cambria" w:cs="Arial"/>
          <w:sz w:val="24"/>
          <w:szCs w:val="24"/>
        </w:rPr>
        <w:t xml:space="preserve">following </w:t>
      </w:r>
      <w:r>
        <w:rPr>
          <w:rFonts w:ascii="Cambria" w:hAnsi="Cambria" w:cs="Arial"/>
          <w:sz w:val="24"/>
          <w:szCs w:val="24"/>
        </w:rPr>
        <w:t>major category;</w:t>
      </w:r>
    </w:p>
    <w:p w14:paraId="70F99B20" w14:textId="05A9E70A" w:rsidR="00507AD4" w:rsidRDefault="00507AD4" w:rsidP="001E22B8">
      <w:pPr>
        <w:pStyle w:val="BodyText2"/>
        <w:numPr>
          <w:ilvl w:val="0"/>
          <w:numId w:val="16"/>
        </w:numPr>
        <w:jc w:val="both"/>
        <w:rPr>
          <w:rFonts w:ascii="Cambria" w:hAnsi="Cambria" w:cs="Arial"/>
          <w:sz w:val="24"/>
          <w:szCs w:val="24"/>
        </w:rPr>
      </w:pPr>
      <w:r>
        <w:rPr>
          <w:rFonts w:ascii="Cambria" w:hAnsi="Cambria" w:cs="Arial"/>
          <w:sz w:val="24"/>
          <w:szCs w:val="24"/>
        </w:rPr>
        <w:t>Assets transferred to new licensee as on effective date (this also includes some grant &amp; consumer contribution assets.</w:t>
      </w:r>
    </w:p>
    <w:p w14:paraId="435687D4" w14:textId="09996D2A" w:rsidR="00507AD4" w:rsidRDefault="00507AD4" w:rsidP="001E22B8">
      <w:pPr>
        <w:pStyle w:val="BodyText2"/>
        <w:numPr>
          <w:ilvl w:val="0"/>
          <w:numId w:val="16"/>
        </w:numPr>
        <w:jc w:val="both"/>
        <w:rPr>
          <w:rFonts w:ascii="Cambria" w:hAnsi="Cambria" w:cs="Arial"/>
          <w:sz w:val="24"/>
          <w:szCs w:val="24"/>
        </w:rPr>
      </w:pPr>
      <w:r>
        <w:rPr>
          <w:rFonts w:ascii="Cambria" w:hAnsi="Cambria" w:cs="Arial"/>
          <w:sz w:val="24"/>
          <w:szCs w:val="24"/>
        </w:rPr>
        <w:t>Assets created by the licensee itself through own capital investment.</w:t>
      </w:r>
    </w:p>
    <w:p w14:paraId="20A468A1" w14:textId="40C256C3" w:rsidR="00507AD4" w:rsidRDefault="00507AD4" w:rsidP="001E22B8">
      <w:pPr>
        <w:pStyle w:val="BodyText2"/>
        <w:numPr>
          <w:ilvl w:val="0"/>
          <w:numId w:val="16"/>
        </w:numPr>
        <w:jc w:val="both"/>
        <w:rPr>
          <w:rFonts w:ascii="Cambria" w:hAnsi="Cambria" w:cs="Arial"/>
          <w:sz w:val="24"/>
          <w:szCs w:val="24"/>
        </w:rPr>
      </w:pPr>
      <w:r>
        <w:rPr>
          <w:rFonts w:ascii="Cambria" w:hAnsi="Cambria" w:cs="Arial"/>
          <w:sz w:val="24"/>
          <w:szCs w:val="24"/>
        </w:rPr>
        <w:t>Addition of consumer contribution assets</w:t>
      </w:r>
      <w:r w:rsidR="00C86201">
        <w:rPr>
          <w:rFonts w:ascii="Cambria" w:hAnsi="Cambria" w:cs="Arial"/>
          <w:sz w:val="24"/>
          <w:szCs w:val="24"/>
        </w:rPr>
        <w:t xml:space="preserve"> post vesting period</w:t>
      </w:r>
      <w:r>
        <w:rPr>
          <w:rFonts w:ascii="Cambria" w:hAnsi="Cambria" w:cs="Arial"/>
          <w:sz w:val="24"/>
          <w:szCs w:val="24"/>
        </w:rPr>
        <w:t xml:space="preserve"> through deposit work mechanism</w:t>
      </w:r>
    </w:p>
    <w:p w14:paraId="5DE7D819" w14:textId="1958FE1B" w:rsidR="00507AD4" w:rsidRPr="00CE2DA7" w:rsidRDefault="00507AD4" w:rsidP="001E22B8">
      <w:pPr>
        <w:pStyle w:val="BodyText2"/>
        <w:numPr>
          <w:ilvl w:val="0"/>
          <w:numId w:val="16"/>
        </w:numPr>
        <w:jc w:val="both"/>
        <w:rPr>
          <w:rFonts w:ascii="Cambria" w:hAnsi="Cambria" w:cs="Arial"/>
          <w:sz w:val="24"/>
          <w:szCs w:val="24"/>
        </w:rPr>
      </w:pPr>
      <w:r>
        <w:rPr>
          <w:rFonts w:ascii="Cambria" w:hAnsi="Cambria" w:cs="Arial"/>
          <w:sz w:val="24"/>
          <w:szCs w:val="24"/>
        </w:rPr>
        <w:t xml:space="preserve">Assets executed through Grant of central and state govt funding but not </w:t>
      </w:r>
      <w:r w:rsidRPr="00CE2DA7">
        <w:rPr>
          <w:rFonts w:ascii="Cambria" w:hAnsi="Cambria" w:cs="Arial"/>
          <w:sz w:val="24"/>
          <w:szCs w:val="24"/>
        </w:rPr>
        <w:t>appearing in the books of DISCOMs.</w:t>
      </w:r>
    </w:p>
    <w:p w14:paraId="478962E6" w14:textId="37C3FD23" w:rsidR="008403B5" w:rsidRPr="009F560B" w:rsidRDefault="008403B5" w:rsidP="008403B5">
      <w:pPr>
        <w:pStyle w:val="BodyText2"/>
        <w:spacing w:line="360" w:lineRule="auto"/>
        <w:jc w:val="both"/>
        <w:rPr>
          <w:rFonts w:ascii="Cambria" w:hAnsi="Cambria" w:cs="Arial"/>
          <w:sz w:val="24"/>
          <w:szCs w:val="24"/>
        </w:rPr>
      </w:pPr>
      <w:r>
        <w:rPr>
          <w:rFonts w:ascii="Cambria" w:hAnsi="Cambria" w:cs="Arial"/>
          <w:sz w:val="24"/>
          <w:szCs w:val="24"/>
        </w:rPr>
        <w:t>The relevant extract of the Tariff Regulation, 2022 is provided below:</w:t>
      </w:r>
    </w:p>
    <w:p w14:paraId="7CA3F402" w14:textId="77777777" w:rsidR="008403B5" w:rsidRPr="008403B5" w:rsidRDefault="008403B5" w:rsidP="008403B5">
      <w:pPr>
        <w:pStyle w:val="BodyText2"/>
        <w:ind w:left="709"/>
        <w:jc w:val="both"/>
        <w:rPr>
          <w:rFonts w:ascii="Cambria" w:hAnsi="Cambria" w:cs="Arial"/>
          <w:sz w:val="22"/>
          <w:szCs w:val="24"/>
        </w:rPr>
      </w:pPr>
      <w:r w:rsidRPr="008403B5">
        <w:rPr>
          <w:rFonts w:ascii="Cambria" w:hAnsi="Cambria" w:cs="Arial"/>
          <w:sz w:val="22"/>
          <w:szCs w:val="24"/>
        </w:rPr>
        <w:t>“</w:t>
      </w:r>
      <w:r w:rsidRPr="008403B5">
        <w:rPr>
          <w:rFonts w:ascii="Cambria" w:hAnsi="Cambria" w:cs="Arial"/>
          <w:i/>
          <w:iCs/>
          <w:sz w:val="22"/>
          <w:szCs w:val="24"/>
        </w:rPr>
        <w:t>3.9.19 Repair and Maintenance expenses shall be allowed as a % of opening Gross Fixed Assets (GFA) only on assets owned by the distribution company, for each year of the Control Period as provided in the table below:</w:t>
      </w:r>
    </w:p>
    <w:p w14:paraId="5A4E81AD" w14:textId="0C3814CC" w:rsidR="008403B5" w:rsidRDefault="008403B5" w:rsidP="008403B5">
      <w:pPr>
        <w:pStyle w:val="BodyText2"/>
        <w:spacing w:line="360" w:lineRule="auto"/>
        <w:ind w:left="360"/>
        <w:jc w:val="center"/>
        <w:rPr>
          <w:rFonts w:ascii="Cambria" w:hAnsi="Cambria" w:cs="Arial"/>
          <w:sz w:val="24"/>
          <w:szCs w:val="24"/>
        </w:rPr>
      </w:pPr>
      <w:r>
        <w:rPr>
          <w:noProof/>
        </w:rPr>
        <w:drawing>
          <wp:inline distT="0" distB="0" distL="0" distR="0" wp14:anchorId="5584487B" wp14:editId="42920F07">
            <wp:extent cx="4591050" cy="1596683"/>
            <wp:effectExtent l="0" t="0" r="0" b="3810"/>
            <wp:docPr id="16357501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750167" name=""/>
                    <pic:cNvPicPr/>
                  </pic:nvPicPr>
                  <pic:blipFill>
                    <a:blip r:embed="rId13"/>
                    <a:stretch>
                      <a:fillRect/>
                    </a:stretch>
                  </pic:blipFill>
                  <pic:spPr>
                    <a:xfrm>
                      <a:off x="0" y="0"/>
                      <a:ext cx="4654745" cy="1618835"/>
                    </a:xfrm>
                    <a:prstGeom prst="rect">
                      <a:avLst/>
                    </a:prstGeom>
                  </pic:spPr>
                </pic:pic>
              </a:graphicData>
            </a:graphic>
          </wp:inline>
        </w:drawing>
      </w:r>
    </w:p>
    <w:p w14:paraId="51622054" w14:textId="0F9A71C6" w:rsidR="008403B5" w:rsidRDefault="008403B5" w:rsidP="008403B5">
      <w:pPr>
        <w:pStyle w:val="BodyText2"/>
        <w:spacing w:line="276" w:lineRule="auto"/>
        <w:ind w:left="720"/>
        <w:jc w:val="both"/>
        <w:rPr>
          <w:rFonts w:ascii="Cambria" w:hAnsi="Cambria" w:cs="Arial"/>
          <w:i/>
          <w:iCs/>
          <w:sz w:val="22"/>
          <w:szCs w:val="22"/>
        </w:rPr>
      </w:pPr>
      <w:r>
        <w:rPr>
          <w:rFonts w:ascii="Cambria" w:hAnsi="Cambria" w:cs="Arial"/>
          <w:i/>
          <w:iCs/>
          <w:sz w:val="22"/>
          <w:szCs w:val="22"/>
        </w:rPr>
        <w:t>………….</w:t>
      </w:r>
    </w:p>
    <w:p w14:paraId="10D1A3C4" w14:textId="51B96B9C" w:rsidR="008403B5" w:rsidRPr="002C2881" w:rsidRDefault="008403B5" w:rsidP="008403B5">
      <w:pPr>
        <w:pStyle w:val="BodyText2"/>
        <w:spacing w:line="276" w:lineRule="auto"/>
        <w:ind w:left="720"/>
        <w:jc w:val="both"/>
        <w:rPr>
          <w:rFonts w:ascii="Cambria" w:hAnsi="Cambria" w:cs="Arial"/>
          <w:i/>
          <w:iCs/>
          <w:sz w:val="22"/>
          <w:szCs w:val="22"/>
        </w:rPr>
      </w:pPr>
      <w:r w:rsidRPr="002C2881">
        <w:rPr>
          <w:rFonts w:ascii="Cambria" w:hAnsi="Cambria" w:cs="Arial"/>
          <w:i/>
          <w:iCs/>
          <w:sz w:val="22"/>
          <w:szCs w:val="22"/>
        </w:rPr>
        <w:t>3.9.22. The Commission shall allow an amount for maintenance of assets added under State and Central Government Schemes @ 3.00% of the opening GFA of such assets. The Distribution Licensee(s) shall be required to separately submit to the Commission along with ARR, the details of assets taken into service under these Schemes.”</w:t>
      </w:r>
    </w:p>
    <w:p w14:paraId="62CB443D" w14:textId="603D3C62" w:rsidR="002D13C6" w:rsidRDefault="002D13C6" w:rsidP="008E04E8">
      <w:pPr>
        <w:pStyle w:val="BodyText2"/>
        <w:spacing w:line="360" w:lineRule="auto"/>
        <w:jc w:val="both"/>
        <w:rPr>
          <w:rFonts w:ascii="Cambria" w:hAnsi="Cambria" w:cs="Arial"/>
          <w:sz w:val="24"/>
          <w:szCs w:val="24"/>
        </w:rPr>
      </w:pPr>
      <w:r>
        <w:rPr>
          <w:rFonts w:ascii="Cambria" w:hAnsi="Cambria" w:cs="Arial"/>
          <w:sz w:val="24"/>
          <w:szCs w:val="24"/>
        </w:rPr>
        <w:t>The term GFA is defined in the Tariff Regulations, 2022 as provided below:</w:t>
      </w:r>
    </w:p>
    <w:p w14:paraId="4351DBA6" w14:textId="77777777" w:rsidR="00E32D06" w:rsidRPr="008403B5" w:rsidRDefault="00E32D06" w:rsidP="00E32D06">
      <w:pPr>
        <w:pStyle w:val="BodyText2"/>
        <w:spacing w:line="360" w:lineRule="auto"/>
        <w:ind w:left="720"/>
        <w:jc w:val="both"/>
        <w:rPr>
          <w:rFonts w:ascii="Cambria" w:hAnsi="Cambria" w:cs="Arial"/>
          <w:bCs/>
          <w:i/>
          <w:iCs/>
          <w:sz w:val="22"/>
          <w:szCs w:val="22"/>
        </w:rPr>
      </w:pPr>
      <w:r w:rsidRPr="00E32D06">
        <w:rPr>
          <w:rFonts w:ascii="Cambria" w:hAnsi="Cambria" w:cs="Arial"/>
          <w:b/>
          <w:bCs/>
          <w:i/>
          <w:iCs/>
          <w:sz w:val="22"/>
          <w:szCs w:val="22"/>
        </w:rPr>
        <w:t xml:space="preserve">37) “Gross Fixed Asset” </w:t>
      </w:r>
      <w:r w:rsidRPr="008403B5">
        <w:rPr>
          <w:rFonts w:ascii="Cambria" w:hAnsi="Cambria" w:cs="Arial"/>
          <w:bCs/>
          <w:i/>
          <w:iCs/>
          <w:sz w:val="22"/>
          <w:szCs w:val="22"/>
        </w:rPr>
        <w:t>means historical cost of an asset or gross book value the company had to pay in order to possess the fixed asset or other amount substituted for historical cost in the books of account or financial statements.”</w:t>
      </w:r>
    </w:p>
    <w:p w14:paraId="3664591B" w14:textId="77777777" w:rsidR="00E32D06" w:rsidRPr="00E32D06" w:rsidRDefault="00E32D06" w:rsidP="00E32D06">
      <w:pPr>
        <w:pStyle w:val="BodyText2"/>
        <w:spacing w:line="360" w:lineRule="auto"/>
        <w:jc w:val="both"/>
        <w:rPr>
          <w:rFonts w:ascii="Cambria" w:hAnsi="Cambria" w:cs="Arial"/>
          <w:sz w:val="24"/>
          <w:szCs w:val="24"/>
        </w:rPr>
      </w:pPr>
      <w:r w:rsidRPr="00E32D06">
        <w:rPr>
          <w:rFonts w:ascii="Cambria" w:hAnsi="Cambria" w:cs="Arial"/>
          <w:sz w:val="24"/>
          <w:szCs w:val="24"/>
        </w:rPr>
        <w:t>Further, the Licensee is also entitled for 3% R&amp;M on the Govt. owned assets as per Regulation 3.9.22 of the Tariff Regulation, 2022.</w:t>
      </w:r>
    </w:p>
    <w:p w14:paraId="42BB2691" w14:textId="16CC5B84" w:rsidR="00E32D06" w:rsidRPr="00E32D06" w:rsidRDefault="008403B5" w:rsidP="00E32D06">
      <w:pPr>
        <w:pStyle w:val="BodyText2"/>
        <w:spacing w:line="360" w:lineRule="auto"/>
        <w:jc w:val="both"/>
        <w:rPr>
          <w:rFonts w:ascii="Cambria" w:hAnsi="Cambria" w:cs="Arial"/>
          <w:sz w:val="24"/>
          <w:szCs w:val="24"/>
        </w:rPr>
      </w:pPr>
      <w:r>
        <w:rPr>
          <w:rFonts w:ascii="Cambria" w:hAnsi="Cambria" w:cs="Arial"/>
          <w:sz w:val="24"/>
          <w:szCs w:val="24"/>
        </w:rPr>
        <w:t>It is submitted that, t</w:t>
      </w:r>
      <w:r w:rsidR="00E32D06" w:rsidRPr="00E32D06">
        <w:rPr>
          <w:rFonts w:ascii="Cambria" w:hAnsi="Cambria" w:cs="Arial"/>
          <w:sz w:val="24"/>
          <w:szCs w:val="24"/>
        </w:rPr>
        <w:t xml:space="preserve">he Assets that have been deducted by the Hon’ble Commission for allowing normative R&amp;M are very much in service and </w:t>
      </w:r>
      <w:r>
        <w:rPr>
          <w:rFonts w:ascii="Cambria" w:hAnsi="Cambria" w:cs="Arial"/>
          <w:sz w:val="24"/>
          <w:szCs w:val="24"/>
        </w:rPr>
        <w:t xml:space="preserve">are </w:t>
      </w:r>
      <w:r w:rsidR="00E32D06" w:rsidRPr="00E32D06">
        <w:rPr>
          <w:rFonts w:ascii="Cambria" w:hAnsi="Cambria" w:cs="Arial"/>
          <w:sz w:val="24"/>
          <w:szCs w:val="24"/>
        </w:rPr>
        <w:t xml:space="preserve">required to be maintained for ensuring </w:t>
      </w:r>
      <w:r w:rsidR="00E32D06">
        <w:rPr>
          <w:rFonts w:ascii="Cambria" w:hAnsi="Cambria" w:cs="Arial"/>
          <w:sz w:val="24"/>
          <w:szCs w:val="24"/>
        </w:rPr>
        <w:t>r</w:t>
      </w:r>
      <w:r w:rsidR="00E32D06" w:rsidRPr="00E32D06">
        <w:rPr>
          <w:rFonts w:ascii="Cambria" w:hAnsi="Cambria" w:cs="Arial"/>
          <w:sz w:val="24"/>
          <w:szCs w:val="24"/>
        </w:rPr>
        <w:t xml:space="preserve">eliable </w:t>
      </w:r>
      <w:r w:rsidR="00E32D06">
        <w:rPr>
          <w:rFonts w:ascii="Cambria" w:hAnsi="Cambria" w:cs="Arial"/>
          <w:sz w:val="24"/>
          <w:szCs w:val="24"/>
        </w:rPr>
        <w:t>p</w:t>
      </w:r>
      <w:r w:rsidR="00E32D06" w:rsidRPr="00E32D06">
        <w:rPr>
          <w:rFonts w:ascii="Cambria" w:hAnsi="Cambria" w:cs="Arial"/>
          <w:sz w:val="24"/>
          <w:szCs w:val="24"/>
        </w:rPr>
        <w:t xml:space="preserve">ower </w:t>
      </w:r>
      <w:r w:rsidR="00E32D06">
        <w:rPr>
          <w:rFonts w:ascii="Cambria" w:hAnsi="Cambria" w:cs="Arial"/>
          <w:sz w:val="24"/>
          <w:szCs w:val="24"/>
        </w:rPr>
        <w:t>s</w:t>
      </w:r>
      <w:r w:rsidR="00E32D06" w:rsidRPr="00E32D06">
        <w:rPr>
          <w:rFonts w:ascii="Cambria" w:hAnsi="Cambria" w:cs="Arial"/>
          <w:sz w:val="24"/>
          <w:szCs w:val="24"/>
        </w:rPr>
        <w:t>upply to the Consumers. The DISCOM is obliged to provide the list of such assets in use. Moreover, such assets have useful life left and have not reached a point requiring retiring/ de-capitalization. Upon de-capitalization, the same will automatically be deducted from the GFA.</w:t>
      </w:r>
    </w:p>
    <w:p w14:paraId="234F840B" w14:textId="2414D756" w:rsidR="00E32D06" w:rsidRDefault="00E32D06" w:rsidP="00E32D06">
      <w:pPr>
        <w:pStyle w:val="BodyText2"/>
        <w:spacing w:line="360" w:lineRule="auto"/>
        <w:jc w:val="both"/>
        <w:rPr>
          <w:rFonts w:ascii="Cambria" w:hAnsi="Cambria" w:cs="Arial"/>
          <w:sz w:val="24"/>
          <w:szCs w:val="24"/>
        </w:rPr>
      </w:pPr>
      <w:r w:rsidRPr="00E32D06">
        <w:rPr>
          <w:rFonts w:ascii="Cambria" w:hAnsi="Cambria" w:cs="Arial"/>
          <w:sz w:val="24"/>
          <w:szCs w:val="24"/>
        </w:rPr>
        <w:t xml:space="preserve">As these assets are in use and the DISCOM need to carry the R&amp;M of these assets to ensure smooth &amp; reliable power supply to the </w:t>
      </w:r>
      <w:r>
        <w:rPr>
          <w:rFonts w:ascii="Cambria" w:hAnsi="Cambria" w:cs="Arial"/>
          <w:sz w:val="24"/>
          <w:szCs w:val="24"/>
        </w:rPr>
        <w:t>c</w:t>
      </w:r>
      <w:r w:rsidRPr="00E32D06">
        <w:rPr>
          <w:rFonts w:ascii="Cambria" w:hAnsi="Cambria" w:cs="Arial"/>
          <w:sz w:val="24"/>
          <w:szCs w:val="24"/>
        </w:rPr>
        <w:t xml:space="preserve">onsumers and also the Tariff Regulations, 2022 specifies allowable R&amp;M on total GFA, such disallowance under R&amp;M entitlement will on the other hand encourage utilities to replace such assets when they are beyond their “depreciated life” but are still serviceable and put additional burden on consumers in terms of additional cost to replace with new assets instead of </w:t>
      </w:r>
      <w:r w:rsidR="00393BD5">
        <w:rPr>
          <w:rFonts w:ascii="Cambria" w:hAnsi="Cambria" w:cs="Arial"/>
          <w:sz w:val="24"/>
          <w:szCs w:val="24"/>
        </w:rPr>
        <w:t xml:space="preserve">refurbishment </w:t>
      </w:r>
      <w:r w:rsidRPr="00E32D06">
        <w:rPr>
          <w:rFonts w:ascii="Cambria" w:hAnsi="Cambria" w:cs="Arial"/>
          <w:sz w:val="24"/>
          <w:szCs w:val="24"/>
        </w:rPr>
        <w:t>or life enhancement of existing assets through R</w:t>
      </w:r>
      <w:r w:rsidR="002D3784">
        <w:rPr>
          <w:rFonts w:ascii="Cambria" w:hAnsi="Cambria" w:cs="Arial"/>
          <w:sz w:val="24"/>
          <w:szCs w:val="24"/>
        </w:rPr>
        <w:t xml:space="preserve">epair </w:t>
      </w:r>
      <w:r w:rsidRPr="00E32D06">
        <w:rPr>
          <w:rFonts w:ascii="Cambria" w:hAnsi="Cambria" w:cs="Arial"/>
          <w:sz w:val="24"/>
          <w:szCs w:val="24"/>
        </w:rPr>
        <w:t>&amp;</w:t>
      </w:r>
      <w:r w:rsidR="002D3784">
        <w:rPr>
          <w:rFonts w:ascii="Cambria" w:hAnsi="Cambria" w:cs="Arial"/>
          <w:sz w:val="24"/>
          <w:szCs w:val="24"/>
        </w:rPr>
        <w:t xml:space="preserve"> </w:t>
      </w:r>
      <w:r w:rsidRPr="00E32D06">
        <w:rPr>
          <w:rFonts w:ascii="Cambria" w:hAnsi="Cambria" w:cs="Arial"/>
          <w:sz w:val="24"/>
          <w:szCs w:val="24"/>
        </w:rPr>
        <w:t>M</w:t>
      </w:r>
      <w:r w:rsidR="002D3784">
        <w:rPr>
          <w:rFonts w:ascii="Cambria" w:hAnsi="Cambria" w:cs="Arial"/>
          <w:sz w:val="24"/>
          <w:szCs w:val="24"/>
        </w:rPr>
        <w:t>aintenance</w:t>
      </w:r>
      <w:r w:rsidRPr="00E32D06">
        <w:rPr>
          <w:rFonts w:ascii="Cambria" w:hAnsi="Cambria" w:cs="Arial"/>
          <w:sz w:val="24"/>
          <w:szCs w:val="24"/>
        </w:rPr>
        <w:t>. The Licensee, therefore</w:t>
      </w:r>
      <w:r>
        <w:rPr>
          <w:rFonts w:ascii="Cambria" w:hAnsi="Cambria" w:cs="Arial"/>
          <w:sz w:val="24"/>
          <w:szCs w:val="24"/>
        </w:rPr>
        <w:t>,</w:t>
      </w:r>
      <w:r w:rsidRPr="00E32D06">
        <w:rPr>
          <w:rFonts w:ascii="Cambria" w:hAnsi="Cambria" w:cs="Arial"/>
          <w:sz w:val="24"/>
          <w:szCs w:val="24"/>
        </w:rPr>
        <w:t xml:space="preserve"> requests </w:t>
      </w:r>
      <w:r>
        <w:rPr>
          <w:rFonts w:ascii="Cambria" w:hAnsi="Cambria" w:cs="Arial"/>
          <w:sz w:val="24"/>
          <w:szCs w:val="24"/>
        </w:rPr>
        <w:t xml:space="preserve">the </w:t>
      </w:r>
      <w:r w:rsidRPr="00E32D06">
        <w:rPr>
          <w:rFonts w:ascii="Cambria" w:hAnsi="Cambria" w:cs="Arial"/>
          <w:sz w:val="24"/>
          <w:szCs w:val="24"/>
        </w:rPr>
        <w:t>Hon’ble Commission to allow R&amp;M on these assets</w:t>
      </w:r>
      <w:r>
        <w:rPr>
          <w:rFonts w:ascii="Cambria" w:hAnsi="Cambria" w:cs="Arial"/>
          <w:sz w:val="24"/>
          <w:szCs w:val="24"/>
        </w:rPr>
        <w:t xml:space="preserve"> which are still under service.</w:t>
      </w:r>
    </w:p>
    <w:p w14:paraId="3B8996CC" w14:textId="3FDD7418" w:rsidR="00B12723" w:rsidRDefault="00E32D06" w:rsidP="00566D51">
      <w:pPr>
        <w:pStyle w:val="BodyText2"/>
        <w:spacing w:line="360" w:lineRule="auto"/>
        <w:jc w:val="both"/>
        <w:rPr>
          <w:rFonts w:ascii="Cambria" w:hAnsi="Cambria" w:cs="Arial"/>
          <w:sz w:val="24"/>
          <w:szCs w:val="24"/>
        </w:rPr>
      </w:pPr>
      <w:r>
        <w:rPr>
          <w:rFonts w:ascii="Cambria" w:hAnsi="Cambria" w:cs="Arial"/>
          <w:sz w:val="24"/>
          <w:szCs w:val="24"/>
        </w:rPr>
        <w:t>T</w:t>
      </w:r>
      <w:r w:rsidR="008137EC" w:rsidRPr="009F560B">
        <w:rPr>
          <w:rFonts w:ascii="Cambria" w:hAnsi="Cambria" w:cs="Arial"/>
          <w:sz w:val="24"/>
          <w:szCs w:val="24"/>
        </w:rPr>
        <w:t xml:space="preserve">he Licensee has claimed R&amp;M </w:t>
      </w:r>
      <w:r w:rsidR="00C55E5C" w:rsidRPr="009F560B">
        <w:rPr>
          <w:rFonts w:ascii="Cambria" w:hAnsi="Cambria" w:cs="Arial"/>
          <w:sz w:val="24"/>
          <w:szCs w:val="24"/>
        </w:rPr>
        <w:t xml:space="preserve">Expenses </w:t>
      </w:r>
      <w:r w:rsidR="008137EC" w:rsidRPr="009F560B">
        <w:rPr>
          <w:rFonts w:ascii="Cambria" w:hAnsi="Cambria" w:cs="Arial"/>
          <w:sz w:val="24"/>
          <w:szCs w:val="24"/>
        </w:rPr>
        <w:t xml:space="preserve">on </w:t>
      </w:r>
      <w:r w:rsidR="008D585E" w:rsidRPr="009F560B">
        <w:rPr>
          <w:rFonts w:ascii="Cambria" w:hAnsi="Cambria" w:cs="Arial"/>
          <w:sz w:val="24"/>
          <w:szCs w:val="24"/>
        </w:rPr>
        <w:t xml:space="preserve">the Opening Gross Block </w:t>
      </w:r>
      <w:r w:rsidR="005F77BE" w:rsidRPr="009F560B">
        <w:rPr>
          <w:rFonts w:ascii="Cambria" w:hAnsi="Cambria" w:cs="Arial"/>
          <w:sz w:val="24"/>
          <w:szCs w:val="24"/>
        </w:rPr>
        <w:t>as on 31</w:t>
      </w:r>
      <w:r w:rsidR="005F77BE" w:rsidRPr="009F560B">
        <w:rPr>
          <w:rFonts w:ascii="Cambria" w:hAnsi="Cambria" w:cs="Arial"/>
          <w:sz w:val="24"/>
          <w:szCs w:val="24"/>
          <w:vertAlign w:val="superscript"/>
        </w:rPr>
        <w:t>st</w:t>
      </w:r>
      <w:r w:rsidR="005F77BE" w:rsidRPr="009F560B">
        <w:rPr>
          <w:rFonts w:ascii="Cambria" w:hAnsi="Cambria" w:cs="Arial"/>
          <w:sz w:val="24"/>
          <w:szCs w:val="24"/>
        </w:rPr>
        <w:t xml:space="preserve"> March 202</w:t>
      </w:r>
      <w:r w:rsidR="00FA4AD2">
        <w:rPr>
          <w:rFonts w:ascii="Cambria" w:hAnsi="Cambria" w:cs="Arial"/>
          <w:sz w:val="24"/>
          <w:szCs w:val="24"/>
        </w:rPr>
        <w:t>5</w:t>
      </w:r>
      <w:r w:rsidR="00357272" w:rsidRPr="009F560B">
        <w:rPr>
          <w:rFonts w:ascii="Cambria" w:hAnsi="Cambria" w:cs="Arial"/>
          <w:sz w:val="24"/>
          <w:szCs w:val="24"/>
        </w:rPr>
        <w:t xml:space="preserve"> &amp; 31</w:t>
      </w:r>
      <w:r w:rsidR="00357272" w:rsidRPr="009F560B">
        <w:rPr>
          <w:rFonts w:ascii="Cambria" w:hAnsi="Cambria" w:cs="Arial"/>
          <w:sz w:val="24"/>
          <w:szCs w:val="24"/>
          <w:vertAlign w:val="superscript"/>
        </w:rPr>
        <w:t>st</w:t>
      </w:r>
      <w:r w:rsidR="00357272" w:rsidRPr="009F560B">
        <w:rPr>
          <w:rFonts w:ascii="Cambria" w:hAnsi="Cambria" w:cs="Arial"/>
          <w:sz w:val="24"/>
          <w:szCs w:val="24"/>
        </w:rPr>
        <w:t xml:space="preserve"> March 202</w:t>
      </w:r>
      <w:r w:rsidR="00FA4AD2">
        <w:rPr>
          <w:rFonts w:ascii="Cambria" w:hAnsi="Cambria" w:cs="Arial"/>
          <w:sz w:val="24"/>
          <w:szCs w:val="24"/>
        </w:rPr>
        <w:t>6</w:t>
      </w:r>
      <w:r w:rsidR="005F77BE" w:rsidRPr="009F560B">
        <w:rPr>
          <w:rFonts w:ascii="Cambria" w:hAnsi="Cambria" w:cs="Arial"/>
          <w:sz w:val="24"/>
          <w:szCs w:val="24"/>
        </w:rPr>
        <w:t xml:space="preserve"> </w:t>
      </w:r>
      <w:r w:rsidR="008137EC" w:rsidRPr="009F560B">
        <w:rPr>
          <w:rFonts w:ascii="Cambria" w:hAnsi="Cambria" w:cs="Arial"/>
          <w:sz w:val="24"/>
          <w:szCs w:val="24"/>
        </w:rPr>
        <w:t xml:space="preserve">of </w:t>
      </w:r>
      <w:r w:rsidR="00357272" w:rsidRPr="009F560B">
        <w:rPr>
          <w:rFonts w:ascii="Cambria" w:hAnsi="Cambria" w:cs="Arial"/>
          <w:sz w:val="24"/>
          <w:szCs w:val="24"/>
        </w:rPr>
        <w:t xml:space="preserve">Rs. </w:t>
      </w:r>
      <w:r w:rsidR="00FA4AD2">
        <w:rPr>
          <w:rFonts w:ascii="Cambria" w:hAnsi="Cambria" w:cs="Arial"/>
          <w:sz w:val="24"/>
          <w:szCs w:val="24"/>
        </w:rPr>
        <w:t>54</w:t>
      </w:r>
      <w:r w:rsidR="002E7B3E">
        <w:rPr>
          <w:rFonts w:ascii="Cambria" w:hAnsi="Cambria" w:cs="Arial"/>
          <w:sz w:val="24"/>
          <w:szCs w:val="24"/>
        </w:rPr>
        <w:t>24.89</w:t>
      </w:r>
      <w:r w:rsidR="00357272" w:rsidRPr="009F560B">
        <w:rPr>
          <w:rFonts w:ascii="Cambria" w:hAnsi="Cambria" w:cs="Arial"/>
          <w:sz w:val="24"/>
          <w:szCs w:val="24"/>
        </w:rPr>
        <w:t xml:space="preserve"> &amp; </w:t>
      </w:r>
      <w:r w:rsidR="008137EC" w:rsidRPr="009F560B">
        <w:rPr>
          <w:rFonts w:ascii="Cambria" w:hAnsi="Cambria" w:cs="Arial"/>
          <w:sz w:val="24"/>
          <w:szCs w:val="24"/>
        </w:rPr>
        <w:t xml:space="preserve">Rs. </w:t>
      </w:r>
      <w:r w:rsidR="00EF53EB">
        <w:rPr>
          <w:rFonts w:ascii="Cambria" w:hAnsi="Cambria" w:cs="Arial"/>
          <w:sz w:val="24"/>
          <w:szCs w:val="24"/>
        </w:rPr>
        <w:t>66</w:t>
      </w:r>
      <w:r w:rsidR="002E7B3E">
        <w:rPr>
          <w:rFonts w:ascii="Cambria" w:hAnsi="Cambria" w:cs="Arial"/>
          <w:sz w:val="24"/>
          <w:szCs w:val="24"/>
        </w:rPr>
        <w:t>22.05</w:t>
      </w:r>
      <w:r w:rsidR="008137EC" w:rsidRPr="009F560B">
        <w:rPr>
          <w:rFonts w:ascii="Cambria" w:hAnsi="Cambria" w:cs="Arial"/>
          <w:sz w:val="24"/>
          <w:szCs w:val="24"/>
        </w:rPr>
        <w:t xml:space="preserve"> Cr. @ </w:t>
      </w:r>
      <w:r w:rsidR="00EF53EB">
        <w:rPr>
          <w:rFonts w:ascii="Cambria" w:hAnsi="Cambria" w:cs="Arial"/>
          <w:sz w:val="24"/>
          <w:szCs w:val="24"/>
        </w:rPr>
        <w:t>4</w:t>
      </w:r>
      <w:r w:rsidR="008137EC" w:rsidRPr="009F560B">
        <w:rPr>
          <w:rFonts w:ascii="Cambria" w:hAnsi="Cambria" w:cs="Arial"/>
          <w:sz w:val="24"/>
          <w:szCs w:val="24"/>
        </w:rPr>
        <w:t>%</w:t>
      </w:r>
      <w:r w:rsidR="006F43DA" w:rsidRPr="009F560B">
        <w:rPr>
          <w:rFonts w:ascii="Cambria" w:hAnsi="Cambria" w:cs="Arial"/>
          <w:sz w:val="24"/>
          <w:szCs w:val="24"/>
        </w:rPr>
        <w:t xml:space="preserve"> </w:t>
      </w:r>
      <w:r w:rsidR="00BA18FF" w:rsidRPr="009F560B">
        <w:rPr>
          <w:rFonts w:ascii="Cambria" w:hAnsi="Cambria" w:cs="Arial"/>
          <w:sz w:val="24"/>
          <w:szCs w:val="24"/>
        </w:rPr>
        <w:t xml:space="preserve">&amp; </w:t>
      </w:r>
      <w:r w:rsidR="00EF53EB">
        <w:rPr>
          <w:rFonts w:ascii="Cambria" w:hAnsi="Cambria" w:cs="Arial"/>
          <w:sz w:val="24"/>
          <w:szCs w:val="24"/>
        </w:rPr>
        <w:t>3</w:t>
      </w:r>
      <w:r w:rsidR="00BA18FF" w:rsidRPr="009F560B">
        <w:rPr>
          <w:rFonts w:ascii="Cambria" w:hAnsi="Cambria" w:cs="Arial"/>
          <w:sz w:val="24"/>
          <w:szCs w:val="24"/>
        </w:rPr>
        <w:t xml:space="preserve">% respectively </w:t>
      </w:r>
      <w:r w:rsidR="006F43DA" w:rsidRPr="009F560B">
        <w:rPr>
          <w:rFonts w:ascii="Cambria" w:hAnsi="Cambria" w:cs="Arial"/>
          <w:sz w:val="24"/>
          <w:szCs w:val="24"/>
        </w:rPr>
        <w:t xml:space="preserve">amounting to Rs. </w:t>
      </w:r>
      <w:r w:rsidR="00B557BB">
        <w:rPr>
          <w:rFonts w:ascii="Cambria" w:hAnsi="Cambria" w:cs="Arial"/>
          <w:sz w:val="24"/>
          <w:szCs w:val="24"/>
        </w:rPr>
        <w:t>21</w:t>
      </w:r>
      <w:r w:rsidR="002E7B3E">
        <w:rPr>
          <w:rFonts w:ascii="Cambria" w:hAnsi="Cambria" w:cs="Arial"/>
          <w:sz w:val="24"/>
          <w:szCs w:val="24"/>
        </w:rPr>
        <w:t>7.00</w:t>
      </w:r>
      <w:r w:rsidR="007F2045" w:rsidRPr="009F560B">
        <w:rPr>
          <w:rFonts w:ascii="Cambria" w:hAnsi="Cambria" w:cs="Arial"/>
          <w:sz w:val="24"/>
          <w:szCs w:val="24"/>
        </w:rPr>
        <w:t xml:space="preserve"> Cr. &amp; Rs. </w:t>
      </w:r>
      <w:r w:rsidR="00B557BB">
        <w:rPr>
          <w:rFonts w:ascii="Cambria" w:hAnsi="Cambria" w:cs="Arial"/>
          <w:sz w:val="24"/>
          <w:szCs w:val="24"/>
        </w:rPr>
        <w:t>198.</w:t>
      </w:r>
      <w:r w:rsidR="002E7B3E">
        <w:rPr>
          <w:rFonts w:ascii="Cambria" w:hAnsi="Cambria" w:cs="Arial"/>
          <w:sz w:val="24"/>
          <w:szCs w:val="24"/>
        </w:rPr>
        <w:t>66</w:t>
      </w:r>
      <w:r w:rsidR="007F2045" w:rsidRPr="009F560B">
        <w:rPr>
          <w:rFonts w:ascii="Cambria" w:hAnsi="Cambria" w:cs="Arial"/>
          <w:sz w:val="24"/>
          <w:szCs w:val="24"/>
        </w:rPr>
        <w:t xml:space="preserve"> Cr. respectively</w:t>
      </w:r>
      <w:r w:rsidR="00566D51" w:rsidRPr="009F560B">
        <w:rPr>
          <w:rFonts w:ascii="Cambria" w:hAnsi="Cambria" w:cs="Arial"/>
          <w:sz w:val="24"/>
          <w:szCs w:val="24"/>
        </w:rPr>
        <w:t>.</w:t>
      </w:r>
    </w:p>
    <w:p w14:paraId="417E0EF5" w14:textId="162753D8" w:rsidR="001B74CC" w:rsidRDefault="001B74CC" w:rsidP="00566D51">
      <w:pPr>
        <w:pStyle w:val="BodyText2"/>
        <w:spacing w:line="360" w:lineRule="auto"/>
        <w:jc w:val="both"/>
        <w:rPr>
          <w:rFonts w:ascii="Cambria" w:hAnsi="Cambria" w:cs="Arial"/>
          <w:sz w:val="24"/>
          <w:szCs w:val="24"/>
        </w:rPr>
      </w:pPr>
      <w:r>
        <w:rPr>
          <w:rFonts w:ascii="Cambria" w:hAnsi="Cambria" w:cs="Arial"/>
          <w:sz w:val="24"/>
          <w:szCs w:val="24"/>
        </w:rPr>
        <w:t xml:space="preserve">Apart from the above </w:t>
      </w:r>
      <w:r w:rsidR="00527F3A">
        <w:rPr>
          <w:rFonts w:ascii="Cambria" w:hAnsi="Cambria" w:cs="Arial"/>
          <w:sz w:val="24"/>
          <w:szCs w:val="24"/>
        </w:rPr>
        <w:t xml:space="preserve">TPWODL owned </w:t>
      </w:r>
      <w:r>
        <w:rPr>
          <w:rFonts w:ascii="Cambria" w:hAnsi="Cambria" w:cs="Arial"/>
          <w:sz w:val="24"/>
          <w:szCs w:val="24"/>
        </w:rPr>
        <w:t xml:space="preserve">assets, </w:t>
      </w:r>
      <w:r w:rsidR="0044334E">
        <w:rPr>
          <w:rFonts w:ascii="Cambria" w:hAnsi="Cambria" w:cs="Arial"/>
          <w:sz w:val="24"/>
          <w:szCs w:val="24"/>
        </w:rPr>
        <w:t>there are assets created through Central Govt</w:t>
      </w:r>
      <w:r w:rsidR="00527F3A">
        <w:rPr>
          <w:rFonts w:ascii="Cambria" w:hAnsi="Cambria" w:cs="Arial"/>
          <w:sz w:val="24"/>
          <w:szCs w:val="24"/>
        </w:rPr>
        <w:t>.</w:t>
      </w:r>
      <w:r w:rsidR="0044334E">
        <w:rPr>
          <w:rFonts w:ascii="Cambria" w:hAnsi="Cambria" w:cs="Arial"/>
          <w:sz w:val="24"/>
          <w:szCs w:val="24"/>
        </w:rPr>
        <w:t xml:space="preserve"> &amp; State Govt</w:t>
      </w:r>
      <w:r w:rsidR="00527F3A">
        <w:rPr>
          <w:rFonts w:ascii="Cambria" w:hAnsi="Cambria" w:cs="Arial"/>
          <w:sz w:val="24"/>
          <w:szCs w:val="24"/>
        </w:rPr>
        <w:t>.</w:t>
      </w:r>
      <w:r w:rsidR="0044334E">
        <w:rPr>
          <w:rFonts w:ascii="Cambria" w:hAnsi="Cambria" w:cs="Arial"/>
          <w:sz w:val="24"/>
          <w:szCs w:val="24"/>
        </w:rPr>
        <w:t xml:space="preserve"> </w:t>
      </w:r>
      <w:r w:rsidR="0044334E" w:rsidRPr="009F560B">
        <w:rPr>
          <w:rFonts w:ascii="Cambria" w:hAnsi="Cambria" w:cs="Arial"/>
          <w:sz w:val="24"/>
          <w:szCs w:val="24"/>
        </w:rPr>
        <w:t xml:space="preserve">assistance which </w:t>
      </w:r>
      <w:r w:rsidR="008747DB" w:rsidRPr="009F560B">
        <w:rPr>
          <w:rFonts w:ascii="Cambria" w:hAnsi="Cambria" w:cs="Arial"/>
          <w:sz w:val="24"/>
          <w:szCs w:val="24"/>
        </w:rPr>
        <w:t>does not appear</w:t>
      </w:r>
      <w:r w:rsidR="0044334E" w:rsidRPr="009F560B">
        <w:rPr>
          <w:rFonts w:ascii="Cambria" w:hAnsi="Cambria" w:cs="Arial"/>
          <w:sz w:val="24"/>
          <w:szCs w:val="24"/>
        </w:rPr>
        <w:t xml:space="preserve"> in the </w:t>
      </w:r>
      <w:r w:rsidR="008747DB" w:rsidRPr="009F560B">
        <w:rPr>
          <w:rFonts w:ascii="Cambria" w:hAnsi="Cambria" w:cs="Arial"/>
          <w:sz w:val="24"/>
          <w:szCs w:val="24"/>
        </w:rPr>
        <w:t>B</w:t>
      </w:r>
      <w:r w:rsidR="0044334E" w:rsidRPr="009F560B">
        <w:rPr>
          <w:rFonts w:ascii="Cambria" w:hAnsi="Cambria" w:cs="Arial"/>
          <w:sz w:val="24"/>
          <w:szCs w:val="24"/>
        </w:rPr>
        <w:t xml:space="preserve">ooks of </w:t>
      </w:r>
      <w:r w:rsidR="008747DB" w:rsidRPr="009F560B">
        <w:rPr>
          <w:rFonts w:ascii="Cambria" w:hAnsi="Cambria" w:cs="Arial"/>
          <w:sz w:val="24"/>
          <w:szCs w:val="24"/>
        </w:rPr>
        <w:t>A</w:t>
      </w:r>
      <w:r w:rsidR="0044334E" w:rsidRPr="009F560B">
        <w:rPr>
          <w:rFonts w:ascii="Cambria" w:hAnsi="Cambria" w:cs="Arial"/>
          <w:sz w:val="24"/>
          <w:szCs w:val="24"/>
        </w:rPr>
        <w:t xml:space="preserve">ccounts of the </w:t>
      </w:r>
      <w:r w:rsidR="00527F3A" w:rsidRPr="009F560B">
        <w:rPr>
          <w:rFonts w:ascii="Cambria" w:hAnsi="Cambria" w:cs="Arial"/>
          <w:sz w:val="24"/>
          <w:szCs w:val="24"/>
        </w:rPr>
        <w:t>Licensee,</w:t>
      </w:r>
      <w:r w:rsidR="00C30E98" w:rsidRPr="009F560B">
        <w:rPr>
          <w:rFonts w:ascii="Cambria" w:hAnsi="Cambria" w:cs="Arial"/>
          <w:sz w:val="24"/>
          <w:szCs w:val="24"/>
        </w:rPr>
        <w:t xml:space="preserve"> but the </w:t>
      </w:r>
      <w:r w:rsidR="00527F3A" w:rsidRPr="009F560B">
        <w:rPr>
          <w:rFonts w:ascii="Cambria" w:hAnsi="Cambria" w:cs="Arial"/>
          <w:sz w:val="24"/>
          <w:szCs w:val="24"/>
        </w:rPr>
        <w:t>L</w:t>
      </w:r>
      <w:r w:rsidR="00C30E98" w:rsidRPr="009F560B">
        <w:rPr>
          <w:rFonts w:ascii="Cambria" w:hAnsi="Cambria" w:cs="Arial"/>
          <w:sz w:val="24"/>
          <w:szCs w:val="24"/>
        </w:rPr>
        <w:t xml:space="preserve">icensee </w:t>
      </w:r>
      <w:r w:rsidR="00BA3D6D" w:rsidRPr="009F560B">
        <w:rPr>
          <w:rFonts w:ascii="Cambria" w:hAnsi="Cambria" w:cs="Arial"/>
          <w:sz w:val="24"/>
          <w:szCs w:val="24"/>
        </w:rPr>
        <w:t>maintains</w:t>
      </w:r>
      <w:r w:rsidR="00C30E98" w:rsidRPr="009F560B">
        <w:rPr>
          <w:rFonts w:ascii="Cambria" w:hAnsi="Cambria" w:cs="Arial"/>
          <w:sz w:val="24"/>
          <w:szCs w:val="24"/>
        </w:rPr>
        <w:t xml:space="preserve"> such assets. The details of such assets have been duly verified by OPTCL</w:t>
      </w:r>
      <w:r w:rsidR="00BA3D6D" w:rsidRPr="009F560B">
        <w:rPr>
          <w:rFonts w:ascii="Cambria" w:hAnsi="Cambria" w:cs="Arial"/>
          <w:sz w:val="24"/>
          <w:szCs w:val="24"/>
        </w:rPr>
        <w:t xml:space="preserve"> and the Minutes of meeting </w:t>
      </w:r>
      <w:r w:rsidR="00754B00" w:rsidRPr="009F560B">
        <w:rPr>
          <w:rFonts w:ascii="Cambria" w:hAnsi="Cambria" w:cs="Arial"/>
          <w:sz w:val="24"/>
          <w:szCs w:val="24"/>
        </w:rPr>
        <w:t>of the 1</w:t>
      </w:r>
      <w:r w:rsidR="00754B00" w:rsidRPr="009F560B">
        <w:rPr>
          <w:rFonts w:ascii="Cambria" w:hAnsi="Cambria" w:cs="Arial"/>
          <w:sz w:val="24"/>
          <w:szCs w:val="24"/>
          <w:vertAlign w:val="superscript"/>
        </w:rPr>
        <w:t>st</w:t>
      </w:r>
      <w:r w:rsidR="00754B00" w:rsidRPr="009F560B">
        <w:rPr>
          <w:rFonts w:ascii="Cambria" w:hAnsi="Cambria" w:cs="Arial"/>
          <w:sz w:val="24"/>
          <w:szCs w:val="24"/>
        </w:rPr>
        <w:t xml:space="preserve"> meeting of committee for development of protocol for asset management of </w:t>
      </w:r>
      <w:proofErr w:type="spellStart"/>
      <w:r w:rsidR="00754B00" w:rsidRPr="009F560B">
        <w:rPr>
          <w:rFonts w:ascii="Cambria" w:hAnsi="Cambria" w:cs="Arial"/>
          <w:sz w:val="24"/>
          <w:szCs w:val="24"/>
        </w:rPr>
        <w:t>GoI</w:t>
      </w:r>
      <w:proofErr w:type="spellEnd"/>
      <w:r w:rsidR="00754B00" w:rsidRPr="009F560B">
        <w:rPr>
          <w:rFonts w:ascii="Cambria" w:hAnsi="Cambria" w:cs="Arial"/>
          <w:sz w:val="24"/>
          <w:szCs w:val="24"/>
        </w:rPr>
        <w:t xml:space="preserve">/ </w:t>
      </w:r>
      <w:proofErr w:type="spellStart"/>
      <w:r w:rsidR="00754B00" w:rsidRPr="009F560B">
        <w:rPr>
          <w:rFonts w:ascii="Cambria" w:hAnsi="Cambria" w:cs="Arial"/>
          <w:sz w:val="24"/>
          <w:szCs w:val="24"/>
        </w:rPr>
        <w:t>GoO</w:t>
      </w:r>
      <w:proofErr w:type="spellEnd"/>
      <w:r w:rsidR="00754B00" w:rsidRPr="009F560B">
        <w:rPr>
          <w:rFonts w:ascii="Cambria" w:hAnsi="Cambria" w:cs="Arial"/>
          <w:sz w:val="24"/>
          <w:szCs w:val="24"/>
        </w:rPr>
        <w:t xml:space="preserve"> funded schemes </w:t>
      </w:r>
      <w:r w:rsidR="00122D5F" w:rsidRPr="009F560B">
        <w:rPr>
          <w:rFonts w:ascii="Cambria" w:hAnsi="Cambria" w:cs="Arial"/>
          <w:sz w:val="24"/>
          <w:szCs w:val="24"/>
        </w:rPr>
        <w:t xml:space="preserve">held on 12.10.2023 was considered </w:t>
      </w:r>
      <w:r w:rsidR="007928B1">
        <w:rPr>
          <w:rFonts w:ascii="Cambria" w:hAnsi="Cambria" w:cs="Arial"/>
          <w:sz w:val="24"/>
          <w:szCs w:val="24"/>
        </w:rPr>
        <w:t>along with a statement from OPTCL (dt. 07.06.2024) wherein certain assets were not included as per the MoM statement (dt. 12.10.2023) has also been taken into consideration, Accordingly, the value of govt. funded assets on March 2</w:t>
      </w:r>
      <w:r w:rsidR="00345224">
        <w:rPr>
          <w:rFonts w:ascii="Cambria" w:hAnsi="Cambria" w:cs="Arial"/>
          <w:sz w:val="24"/>
          <w:szCs w:val="24"/>
        </w:rPr>
        <w:t>5</w:t>
      </w:r>
      <w:r w:rsidR="007928B1">
        <w:rPr>
          <w:rFonts w:ascii="Cambria" w:hAnsi="Cambria" w:cs="Arial"/>
          <w:sz w:val="24"/>
          <w:szCs w:val="24"/>
        </w:rPr>
        <w:t xml:space="preserve"> &amp; estimated as on March</w:t>
      </w:r>
      <w:r w:rsidR="002911DF">
        <w:rPr>
          <w:rFonts w:ascii="Cambria" w:hAnsi="Cambria" w:cs="Arial"/>
          <w:sz w:val="24"/>
          <w:szCs w:val="24"/>
        </w:rPr>
        <w:t>-</w:t>
      </w:r>
      <w:r w:rsidR="007928B1">
        <w:rPr>
          <w:rFonts w:ascii="Cambria" w:hAnsi="Cambria" w:cs="Arial"/>
          <w:sz w:val="24"/>
          <w:szCs w:val="24"/>
        </w:rPr>
        <w:t>2</w:t>
      </w:r>
      <w:r w:rsidR="00345224">
        <w:rPr>
          <w:rFonts w:ascii="Cambria" w:hAnsi="Cambria" w:cs="Arial"/>
          <w:sz w:val="24"/>
          <w:szCs w:val="24"/>
        </w:rPr>
        <w:t>6</w:t>
      </w:r>
      <w:r w:rsidR="007928B1">
        <w:rPr>
          <w:rFonts w:ascii="Cambria" w:hAnsi="Cambria" w:cs="Arial"/>
          <w:sz w:val="24"/>
          <w:szCs w:val="24"/>
        </w:rPr>
        <w:t xml:space="preserve"> is appended below</w:t>
      </w:r>
      <w:r w:rsidR="00122D5F" w:rsidRPr="009F560B">
        <w:rPr>
          <w:rFonts w:ascii="Cambria" w:hAnsi="Cambria" w:cs="Arial"/>
          <w:sz w:val="24"/>
          <w:szCs w:val="24"/>
        </w:rPr>
        <w:t xml:space="preserve">: </w:t>
      </w:r>
    </w:p>
    <w:tbl>
      <w:tblPr>
        <w:tblW w:w="8926" w:type="dxa"/>
        <w:tblLook w:val="04A0" w:firstRow="1" w:lastRow="0" w:firstColumn="1" w:lastColumn="0" w:noHBand="0" w:noVBand="1"/>
      </w:tblPr>
      <w:tblGrid>
        <w:gridCol w:w="704"/>
        <w:gridCol w:w="5954"/>
        <w:gridCol w:w="1134"/>
        <w:gridCol w:w="1134"/>
      </w:tblGrid>
      <w:tr w:rsidR="00266BB8" w:rsidRPr="00D64A29" w14:paraId="511E3E72" w14:textId="77777777" w:rsidTr="00297A8E">
        <w:trPr>
          <w:trHeight w:val="1274"/>
          <w:tblHeader/>
        </w:trPr>
        <w:tc>
          <w:tcPr>
            <w:tcW w:w="704" w:type="dxa"/>
            <w:vMerge w:val="restart"/>
            <w:tcBorders>
              <w:top w:val="single" w:sz="4" w:space="0" w:color="auto"/>
              <w:left w:val="single" w:sz="4" w:space="0" w:color="auto"/>
              <w:bottom w:val="single" w:sz="4" w:space="0" w:color="000000"/>
              <w:right w:val="single" w:sz="4" w:space="0" w:color="auto"/>
            </w:tcBorders>
            <w:shd w:val="clear" w:color="auto" w:fill="C6D9F1" w:themeFill="text2" w:themeFillTint="33"/>
            <w:vAlign w:val="center"/>
            <w:hideMark/>
          </w:tcPr>
          <w:p w14:paraId="07FB39E5" w14:textId="7266C13D" w:rsidR="00266BB8" w:rsidRPr="00D64A29" w:rsidRDefault="00266BB8" w:rsidP="00266BB8">
            <w:pPr>
              <w:contextualSpacing/>
              <w:jc w:val="center"/>
              <w:rPr>
                <w:rFonts w:asciiTheme="majorHAnsi" w:hAnsiTheme="majorHAnsi" w:cs="Calibri"/>
                <w:b/>
                <w:bCs/>
                <w:color w:val="000000"/>
                <w:sz w:val="22"/>
                <w:szCs w:val="22"/>
                <w:lang w:val="en-IN" w:eastAsia="en-IN"/>
              </w:rPr>
            </w:pPr>
            <w:r w:rsidRPr="00D64A29">
              <w:rPr>
                <w:rFonts w:asciiTheme="majorHAnsi" w:hAnsiTheme="majorHAnsi" w:cs="Calibri"/>
                <w:b/>
                <w:bCs/>
                <w:color w:val="000000"/>
                <w:sz w:val="22"/>
                <w:szCs w:val="22"/>
              </w:rPr>
              <w:t>S. No.</w:t>
            </w:r>
          </w:p>
        </w:tc>
        <w:tc>
          <w:tcPr>
            <w:tcW w:w="5954" w:type="dxa"/>
            <w:vMerge w:val="restart"/>
            <w:tcBorders>
              <w:top w:val="single" w:sz="4" w:space="0" w:color="auto"/>
              <w:left w:val="single" w:sz="4" w:space="0" w:color="auto"/>
              <w:bottom w:val="single" w:sz="4" w:space="0" w:color="000000"/>
              <w:right w:val="single" w:sz="4" w:space="0" w:color="auto"/>
            </w:tcBorders>
            <w:shd w:val="clear" w:color="auto" w:fill="C6D9F1" w:themeFill="text2" w:themeFillTint="33"/>
            <w:vAlign w:val="center"/>
            <w:hideMark/>
          </w:tcPr>
          <w:p w14:paraId="4BE8B1B9" w14:textId="77777777" w:rsidR="00266BB8" w:rsidRPr="00D64A29" w:rsidRDefault="00266BB8" w:rsidP="00266BB8">
            <w:pPr>
              <w:contextualSpacing/>
              <w:jc w:val="center"/>
              <w:rPr>
                <w:rFonts w:asciiTheme="majorHAnsi" w:hAnsiTheme="majorHAnsi" w:cs="Calibri"/>
                <w:b/>
                <w:bCs/>
                <w:color w:val="000000"/>
                <w:sz w:val="22"/>
                <w:szCs w:val="22"/>
              </w:rPr>
            </w:pPr>
            <w:r w:rsidRPr="00D64A29">
              <w:rPr>
                <w:rFonts w:asciiTheme="majorHAnsi" w:hAnsiTheme="majorHAnsi" w:cs="Calibri"/>
                <w:b/>
                <w:bCs/>
                <w:color w:val="000000"/>
                <w:sz w:val="22"/>
                <w:szCs w:val="22"/>
              </w:rPr>
              <w:t>Name of Scheme</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C6D9F1" w:themeFill="text2" w:themeFillTint="33"/>
            <w:vAlign w:val="center"/>
            <w:hideMark/>
          </w:tcPr>
          <w:p w14:paraId="38F6F481" w14:textId="42EE24F6" w:rsidR="00266BB8" w:rsidRPr="00D64A29" w:rsidRDefault="00266BB8" w:rsidP="00266BB8">
            <w:pPr>
              <w:contextualSpacing/>
              <w:jc w:val="center"/>
              <w:rPr>
                <w:rFonts w:asciiTheme="majorHAnsi" w:hAnsiTheme="majorHAnsi" w:cs="Calibri"/>
                <w:b/>
                <w:bCs/>
                <w:color w:val="000000"/>
                <w:sz w:val="22"/>
                <w:szCs w:val="22"/>
              </w:rPr>
            </w:pPr>
            <w:r w:rsidRPr="00D64A29">
              <w:rPr>
                <w:rFonts w:asciiTheme="majorHAnsi" w:hAnsiTheme="majorHAnsi" w:cs="Calibri"/>
                <w:b/>
                <w:bCs/>
                <w:color w:val="000000"/>
                <w:sz w:val="22"/>
                <w:szCs w:val="22"/>
              </w:rPr>
              <w:t>Mar-25 (</w:t>
            </w:r>
            <w:r>
              <w:rPr>
                <w:rFonts w:asciiTheme="majorHAnsi" w:hAnsiTheme="majorHAnsi" w:cs="Calibri"/>
                <w:b/>
                <w:bCs/>
                <w:color w:val="000000"/>
                <w:sz w:val="22"/>
                <w:szCs w:val="22"/>
              </w:rPr>
              <w:t>Rs. Cr.</w:t>
            </w:r>
            <w:r w:rsidRPr="00D64A29">
              <w:rPr>
                <w:rFonts w:asciiTheme="majorHAnsi" w:hAnsiTheme="majorHAnsi" w:cs="Calibri"/>
                <w:b/>
                <w:bCs/>
                <w:color w:val="000000"/>
                <w:sz w:val="22"/>
                <w:szCs w:val="22"/>
              </w:rPr>
              <w:t>)</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C6D9F1" w:themeFill="text2" w:themeFillTint="33"/>
            <w:vAlign w:val="center"/>
            <w:hideMark/>
          </w:tcPr>
          <w:p w14:paraId="750EBAB9" w14:textId="70A32CAD" w:rsidR="00266BB8" w:rsidRPr="00D64A29" w:rsidRDefault="00266BB8" w:rsidP="00266BB8">
            <w:pPr>
              <w:contextualSpacing/>
              <w:jc w:val="center"/>
              <w:rPr>
                <w:rFonts w:asciiTheme="majorHAnsi" w:hAnsiTheme="majorHAnsi" w:cs="Calibri"/>
                <w:b/>
                <w:bCs/>
                <w:color w:val="000000"/>
                <w:sz w:val="22"/>
                <w:szCs w:val="22"/>
              </w:rPr>
            </w:pPr>
            <w:r w:rsidRPr="00D64A29">
              <w:rPr>
                <w:rFonts w:asciiTheme="majorHAnsi" w:hAnsiTheme="majorHAnsi" w:cs="Calibri"/>
                <w:b/>
                <w:bCs/>
                <w:color w:val="000000"/>
                <w:sz w:val="22"/>
                <w:szCs w:val="22"/>
              </w:rPr>
              <w:t>Mar-2</w:t>
            </w:r>
            <w:r>
              <w:rPr>
                <w:rFonts w:asciiTheme="majorHAnsi" w:hAnsiTheme="majorHAnsi" w:cs="Calibri"/>
                <w:b/>
                <w:bCs/>
                <w:color w:val="000000"/>
                <w:sz w:val="22"/>
                <w:szCs w:val="22"/>
              </w:rPr>
              <w:t>6</w:t>
            </w:r>
            <w:r w:rsidRPr="00D64A29">
              <w:rPr>
                <w:rFonts w:asciiTheme="majorHAnsi" w:hAnsiTheme="majorHAnsi" w:cs="Calibri"/>
                <w:b/>
                <w:bCs/>
                <w:color w:val="000000"/>
                <w:sz w:val="22"/>
                <w:szCs w:val="22"/>
              </w:rPr>
              <w:t xml:space="preserve"> (</w:t>
            </w:r>
            <w:r>
              <w:rPr>
                <w:rFonts w:asciiTheme="majorHAnsi" w:hAnsiTheme="majorHAnsi" w:cs="Calibri"/>
                <w:b/>
                <w:bCs/>
                <w:color w:val="000000"/>
                <w:sz w:val="22"/>
                <w:szCs w:val="22"/>
              </w:rPr>
              <w:t>Rs. Cr.</w:t>
            </w:r>
            <w:r w:rsidRPr="00D64A29">
              <w:rPr>
                <w:rFonts w:asciiTheme="majorHAnsi" w:hAnsiTheme="majorHAnsi" w:cs="Calibri"/>
                <w:b/>
                <w:bCs/>
                <w:color w:val="000000"/>
                <w:sz w:val="22"/>
                <w:szCs w:val="22"/>
              </w:rPr>
              <w:t>)</w:t>
            </w:r>
          </w:p>
        </w:tc>
      </w:tr>
      <w:tr w:rsidR="00266BB8" w:rsidRPr="00D64A29" w14:paraId="72616097" w14:textId="77777777" w:rsidTr="00297A8E">
        <w:trPr>
          <w:trHeight w:val="276"/>
        </w:trPr>
        <w:tc>
          <w:tcPr>
            <w:tcW w:w="704" w:type="dxa"/>
            <w:vMerge/>
            <w:tcBorders>
              <w:top w:val="single" w:sz="4" w:space="0" w:color="auto"/>
              <w:left w:val="single" w:sz="4" w:space="0" w:color="auto"/>
              <w:bottom w:val="single" w:sz="4" w:space="0" w:color="000000"/>
              <w:right w:val="single" w:sz="4" w:space="0" w:color="auto"/>
            </w:tcBorders>
            <w:shd w:val="clear" w:color="auto" w:fill="C6D9F1" w:themeFill="text2" w:themeFillTint="33"/>
            <w:vAlign w:val="center"/>
            <w:hideMark/>
          </w:tcPr>
          <w:p w14:paraId="104E8358" w14:textId="77777777" w:rsidR="00266BB8" w:rsidRPr="00D64A29" w:rsidRDefault="00266BB8" w:rsidP="00266BB8">
            <w:pPr>
              <w:contextualSpacing/>
              <w:rPr>
                <w:rFonts w:asciiTheme="majorHAnsi" w:hAnsiTheme="majorHAnsi" w:cs="Calibri"/>
                <w:b/>
                <w:bCs/>
                <w:color w:val="000000"/>
                <w:sz w:val="22"/>
                <w:szCs w:val="22"/>
              </w:rPr>
            </w:pPr>
          </w:p>
        </w:tc>
        <w:tc>
          <w:tcPr>
            <w:tcW w:w="5954" w:type="dxa"/>
            <w:vMerge/>
            <w:tcBorders>
              <w:top w:val="single" w:sz="4" w:space="0" w:color="auto"/>
              <w:left w:val="single" w:sz="4" w:space="0" w:color="auto"/>
              <w:bottom w:val="single" w:sz="4" w:space="0" w:color="000000"/>
              <w:right w:val="single" w:sz="4" w:space="0" w:color="auto"/>
            </w:tcBorders>
            <w:shd w:val="clear" w:color="auto" w:fill="C6D9F1" w:themeFill="text2" w:themeFillTint="33"/>
            <w:vAlign w:val="center"/>
            <w:hideMark/>
          </w:tcPr>
          <w:p w14:paraId="2F1177F9" w14:textId="77777777" w:rsidR="00266BB8" w:rsidRPr="00D64A29" w:rsidRDefault="00266BB8" w:rsidP="00266BB8">
            <w:pPr>
              <w:contextualSpacing/>
              <w:rPr>
                <w:rFonts w:asciiTheme="majorHAnsi" w:hAnsiTheme="majorHAnsi" w:cs="Calibri"/>
                <w:b/>
                <w:bCs/>
                <w:color w:val="000000"/>
                <w:sz w:val="22"/>
                <w:szCs w:val="22"/>
              </w:rPr>
            </w:pPr>
          </w:p>
        </w:tc>
        <w:tc>
          <w:tcPr>
            <w:tcW w:w="1134" w:type="dxa"/>
            <w:vMerge/>
            <w:tcBorders>
              <w:top w:val="single" w:sz="4" w:space="0" w:color="auto"/>
              <w:left w:val="single" w:sz="4" w:space="0" w:color="auto"/>
              <w:bottom w:val="single" w:sz="4" w:space="0" w:color="000000"/>
              <w:right w:val="single" w:sz="4" w:space="0" w:color="auto"/>
            </w:tcBorders>
            <w:shd w:val="clear" w:color="auto" w:fill="C6D9F1" w:themeFill="text2" w:themeFillTint="33"/>
            <w:vAlign w:val="center"/>
            <w:hideMark/>
          </w:tcPr>
          <w:p w14:paraId="4C345D5A" w14:textId="77777777" w:rsidR="00266BB8" w:rsidRPr="00D64A29" w:rsidRDefault="00266BB8" w:rsidP="00266BB8">
            <w:pPr>
              <w:contextualSpacing/>
              <w:rPr>
                <w:rFonts w:asciiTheme="majorHAnsi" w:hAnsiTheme="majorHAnsi" w:cs="Calibri"/>
                <w:b/>
                <w:bCs/>
                <w:color w:val="000000"/>
                <w:sz w:val="22"/>
                <w:szCs w:val="22"/>
              </w:rPr>
            </w:pPr>
          </w:p>
        </w:tc>
        <w:tc>
          <w:tcPr>
            <w:tcW w:w="1134" w:type="dxa"/>
            <w:vMerge/>
            <w:tcBorders>
              <w:top w:val="single" w:sz="4" w:space="0" w:color="auto"/>
              <w:left w:val="single" w:sz="4" w:space="0" w:color="auto"/>
              <w:bottom w:val="single" w:sz="4" w:space="0" w:color="000000"/>
              <w:right w:val="single" w:sz="4" w:space="0" w:color="auto"/>
            </w:tcBorders>
            <w:shd w:val="clear" w:color="auto" w:fill="C6D9F1" w:themeFill="text2" w:themeFillTint="33"/>
            <w:vAlign w:val="center"/>
            <w:hideMark/>
          </w:tcPr>
          <w:p w14:paraId="0FEE33FE" w14:textId="77777777" w:rsidR="00266BB8" w:rsidRPr="00D64A29" w:rsidRDefault="00266BB8" w:rsidP="00266BB8">
            <w:pPr>
              <w:contextualSpacing/>
              <w:rPr>
                <w:rFonts w:asciiTheme="majorHAnsi" w:hAnsiTheme="majorHAnsi" w:cs="Calibri"/>
                <w:b/>
                <w:bCs/>
                <w:color w:val="000000"/>
                <w:sz w:val="22"/>
                <w:szCs w:val="22"/>
              </w:rPr>
            </w:pPr>
          </w:p>
        </w:tc>
      </w:tr>
      <w:tr w:rsidR="00266BB8" w:rsidRPr="00D64A29" w14:paraId="6CBB17E8" w14:textId="77777777" w:rsidTr="00297A8E">
        <w:trPr>
          <w:trHeight w:val="94"/>
        </w:trPr>
        <w:tc>
          <w:tcPr>
            <w:tcW w:w="704" w:type="dxa"/>
            <w:tcBorders>
              <w:top w:val="nil"/>
              <w:left w:val="single" w:sz="4" w:space="0" w:color="auto"/>
              <w:bottom w:val="single" w:sz="4" w:space="0" w:color="auto"/>
              <w:right w:val="single" w:sz="4" w:space="0" w:color="auto"/>
            </w:tcBorders>
            <w:noWrap/>
            <w:vAlign w:val="center"/>
            <w:hideMark/>
          </w:tcPr>
          <w:p w14:paraId="1CC368A2" w14:textId="77777777"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1</w:t>
            </w:r>
          </w:p>
        </w:tc>
        <w:tc>
          <w:tcPr>
            <w:tcW w:w="5954" w:type="dxa"/>
            <w:tcBorders>
              <w:top w:val="nil"/>
              <w:left w:val="nil"/>
              <w:bottom w:val="single" w:sz="4" w:space="0" w:color="auto"/>
              <w:right w:val="single" w:sz="4" w:space="0" w:color="auto"/>
            </w:tcBorders>
            <w:vAlign w:val="center"/>
            <w:hideMark/>
          </w:tcPr>
          <w:p w14:paraId="0F91D85C" w14:textId="77777777" w:rsidR="00266BB8" w:rsidRPr="00D64A29" w:rsidRDefault="00266BB8" w:rsidP="00266BB8">
            <w:pPr>
              <w:contextualSpacing/>
              <w:rPr>
                <w:rFonts w:asciiTheme="majorHAnsi" w:hAnsiTheme="majorHAnsi" w:cs="Arial"/>
                <w:sz w:val="22"/>
                <w:szCs w:val="22"/>
              </w:rPr>
            </w:pPr>
            <w:r w:rsidRPr="00D64A29">
              <w:rPr>
                <w:rFonts w:asciiTheme="majorHAnsi" w:hAnsiTheme="majorHAnsi" w:cs="Arial"/>
                <w:sz w:val="22"/>
                <w:szCs w:val="22"/>
              </w:rPr>
              <w:t>Odisha Distribution System Strengthening Project (ODSSP)*</w:t>
            </w:r>
          </w:p>
        </w:tc>
        <w:tc>
          <w:tcPr>
            <w:tcW w:w="1134" w:type="dxa"/>
            <w:tcBorders>
              <w:top w:val="nil"/>
              <w:left w:val="nil"/>
              <w:bottom w:val="single" w:sz="4" w:space="0" w:color="auto"/>
              <w:right w:val="single" w:sz="4" w:space="0" w:color="auto"/>
            </w:tcBorders>
            <w:noWrap/>
            <w:vAlign w:val="center"/>
            <w:hideMark/>
          </w:tcPr>
          <w:p w14:paraId="6925FC2A" w14:textId="16F6C39B"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742</w:t>
            </w:r>
            <w:r>
              <w:rPr>
                <w:rFonts w:asciiTheme="majorHAnsi" w:hAnsiTheme="majorHAnsi" w:cs="Arial"/>
                <w:sz w:val="22"/>
                <w:szCs w:val="22"/>
              </w:rPr>
              <w:t>.</w:t>
            </w:r>
            <w:r w:rsidRPr="00D64A29">
              <w:rPr>
                <w:rFonts w:asciiTheme="majorHAnsi" w:hAnsiTheme="majorHAnsi" w:cs="Arial"/>
                <w:sz w:val="22"/>
                <w:szCs w:val="22"/>
              </w:rPr>
              <w:t>82</w:t>
            </w:r>
          </w:p>
        </w:tc>
        <w:tc>
          <w:tcPr>
            <w:tcW w:w="1134" w:type="dxa"/>
            <w:tcBorders>
              <w:top w:val="nil"/>
              <w:left w:val="nil"/>
              <w:bottom w:val="single" w:sz="4" w:space="0" w:color="auto"/>
              <w:right w:val="single" w:sz="4" w:space="0" w:color="auto"/>
            </w:tcBorders>
            <w:noWrap/>
            <w:vAlign w:val="center"/>
            <w:hideMark/>
          </w:tcPr>
          <w:p w14:paraId="7147C0AE" w14:textId="4BA7599C"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742</w:t>
            </w:r>
            <w:r>
              <w:rPr>
                <w:rFonts w:asciiTheme="majorHAnsi" w:hAnsiTheme="majorHAnsi" w:cs="Arial"/>
                <w:sz w:val="22"/>
                <w:szCs w:val="22"/>
              </w:rPr>
              <w:t>.</w:t>
            </w:r>
            <w:r w:rsidRPr="00D64A29">
              <w:rPr>
                <w:rFonts w:asciiTheme="majorHAnsi" w:hAnsiTheme="majorHAnsi" w:cs="Arial"/>
                <w:sz w:val="22"/>
                <w:szCs w:val="22"/>
              </w:rPr>
              <w:t>82</w:t>
            </w:r>
          </w:p>
        </w:tc>
      </w:tr>
      <w:tr w:rsidR="00266BB8" w:rsidRPr="00D64A29" w14:paraId="11280204" w14:textId="77777777" w:rsidTr="00297A8E">
        <w:trPr>
          <w:trHeight w:val="50"/>
        </w:trPr>
        <w:tc>
          <w:tcPr>
            <w:tcW w:w="704" w:type="dxa"/>
            <w:tcBorders>
              <w:top w:val="nil"/>
              <w:left w:val="single" w:sz="4" w:space="0" w:color="auto"/>
              <w:bottom w:val="single" w:sz="4" w:space="0" w:color="auto"/>
              <w:right w:val="single" w:sz="4" w:space="0" w:color="auto"/>
            </w:tcBorders>
            <w:noWrap/>
            <w:vAlign w:val="bottom"/>
            <w:hideMark/>
          </w:tcPr>
          <w:p w14:paraId="60912301" w14:textId="77777777"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2</w:t>
            </w:r>
          </w:p>
        </w:tc>
        <w:tc>
          <w:tcPr>
            <w:tcW w:w="5954" w:type="dxa"/>
            <w:tcBorders>
              <w:top w:val="nil"/>
              <w:left w:val="nil"/>
              <w:bottom w:val="single" w:sz="4" w:space="0" w:color="auto"/>
              <w:right w:val="single" w:sz="4" w:space="0" w:color="auto"/>
            </w:tcBorders>
            <w:vAlign w:val="center"/>
            <w:hideMark/>
          </w:tcPr>
          <w:p w14:paraId="3AF8C3CA" w14:textId="77777777" w:rsidR="00266BB8" w:rsidRPr="00D64A29" w:rsidRDefault="00266BB8" w:rsidP="00266BB8">
            <w:pPr>
              <w:contextualSpacing/>
              <w:rPr>
                <w:rFonts w:asciiTheme="majorHAnsi" w:hAnsiTheme="majorHAnsi" w:cs="Arial"/>
                <w:sz w:val="22"/>
                <w:szCs w:val="22"/>
              </w:rPr>
            </w:pPr>
            <w:proofErr w:type="spellStart"/>
            <w:r w:rsidRPr="00D64A29">
              <w:rPr>
                <w:rFonts w:asciiTheme="majorHAnsi" w:hAnsiTheme="majorHAnsi" w:cs="Arial"/>
                <w:sz w:val="22"/>
                <w:szCs w:val="22"/>
              </w:rPr>
              <w:t>Deen</w:t>
            </w:r>
            <w:proofErr w:type="spellEnd"/>
            <w:r w:rsidRPr="00D64A29">
              <w:rPr>
                <w:rFonts w:asciiTheme="majorHAnsi" w:hAnsiTheme="majorHAnsi" w:cs="Arial"/>
                <w:sz w:val="22"/>
                <w:szCs w:val="22"/>
              </w:rPr>
              <w:t xml:space="preserve"> </w:t>
            </w:r>
            <w:proofErr w:type="spellStart"/>
            <w:r w:rsidRPr="00D64A29">
              <w:rPr>
                <w:rFonts w:asciiTheme="majorHAnsi" w:hAnsiTheme="majorHAnsi" w:cs="Arial"/>
                <w:sz w:val="22"/>
                <w:szCs w:val="22"/>
              </w:rPr>
              <w:t>Dayal</w:t>
            </w:r>
            <w:proofErr w:type="spellEnd"/>
            <w:r w:rsidRPr="00D64A29">
              <w:rPr>
                <w:rFonts w:asciiTheme="majorHAnsi" w:hAnsiTheme="majorHAnsi" w:cs="Arial"/>
                <w:sz w:val="22"/>
                <w:szCs w:val="22"/>
              </w:rPr>
              <w:t xml:space="preserve"> Upadhyaya Gram Jyoti Yojana (DDUGJY)</w:t>
            </w:r>
          </w:p>
        </w:tc>
        <w:tc>
          <w:tcPr>
            <w:tcW w:w="1134" w:type="dxa"/>
            <w:tcBorders>
              <w:top w:val="nil"/>
              <w:left w:val="nil"/>
              <w:bottom w:val="single" w:sz="4" w:space="0" w:color="auto"/>
              <w:right w:val="single" w:sz="4" w:space="0" w:color="auto"/>
            </w:tcBorders>
            <w:noWrap/>
            <w:vAlign w:val="center"/>
            <w:hideMark/>
          </w:tcPr>
          <w:p w14:paraId="747C01D5" w14:textId="13BAD113"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285</w:t>
            </w:r>
            <w:r>
              <w:rPr>
                <w:rFonts w:asciiTheme="majorHAnsi" w:hAnsiTheme="majorHAnsi" w:cs="Arial"/>
                <w:sz w:val="22"/>
                <w:szCs w:val="22"/>
              </w:rPr>
              <w:t>.</w:t>
            </w:r>
            <w:r w:rsidRPr="00D64A29">
              <w:rPr>
                <w:rFonts w:asciiTheme="majorHAnsi" w:hAnsiTheme="majorHAnsi" w:cs="Arial"/>
                <w:sz w:val="22"/>
                <w:szCs w:val="22"/>
              </w:rPr>
              <w:t>70</w:t>
            </w:r>
          </w:p>
        </w:tc>
        <w:tc>
          <w:tcPr>
            <w:tcW w:w="1134" w:type="dxa"/>
            <w:tcBorders>
              <w:top w:val="nil"/>
              <w:left w:val="nil"/>
              <w:bottom w:val="single" w:sz="4" w:space="0" w:color="auto"/>
              <w:right w:val="single" w:sz="4" w:space="0" w:color="auto"/>
            </w:tcBorders>
            <w:noWrap/>
            <w:vAlign w:val="center"/>
            <w:hideMark/>
          </w:tcPr>
          <w:p w14:paraId="545F4655" w14:textId="6E2581DF"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285</w:t>
            </w:r>
            <w:r>
              <w:rPr>
                <w:rFonts w:asciiTheme="majorHAnsi" w:hAnsiTheme="majorHAnsi" w:cs="Arial"/>
                <w:sz w:val="22"/>
                <w:szCs w:val="22"/>
              </w:rPr>
              <w:t>.</w:t>
            </w:r>
            <w:r w:rsidRPr="00D64A29">
              <w:rPr>
                <w:rFonts w:asciiTheme="majorHAnsi" w:hAnsiTheme="majorHAnsi" w:cs="Arial"/>
                <w:sz w:val="22"/>
                <w:szCs w:val="22"/>
              </w:rPr>
              <w:t>70</w:t>
            </w:r>
          </w:p>
        </w:tc>
      </w:tr>
      <w:tr w:rsidR="00266BB8" w:rsidRPr="00D64A29" w14:paraId="1A2EE11F" w14:textId="77777777" w:rsidTr="00297A8E">
        <w:trPr>
          <w:trHeight w:val="50"/>
        </w:trPr>
        <w:tc>
          <w:tcPr>
            <w:tcW w:w="704" w:type="dxa"/>
            <w:tcBorders>
              <w:top w:val="nil"/>
              <w:left w:val="single" w:sz="4" w:space="0" w:color="auto"/>
              <w:bottom w:val="single" w:sz="4" w:space="0" w:color="auto"/>
              <w:right w:val="single" w:sz="4" w:space="0" w:color="auto"/>
            </w:tcBorders>
            <w:noWrap/>
            <w:vAlign w:val="center"/>
            <w:hideMark/>
          </w:tcPr>
          <w:p w14:paraId="46E21251" w14:textId="77777777"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3</w:t>
            </w:r>
          </w:p>
        </w:tc>
        <w:tc>
          <w:tcPr>
            <w:tcW w:w="5954" w:type="dxa"/>
            <w:tcBorders>
              <w:top w:val="nil"/>
              <w:left w:val="nil"/>
              <w:bottom w:val="single" w:sz="4" w:space="0" w:color="auto"/>
              <w:right w:val="single" w:sz="4" w:space="0" w:color="auto"/>
            </w:tcBorders>
            <w:vAlign w:val="center"/>
            <w:hideMark/>
          </w:tcPr>
          <w:p w14:paraId="69E59679" w14:textId="77777777" w:rsidR="00266BB8" w:rsidRPr="00D64A29" w:rsidRDefault="00266BB8" w:rsidP="00266BB8">
            <w:pPr>
              <w:contextualSpacing/>
              <w:rPr>
                <w:rFonts w:asciiTheme="majorHAnsi" w:hAnsiTheme="majorHAnsi" w:cs="Arial"/>
                <w:sz w:val="22"/>
                <w:szCs w:val="22"/>
              </w:rPr>
            </w:pPr>
            <w:r w:rsidRPr="00D64A29">
              <w:rPr>
                <w:rFonts w:asciiTheme="majorHAnsi" w:hAnsiTheme="majorHAnsi" w:cs="Arial"/>
                <w:sz w:val="22"/>
                <w:szCs w:val="22"/>
              </w:rPr>
              <w:t xml:space="preserve"> IPDS and DDUGJY_ Metering</w:t>
            </w:r>
          </w:p>
        </w:tc>
        <w:tc>
          <w:tcPr>
            <w:tcW w:w="1134" w:type="dxa"/>
            <w:tcBorders>
              <w:top w:val="nil"/>
              <w:left w:val="nil"/>
              <w:bottom w:val="single" w:sz="4" w:space="0" w:color="auto"/>
              <w:right w:val="single" w:sz="4" w:space="0" w:color="auto"/>
            </w:tcBorders>
            <w:noWrap/>
            <w:vAlign w:val="center"/>
            <w:hideMark/>
          </w:tcPr>
          <w:p w14:paraId="27CA9320" w14:textId="00F38F7C"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117</w:t>
            </w:r>
            <w:r>
              <w:rPr>
                <w:rFonts w:asciiTheme="majorHAnsi" w:hAnsiTheme="majorHAnsi" w:cs="Arial"/>
                <w:sz w:val="22"/>
                <w:szCs w:val="22"/>
              </w:rPr>
              <w:t>.</w:t>
            </w:r>
            <w:r w:rsidRPr="00D64A29">
              <w:rPr>
                <w:rFonts w:asciiTheme="majorHAnsi" w:hAnsiTheme="majorHAnsi" w:cs="Arial"/>
                <w:sz w:val="22"/>
                <w:szCs w:val="22"/>
              </w:rPr>
              <w:t>75</w:t>
            </w:r>
          </w:p>
        </w:tc>
        <w:tc>
          <w:tcPr>
            <w:tcW w:w="1134" w:type="dxa"/>
            <w:tcBorders>
              <w:top w:val="nil"/>
              <w:left w:val="nil"/>
              <w:bottom w:val="single" w:sz="4" w:space="0" w:color="auto"/>
              <w:right w:val="single" w:sz="4" w:space="0" w:color="auto"/>
            </w:tcBorders>
            <w:noWrap/>
            <w:vAlign w:val="center"/>
            <w:hideMark/>
          </w:tcPr>
          <w:p w14:paraId="217AED12" w14:textId="2FF43DCD"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117</w:t>
            </w:r>
            <w:r>
              <w:rPr>
                <w:rFonts w:asciiTheme="majorHAnsi" w:hAnsiTheme="majorHAnsi" w:cs="Arial"/>
                <w:sz w:val="22"/>
                <w:szCs w:val="22"/>
              </w:rPr>
              <w:t>.</w:t>
            </w:r>
            <w:r w:rsidRPr="00D64A29">
              <w:rPr>
                <w:rFonts w:asciiTheme="majorHAnsi" w:hAnsiTheme="majorHAnsi" w:cs="Arial"/>
                <w:sz w:val="22"/>
                <w:szCs w:val="22"/>
              </w:rPr>
              <w:t>75</w:t>
            </w:r>
          </w:p>
        </w:tc>
      </w:tr>
      <w:tr w:rsidR="00266BB8" w:rsidRPr="00D64A29" w14:paraId="2D44E5FA" w14:textId="77777777" w:rsidTr="00297A8E">
        <w:trPr>
          <w:trHeight w:val="318"/>
        </w:trPr>
        <w:tc>
          <w:tcPr>
            <w:tcW w:w="704" w:type="dxa"/>
            <w:tcBorders>
              <w:top w:val="nil"/>
              <w:left w:val="single" w:sz="4" w:space="0" w:color="auto"/>
              <w:bottom w:val="single" w:sz="4" w:space="0" w:color="auto"/>
              <w:right w:val="single" w:sz="4" w:space="0" w:color="auto"/>
            </w:tcBorders>
            <w:noWrap/>
            <w:vAlign w:val="bottom"/>
            <w:hideMark/>
          </w:tcPr>
          <w:p w14:paraId="137F2CF8" w14:textId="77777777"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4</w:t>
            </w:r>
          </w:p>
        </w:tc>
        <w:tc>
          <w:tcPr>
            <w:tcW w:w="5954" w:type="dxa"/>
            <w:tcBorders>
              <w:top w:val="nil"/>
              <w:left w:val="nil"/>
              <w:bottom w:val="single" w:sz="4" w:space="0" w:color="auto"/>
              <w:right w:val="single" w:sz="4" w:space="0" w:color="auto"/>
            </w:tcBorders>
            <w:vAlign w:val="center"/>
            <w:hideMark/>
          </w:tcPr>
          <w:p w14:paraId="10ECDD3F" w14:textId="77777777" w:rsidR="00266BB8" w:rsidRPr="00D64A29" w:rsidRDefault="00266BB8" w:rsidP="00266BB8">
            <w:pPr>
              <w:contextualSpacing/>
              <w:rPr>
                <w:rFonts w:asciiTheme="majorHAnsi" w:hAnsiTheme="majorHAnsi" w:cs="Arial"/>
                <w:sz w:val="22"/>
                <w:szCs w:val="22"/>
              </w:rPr>
            </w:pPr>
            <w:r w:rsidRPr="00D64A29">
              <w:rPr>
                <w:rFonts w:asciiTheme="majorHAnsi" w:hAnsiTheme="majorHAnsi" w:cs="Arial"/>
                <w:sz w:val="22"/>
                <w:szCs w:val="22"/>
              </w:rPr>
              <w:t>Integrated Power Development Scheme (IPDS)</w:t>
            </w:r>
          </w:p>
        </w:tc>
        <w:tc>
          <w:tcPr>
            <w:tcW w:w="1134" w:type="dxa"/>
            <w:tcBorders>
              <w:top w:val="nil"/>
              <w:left w:val="nil"/>
              <w:bottom w:val="single" w:sz="4" w:space="0" w:color="auto"/>
              <w:right w:val="single" w:sz="4" w:space="0" w:color="auto"/>
            </w:tcBorders>
            <w:noWrap/>
            <w:vAlign w:val="center"/>
            <w:hideMark/>
          </w:tcPr>
          <w:p w14:paraId="69F0615F" w14:textId="1AD449C3"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214</w:t>
            </w:r>
            <w:r>
              <w:rPr>
                <w:rFonts w:asciiTheme="majorHAnsi" w:hAnsiTheme="majorHAnsi" w:cs="Arial"/>
                <w:sz w:val="22"/>
                <w:szCs w:val="22"/>
              </w:rPr>
              <w:t>.</w:t>
            </w:r>
            <w:r w:rsidRPr="00D64A29">
              <w:rPr>
                <w:rFonts w:asciiTheme="majorHAnsi" w:hAnsiTheme="majorHAnsi" w:cs="Arial"/>
                <w:sz w:val="22"/>
                <w:szCs w:val="22"/>
              </w:rPr>
              <w:t>43</w:t>
            </w:r>
          </w:p>
        </w:tc>
        <w:tc>
          <w:tcPr>
            <w:tcW w:w="1134" w:type="dxa"/>
            <w:tcBorders>
              <w:top w:val="nil"/>
              <w:left w:val="nil"/>
              <w:bottom w:val="single" w:sz="4" w:space="0" w:color="auto"/>
              <w:right w:val="single" w:sz="4" w:space="0" w:color="auto"/>
            </w:tcBorders>
            <w:noWrap/>
            <w:vAlign w:val="center"/>
            <w:hideMark/>
          </w:tcPr>
          <w:p w14:paraId="45D46F26" w14:textId="47F3A9A1"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214</w:t>
            </w:r>
            <w:r>
              <w:rPr>
                <w:rFonts w:asciiTheme="majorHAnsi" w:hAnsiTheme="majorHAnsi" w:cs="Arial"/>
                <w:sz w:val="22"/>
                <w:szCs w:val="22"/>
              </w:rPr>
              <w:t>.</w:t>
            </w:r>
            <w:r w:rsidRPr="00D64A29">
              <w:rPr>
                <w:rFonts w:asciiTheme="majorHAnsi" w:hAnsiTheme="majorHAnsi" w:cs="Arial"/>
                <w:sz w:val="22"/>
                <w:szCs w:val="22"/>
              </w:rPr>
              <w:t>43</w:t>
            </w:r>
          </w:p>
        </w:tc>
      </w:tr>
      <w:tr w:rsidR="00266BB8" w:rsidRPr="00D64A29" w14:paraId="20B46D4E" w14:textId="77777777" w:rsidTr="00297A8E">
        <w:trPr>
          <w:trHeight w:val="318"/>
        </w:trPr>
        <w:tc>
          <w:tcPr>
            <w:tcW w:w="704" w:type="dxa"/>
            <w:tcBorders>
              <w:top w:val="nil"/>
              <w:left w:val="single" w:sz="4" w:space="0" w:color="auto"/>
              <w:bottom w:val="single" w:sz="4" w:space="0" w:color="auto"/>
              <w:right w:val="single" w:sz="4" w:space="0" w:color="auto"/>
            </w:tcBorders>
            <w:noWrap/>
            <w:vAlign w:val="center"/>
            <w:hideMark/>
          </w:tcPr>
          <w:p w14:paraId="47376796" w14:textId="77777777"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5</w:t>
            </w:r>
          </w:p>
        </w:tc>
        <w:tc>
          <w:tcPr>
            <w:tcW w:w="5954" w:type="dxa"/>
            <w:tcBorders>
              <w:top w:val="nil"/>
              <w:left w:val="nil"/>
              <w:bottom w:val="single" w:sz="4" w:space="0" w:color="auto"/>
              <w:right w:val="single" w:sz="4" w:space="0" w:color="auto"/>
            </w:tcBorders>
            <w:vAlign w:val="center"/>
            <w:hideMark/>
          </w:tcPr>
          <w:p w14:paraId="338DC613" w14:textId="77777777" w:rsidR="00266BB8" w:rsidRPr="00D64A29" w:rsidRDefault="00266BB8" w:rsidP="00266BB8">
            <w:pPr>
              <w:contextualSpacing/>
              <w:rPr>
                <w:rFonts w:asciiTheme="majorHAnsi" w:hAnsiTheme="majorHAnsi" w:cs="Arial"/>
                <w:sz w:val="22"/>
                <w:szCs w:val="22"/>
              </w:rPr>
            </w:pPr>
            <w:r w:rsidRPr="00D64A29">
              <w:rPr>
                <w:rFonts w:asciiTheme="majorHAnsi" w:hAnsiTheme="majorHAnsi" w:cs="Arial"/>
                <w:sz w:val="22"/>
                <w:szCs w:val="22"/>
              </w:rPr>
              <w:t>Integrated Power Development Scheme (IPDS-II)</w:t>
            </w:r>
          </w:p>
        </w:tc>
        <w:tc>
          <w:tcPr>
            <w:tcW w:w="1134" w:type="dxa"/>
            <w:tcBorders>
              <w:top w:val="nil"/>
              <w:left w:val="nil"/>
              <w:bottom w:val="single" w:sz="4" w:space="0" w:color="auto"/>
              <w:right w:val="single" w:sz="4" w:space="0" w:color="auto"/>
            </w:tcBorders>
            <w:noWrap/>
            <w:vAlign w:val="center"/>
            <w:hideMark/>
          </w:tcPr>
          <w:p w14:paraId="60F4A5E9" w14:textId="5D1E7CC8"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55</w:t>
            </w:r>
            <w:r>
              <w:rPr>
                <w:rFonts w:asciiTheme="majorHAnsi" w:hAnsiTheme="majorHAnsi" w:cs="Arial"/>
                <w:sz w:val="22"/>
                <w:szCs w:val="22"/>
              </w:rPr>
              <w:t>.</w:t>
            </w:r>
            <w:r w:rsidRPr="00D64A29">
              <w:rPr>
                <w:rFonts w:asciiTheme="majorHAnsi" w:hAnsiTheme="majorHAnsi" w:cs="Arial"/>
                <w:sz w:val="22"/>
                <w:szCs w:val="22"/>
              </w:rPr>
              <w:t>41</w:t>
            </w:r>
          </w:p>
        </w:tc>
        <w:tc>
          <w:tcPr>
            <w:tcW w:w="1134" w:type="dxa"/>
            <w:tcBorders>
              <w:top w:val="nil"/>
              <w:left w:val="nil"/>
              <w:bottom w:val="single" w:sz="4" w:space="0" w:color="auto"/>
              <w:right w:val="single" w:sz="4" w:space="0" w:color="auto"/>
            </w:tcBorders>
            <w:noWrap/>
            <w:vAlign w:val="center"/>
            <w:hideMark/>
          </w:tcPr>
          <w:p w14:paraId="248DC1C6" w14:textId="69BF5C41"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55</w:t>
            </w:r>
            <w:r>
              <w:rPr>
                <w:rFonts w:asciiTheme="majorHAnsi" w:hAnsiTheme="majorHAnsi" w:cs="Arial"/>
                <w:sz w:val="22"/>
                <w:szCs w:val="22"/>
              </w:rPr>
              <w:t>.</w:t>
            </w:r>
            <w:r w:rsidRPr="00D64A29">
              <w:rPr>
                <w:rFonts w:asciiTheme="majorHAnsi" w:hAnsiTheme="majorHAnsi" w:cs="Arial"/>
                <w:sz w:val="22"/>
                <w:szCs w:val="22"/>
              </w:rPr>
              <w:t>41</w:t>
            </w:r>
          </w:p>
        </w:tc>
      </w:tr>
      <w:tr w:rsidR="00266BB8" w:rsidRPr="00D64A29" w14:paraId="7C55C0E6" w14:textId="77777777" w:rsidTr="00297A8E">
        <w:trPr>
          <w:trHeight w:val="318"/>
        </w:trPr>
        <w:tc>
          <w:tcPr>
            <w:tcW w:w="704" w:type="dxa"/>
            <w:tcBorders>
              <w:top w:val="nil"/>
              <w:left w:val="single" w:sz="4" w:space="0" w:color="auto"/>
              <w:bottom w:val="single" w:sz="4" w:space="0" w:color="auto"/>
              <w:right w:val="single" w:sz="4" w:space="0" w:color="auto"/>
            </w:tcBorders>
            <w:noWrap/>
            <w:vAlign w:val="bottom"/>
            <w:hideMark/>
          </w:tcPr>
          <w:p w14:paraId="44D2085A" w14:textId="77777777"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6</w:t>
            </w:r>
          </w:p>
        </w:tc>
        <w:tc>
          <w:tcPr>
            <w:tcW w:w="5954" w:type="dxa"/>
            <w:tcBorders>
              <w:top w:val="nil"/>
              <w:left w:val="nil"/>
              <w:bottom w:val="single" w:sz="4" w:space="0" w:color="auto"/>
              <w:right w:val="single" w:sz="4" w:space="0" w:color="auto"/>
            </w:tcBorders>
            <w:vAlign w:val="center"/>
            <w:hideMark/>
          </w:tcPr>
          <w:p w14:paraId="48973551" w14:textId="77777777" w:rsidR="00266BB8" w:rsidRPr="00D64A29" w:rsidRDefault="00266BB8" w:rsidP="00266BB8">
            <w:pPr>
              <w:contextualSpacing/>
              <w:rPr>
                <w:rFonts w:asciiTheme="majorHAnsi" w:hAnsiTheme="majorHAnsi" w:cs="Arial"/>
                <w:sz w:val="22"/>
                <w:szCs w:val="22"/>
              </w:rPr>
            </w:pPr>
            <w:r w:rsidRPr="00D64A29">
              <w:rPr>
                <w:rFonts w:asciiTheme="majorHAnsi" w:hAnsiTheme="majorHAnsi" w:cs="Arial"/>
                <w:sz w:val="22"/>
                <w:szCs w:val="22"/>
              </w:rPr>
              <w:t>BGJY OPTCL DTR*</w:t>
            </w:r>
          </w:p>
        </w:tc>
        <w:tc>
          <w:tcPr>
            <w:tcW w:w="1134" w:type="dxa"/>
            <w:tcBorders>
              <w:top w:val="nil"/>
              <w:left w:val="nil"/>
              <w:bottom w:val="single" w:sz="4" w:space="0" w:color="auto"/>
              <w:right w:val="single" w:sz="4" w:space="0" w:color="auto"/>
            </w:tcBorders>
            <w:noWrap/>
            <w:vAlign w:val="center"/>
            <w:hideMark/>
          </w:tcPr>
          <w:p w14:paraId="6BE54F59" w14:textId="75A5D9CF"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33</w:t>
            </w:r>
            <w:r>
              <w:rPr>
                <w:rFonts w:asciiTheme="majorHAnsi" w:hAnsiTheme="majorHAnsi" w:cs="Arial"/>
                <w:sz w:val="22"/>
                <w:szCs w:val="22"/>
              </w:rPr>
              <w:t>.</w:t>
            </w:r>
            <w:r w:rsidRPr="00D64A29">
              <w:rPr>
                <w:rFonts w:asciiTheme="majorHAnsi" w:hAnsiTheme="majorHAnsi" w:cs="Arial"/>
                <w:sz w:val="22"/>
                <w:szCs w:val="22"/>
              </w:rPr>
              <w:t>00</w:t>
            </w:r>
          </w:p>
        </w:tc>
        <w:tc>
          <w:tcPr>
            <w:tcW w:w="1134" w:type="dxa"/>
            <w:tcBorders>
              <w:top w:val="nil"/>
              <w:left w:val="nil"/>
              <w:bottom w:val="single" w:sz="4" w:space="0" w:color="auto"/>
              <w:right w:val="single" w:sz="4" w:space="0" w:color="auto"/>
            </w:tcBorders>
            <w:noWrap/>
            <w:vAlign w:val="center"/>
            <w:hideMark/>
          </w:tcPr>
          <w:p w14:paraId="5721EAE3" w14:textId="6D43107D"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33</w:t>
            </w:r>
            <w:r>
              <w:rPr>
                <w:rFonts w:asciiTheme="majorHAnsi" w:hAnsiTheme="majorHAnsi" w:cs="Arial"/>
                <w:sz w:val="22"/>
                <w:szCs w:val="22"/>
              </w:rPr>
              <w:t>.</w:t>
            </w:r>
            <w:r w:rsidRPr="00D64A29">
              <w:rPr>
                <w:rFonts w:asciiTheme="majorHAnsi" w:hAnsiTheme="majorHAnsi" w:cs="Arial"/>
                <w:sz w:val="22"/>
                <w:szCs w:val="22"/>
              </w:rPr>
              <w:t>00</w:t>
            </w:r>
          </w:p>
        </w:tc>
      </w:tr>
      <w:tr w:rsidR="00266BB8" w:rsidRPr="00D64A29" w14:paraId="29ACE7AB" w14:textId="77777777" w:rsidTr="00297A8E">
        <w:trPr>
          <w:trHeight w:val="637"/>
        </w:trPr>
        <w:tc>
          <w:tcPr>
            <w:tcW w:w="704" w:type="dxa"/>
            <w:tcBorders>
              <w:top w:val="nil"/>
              <w:left w:val="single" w:sz="4" w:space="0" w:color="auto"/>
              <w:bottom w:val="single" w:sz="4" w:space="0" w:color="auto"/>
              <w:right w:val="single" w:sz="4" w:space="0" w:color="auto"/>
            </w:tcBorders>
            <w:noWrap/>
            <w:vAlign w:val="center"/>
            <w:hideMark/>
          </w:tcPr>
          <w:p w14:paraId="00D62421" w14:textId="77777777"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7</w:t>
            </w:r>
          </w:p>
        </w:tc>
        <w:tc>
          <w:tcPr>
            <w:tcW w:w="5954" w:type="dxa"/>
            <w:tcBorders>
              <w:top w:val="nil"/>
              <w:left w:val="nil"/>
              <w:bottom w:val="single" w:sz="4" w:space="0" w:color="auto"/>
              <w:right w:val="single" w:sz="4" w:space="0" w:color="auto"/>
            </w:tcBorders>
            <w:vAlign w:val="center"/>
            <w:hideMark/>
          </w:tcPr>
          <w:p w14:paraId="3234C11C" w14:textId="77777777" w:rsidR="00266BB8" w:rsidRPr="00D64A29" w:rsidRDefault="00266BB8" w:rsidP="00266BB8">
            <w:pPr>
              <w:contextualSpacing/>
              <w:rPr>
                <w:rFonts w:asciiTheme="majorHAnsi" w:hAnsiTheme="majorHAnsi" w:cs="Arial"/>
                <w:sz w:val="22"/>
                <w:szCs w:val="22"/>
              </w:rPr>
            </w:pPr>
            <w:proofErr w:type="spellStart"/>
            <w:r w:rsidRPr="00D64A29">
              <w:rPr>
                <w:rFonts w:asciiTheme="majorHAnsi" w:hAnsiTheme="majorHAnsi" w:cs="Arial"/>
                <w:sz w:val="22"/>
                <w:szCs w:val="22"/>
              </w:rPr>
              <w:t>Deen</w:t>
            </w:r>
            <w:proofErr w:type="spellEnd"/>
            <w:r w:rsidRPr="00D64A29">
              <w:rPr>
                <w:rFonts w:asciiTheme="majorHAnsi" w:hAnsiTheme="majorHAnsi" w:cs="Arial"/>
                <w:sz w:val="22"/>
                <w:szCs w:val="22"/>
              </w:rPr>
              <w:t xml:space="preserve"> </w:t>
            </w:r>
            <w:proofErr w:type="spellStart"/>
            <w:r w:rsidRPr="00D64A29">
              <w:rPr>
                <w:rFonts w:asciiTheme="majorHAnsi" w:hAnsiTheme="majorHAnsi" w:cs="Arial"/>
                <w:sz w:val="22"/>
                <w:szCs w:val="22"/>
              </w:rPr>
              <w:t>Dayal</w:t>
            </w:r>
            <w:proofErr w:type="spellEnd"/>
            <w:r w:rsidRPr="00D64A29">
              <w:rPr>
                <w:rFonts w:asciiTheme="majorHAnsi" w:hAnsiTheme="majorHAnsi" w:cs="Arial"/>
                <w:sz w:val="22"/>
                <w:szCs w:val="22"/>
              </w:rPr>
              <w:t xml:space="preserve"> Upadhyaya Gram Jyoti Yojana (DDUGJY) 11TH PLAN (POWER GRID)</w:t>
            </w:r>
          </w:p>
        </w:tc>
        <w:tc>
          <w:tcPr>
            <w:tcW w:w="1134" w:type="dxa"/>
            <w:tcBorders>
              <w:top w:val="nil"/>
              <w:left w:val="nil"/>
              <w:bottom w:val="single" w:sz="4" w:space="0" w:color="auto"/>
              <w:right w:val="single" w:sz="4" w:space="0" w:color="auto"/>
            </w:tcBorders>
            <w:noWrap/>
            <w:vAlign w:val="center"/>
            <w:hideMark/>
          </w:tcPr>
          <w:p w14:paraId="2CE10EB7" w14:textId="76A1D7ED"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192</w:t>
            </w:r>
            <w:r>
              <w:rPr>
                <w:rFonts w:asciiTheme="majorHAnsi" w:hAnsiTheme="majorHAnsi" w:cs="Arial"/>
                <w:sz w:val="22"/>
                <w:szCs w:val="22"/>
              </w:rPr>
              <w:t>.</w:t>
            </w:r>
            <w:r w:rsidRPr="00D64A29">
              <w:rPr>
                <w:rFonts w:asciiTheme="majorHAnsi" w:hAnsiTheme="majorHAnsi" w:cs="Arial"/>
                <w:sz w:val="22"/>
                <w:szCs w:val="22"/>
              </w:rPr>
              <w:t>80</w:t>
            </w:r>
          </w:p>
        </w:tc>
        <w:tc>
          <w:tcPr>
            <w:tcW w:w="1134" w:type="dxa"/>
            <w:tcBorders>
              <w:top w:val="nil"/>
              <w:left w:val="nil"/>
              <w:bottom w:val="single" w:sz="4" w:space="0" w:color="auto"/>
              <w:right w:val="single" w:sz="4" w:space="0" w:color="auto"/>
            </w:tcBorders>
            <w:noWrap/>
            <w:vAlign w:val="center"/>
            <w:hideMark/>
          </w:tcPr>
          <w:p w14:paraId="50FE42A8" w14:textId="40DC744F"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192</w:t>
            </w:r>
            <w:r>
              <w:rPr>
                <w:rFonts w:asciiTheme="majorHAnsi" w:hAnsiTheme="majorHAnsi" w:cs="Arial"/>
                <w:sz w:val="22"/>
                <w:szCs w:val="22"/>
              </w:rPr>
              <w:t>.</w:t>
            </w:r>
            <w:r w:rsidRPr="00D64A29">
              <w:rPr>
                <w:rFonts w:asciiTheme="majorHAnsi" w:hAnsiTheme="majorHAnsi" w:cs="Arial"/>
                <w:sz w:val="22"/>
                <w:szCs w:val="22"/>
              </w:rPr>
              <w:t>80</w:t>
            </w:r>
          </w:p>
        </w:tc>
      </w:tr>
      <w:tr w:rsidR="00266BB8" w:rsidRPr="00D64A29" w14:paraId="2C96322A" w14:textId="77777777" w:rsidTr="00297A8E">
        <w:trPr>
          <w:trHeight w:val="637"/>
        </w:trPr>
        <w:tc>
          <w:tcPr>
            <w:tcW w:w="704" w:type="dxa"/>
            <w:tcBorders>
              <w:top w:val="nil"/>
              <w:left w:val="single" w:sz="4" w:space="0" w:color="auto"/>
              <w:bottom w:val="single" w:sz="4" w:space="0" w:color="auto"/>
              <w:right w:val="single" w:sz="4" w:space="0" w:color="auto"/>
            </w:tcBorders>
            <w:noWrap/>
            <w:vAlign w:val="bottom"/>
            <w:hideMark/>
          </w:tcPr>
          <w:p w14:paraId="69405BD1" w14:textId="77777777"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8</w:t>
            </w:r>
          </w:p>
        </w:tc>
        <w:tc>
          <w:tcPr>
            <w:tcW w:w="5954" w:type="dxa"/>
            <w:tcBorders>
              <w:top w:val="nil"/>
              <w:left w:val="nil"/>
              <w:bottom w:val="single" w:sz="4" w:space="0" w:color="auto"/>
              <w:right w:val="single" w:sz="4" w:space="0" w:color="auto"/>
            </w:tcBorders>
            <w:vAlign w:val="center"/>
            <w:hideMark/>
          </w:tcPr>
          <w:p w14:paraId="650F52D1" w14:textId="77777777" w:rsidR="00266BB8" w:rsidRPr="00D64A29" w:rsidRDefault="00266BB8" w:rsidP="00266BB8">
            <w:pPr>
              <w:contextualSpacing/>
              <w:rPr>
                <w:rFonts w:asciiTheme="majorHAnsi" w:hAnsiTheme="majorHAnsi" w:cs="Arial"/>
                <w:sz w:val="22"/>
                <w:szCs w:val="22"/>
              </w:rPr>
            </w:pPr>
            <w:proofErr w:type="spellStart"/>
            <w:r w:rsidRPr="00D64A29">
              <w:rPr>
                <w:rFonts w:asciiTheme="majorHAnsi" w:hAnsiTheme="majorHAnsi" w:cs="Arial"/>
                <w:sz w:val="22"/>
                <w:szCs w:val="22"/>
              </w:rPr>
              <w:t>Deen</w:t>
            </w:r>
            <w:proofErr w:type="spellEnd"/>
            <w:r w:rsidRPr="00D64A29">
              <w:rPr>
                <w:rFonts w:asciiTheme="majorHAnsi" w:hAnsiTheme="majorHAnsi" w:cs="Arial"/>
                <w:sz w:val="22"/>
                <w:szCs w:val="22"/>
              </w:rPr>
              <w:t xml:space="preserve"> </w:t>
            </w:r>
            <w:proofErr w:type="spellStart"/>
            <w:r w:rsidRPr="00D64A29">
              <w:rPr>
                <w:rFonts w:asciiTheme="majorHAnsi" w:hAnsiTheme="majorHAnsi" w:cs="Arial"/>
                <w:sz w:val="22"/>
                <w:szCs w:val="22"/>
              </w:rPr>
              <w:t>Dayal</w:t>
            </w:r>
            <w:proofErr w:type="spellEnd"/>
            <w:r w:rsidRPr="00D64A29">
              <w:rPr>
                <w:rFonts w:asciiTheme="majorHAnsi" w:hAnsiTheme="majorHAnsi" w:cs="Arial"/>
                <w:sz w:val="22"/>
                <w:szCs w:val="22"/>
              </w:rPr>
              <w:t xml:space="preserve"> Upadhyaya Gram Jyoti Yojana (DDUGJY) 12TH PLAN (POWER GRID)</w:t>
            </w:r>
          </w:p>
        </w:tc>
        <w:tc>
          <w:tcPr>
            <w:tcW w:w="1134" w:type="dxa"/>
            <w:tcBorders>
              <w:top w:val="nil"/>
              <w:left w:val="nil"/>
              <w:bottom w:val="single" w:sz="4" w:space="0" w:color="auto"/>
              <w:right w:val="single" w:sz="4" w:space="0" w:color="auto"/>
            </w:tcBorders>
            <w:noWrap/>
            <w:vAlign w:val="center"/>
            <w:hideMark/>
          </w:tcPr>
          <w:p w14:paraId="17E8F95D" w14:textId="39E59782"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492</w:t>
            </w:r>
            <w:r>
              <w:rPr>
                <w:rFonts w:asciiTheme="majorHAnsi" w:hAnsiTheme="majorHAnsi" w:cs="Arial"/>
                <w:sz w:val="22"/>
                <w:szCs w:val="22"/>
              </w:rPr>
              <w:t>.</w:t>
            </w:r>
            <w:r w:rsidRPr="00D64A29">
              <w:rPr>
                <w:rFonts w:asciiTheme="majorHAnsi" w:hAnsiTheme="majorHAnsi" w:cs="Arial"/>
                <w:sz w:val="22"/>
                <w:szCs w:val="22"/>
              </w:rPr>
              <w:t>57</w:t>
            </w:r>
          </w:p>
        </w:tc>
        <w:tc>
          <w:tcPr>
            <w:tcW w:w="1134" w:type="dxa"/>
            <w:tcBorders>
              <w:top w:val="nil"/>
              <w:left w:val="nil"/>
              <w:bottom w:val="single" w:sz="4" w:space="0" w:color="auto"/>
              <w:right w:val="single" w:sz="4" w:space="0" w:color="auto"/>
            </w:tcBorders>
            <w:noWrap/>
            <w:vAlign w:val="center"/>
            <w:hideMark/>
          </w:tcPr>
          <w:p w14:paraId="5FB32BAA" w14:textId="6466DFED"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492</w:t>
            </w:r>
            <w:r>
              <w:rPr>
                <w:rFonts w:asciiTheme="majorHAnsi" w:hAnsiTheme="majorHAnsi" w:cs="Arial"/>
                <w:sz w:val="22"/>
                <w:szCs w:val="22"/>
              </w:rPr>
              <w:t>.</w:t>
            </w:r>
            <w:r w:rsidRPr="00D64A29">
              <w:rPr>
                <w:rFonts w:asciiTheme="majorHAnsi" w:hAnsiTheme="majorHAnsi" w:cs="Arial"/>
                <w:sz w:val="22"/>
                <w:szCs w:val="22"/>
              </w:rPr>
              <w:t>57</w:t>
            </w:r>
          </w:p>
        </w:tc>
      </w:tr>
      <w:tr w:rsidR="00266BB8" w:rsidRPr="00D64A29" w14:paraId="5AB37617" w14:textId="77777777" w:rsidTr="00297A8E">
        <w:trPr>
          <w:trHeight w:val="637"/>
        </w:trPr>
        <w:tc>
          <w:tcPr>
            <w:tcW w:w="704" w:type="dxa"/>
            <w:tcBorders>
              <w:top w:val="nil"/>
              <w:left w:val="single" w:sz="4" w:space="0" w:color="auto"/>
              <w:bottom w:val="single" w:sz="4" w:space="0" w:color="auto"/>
              <w:right w:val="single" w:sz="4" w:space="0" w:color="auto"/>
            </w:tcBorders>
            <w:noWrap/>
            <w:vAlign w:val="center"/>
            <w:hideMark/>
          </w:tcPr>
          <w:p w14:paraId="190F316E" w14:textId="77777777"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9</w:t>
            </w:r>
          </w:p>
        </w:tc>
        <w:tc>
          <w:tcPr>
            <w:tcW w:w="5954" w:type="dxa"/>
            <w:tcBorders>
              <w:top w:val="nil"/>
              <w:left w:val="nil"/>
              <w:bottom w:val="single" w:sz="4" w:space="0" w:color="auto"/>
              <w:right w:val="single" w:sz="4" w:space="0" w:color="auto"/>
            </w:tcBorders>
            <w:vAlign w:val="center"/>
            <w:hideMark/>
          </w:tcPr>
          <w:p w14:paraId="76E7F6F7" w14:textId="77777777" w:rsidR="00266BB8" w:rsidRPr="00D64A29" w:rsidRDefault="00266BB8" w:rsidP="00266BB8">
            <w:pPr>
              <w:contextualSpacing/>
              <w:rPr>
                <w:rFonts w:asciiTheme="majorHAnsi" w:hAnsiTheme="majorHAnsi" w:cs="Arial"/>
                <w:sz w:val="22"/>
                <w:szCs w:val="22"/>
              </w:rPr>
            </w:pPr>
            <w:proofErr w:type="spellStart"/>
            <w:r w:rsidRPr="00D64A29">
              <w:rPr>
                <w:rFonts w:asciiTheme="majorHAnsi" w:hAnsiTheme="majorHAnsi" w:cs="Arial"/>
                <w:sz w:val="22"/>
                <w:szCs w:val="22"/>
              </w:rPr>
              <w:t>Deen</w:t>
            </w:r>
            <w:proofErr w:type="spellEnd"/>
            <w:r w:rsidRPr="00D64A29">
              <w:rPr>
                <w:rFonts w:asciiTheme="majorHAnsi" w:hAnsiTheme="majorHAnsi" w:cs="Arial"/>
                <w:sz w:val="22"/>
                <w:szCs w:val="22"/>
              </w:rPr>
              <w:t xml:space="preserve"> </w:t>
            </w:r>
            <w:proofErr w:type="spellStart"/>
            <w:r w:rsidRPr="00D64A29">
              <w:rPr>
                <w:rFonts w:asciiTheme="majorHAnsi" w:hAnsiTheme="majorHAnsi" w:cs="Arial"/>
                <w:sz w:val="22"/>
                <w:szCs w:val="22"/>
              </w:rPr>
              <w:t>Dayal</w:t>
            </w:r>
            <w:proofErr w:type="spellEnd"/>
            <w:r w:rsidRPr="00D64A29">
              <w:rPr>
                <w:rFonts w:asciiTheme="majorHAnsi" w:hAnsiTheme="majorHAnsi" w:cs="Arial"/>
                <w:sz w:val="22"/>
                <w:szCs w:val="22"/>
              </w:rPr>
              <w:t xml:space="preserve"> Upadhyaya Gram Jyoti Yojana (DDUGJY)10TH &amp; 11TH PLAN (NTPC)</w:t>
            </w:r>
          </w:p>
        </w:tc>
        <w:tc>
          <w:tcPr>
            <w:tcW w:w="1134" w:type="dxa"/>
            <w:tcBorders>
              <w:top w:val="nil"/>
              <w:left w:val="nil"/>
              <w:bottom w:val="single" w:sz="4" w:space="0" w:color="auto"/>
              <w:right w:val="single" w:sz="4" w:space="0" w:color="auto"/>
            </w:tcBorders>
            <w:noWrap/>
            <w:vAlign w:val="center"/>
            <w:hideMark/>
          </w:tcPr>
          <w:p w14:paraId="3BFA4FCD" w14:textId="37F22C2C"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418</w:t>
            </w:r>
            <w:r>
              <w:rPr>
                <w:rFonts w:asciiTheme="majorHAnsi" w:hAnsiTheme="majorHAnsi" w:cs="Arial"/>
                <w:sz w:val="22"/>
                <w:szCs w:val="22"/>
              </w:rPr>
              <w:t>.</w:t>
            </w:r>
            <w:r w:rsidRPr="00D64A29">
              <w:rPr>
                <w:rFonts w:asciiTheme="majorHAnsi" w:hAnsiTheme="majorHAnsi" w:cs="Arial"/>
                <w:sz w:val="22"/>
                <w:szCs w:val="22"/>
              </w:rPr>
              <w:t>91</w:t>
            </w:r>
          </w:p>
        </w:tc>
        <w:tc>
          <w:tcPr>
            <w:tcW w:w="1134" w:type="dxa"/>
            <w:tcBorders>
              <w:top w:val="nil"/>
              <w:left w:val="nil"/>
              <w:bottom w:val="single" w:sz="4" w:space="0" w:color="auto"/>
              <w:right w:val="single" w:sz="4" w:space="0" w:color="auto"/>
            </w:tcBorders>
            <w:noWrap/>
            <w:vAlign w:val="center"/>
            <w:hideMark/>
          </w:tcPr>
          <w:p w14:paraId="0CD43EDF" w14:textId="59A97025"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418</w:t>
            </w:r>
            <w:r>
              <w:rPr>
                <w:rFonts w:asciiTheme="majorHAnsi" w:hAnsiTheme="majorHAnsi" w:cs="Arial"/>
                <w:sz w:val="22"/>
                <w:szCs w:val="22"/>
              </w:rPr>
              <w:t>.</w:t>
            </w:r>
            <w:r w:rsidRPr="00D64A29">
              <w:rPr>
                <w:rFonts w:asciiTheme="majorHAnsi" w:hAnsiTheme="majorHAnsi" w:cs="Arial"/>
                <w:sz w:val="22"/>
                <w:szCs w:val="22"/>
              </w:rPr>
              <w:t>91</w:t>
            </w:r>
          </w:p>
        </w:tc>
      </w:tr>
      <w:tr w:rsidR="00266BB8" w:rsidRPr="00D64A29" w14:paraId="33A0A920" w14:textId="77777777" w:rsidTr="00297A8E">
        <w:trPr>
          <w:trHeight w:val="637"/>
        </w:trPr>
        <w:tc>
          <w:tcPr>
            <w:tcW w:w="704" w:type="dxa"/>
            <w:tcBorders>
              <w:top w:val="nil"/>
              <w:left w:val="single" w:sz="4" w:space="0" w:color="auto"/>
              <w:bottom w:val="single" w:sz="4" w:space="0" w:color="auto"/>
              <w:right w:val="single" w:sz="4" w:space="0" w:color="auto"/>
            </w:tcBorders>
            <w:noWrap/>
            <w:vAlign w:val="bottom"/>
            <w:hideMark/>
          </w:tcPr>
          <w:p w14:paraId="31C624BA" w14:textId="77777777"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10</w:t>
            </w:r>
          </w:p>
        </w:tc>
        <w:tc>
          <w:tcPr>
            <w:tcW w:w="5954" w:type="dxa"/>
            <w:tcBorders>
              <w:top w:val="nil"/>
              <w:left w:val="nil"/>
              <w:bottom w:val="single" w:sz="4" w:space="0" w:color="auto"/>
              <w:right w:val="single" w:sz="4" w:space="0" w:color="auto"/>
            </w:tcBorders>
            <w:vAlign w:val="center"/>
            <w:hideMark/>
          </w:tcPr>
          <w:p w14:paraId="197BBB48" w14:textId="77777777" w:rsidR="00266BB8" w:rsidRPr="00D64A29" w:rsidRDefault="00266BB8" w:rsidP="00266BB8">
            <w:pPr>
              <w:contextualSpacing/>
              <w:rPr>
                <w:rFonts w:asciiTheme="majorHAnsi" w:hAnsiTheme="majorHAnsi" w:cs="Arial"/>
                <w:sz w:val="22"/>
                <w:szCs w:val="22"/>
              </w:rPr>
            </w:pPr>
            <w:proofErr w:type="spellStart"/>
            <w:r w:rsidRPr="00D64A29">
              <w:rPr>
                <w:rFonts w:asciiTheme="majorHAnsi" w:hAnsiTheme="majorHAnsi" w:cs="Arial"/>
                <w:sz w:val="22"/>
                <w:szCs w:val="22"/>
              </w:rPr>
              <w:t>Deen</w:t>
            </w:r>
            <w:proofErr w:type="spellEnd"/>
            <w:r w:rsidRPr="00D64A29">
              <w:rPr>
                <w:rFonts w:asciiTheme="majorHAnsi" w:hAnsiTheme="majorHAnsi" w:cs="Arial"/>
                <w:sz w:val="22"/>
                <w:szCs w:val="22"/>
              </w:rPr>
              <w:t xml:space="preserve"> </w:t>
            </w:r>
            <w:proofErr w:type="spellStart"/>
            <w:r w:rsidRPr="00D64A29">
              <w:rPr>
                <w:rFonts w:asciiTheme="majorHAnsi" w:hAnsiTheme="majorHAnsi" w:cs="Arial"/>
                <w:sz w:val="22"/>
                <w:szCs w:val="22"/>
              </w:rPr>
              <w:t>Dayal</w:t>
            </w:r>
            <w:proofErr w:type="spellEnd"/>
            <w:r w:rsidRPr="00D64A29">
              <w:rPr>
                <w:rFonts w:asciiTheme="majorHAnsi" w:hAnsiTheme="majorHAnsi" w:cs="Arial"/>
                <w:sz w:val="22"/>
                <w:szCs w:val="22"/>
              </w:rPr>
              <w:t xml:space="preserve"> Upadhyaya Gram Jyoti Yojana (DDUGJY) 12TH PLAN (NTPC)</w:t>
            </w:r>
          </w:p>
        </w:tc>
        <w:tc>
          <w:tcPr>
            <w:tcW w:w="1134" w:type="dxa"/>
            <w:tcBorders>
              <w:top w:val="nil"/>
              <w:left w:val="nil"/>
              <w:bottom w:val="single" w:sz="4" w:space="0" w:color="auto"/>
              <w:right w:val="single" w:sz="4" w:space="0" w:color="auto"/>
            </w:tcBorders>
            <w:noWrap/>
            <w:vAlign w:val="center"/>
            <w:hideMark/>
          </w:tcPr>
          <w:p w14:paraId="3ACC661D" w14:textId="60955492"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1023</w:t>
            </w:r>
            <w:r>
              <w:rPr>
                <w:rFonts w:asciiTheme="majorHAnsi" w:hAnsiTheme="majorHAnsi" w:cs="Arial"/>
                <w:sz w:val="22"/>
                <w:szCs w:val="22"/>
              </w:rPr>
              <w:t>.</w:t>
            </w:r>
            <w:r w:rsidRPr="00D64A29">
              <w:rPr>
                <w:rFonts w:asciiTheme="majorHAnsi" w:hAnsiTheme="majorHAnsi" w:cs="Arial"/>
                <w:sz w:val="22"/>
                <w:szCs w:val="22"/>
              </w:rPr>
              <w:t>72</w:t>
            </w:r>
          </w:p>
        </w:tc>
        <w:tc>
          <w:tcPr>
            <w:tcW w:w="1134" w:type="dxa"/>
            <w:tcBorders>
              <w:top w:val="nil"/>
              <w:left w:val="nil"/>
              <w:bottom w:val="single" w:sz="4" w:space="0" w:color="auto"/>
              <w:right w:val="single" w:sz="4" w:space="0" w:color="auto"/>
            </w:tcBorders>
            <w:noWrap/>
            <w:vAlign w:val="center"/>
            <w:hideMark/>
          </w:tcPr>
          <w:p w14:paraId="4E763FC6" w14:textId="54402E9B"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1023</w:t>
            </w:r>
            <w:r>
              <w:rPr>
                <w:rFonts w:asciiTheme="majorHAnsi" w:hAnsiTheme="majorHAnsi" w:cs="Arial"/>
                <w:sz w:val="22"/>
                <w:szCs w:val="22"/>
              </w:rPr>
              <w:t>.</w:t>
            </w:r>
            <w:r w:rsidRPr="00D64A29">
              <w:rPr>
                <w:rFonts w:asciiTheme="majorHAnsi" w:hAnsiTheme="majorHAnsi" w:cs="Arial"/>
                <w:sz w:val="22"/>
                <w:szCs w:val="22"/>
              </w:rPr>
              <w:t>72</w:t>
            </w:r>
          </w:p>
        </w:tc>
      </w:tr>
      <w:tr w:rsidR="00266BB8" w:rsidRPr="00D64A29" w14:paraId="4B33126B" w14:textId="77777777" w:rsidTr="00297A8E">
        <w:trPr>
          <w:trHeight w:val="318"/>
        </w:trPr>
        <w:tc>
          <w:tcPr>
            <w:tcW w:w="704" w:type="dxa"/>
            <w:tcBorders>
              <w:top w:val="nil"/>
              <w:left w:val="single" w:sz="4" w:space="0" w:color="auto"/>
              <w:bottom w:val="single" w:sz="4" w:space="0" w:color="auto"/>
              <w:right w:val="single" w:sz="4" w:space="0" w:color="auto"/>
            </w:tcBorders>
            <w:noWrap/>
            <w:vAlign w:val="center"/>
            <w:hideMark/>
          </w:tcPr>
          <w:p w14:paraId="3584FBDB" w14:textId="77777777"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11</w:t>
            </w:r>
          </w:p>
        </w:tc>
        <w:tc>
          <w:tcPr>
            <w:tcW w:w="5954" w:type="dxa"/>
            <w:tcBorders>
              <w:top w:val="nil"/>
              <w:left w:val="nil"/>
              <w:bottom w:val="single" w:sz="4" w:space="0" w:color="auto"/>
              <w:right w:val="single" w:sz="4" w:space="0" w:color="auto"/>
            </w:tcBorders>
            <w:vAlign w:val="center"/>
            <w:hideMark/>
          </w:tcPr>
          <w:p w14:paraId="49BEC21F" w14:textId="77777777" w:rsidR="00266BB8" w:rsidRPr="00D64A29" w:rsidRDefault="00266BB8" w:rsidP="00266BB8">
            <w:pPr>
              <w:contextualSpacing/>
              <w:rPr>
                <w:rFonts w:asciiTheme="majorHAnsi" w:hAnsiTheme="majorHAnsi" w:cs="Arial"/>
                <w:sz w:val="22"/>
                <w:szCs w:val="22"/>
              </w:rPr>
            </w:pPr>
            <w:r w:rsidRPr="00D64A29">
              <w:rPr>
                <w:rFonts w:asciiTheme="majorHAnsi" w:hAnsiTheme="majorHAnsi" w:cs="Arial"/>
                <w:sz w:val="22"/>
                <w:szCs w:val="22"/>
              </w:rPr>
              <w:t>ODSSP (CMPDP)</w:t>
            </w:r>
          </w:p>
        </w:tc>
        <w:tc>
          <w:tcPr>
            <w:tcW w:w="1134" w:type="dxa"/>
            <w:tcBorders>
              <w:top w:val="nil"/>
              <w:left w:val="nil"/>
              <w:bottom w:val="single" w:sz="4" w:space="0" w:color="auto"/>
              <w:right w:val="single" w:sz="4" w:space="0" w:color="auto"/>
            </w:tcBorders>
            <w:noWrap/>
            <w:vAlign w:val="bottom"/>
            <w:hideMark/>
          </w:tcPr>
          <w:p w14:paraId="3629F6A1" w14:textId="5BDA54E8"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38</w:t>
            </w:r>
            <w:r>
              <w:rPr>
                <w:rFonts w:asciiTheme="majorHAnsi" w:hAnsiTheme="majorHAnsi" w:cs="Arial"/>
                <w:sz w:val="22"/>
                <w:szCs w:val="22"/>
              </w:rPr>
              <w:t>.</w:t>
            </w:r>
            <w:r w:rsidRPr="00D64A29">
              <w:rPr>
                <w:rFonts w:asciiTheme="majorHAnsi" w:hAnsiTheme="majorHAnsi" w:cs="Arial"/>
                <w:sz w:val="22"/>
                <w:szCs w:val="22"/>
              </w:rPr>
              <w:t>25</w:t>
            </w:r>
          </w:p>
        </w:tc>
        <w:tc>
          <w:tcPr>
            <w:tcW w:w="1134" w:type="dxa"/>
            <w:tcBorders>
              <w:top w:val="nil"/>
              <w:left w:val="nil"/>
              <w:bottom w:val="single" w:sz="4" w:space="0" w:color="auto"/>
              <w:right w:val="single" w:sz="4" w:space="0" w:color="auto"/>
            </w:tcBorders>
            <w:noWrap/>
            <w:vAlign w:val="bottom"/>
            <w:hideMark/>
          </w:tcPr>
          <w:p w14:paraId="02E75064" w14:textId="63406DF0" w:rsidR="00266BB8" w:rsidRPr="00D64A29" w:rsidRDefault="002A38D2" w:rsidP="00266BB8">
            <w:pPr>
              <w:contextualSpacing/>
              <w:jc w:val="center"/>
              <w:rPr>
                <w:rFonts w:asciiTheme="majorHAnsi" w:hAnsiTheme="majorHAnsi" w:cs="Arial"/>
                <w:sz w:val="22"/>
                <w:szCs w:val="22"/>
              </w:rPr>
            </w:pPr>
            <w:r>
              <w:rPr>
                <w:rFonts w:asciiTheme="majorHAnsi" w:hAnsiTheme="majorHAnsi" w:cs="Arial"/>
                <w:sz w:val="22"/>
                <w:szCs w:val="22"/>
              </w:rPr>
              <w:t>97.92</w:t>
            </w:r>
          </w:p>
        </w:tc>
      </w:tr>
      <w:tr w:rsidR="00266BB8" w:rsidRPr="00D64A29" w14:paraId="56116403" w14:textId="77777777" w:rsidTr="00297A8E">
        <w:trPr>
          <w:trHeight w:val="318"/>
        </w:trPr>
        <w:tc>
          <w:tcPr>
            <w:tcW w:w="704" w:type="dxa"/>
            <w:tcBorders>
              <w:top w:val="nil"/>
              <w:left w:val="single" w:sz="4" w:space="0" w:color="auto"/>
              <w:bottom w:val="single" w:sz="4" w:space="0" w:color="auto"/>
              <w:right w:val="single" w:sz="4" w:space="0" w:color="auto"/>
            </w:tcBorders>
            <w:noWrap/>
            <w:vAlign w:val="bottom"/>
            <w:hideMark/>
          </w:tcPr>
          <w:p w14:paraId="015676C1" w14:textId="77777777"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12</w:t>
            </w:r>
          </w:p>
        </w:tc>
        <w:tc>
          <w:tcPr>
            <w:tcW w:w="5954" w:type="dxa"/>
            <w:tcBorders>
              <w:top w:val="nil"/>
              <w:left w:val="nil"/>
              <w:bottom w:val="single" w:sz="4" w:space="0" w:color="auto"/>
              <w:right w:val="single" w:sz="4" w:space="0" w:color="auto"/>
            </w:tcBorders>
            <w:vAlign w:val="center"/>
            <w:hideMark/>
          </w:tcPr>
          <w:p w14:paraId="6D168275" w14:textId="77777777" w:rsidR="00266BB8" w:rsidRPr="00D64A29" w:rsidRDefault="00266BB8" w:rsidP="00266BB8">
            <w:pPr>
              <w:contextualSpacing/>
              <w:rPr>
                <w:rFonts w:asciiTheme="majorHAnsi" w:hAnsiTheme="majorHAnsi" w:cs="Arial"/>
                <w:sz w:val="22"/>
                <w:szCs w:val="22"/>
              </w:rPr>
            </w:pPr>
            <w:r w:rsidRPr="00D64A29">
              <w:rPr>
                <w:rFonts w:asciiTheme="majorHAnsi" w:hAnsiTheme="majorHAnsi" w:cs="Arial"/>
                <w:sz w:val="22"/>
                <w:szCs w:val="22"/>
              </w:rPr>
              <w:t>BGJY (Infra)</w:t>
            </w:r>
          </w:p>
        </w:tc>
        <w:tc>
          <w:tcPr>
            <w:tcW w:w="1134" w:type="dxa"/>
            <w:tcBorders>
              <w:top w:val="nil"/>
              <w:left w:val="nil"/>
              <w:bottom w:val="single" w:sz="4" w:space="0" w:color="auto"/>
              <w:right w:val="single" w:sz="4" w:space="0" w:color="auto"/>
            </w:tcBorders>
            <w:noWrap/>
            <w:vAlign w:val="center"/>
            <w:hideMark/>
          </w:tcPr>
          <w:p w14:paraId="1397B320" w14:textId="61F82963" w:rsidR="00266BB8" w:rsidRPr="00D64A29" w:rsidRDefault="00266BB8" w:rsidP="00266BB8">
            <w:pPr>
              <w:contextualSpacing/>
              <w:jc w:val="center"/>
              <w:rPr>
                <w:rFonts w:asciiTheme="majorHAnsi" w:hAnsiTheme="majorHAnsi" w:cs="Arial"/>
                <w:sz w:val="22"/>
                <w:szCs w:val="22"/>
              </w:rPr>
            </w:pPr>
            <w:r w:rsidRPr="00D64A29">
              <w:rPr>
                <w:rFonts w:asciiTheme="majorHAnsi" w:hAnsiTheme="majorHAnsi" w:cs="Arial"/>
                <w:sz w:val="22"/>
                <w:szCs w:val="22"/>
              </w:rPr>
              <w:t>33</w:t>
            </w:r>
            <w:r>
              <w:rPr>
                <w:rFonts w:asciiTheme="majorHAnsi" w:hAnsiTheme="majorHAnsi" w:cs="Arial"/>
                <w:sz w:val="22"/>
                <w:szCs w:val="22"/>
              </w:rPr>
              <w:t>.</w:t>
            </w:r>
            <w:r w:rsidRPr="00D64A29">
              <w:rPr>
                <w:rFonts w:asciiTheme="majorHAnsi" w:hAnsiTheme="majorHAnsi" w:cs="Arial"/>
                <w:sz w:val="22"/>
                <w:szCs w:val="22"/>
              </w:rPr>
              <w:t>51</w:t>
            </w:r>
          </w:p>
        </w:tc>
        <w:tc>
          <w:tcPr>
            <w:tcW w:w="1134" w:type="dxa"/>
            <w:tcBorders>
              <w:top w:val="nil"/>
              <w:left w:val="nil"/>
              <w:bottom w:val="single" w:sz="4" w:space="0" w:color="auto"/>
              <w:right w:val="single" w:sz="4" w:space="0" w:color="auto"/>
            </w:tcBorders>
            <w:noWrap/>
            <w:vAlign w:val="center"/>
            <w:hideMark/>
          </w:tcPr>
          <w:p w14:paraId="3DBF91F1" w14:textId="5E5B3F54" w:rsidR="00266BB8" w:rsidRPr="00D64A29" w:rsidRDefault="002A38D2" w:rsidP="00266BB8">
            <w:pPr>
              <w:contextualSpacing/>
              <w:jc w:val="center"/>
              <w:rPr>
                <w:rFonts w:asciiTheme="majorHAnsi" w:hAnsiTheme="majorHAnsi" w:cs="Arial"/>
                <w:sz w:val="22"/>
                <w:szCs w:val="22"/>
              </w:rPr>
            </w:pPr>
            <w:r>
              <w:rPr>
                <w:rFonts w:asciiTheme="majorHAnsi" w:hAnsiTheme="majorHAnsi" w:cs="Arial"/>
                <w:sz w:val="22"/>
                <w:szCs w:val="22"/>
              </w:rPr>
              <w:t>75.51</w:t>
            </w:r>
          </w:p>
        </w:tc>
      </w:tr>
      <w:tr w:rsidR="00266BB8" w:rsidRPr="00D64A29" w14:paraId="68492C09" w14:textId="77777777" w:rsidTr="00297A8E">
        <w:trPr>
          <w:trHeight w:val="318"/>
        </w:trPr>
        <w:tc>
          <w:tcPr>
            <w:tcW w:w="704" w:type="dxa"/>
            <w:tcBorders>
              <w:top w:val="nil"/>
              <w:left w:val="single" w:sz="4" w:space="0" w:color="auto"/>
              <w:bottom w:val="single" w:sz="4" w:space="0" w:color="auto"/>
              <w:right w:val="single" w:sz="4" w:space="0" w:color="auto"/>
            </w:tcBorders>
            <w:noWrap/>
            <w:vAlign w:val="bottom"/>
            <w:hideMark/>
          </w:tcPr>
          <w:p w14:paraId="7436AA38" w14:textId="77777777" w:rsidR="00266BB8" w:rsidRPr="00D64A29" w:rsidRDefault="00266BB8" w:rsidP="00266BB8">
            <w:pPr>
              <w:contextualSpacing/>
              <w:jc w:val="center"/>
              <w:rPr>
                <w:rFonts w:asciiTheme="majorHAnsi" w:hAnsiTheme="majorHAnsi" w:cs="Arial"/>
                <w:b/>
                <w:bCs/>
                <w:sz w:val="22"/>
                <w:szCs w:val="22"/>
              </w:rPr>
            </w:pPr>
            <w:r w:rsidRPr="00D64A29">
              <w:rPr>
                <w:rFonts w:asciiTheme="majorHAnsi" w:hAnsiTheme="majorHAnsi" w:cs="Arial"/>
                <w:b/>
                <w:bCs/>
                <w:sz w:val="22"/>
                <w:szCs w:val="22"/>
              </w:rPr>
              <w:t> </w:t>
            </w:r>
          </w:p>
        </w:tc>
        <w:tc>
          <w:tcPr>
            <w:tcW w:w="5954" w:type="dxa"/>
            <w:tcBorders>
              <w:top w:val="nil"/>
              <w:left w:val="nil"/>
              <w:bottom w:val="single" w:sz="4" w:space="0" w:color="auto"/>
              <w:right w:val="single" w:sz="4" w:space="0" w:color="auto"/>
            </w:tcBorders>
            <w:noWrap/>
            <w:vAlign w:val="center"/>
            <w:hideMark/>
          </w:tcPr>
          <w:p w14:paraId="702D0C18" w14:textId="77777777" w:rsidR="00266BB8" w:rsidRPr="00D64A29" w:rsidRDefault="00266BB8" w:rsidP="00266BB8">
            <w:pPr>
              <w:contextualSpacing/>
              <w:rPr>
                <w:rFonts w:asciiTheme="majorHAnsi" w:hAnsiTheme="majorHAnsi" w:cs="Arial"/>
                <w:b/>
                <w:bCs/>
                <w:sz w:val="22"/>
                <w:szCs w:val="22"/>
              </w:rPr>
            </w:pPr>
            <w:r w:rsidRPr="00D64A29">
              <w:rPr>
                <w:rFonts w:asciiTheme="majorHAnsi" w:hAnsiTheme="majorHAnsi" w:cs="Arial"/>
                <w:b/>
                <w:bCs/>
                <w:sz w:val="22"/>
                <w:szCs w:val="22"/>
              </w:rPr>
              <w:t>TOTAL</w:t>
            </w:r>
          </w:p>
        </w:tc>
        <w:tc>
          <w:tcPr>
            <w:tcW w:w="1134" w:type="dxa"/>
            <w:tcBorders>
              <w:top w:val="nil"/>
              <w:left w:val="nil"/>
              <w:bottom w:val="single" w:sz="4" w:space="0" w:color="auto"/>
              <w:right w:val="single" w:sz="4" w:space="0" w:color="auto"/>
            </w:tcBorders>
            <w:noWrap/>
            <w:vAlign w:val="bottom"/>
            <w:hideMark/>
          </w:tcPr>
          <w:p w14:paraId="0B35E856" w14:textId="0858A465" w:rsidR="00266BB8" w:rsidRPr="00D64A29" w:rsidRDefault="00266BB8" w:rsidP="00266BB8">
            <w:pPr>
              <w:contextualSpacing/>
              <w:jc w:val="center"/>
              <w:rPr>
                <w:rFonts w:asciiTheme="majorHAnsi" w:hAnsiTheme="majorHAnsi" w:cs="Arial"/>
                <w:b/>
                <w:bCs/>
                <w:sz w:val="22"/>
                <w:szCs w:val="22"/>
              </w:rPr>
            </w:pPr>
            <w:r w:rsidRPr="00D64A29">
              <w:rPr>
                <w:rFonts w:asciiTheme="majorHAnsi" w:hAnsiTheme="majorHAnsi" w:cs="Arial"/>
                <w:b/>
                <w:bCs/>
                <w:sz w:val="22"/>
                <w:szCs w:val="22"/>
              </w:rPr>
              <w:t>3648</w:t>
            </w:r>
            <w:r>
              <w:rPr>
                <w:rFonts w:asciiTheme="majorHAnsi" w:hAnsiTheme="majorHAnsi" w:cs="Arial"/>
                <w:b/>
                <w:bCs/>
                <w:sz w:val="22"/>
                <w:szCs w:val="22"/>
              </w:rPr>
              <w:t>.</w:t>
            </w:r>
            <w:r w:rsidRPr="00D64A29">
              <w:rPr>
                <w:rFonts w:asciiTheme="majorHAnsi" w:hAnsiTheme="majorHAnsi" w:cs="Arial"/>
                <w:b/>
                <w:bCs/>
                <w:sz w:val="22"/>
                <w:szCs w:val="22"/>
              </w:rPr>
              <w:t>87</w:t>
            </w:r>
          </w:p>
        </w:tc>
        <w:tc>
          <w:tcPr>
            <w:tcW w:w="1134" w:type="dxa"/>
            <w:tcBorders>
              <w:top w:val="nil"/>
              <w:left w:val="nil"/>
              <w:bottom w:val="single" w:sz="4" w:space="0" w:color="auto"/>
              <w:right w:val="single" w:sz="4" w:space="0" w:color="auto"/>
            </w:tcBorders>
            <w:noWrap/>
            <w:vAlign w:val="bottom"/>
            <w:hideMark/>
          </w:tcPr>
          <w:p w14:paraId="2E1EE936" w14:textId="727F2EF9" w:rsidR="00266BB8" w:rsidRPr="00D64A29" w:rsidRDefault="00266BB8" w:rsidP="00266BB8">
            <w:pPr>
              <w:contextualSpacing/>
              <w:jc w:val="center"/>
              <w:rPr>
                <w:rFonts w:asciiTheme="majorHAnsi" w:hAnsiTheme="majorHAnsi" w:cs="Arial"/>
                <w:b/>
                <w:bCs/>
                <w:sz w:val="22"/>
                <w:szCs w:val="22"/>
              </w:rPr>
            </w:pPr>
            <w:r w:rsidRPr="00D64A29">
              <w:rPr>
                <w:rFonts w:asciiTheme="majorHAnsi" w:hAnsiTheme="majorHAnsi" w:cs="Arial"/>
                <w:b/>
                <w:bCs/>
                <w:sz w:val="22"/>
                <w:szCs w:val="22"/>
              </w:rPr>
              <w:t>3</w:t>
            </w:r>
            <w:r w:rsidR="002A38D2">
              <w:rPr>
                <w:rFonts w:asciiTheme="majorHAnsi" w:hAnsiTheme="majorHAnsi" w:cs="Arial"/>
                <w:b/>
                <w:bCs/>
                <w:sz w:val="22"/>
                <w:szCs w:val="22"/>
              </w:rPr>
              <w:t>750.54</w:t>
            </w:r>
          </w:p>
        </w:tc>
      </w:tr>
    </w:tbl>
    <w:p w14:paraId="6F00617C" w14:textId="42767E03" w:rsidR="00C30E98" w:rsidRDefault="00FF68AD" w:rsidP="00923A86">
      <w:pPr>
        <w:pStyle w:val="BodyText2"/>
        <w:spacing w:beforeLines="100" w:before="240" w:afterLines="100" w:after="240" w:line="360" w:lineRule="auto"/>
        <w:jc w:val="both"/>
        <w:rPr>
          <w:rFonts w:ascii="Cambria" w:hAnsi="Cambria" w:cs="Arial"/>
          <w:sz w:val="24"/>
          <w:szCs w:val="24"/>
        </w:rPr>
      </w:pPr>
      <w:r w:rsidRPr="009F560B">
        <w:rPr>
          <w:rFonts w:ascii="Cambria" w:hAnsi="Cambria" w:cs="Arial"/>
          <w:sz w:val="24"/>
          <w:szCs w:val="24"/>
        </w:rPr>
        <w:t>The above assets are under the jurisdiction of TPWODL area across 48</w:t>
      </w:r>
      <w:r w:rsidR="007928B1">
        <w:rPr>
          <w:rFonts w:ascii="Cambria" w:hAnsi="Cambria" w:cs="Arial"/>
          <w:sz w:val="24"/>
          <w:szCs w:val="24"/>
        </w:rPr>
        <w:t xml:space="preserve">373 </w:t>
      </w:r>
      <w:r w:rsidRPr="009F560B">
        <w:rPr>
          <w:rFonts w:ascii="Cambria" w:hAnsi="Cambria" w:cs="Arial"/>
          <w:sz w:val="24"/>
          <w:szCs w:val="24"/>
        </w:rPr>
        <w:t>sq</w:t>
      </w:r>
      <w:r w:rsidR="00BF7D45" w:rsidRPr="009F560B">
        <w:rPr>
          <w:rFonts w:ascii="Cambria" w:hAnsi="Cambria" w:cs="Arial"/>
          <w:sz w:val="24"/>
          <w:szCs w:val="24"/>
        </w:rPr>
        <w:t>.</w:t>
      </w:r>
      <w:r w:rsidRPr="009F560B">
        <w:rPr>
          <w:rFonts w:ascii="Cambria" w:hAnsi="Cambria" w:cs="Arial"/>
          <w:sz w:val="24"/>
          <w:szCs w:val="24"/>
        </w:rPr>
        <w:t>km</w:t>
      </w:r>
      <w:r w:rsidR="00BF7D45" w:rsidRPr="009F560B">
        <w:rPr>
          <w:rFonts w:ascii="Cambria" w:hAnsi="Cambria" w:cs="Arial"/>
          <w:sz w:val="24"/>
          <w:szCs w:val="24"/>
        </w:rPr>
        <w:t>.</w:t>
      </w:r>
      <w:r w:rsidRPr="009F560B">
        <w:rPr>
          <w:rFonts w:ascii="Cambria" w:hAnsi="Cambria" w:cs="Arial"/>
          <w:sz w:val="24"/>
          <w:szCs w:val="24"/>
        </w:rPr>
        <w:t xml:space="preserve"> of operation. While maintaining the assets (both preventive &amp; breakdown) the </w:t>
      </w:r>
      <w:r w:rsidR="00BF7D45" w:rsidRPr="009F560B">
        <w:rPr>
          <w:rFonts w:ascii="Cambria" w:hAnsi="Cambria" w:cs="Arial"/>
          <w:sz w:val="24"/>
          <w:szCs w:val="24"/>
        </w:rPr>
        <w:t>L</w:t>
      </w:r>
      <w:r w:rsidRPr="009F560B">
        <w:rPr>
          <w:rFonts w:ascii="Cambria" w:hAnsi="Cambria" w:cs="Arial"/>
          <w:sz w:val="24"/>
          <w:szCs w:val="24"/>
        </w:rPr>
        <w:t>icense</w:t>
      </w:r>
      <w:r w:rsidR="00BF7D45" w:rsidRPr="009F560B">
        <w:rPr>
          <w:rFonts w:ascii="Cambria" w:hAnsi="Cambria" w:cs="Arial"/>
          <w:sz w:val="24"/>
          <w:szCs w:val="24"/>
        </w:rPr>
        <w:t>e</w:t>
      </w:r>
      <w:r w:rsidRPr="009F560B">
        <w:rPr>
          <w:rFonts w:ascii="Cambria" w:hAnsi="Cambria" w:cs="Arial"/>
          <w:sz w:val="24"/>
          <w:szCs w:val="24"/>
        </w:rPr>
        <w:t xml:space="preserve"> has to maintain </w:t>
      </w:r>
      <w:r w:rsidR="007C328D" w:rsidRPr="009F560B">
        <w:rPr>
          <w:rFonts w:ascii="Cambria" w:hAnsi="Cambria" w:cs="Arial"/>
          <w:sz w:val="24"/>
          <w:szCs w:val="24"/>
        </w:rPr>
        <w:t xml:space="preserve">it </w:t>
      </w:r>
      <w:r w:rsidRPr="009F560B">
        <w:rPr>
          <w:rFonts w:ascii="Cambria" w:hAnsi="Cambria" w:cs="Arial"/>
          <w:sz w:val="24"/>
          <w:szCs w:val="24"/>
        </w:rPr>
        <w:t>without any discrimination. So</w:t>
      </w:r>
      <w:r w:rsidR="004B53BB" w:rsidRPr="009F560B">
        <w:rPr>
          <w:rFonts w:ascii="Cambria" w:hAnsi="Cambria" w:cs="Arial"/>
          <w:sz w:val="24"/>
          <w:szCs w:val="24"/>
        </w:rPr>
        <w:t>,</w:t>
      </w:r>
      <w:r w:rsidRPr="009F560B">
        <w:rPr>
          <w:rFonts w:ascii="Cambria" w:hAnsi="Cambria" w:cs="Arial"/>
          <w:sz w:val="24"/>
          <w:szCs w:val="24"/>
        </w:rPr>
        <w:t xml:space="preserve"> R&amp;M entitlement for FY 2</w:t>
      </w:r>
      <w:r w:rsidR="0032794D">
        <w:rPr>
          <w:rFonts w:ascii="Cambria" w:hAnsi="Cambria" w:cs="Arial"/>
          <w:sz w:val="24"/>
          <w:szCs w:val="24"/>
        </w:rPr>
        <w:t>5</w:t>
      </w:r>
      <w:r w:rsidRPr="009F560B">
        <w:rPr>
          <w:rFonts w:ascii="Cambria" w:hAnsi="Cambria" w:cs="Arial"/>
          <w:sz w:val="24"/>
          <w:szCs w:val="24"/>
        </w:rPr>
        <w:t>-2</w:t>
      </w:r>
      <w:r w:rsidR="0032794D">
        <w:rPr>
          <w:rFonts w:ascii="Cambria" w:hAnsi="Cambria" w:cs="Arial"/>
          <w:sz w:val="24"/>
          <w:szCs w:val="24"/>
        </w:rPr>
        <w:t>6</w:t>
      </w:r>
      <w:r w:rsidR="00764C8A" w:rsidRPr="009F560B">
        <w:rPr>
          <w:rFonts w:ascii="Cambria" w:hAnsi="Cambria" w:cs="Arial"/>
          <w:sz w:val="24"/>
          <w:szCs w:val="24"/>
        </w:rPr>
        <w:t xml:space="preserve"> &amp; FY </w:t>
      </w:r>
      <w:r w:rsidR="007507C7">
        <w:rPr>
          <w:rFonts w:ascii="Cambria" w:hAnsi="Cambria" w:cs="Arial"/>
          <w:sz w:val="24"/>
          <w:szCs w:val="24"/>
        </w:rPr>
        <w:t>26-27</w:t>
      </w:r>
      <w:r w:rsidR="00764C8A" w:rsidRPr="009F560B">
        <w:rPr>
          <w:rFonts w:ascii="Cambria" w:hAnsi="Cambria" w:cs="Arial"/>
          <w:sz w:val="24"/>
          <w:szCs w:val="24"/>
        </w:rPr>
        <w:t xml:space="preserve"> on Opening GFA o</w:t>
      </w:r>
      <w:r w:rsidR="001B2509" w:rsidRPr="009F560B">
        <w:rPr>
          <w:rFonts w:ascii="Cambria" w:hAnsi="Cambria" w:cs="Arial"/>
          <w:sz w:val="24"/>
          <w:szCs w:val="24"/>
        </w:rPr>
        <w:t>f</w:t>
      </w:r>
      <w:r w:rsidR="00764C8A" w:rsidRPr="009F560B">
        <w:rPr>
          <w:rFonts w:ascii="Cambria" w:hAnsi="Cambria" w:cs="Arial"/>
          <w:sz w:val="24"/>
          <w:szCs w:val="24"/>
        </w:rPr>
        <w:t xml:space="preserve"> Rs. </w:t>
      </w:r>
      <w:r w:rsidR="003D020A" w:rsidRPr="003D020A">
        <w:rPr>
          <w:rFonts w:ascii="Cambria" w:hAnsi="Cambria" w:cs="Arial"/>
          <w:sz w:val="24"/>
          <w:szCs w:val="24"/>
        </w:rPr>
        <w:t>3648.87</w:t>
      </w:r>
      <w:r w:rsidR="003D020A">
        <w:rPr>
          <w:rFonts w:ascii="Cambria" w:hAnsi="Cambria" w:cs="Arial"/>
          <w:sz w:val="24"/>
          <w:szCs w:val="24"/>
        </w:rPr>
        <w:t xml:space="preserve"> </w:t>
      </w:r>
      <w:r w:rsidR="00764C8A" w:rsidRPr="009F560B">
        <w:rPr>
          <w:rFonts w:ascii="Cambria" w:hAnsi="Cambria" w:cs="Arial"/>
          <w:sz w:val="24"/>
          <w:szCs w:val="24"/>
        </w:rPr>
        <w:t xml:space="preserve">Cr. &amp; </w:t>
      </w:r>
      <w:r w:rsidR="00764C8A" w:rsidRPr="00A91605">
        <w:rPr>
          <w:rFonts w:ascii="Cambria" w:hAnsi="Cambria" w:cs="Arial"/>
          <w:sz w:val="24"/>
          <w:szCs w:val="24"/>
        </w:rPr>
        <w:t xml:space="preserve">Rs. </w:t>
      </w:r>
      <w:r w:rsidR="003D020A" w:rsidRPr="00A91605">
        <w:rPr>
          <w:rFonts w:ascii="Cambria" w:hAnsi="Cambria" w:cs="Arial"/>
          <w:sz w:val="24"/>
          <w:szCs w:val="24"/>
        </w:rPr>
        <w:t>3</w:t>
      </w:r>
      <w:r w:rsidR="00240A99">
        <w:rPr>
          <w:rFonts w:ascii="Cambria" w:hAnsi="Cambria" w:cs="Arial"/>
          <w:sz w:val="24"/>
          <w:szCs w:val="24"/>
        </w:rPr>
        <w:t>750.54</w:t>
      </w:r>
      <w:r w:rsidR="003D020A" w:rsidRPr="00A91605">
        <w:rPr>
          <w:rFonts w:ascii="Cambria" w:hAnsi="Cambria" w:cs="Arial"/>
          <w:sz w:val="24"/>
          <w:szCs w:val="24"/>
        </w:rPr>
        <w:t xml:space="preserve"> </w:t>
      </w:r>
      <w:r w:rsidR="00764C8A" w:rsidRPr="00A91605">
        <w:rPr>
          <w:rFonts w:ascii="Cambria" w:hAnsi="Cambria" w:cs="Arial"/>
          <w:sz w:val="24"/>
          <w:szCs w:val="24"/>
        </w:rPr>
        <w:t>Cr. at 3% rate</w:t>
      </w:r>
      <w:r w:rsidR="001A0C9D" w:rsidRPr="00A91605">
        <w:rPr>
          <w:rFonts w:ascii="Cambria" w:hAnsi="Cambria" w:cs="Arial"/>
          <w:sz w:val="24"/>
          <w:szCs w:val="24"/>
        </w:rPr>
        <w:t xml:space="preserve"> amounts to Rs. </w:t>
      </w:r>
      <w:r w:rsidR="00B46BB2" w:rsidRPr="00A91605">
        <w:rPr>
          <w:rFonts w:ascii="Cambria" w:hAnsi="Cambria" w:cs="Arial"/>
          <w:sz w:val="24"/>
          <w:szCs w:val="24"/>
        </w:rPr>
        <w:t>1</w:t>
      </w:r>
      <w:r w:rsidR="003D020A" w:rsidRPr="00A91605">
        <w:rPr>
          <w:rFonts w:ascii="Cambria" w:hAnsi="Cambria" w:cs="Arial"/>
          <w:sz w:val="24"/>
          <w:szCs w:val="24"/>
        </w:rPr>
        <w:t>09.47</w:t>
      </w:r>
      <w:r w:rsidR="001A0C9D" w:rsidRPr="00A91605">
        <w:rPr>
          <w:rFonts w:ascii="Cambria" w:hAnsi="Cambria" w:cs="Arial"/>
          <w:sz w:val="24"/>
          <w:szCs w:val="24"/>
        </w:rPr>
        <w:t xml:space="preserve"> Cr. &amp; Rs. </w:t>
      </w:r>
      <w:r w:rsidR="00240A99">
        <w:rPr>
          <w:rFonts w:ascii="Cambria" w:hAnsi="Cambria" w:cs="Arial"/>
          <w:sz w:val="24"/>
          <w:szCs w:val="24"/>
        </w:rPr>
        <w:t>112.52</w:t>
      </w:r>
      <w:r w:rsidR="00B557BB" w:rsidRPr="00A91605">
        <w:rPr>
          <w:rFonts w:ascii="Cambria" w:hAnsi="Cambria" w:cs="Arial"/>
          <w:sz w:val="24"/>
          <w:szCs w:val="24"/>
        </w:rPr>
        <w:t xml:space="preserve"> </w:t>
      </w:r>
      <w:r w:rsidR="001A0C9D" w:rsidRPr="00A91605">
        <w:rPr>
          <w:rFonts w:ascii="Cambria" w:hAnsi="Cambria" w:cs="Arial"/>
          <w:sz w:val="24"/>
          <w:szCs w:val="24"/>
        </w:rPr>
        <w:t xml:space="preserve">Cr. respectively on </w:t>
      </w:r>
      <w:r w:rsidR="001B2509" w:rsidRPr="00A91605">
        <w:rPr>
          <w:rFonts w:ascii="Cambria" w:hAnsi="Cambria" w:cs="Arial"/>
          <w:sz w:val="24"/>
          <w:szCs w:val="24"/>
        </w:rPr>
        <w:t>Govt. owned assets</w:t>
      </w:r>
      <w:r w:rsidR="001B2509" w:rsidRPr="009F560B">
        <w:rPr>
          <w:rFonts w:ascii="Cambria" w:hAnsi="Cambria" w:cs="Arial"/>
          <w:sz w:val="24"/>
          <w:szCs w:val="24"/>
        </w:rPr>
        <w:t>.</w:t>
      </w:r>
      <w:r w:rsidR="00D601C2">
        <w:rPr>
          <w:rFonts w:ascii="Cambria" w:hAnsi="Cambria" w:cs="Arial"/>
          <w:sz w:val="24"/>
          <w:szCs w:val="24"/>
        </w:rPr>
        <w:t xml:space="preserve"> </w:t>
      </w:r>
      <w:r w:rsidR="00237400">
        <w:rPr>
          <w:rFonts w:ascii="Cambria" w:hAnsi="Cambria" w:cs="Arial"/>
          <w:sz w:val="24"/>
          <w:szCs w:val="24"/>
        </w:rPr>
        <w:t xml:space="preserve">The Licensee has already communicated with </w:t>
      </w:r>
      <w:r w:rsidR="00B90C8E">
        <w:rPr>
          <w:rFonts w:ascii="Cambria" w:hAnsi="Cambria" w:cs="Arial"/>
          <w:sz w:val="24"/>
          <w:szCs w:val="24"/>
        </w:rPr>
        <w:t xml:space="preserve">GRIDCO/OPTCL vide </w:t>
      </w:r>
      <w:r w:rsidR="00237400">
        <w:rPr>
          <w:rFonts w:ascii="Cambria" w:hAnsi="Cambria" w:cs="Arial"/>
          <w:sz w:val="24"/>
          <w:szCs w:val="24"/>
        </w:rPr>
        <w:t xml:space="preserve">letter </w:t>
      </w:r>
      <w:r w:rsidR="005F4742" w:rsidRPr="005F4742">
        <w:rPr>
          <w:rFonts w:ascii="Cambria" w:hAnsi="Cambria" w:cs="Arial"/>
          <w:sz w:val="24"/>
          <w:szCs w:val="24"/>
        </w:rPr>
        <w:t>TPWODL/RA/2025/082</w:t>
      </w:r>
      <w:r w:rsidR="005F4742">
        <w:rPr>
          <w:rFonts w:ascii="Cambria" w:hAnsi="Cambria" w:cs="Arial"/>
          <w:sz w:val="24"/>
          <w:szCs w:val="24"/>
        </w:rPr>
        <w:t xml:space="preserve"> </w:t>
      </w:r>
      <w:r w:rsidR="00237400">
        <w:rPr>
          <w:rFonts w:ascii="Cambria" w:hAnsi="Cambria" w:cs="Arial"/>
          <w:sz w:val="24"/>
          <w:szCs w:val="24"/>
        </w:rPr>
        <w:t xml:space="preserve">dated </w:t>
      </w:r>
      <w:r w:rsidR="009A7E5C" w:rsidRPr="009A7E5C">
        <w:rPr>
          <w:rFonts w:ascii="Cambria" w:hAnsi="Cambria" w:cs="Arial"/>
          <w:sz w:val="24"/>
          <w:szCs w:val="24"/>
        </w:rPr>
        <w:t>10.11.2025</w:t>
      </w:r>
      <w:r w:rsidR="009A7E5C">
        <w:rPr>
          <w:rFonts w:ascii="Cambria" w:hAnsi="Cambria" w:cs="Arial"/>
          <w:sz w:val="24"/>
          <w:szCs w:val="24"/>
        </w:rPr>
        <w:t xml:space="preserve"> seeking details of </w:t>
      </w:r>
      <w:r w:rsidR="009A7E5C" w:rsidRPr="009A7E5C">
        <w:rPr>
          <w:rFonts w:ascii="Cambria" w:hAnsi="Cambria" w:cs="Arial"/>
          <w:sz w:val="24"/>
          <w:szCs w:val="24"/>
        </w:rPr>
        <w:t xml:space="preserve">Assets created under different Govt. funded Projects for </w:t>
      </w:r>
      <w:r w:rsidR="008E7719">
        <w:rPr>
          <w:rFonts w:ascii="Cambria" w:hAnsi="Cambria" w:cs="Arial"/>
          <w:sz w:val="24"/>
          <w:szCs w:val="24"/>
        </w:rPr>
        <w:t>TPWODL</w:t>
      </w:r>
      <w:r w:rsidR="009A7E5C" w:rsidRPr="009A7E5C">
        <w:rPr>
          <w:rFonts w:ascii="Cambria" w:hAnsi="Cambria" w:cs="Arial"/>
          <w:sz w:val="24"/>
          <w:szCs w:val="24"/>
        </w:rPr>
        <w:t xml:space="preserve"> till 31.03.2025</w:t>
      </w:r>
      <w:r w:rsidR="002678BF">
        <w:rPr>
          <w:rFonts w:ascii="Cambria" w:hAnsi="Cambria" w:cs="Arial"/>
          <w:sz w:val="24"/>
          <w:szCs w:val="24"/>
        </w:rPr>
        <w:t xml:space="preserve">, response to which is still awaited. Therefore, the Hon’ble commission is requested to direct the </w:t>
      </w:r>
      <w:r w:rsidR="00E872EA">
        <w:rPr>
          <w:rFonts w:ascii="Cambria" w:hAnsi="Cambria" w:cs="Arial"/>
          <w:sz w:val="24"/>
          <w:szCs w:val="24"/>
        </w:rPr>
        <w:t xml:space="preserve">concern to furnish the details of </w:t>
      </w:r>
      <w:r w:rsidR="00E872EA" w:rsidRPr="009A7E5C">
        <w:rPr>
          <w:rFonts w:ascii="Cambria" w:hAnsi="Cambria" w:cs="Arial"/>
          <w:sz w:val="24"/>
          <w:szCs w:val="24"/>
        </w:rPr>
        <w:t xml:space="preserve">Assets created under different Govt. funded Projects for </w:t>
      </w:r>
      <w:r w:rsidR="00E872EA">
        <w:rPr>
          <w:rFonts w:ascii="Cambria" w:hAnsi="Cambria" w:cs="Arial"/>
          <w:sz w:val="24"/>
          <w:szCs w:val="24"/>
        </w:rPr>
        <w:t>DISCOMs</w:t>
      </w:r>
      <w:r w:rsidR="002F4906">
        <w:rPr>
          <w:rFonts w:ascii="Cambria" w:hAnsi="Cambria" w:cs="Arial"/>
          <w:sz w:val="24"/>
          <w:szCs w:val="24"/>
        </w:rPr>
        <w:t xml:space="preserve"> on annual basis</w:t>
      </w:r>
      <w:r w:rsidR="007C3E0C">
        <w:rPr>
          <w:rFonts w:ascii="Cambria" w:hAnsi="Cambria" w:cs="Arial"/>
          <w:sz w:val="24"/>
          <w:szCs w:val="24"/>
        </w:rPr>
        <w:t xml:space="preserve"> for ARR purpose</w:t>
      </w:r>
      <w:r w:rsidR="00E872EA">
        <w:rPr>
          <w:rFonts w:ascii="Cambria" w:hAnsi="Cambria" w:cs="Arial"/>
          <w:sz w:val="24"/>
          <w:szCs w:val="24"/>
        </w:rPr>
        <w:t>.</w:t>
      </w:r>
      <w:r w:rsidR="009A7E5C">
        <w:rPr>
          <w:rFonts w:ascii="Cambria" w:hAnsi="Cambria" w:cs="Arial"/>
          <w:sz w:val="24"/>
          <w:szCs w:val="24"/>
        </w:rPr>
        <w:t xml:space="preserve"> </w:t>
      </w:r>
    </w:p>
    <w:p w14:paraId="6EB6E1F6" w14:textId="1D204C52" w:rsidR="00E666A9" w:rsidRDefault="00E34036" w:rsidP="00923A86">
      <w:pPr>
        <w:pStyle w:val="BodyText2"/>
        <w:spacing w:beforeLines="100" w:before="240" w:afterLines="100" w:after="240" w:line="360" w:lineRule="auto"/>
        <w:jc w:val="both"/>
        <w:rPr>
          <w:rFonts w:ascii="Cambria" w:hAnsi="Cambria" w:cs="Arial"/>
          <w:b/>
          <w:bCs/>
          <w:sz w:val="24"/>
          <w:szCs w:val="24"/>
          <w:u w:val="single"/>
        </w:rPr>
      </w:pPr>
      <w:r>
        <w:rPr>
          <w:rFonts w:ascii="Cambria" w:hAnsi="Cambria" w:cs="Arial"/>
          <w:sz w:val="24"/>
          <w:szCs w:val="24"/>
        </w:rPr>
        <w:t xml:space="preserve">Accordingly, the </w:t>
      </w:r>
      <w:r w:rsidRPr="00E34036">
        <w:rPr>
          <w:rFonts w:ascii="Cambria" w:hAnsi="Cambria" w:cs="Arial"/>
          <w:sz w:val="24"/>
          <w:szCs w:val="24"/>
        </w:rPr>
        <w:t>R&amp;M entitlement for FY 202</w:t>
      </w:r>
      <w:r w:rsidR="00EC7457">
        <w:rPr>
          <w:rFonts w:ascii="Cambria" w:hAnsi="Cambria" w:cs="Arial"/>
          <w:sz w:val="24"/>
          <w:szCs w:val="24"/>
        </w:rPr>
        <w:t>5</w:t>
      </w:r>
      <w:r w:rsidRPr="00E34036">
        <w:rPr>
          <w:rFonts w:ascii="Cambria" w:hAnsi="Cambria" w:cs="Arial"/>
          <w:sz w:val="24"/>
          <w:szCs w:val="24"/>
        </w:rPr>
        <w:t>-2</w:t>
      </w:r>
      <w:r w:rsidR="00EC7457">
        <w:rPr>
          <w:rFonts w:ascii="Cambria" w:hAnsi="Cambria" w:cs="Arial"/>
          <w:sz w:val="24"/>
          <w:szCs w:val="24"/>
        </w:rPr>
        <w:t>6</w:t>
      </w:r>
      <w:r w:rsidR="008E04E8">
        <w:rPr>
          <w:rFonts w:ascii="Cambria" w:hAnsi="Cambria" w:cs="Arial"/>
          <w:sz w:val="24"/>
          <w:szCs w:val="24"/>
        </w:rPr>
        <w:t xml:space="preserve"> &amp; FY </w:t>
      </w:r>
      <w:r w:rsidR="009A0E63">
        <w:rPr>
          <w:rFonts w:ascii="Cambria" w:hAnsi="Cambria" w:cs="Arial"/>
          <w:sz w:val="24"/>
          <w:szCs w:val="24"/>
        </w:rPr>
        <w:t>2026-27</w:t>
      </w:r>
      <w:r>
        <w:rPr>
          <w:rFonts w:ascii="Cambria" w:hAnsi="Cambria" w:cs="Arial"/>
          <w:sz w:val="24"/>
          <w:szCs w:val="24"/>
        </w:rPr>
        <w:t xml:space="preserve"> as per </w:t>
      </w:r>
      <w:r w:rsidR="008E04E8">
        <w:rPr>
          <w:rFonts w:ascii="Cambria" w:hAnsi="Cambria" w:cs="Arial"/>
          <w:sz w:val="24"/>
          <w:szCs w:val="24"/>
        </w:rPr>
        <w:t>Tariff</w:t>
      </w:r>
      <w:r w:rsidR="00290C97">
        <w:rPr>
          <w:rFonts w:ascii="Cambria" w:hAnsi="Cambria" w:cs="Arial"/>
          <w:sz w:val="24"/>
          <w:szCs w:val="24"/>
        </w:rPr>
        <w:t xml:space="preserve"> Regulations</w:t>
      </w:r>
      <w:r w:rsidR="008E04E8">
        <w:rPr>
          <w:rFonts w:ascii="Cambria" w:hAnsi="Cambria" w:cs="Arial"/>
          <w:sz w:val="24"/>
          <w:szCs w:val="24"/>
        </w:rPr>
        <w:t>, 2022</w:t>
      </w:r>
      <w:r w:rsidR="00290C97">
        <w:rPr>
          <w:rFonts w:ascii="Cambria" w:hAnsi="Cambria" w:cs="Arial"/>
          <w:sz w:val="24"/>
          <w:szCs w:val="24"/>
        </w:rPr>
        <w:t xml:space="preserve"> is computed below:</w:t>
      </w:r>
    </w:p>
    <w:p w14:paraId="2E0E5DF3" w14:textId="584764CE" w:rsidR="007A3754" w:rsidRPr="007A3754" w:rsidRDefault="007A3754" w:rsidP="001D55BD">
      <w:pPr>
        <w:pStyle w:val="BodyText2"/>
        <w:spacing w:line="360" w:lineRule="auto"/>
        <w:jc w:val="both"/>
        <w:rPr>
          <w:rFonts w:ascii="Cambria" w:hAnsi="Cambria" w:cs="Arial"/>
          <w:b/>
          <w:bCs/>
          <w:sz w:val="24"/>
          <w:szCs w:val="24"/>
          <w:u w:val="single"/>
        </w:rPr>
      </w:pPr>
      <w:r w:rsidRPr="007A3754">
        <w:rPr>
          <w:rFonts w:ascii="Cambria" w:hAnsi="Cambria" w:cs="Arial"/>
          <w:b/>
          <w:bCs/>
          <w:sz w:val="24"/>
          <w:szCs w:val="24"/>
          <w:u w:val="single"/>
        </w:rPr>
        <w:t>FY 202</w:t>
      </w:r>
      <w:r w:rsidR="00EC7457">
        <w:rPr>
          <w:rFonts w:ascii="Cambria" w:hAnsi="Cambria" w:cs="Arial"/>
          <w:b/>
          <w:bCs/>
          <w:sz w:val="24"/>
          <w:szCs w:val="24"/>
          <w:u w:val="single"/>
        </w:rPr>
        <w:t>5</w:t>
      </w:r>
      <w:r w:rsidRPr="007A3754">
        <w:rPr>
          <w:rFonts w:ascii="Cambria" w:hAnsi="Cambria" w:cs="Arial"/>
          <w:b/>
          <w:bCs/>
          <w:sz w:val="24"/>
          <w:szCs w:val="24"/>
          <w:u w:val="single"/>
        </w:rPr>
        <w:t>-2</w:t>
      </w:r>
      <w:r w:rsidR="00EC7457">
        <w:rPr>
          <w:rFonts w:ascii="Cambria" w:hAnsi="Cambria" w:cs="Arial"/>
          <w:b/>
          <w:bCs/>
          <w:sz w:val="24"/>
          <w:szCs w:val="24"/>
          <w:u w:val="single"/>
        </w:rPr>
        <w:t>6</w:t>
      </w:r>
      <w:r w:rsidRPr="007A3754">
        <w:rPr>
          <w:rFonts w:ascii="Cambria" w:hAnsi="Cambria" w:cs="Arial"/>
          <w:b/>
          <w:bCs/>
          <w:sz w:val="24"/>
          <w:szCs w:val="24"/>
          <w:u w:val="single"/>
        </w:rPr>
        <w:t>:</w:t>
      </w:r>
    </w:p>
    <w:tbl>
      <w:tblPr>
        <w:tblStyle w:val="TableGrid"/>
        <w:tblW w:w="0" w:type="auto"/>
        <w:jc w:val="center"/>
        <w:tblLook w:val="04A0" w:firstRow="1" w:lastRow="0" w:firstColumn="1" w:lastColumn="0" w:noHBand="0" w:noVBand="1"/>
      </w:tblPr>
      <w:tblGrid>
        <w:gridCol w:w="992"/>
        <w:gridCol w:w="5982"/>
        <w:gridCol w:w="2136"/>
      </w:tblGrid>
      <w:tr w:rsidR="00A61713" w:rsidRPr="002911DF" w14:paraId="0E54ADA8" w14:textId="77777777" w:rsidTr="00397CDD">
        <w:trPr>
          <w:trHeight w:val="294"/>
          <w:tblHeader/>
          <w:jc w:val="center"/>
        </w:trPr>
        <w:tc>
          <w:tcPr>
            <w:tcW w:w="992" w:type="dxa"/>
            <w:shd w:val="clear" w:color="auto" w:fill="C6D9F1" w:themeFill="text2" w:themeFillTint="33"/>
            <w:vAlign w:val="center"/>
          </w:tcPr>
          <w:p w14:paraId="3BBFF797" w14:textId="77777777" w:rsidR="00A61713" w:rsidRPr="002911DF" w:rsidRDefault="00A61713" w:rsidP="00ED4C16">
            <w:pPr>
              <w:pStyle w:val="BodyText2"/>
              <w:spacing w:before="0" w:after="0"/>
              <w:jc w:val="center"/>
              <w:rPr>
                <w:rFonts w:ascii="Cambria" w:hAnsi="Cambria" w:cs="Arial"/>
                <w:b/>
                <w:bCs/>
                <w:sz w:val="22"/>
                <w:szCs w:val="24"/>
              </w:rPr>
            </w:pPr>
            <w:bookmarkStart w:id="51" w:name="_Hlk183543799"/>
            <w:r w:rsidRPr="002911DF">
              <w:rPr>
                <w:rFonts w:ascii="Cambria" w:hAnsi="Cambria" w:cs="Arial"/>
                <w:b/>
                <w:bCs/>
                <w:sz w:val="22"/>
                <w:szCs w:val="24"/>
              </w:rPr>
              <w:t>S. No.</w:t>
            </w:r>
          </w:p>
        </w:tc>
        <w:tc>
          <w:tcPr>
            <w:tcW w:w="5982" w:type="dxa"/>
            <w:shd w:val="clear" w:color="auto" w:fill="C6D9F1" w:themeFill="text2" w:themeFillTint="33"/>
            <w:vAlign w:val="center"/>
          </w:tcPr>
          <w:p w14:paraId="4E8A23DC" w14:textId="77777777" w:rsidR="00A61713" w:rsidRPr="002911DF" w:rsidRDefault="00A61713" w:rsidP="00ED4C16">
            <w:pPr>
              <w:pStyle w:val="BodyText2"/>
              <w:spacing w:before="0" w:after="0"/>
              <w:rPr>
                <w:rFonts w:ascii="Cambria" w:hAnsi="Cambria" w:cs="Arial"/>
                <w:b/>
                <w:bCs/>
                <w:sz w:val="22"/>
                <w:szCs w:val="24"/>
              </w:rPr>
            </w:pPr>
            <w:r w:rsidRPr="002911DF">
              <w:rPr>
                <w:rFonts w:ascii="Cambria" w:hAnsi="Cambria" w:cs="Arial"/>
                <w:b/>
                <w:bCs/>
                <w:sz w:val="22"/>
                <w:szCs w:val="24"/>
              </w:rPr>
              <w:t>Particulars</w:t>
            </w:r>
          </w:p>
        </w:tc>
        <w:tc>
          <w:tcPr>
            <w:tcW w:w="2136" w:type="dxa"/>
            <w:shd w:val="clear" w:color="auto" w:fill="C6D9F1" w:themeFill="text2" w:themeFillTint="33"/>
            <w:vAlign w:val="center"/>
          </w:tcPr>
          <w:p w14:paraId="248E9E1E" w14:textId="77777777" w:rsidR="00A61713" w:rsidRPr="002911DF" w:rsidRDefault="00A61713" w:rsidP="00ED4C16">
            <w:pPr>
              <w:pStyle w:val="BodyText2"/>
              <w:spacing w:before="0" w:after="0"/>
              <w:jc w:val="center"/>
              <w:rPr>
                <w:rFonts w:ascii="Cambria" w:hAnsi="Cambria" w:cs="Arial"/>
                <w:b/>
                <w:bCs/>
                <w:sz w:val="22"/>
                <w:szCs w:val="24"/>
              </w:rPr>
            </w:pPr>
            <w:r w:rsidRPr="002911DF">
              <w:rPr>
                <w:rFonts w:ascii="Cambria" w:hAnsi="Cambria" w:cs="Arial"/>
                <w:b/>
                <w:bCs/>
                <w:sz w:val="22"/>
                <w:szCs w:val="24"/>
              </w:rPr>
              <w:t>Amount (Rs. Cr.)</w:t>
            </w:r>
          </w:p>
        </w:tc>
      </w:tr>
      <w:tr w:rsidR="00A61713" w:rsidRPr="002911DF" w14:paraId="732241DD" w14:textId="77777777" w:rsidTr="00806C7E">
        <w:trPr>
          <w:trHeight w:val="294"/>
          <w:jc w:val="center"/>
        </w:trPr>
        <w:tc>
          <w:tcPr>
            <w:tcW w:w="992" w:type="dxa"/>
            <w:vAlign w:val="center"/>
          </w:tcPr>
          <w:p w14:paraId="6196C7D1" w14:textId="77777777" w:rsidR="00A61713" w:rsidRPr="002911DF" w:rsidRDefault="00A61713" w:rsidP="00ED4C16">
            <w:pPr>
              <w:pStyle w:val="BodyText2"/>
              <w:spacing w:before="0" w:after="0"/>
              <w:jc w:val="center"/>
              <w:rPr>
                <w:rFonts w:ascii="Cambria" w:hAnsi="Cambria" w:cs="Arial"/>
                <w:sz w:val="22"/>
                <w:szCs w:val="24"/>
              </w:rPr>
            </w:pPr>
            <w:r w:rsidRPr="002911DF">
              <w:rPr>
                <w:rFonts w:ascii="Cambria" w:hAnsi="Cambria" w:cs="Arial"/>
                <w:sz w:val="22"/>
                <w:szCs w:val="24"/>
              </w:rPr>
              <w:t>1</w:t>
            </w:r>
          </w:p>
        </w:tc>
        <w:tc>
          <w:tcPr>
            <w:tcW w:w="5982" w:type="dxa"/>
            <w:vAlign w:val="center"/>
          </w:tcPr>
          <w:p w14:paraId="707C8932" w14:textId="172626F0" w:rsidR="00A61713" w:rsidRPr="002911DF" w:rsidRDefault="00A61713" w:rsidP="00ED4C16">
            <w:pPr>
              <w:pStyle w:val="BodyText2"/>
              <w:spacing w:before="0" w:after="0"/>
              <w:rPr>
                <w:rFonts w:ascii="Cambria" w:hAnsi="Cambria" w:cs="Arial"/>
                <w:sz w:val="22"/>
                <w:szCs w:val="24"/>
              </w:rPr>
            </w:pPr>
            <w:r w:rsidRPr="002911DF">
              <w:rPr>
                <w:rFonts w:ascii="Cambria" w:hAnsi="Cambria" w:cs="Arial"/>
                <w:sz w:val="22"/>
                <w:szCs w:val="24"/>
              </w:rPr>
              <w:t>Opening GFA as on 01.04.202</w:t>
            </w:r>
            <w:r w:rsidR="00EC7457">
              <w:rPr>
                <w:rFonts w:ascii="Cambria" w:hAnsi="Cambria" w:cs="Arial"/>
                <w:sz w:val="22"/>
                <w:szCs w:val="24"/>
              </w:rPr>
              <w:t>5</w:t>
            </w:r>
            <w:r w:rsidRPr="002911DF">
              <w:rPr>
                <w:rFonts w:ascii="Cambria" w:hAnsi="Cambria" w:cs="Arial"/>
                <w:sz w:val="22"/>
                <w:szCs w:val="24"/>
              </w:rPr>
              <w:t xml:space="preserve"> for DISCOM owned assets</w:t>
            </w:r>
          </w:p>
        </w:tc>
        <w:tc>
          <w:tcPr>
            <w:tcW w:w="2136" w:type="dxa"/>
            <w:vAlign w:val="center"/>
          </w:tcPr>
          <w:p w14:paraId="74A82F0F" w14:textId="3BF2A8E7" w:rsidR="00A61713" w:rsidRPr="002911DF" w:rsidRDefault="00EC7457" w:rsidP="00ED4C16">
            <w:pPr>
              <w:pStyle w:val="BodyText2"/>
              <w:spacing w:before="0" w:after="0"/>
              <w:jc w:val="center"/>
              <w:rPr>
                <w:rFonts w:ascii="Cambria" w:hAnsi="Cambria" w:cs="Arial"/>
                <w:sz w:val="22"/>
                <w:szCs w:val="24"/>
              </w:rPr>
            </w:pPr>
            <w:r>
              <w:rPr>
                <w:rFonts w:ascii="Cambria" w:hAnsi="Cambria" w:cs="Arial"/>
                <w:sz w:val="22"/>
                <w:szCs w:val="24"/>
              </w:rPr>
              <w:t>54</w:t>
            </w:r>
            <w:r w:rsidR="002E7B3E">
              <w:rPr>
                <w:rFonts w:ascii="Cambria" w:hAnsi="Cambria" w:cs="Arial"/>
                <w:sz w:val="22"/>
                <w:szCs w:val="24"/>
              </w:rPr>
              <w:t>24.89</w:t>
            </w:r>
          </w:p>
        </w:tc>
      </w:tr>
      <w:tr w:rsidR="00A61713" w:rsidRPr="002911DF" w14:paraId="63D1417A" w14:textId="77777777" w:rsidTr="00806C7E">
        <w:trPr>
          <w:trHeight w:val="294"/>
          <w:jc w:val="center"/>
        </w:trPr>
        <w:tc>
          <w:tcPr>
            <w:tcW w:w="992" w:type="dxa"/>
            <w:vAlign w:val="center"/>
          </w:tcPr>
          <w:p w14:paraId="0445BF63" w14:textId="77777777" w:rsidR="00A61713" w:rsidRPr="002911DF" w:rsidRDefault="00A61713" w:rsidP="00ED4C16">
            <w:pPr>
              <w:pStyle w:val="BodyText2"/>
              <w:spacing w:before="0" w:after="0"/>
              <w:jc w:val="center"/>
              <w:rPr>
                <w:rFonts w:ascii="Cambria" w:hAnsi="Cambria" w:cs="Arial"/>
                <w:sz w:val="22"/>
                <w:szCs w:val="24"/>
              </w:rPr>
            </w:pPr>
            <w:r w:rsidRPr="002911DF">
              <w:rPr>
                <w:rFonts w:ascii="Cambria" w:hAnsi="Cambria" w:cs="Arial"/>
                <w:sz w:val="22"/>
                <w:szCs w:val="24"/>
              </w:rPr>
              <w:t>2</w:t>
            </w:r>
          </w:p>
        </w:tc>
        <w:tc>
          <w:tcPr>
            <w:tcW w:w="5982" w:type="dxa"/>
            <w:vAlign w:val="center"/>
          </w:tcPr>
          <w:p w14:paraId="02CBF570" w14:textId="77777777" w:rsidR="00A61713" w:rsidRPr="002911DF" w:rsidRDefault="00A61713" w:rsidP="00ED4C16">
            <w:pPr>
              <w:pStyle w:val="BodyText2"/>
              <w:spacing w:before="0" w:after="0"/>
              <w:rPr>
                <w:rFonts w:ascii="Cambria" w:hAnsi="Cambria" w:cs="Arial"/>
                <w:sz w:val="22"/>
                <w:szCs w:val="24"/>
              </w:rPr>
            </w:pPr>
            <w:r w:rsidRPr="002911DF">
              <w:rPr>
                <w:rFonts w:ascii="Cambria" w:hAnsi="Cambria" w:cs="Arial"/>
                <w:sz w:val="22"/>
                <w:szCs w:val="24"/>
              </w:rPr>
              <w:t>Approved %</w:t>
            </w:r>
          </w:p>
        </w:tc>
        <w:tc>
          <w:tcPr>
            <w:tcW w:w="2136" w:type="dxa"/>
            <w:vAlign w:val="center"/>
          </w:tcPr>
          <w:p w14:paraId="65936D34" w14:textId="67CC8F83" w:rsidR="00A61713" w:rsidRPr="002911DF" w:rsidRDefault="00A61713" w:rsidP="00ED4C16">
            <w:pPr>
              <w:pStyle w:val="BodyText2"/>
              <w:spacing w:before="0" w:after="0"/>
              <w:jc w:val="center"/>
              <w:rPr>
                <w:rFonts w:ascii="Cambria" w:hAnsi="Cambria" w:cs="Arial"/>
                <w:sz w:val="22"/>
                <w:szCs w:val="24"/>
              </w:rPr>
            </w:pPr>
            <w:r w:rsidRPr="002911DF">
              <w:rPr>
                <w:rFonts w:ascii="Cambria" w:hAnsi="Cambria" w:cs="Arial"/>
                <w:sz w:val="22"/>
                <w:szCs w:val="24"/>
              </w:rPr>
              <w:t>4.</w:t>
            </w:r>
            <w:r w:rsidR="00EC7457">
              <w:rPr>
                <w:rFonts w:ascii="Cambria" w:hAnsi="Cambria" w:cs="Arial"/>
                <w:sz w:val="22"/>
                <w:szCs w:val="24"/>
              </w:rPr>
              <w:t>0</w:t>
            </w:r>
            <w:r w:rsidRPr="002911DF">
              <w:rPr>
                <w:rFonts w:ascii="Cambria" w:hAnsi="Cambria" w:cs="Arial"/>
                <w:sz w:val="22"/>
                <w:szCs w:val="24"/>
              </w:rPr>
              <w:t>0%</w:t>
            </w:r>
          </w:p>
        </w:tc>
      </w:tr>
      <w:tr w:rsidR="00A61713" w:rsidRPr="002911DF" w14:paraId="2AD1EFE2" w14:textId="77777777" w:rsidTr="00806C7E">
        <w:trPr>
          <w:trHeight w:val="277"/>
          <w:jc w:val="center"/>
        </w:trPr>
        <w:tc>
          <w:tcPr>
            <w:tcW w:w="992" w:type="dxa"/>
            <w:vAlign w:val="center"/>
          </w:tcPr>
          <w:p w14:paraId="6DC9D124" w14:textId="77777777" w:rsidR="00A61713" w:rsidRPr="002911DF" w:rsidRDefault="00A61713" w:rsidP="00ED4C16">
            <w:pPr>
              <w:pStyle w:val="BodyText2"/>
              <w:spacing w:before="0" w:after="0"/>
              <w:jc w:val="center"/>
              <w:rPr>
                <w:rFonts w:ascii="Cambria" w:hAnsi="Cambria" w:cs="Arial"/>
                <w:sz w:val="22"/>
                <w:szCs w:val="24"/>
              </w:rPr>
            </w:pPr>
            <w:r w:rsidRPr="002911DF">
              <w:rPr>
                <w:rFonts w:ascii="Cambria" w:hAnsi="Cambria" w:cs="Arial"/>
                <w:sz w:val="22"/>
                <w:szCs w:val="24"/>
              </w:rPr>
              <w:t>3</w:t>
            </w:r>
          </w:p>
        </w:tc>
        <w:tc>
          <w:tcPr>
            <w:tcW w:w="5982" w:type="dxa"/>
            <w:vAlign w:val="center"/>
          </w:tcPr>
          <w:p w14:paraId="72693A87" w14:textId="77777777" w:rsidR="00A61713" w:rsidRPr="002911DF" w:rsidRDefault="00A61713" w:rsidP="00ED4C16">
            <w:pPr>
              <w:pStyle w:val="BodyText2"/>
              <w:spacing w:before="0" w:after="0"/>
              <w:rPr>
                <w:rFonts w:ascii="Cambria" w:hAnsi="Cambria" w:cs="Arial"/>
                <w:sz w:val="22"/>
                <w:szCs w:val="24"/>
              </w:rPr>
            </w:pPr>
            <w:r w:rsidRPr="002911DF">
              <w:rPr>
                <w:rFonts w:ascii="Cambria" w:hAnsi="Cambria" w:cs="Arial"/>
                <w:sz w:val="22"/>
                <w:szCs w:val="24"/>
              </w:rPr>
              <w:t>R&amp;M Expenses for DISCOM owned assets</w:t>
            </w:r>
          </w:p>
        </w:tc>
        <w:tc>
          <w:tcPr>
            <w:tcW w:w="2136" w:type="dxa"/>
            <w:vAlign w:val="center"/>
          </w:tcPr>
          <w:p w14:paraId="49F72EF9" w14:textId="122AEA04" w:rsidR="00A61713" w:rsidRPr="002911DF" w:rsidRDefault="00EC7457" w:rsidP="00ED4C16">
            <w:pPr>
              <w:pStyle w:val="BodyText2"/>
              <w:spacing w:before="0" w:after="0"/>
              <w:jc w:val="center"/>
              <w:rPr>
                <w:rFonts w:ascii="Cambria" w:hAnsi="Cambria" w:cs="Arial"/>
                <w:sz w:val="22"/>
                <w:szCs w:val="24"/>
              </w:rPr>
            </w:pPr>
            <w:r>
              <w:rPr>
                <w:rFonts w:ascii="Cambria" w:hAnsi="Cambria" w:cs="Arial"/>
                <w:sz w:val="22"/>
                <w:szCs w:val="24"/>
              </w:rPr>
              <w:t>21</w:t>
            </w:r>
            <w:r w:rsidR="002E7B3E">
              <w:rPr>
                <w:rFonts w:ascii="Cambria" w:hAnsi="Cambria" w:cs="Arial"/>
                <w:sz w:val="22"/>
                <w:szCs w:val="24"/>
              </w:rPr>
              <w:t>7.00</w:t>
            </w:r>
          </w:p>
        </w:tc>
      </w:tr>
      <w:tr w:rsidR="00A61713" w:rsidRPr="002911DF" w14:paraId="3919FD7F" w14:textId="77777777" w:rsidTr="00806C7E">
        <w:trPr>
          <w:trHeight w:val="606"/>
          <w:jc w:val="center"/>
        </w:trPr>
        <w:tc>
          <w:tcPr>
            <w:tcW w:w="992" w:type="dxa"/>
            <w:vAlign w:val="center"/>
          </w:tcPr>
          <w:p w14:paraId="52EC7A61" w14:textId="77777777" w:rsidR="00A61713" w:rsidRPr="002911DF" w:rsidRDefault="00A61713" w:rsidP="00ED4C16">
            <w:pPr>
              <w:pStyle w:val="BodyText2"/>
              <w:spacing w:before="0" w:after="0"/>
              <w:jc w:val="center"/>
              <w:rPr>
                <w:rFonts w:ascii="Cambria" w:hAnsi="Cambria" w:cs="Arial"/>
                <w:sz w:val="22"/>
                <w:szCs w:val="24"/>
              </w:rPr>
            </w:pPr>
            <w:r w:rsidRPr="002911DF">
              <w:rPr>
                <w:rFonts w:ascii="Cambria" w:hAnsi="Cambria" w:cs="Arial"/>
                <w:sz w:val="22"/>
                <w:szCs w:val="24"/>
              </w:rPr>
              <w:t>4</w:t>
            </w:r>
          </w:p>
        </w:tc>
        <w:tc>
          <w:tcPr>
            <w:tcW w:w="5982" w:type="dxa"/>
          </w:tcPr>
          <w:p w14:paraId="551FCDCD" w14:textId="5CB2B0C6" w:rsidR="00A61713" w:rsidRPr="002911DF" w:rsidRDefault="00A61713" w:rsidP="00ED4C16">
            <w:pPr>
              <w:pStyle w:val="BodyText2"/>
              <w:spacing w:before="0" w:after="0"/>
              <w:jc w:val="both"/>
              <w:rPr>
                <w:rFonts w:ascii="Cambria" w:hAnsi="Cambria" w:cs="Arial"/>
                <w:sz w:val="22"/>
                <w:szCs w:val="24"/>
              </w:rPr>
            </w:pPr>
            <w:r w:rsidRPr="002911DF">
              <w:rPr>
                <w:rFonts w:ascii="Cambria" w:hAnsi="Cambria" w:cs="Arial"/>
                <w:sz w:val="22"/>
                <w:szCs w:val="24"/>
              </w:rPr>
              <w:t>Opening GFA as on 01.04.202</w:t>
            </w:r>
            <w:r w:rsidR="00EC7457">
              <w:rPr>
                <w:rFonts w:ascii="Cambria" w:hAnsi="Cambria" w:cs="Arial"/>
                <w:sz w:val="22"/>
                <w:szCs w:val="24"/>
              </w:rPr>
              <w:t>5</w:t>
            </w:r>
            <w:r w:rsidRPr="002911DF">
              <w:rPr>
                <w:rFonts w:ascii="Cambria" w:hAnsi="Cambria" w:cs="Arial"/>
                <w:sz w:val="22"/>
                <w:szCs w:val="24"/>
              </w:rPr>
              <w:t xml:space="preserve"> for Govt. owned assets maintained by DISCOM</w:t>
            </w:r>
          </w:p>
        </w:tc>
        <w:tc>
          <w:tcPr>
            <w:tcW w:w="2136" w:type="dxa"/>
            <w:vAlign w:val="center"/>
          </w:tcPr>
          <w:p w14:paraId="40272743" w14:textId="4402B115" w:rsidR="00A61713" w:rsidRPr="002911DF" w:rsidRDefault="00EA76A4" w:rsidP="00ED4C16">
            <w:pPr>
              <w:pStyle w:val="BodyText2"/>
              <w:spacing w:before="0" w:after="0"/>
              <w:jc w:val="center"/>
              <w:rPr>
                <w:rFonts w:ascii="Cambria" w:hAnsi="Cambria" w:cs="Arial"/>
                <w:sz w:val="22"/>
                <w:szCs w:val="24"/>
              </w:rPr>
            </w:pPr>
            <w:r w:rsidRPr="00EA76A4">
              <w:rPr>
                <w:rFonts w:ascii="Cambria" w:hAnsi="Cambria" w:cs="Arial"/>
                <w:sz w:val="24"/>
                <w:szCs w:val="24"/>
              </w:rPr>
              <w:t>3648.87</w:t>
            </w:r>
          </w:p>
        </w:tc>
      </w:tr>
      <w:tr w:rsidR="00A61713" w:rsidRPr="002911DF" w14:paraId="6B2FAA2B" w14:textId="77777777" w:rsidTr="00806C7E">
        <w:trPr>
          <w:trHeight w:val="277"/>
          <w:jc w:val="center"/>
        </w:trPr>
        <w:tc>
          <w:tcPr>
            <w:tcW w:w="992" w:type="dxa"/>
            <w:vAlign w:val="center"/>
          </w:tcPr>
          <w:p w14:paraId="351EC7E8" w14:textId="77777777" w:rsidR="00A61713" w:rsidRPr="002911DF" w:rsidRDefault="00A61713" w:rsidP="00ED4C16">
            <w:pPr>
              <w:pStyle w:val="BodyText2"/>
              <w:spacing w:before="0" w:after="0"/>
              <w:jc w:val="center"/>
              <w:rPr>
                <w:rFonts w:ascii="Cambria" w:hAnsi="Cambria" w:cs="Arial"/>
                <w:sz w:val="22"/>
                <w:szCs w:val="24"/>
              </w:rPr>
            </w:pPr>
            <w:r w:rsidRPr="002911DF">
              <w:rPr>
                <w:rFonts w:ascii="Cambria" w:hAnsi="Cambria" w:cs="Arial"/>
                <w:sz w:val="22"/>
                <w:szCs w:val="24"/>
              </w:rPr>
              <w:t>5</w:t>
            </w:r>
          </w:p>
        </w:tc>
        <w:tc>
          <w:tcPr>
            <w:tcW w:w="5982" w:type="dxa"/>
            <w:vAlign w:val="center"/>
          </w:tcPr>
          <w:p w14:paraId="78E7CFCB" w14:textId="77777777" w:rsidR="00A61713" w:rsidRPr="002911DF" w:rsidRDefault="00A61713" w:rsidP="00ED4C16">
            <w:pPr>
              <w:pStyle w:val="BodyText2"/>
              <w:spacing w:before="0" w:after="0"/>
              <w:jc w:val="both"/>
              <w:rPr>
                <w:rFonts w:ascii="Cambria" w:hAnsi="Cambria" w:cs="Arial"/>
                <w:sz w:val="22"/>
                <w:szCs w:val="24"/>
              </w:rPr>
            </w:pPr>
            <w:r w:rsidRPr="002911DF">
              <w:rPr>
                <w:rFonts w:ascii="Cambria" w:hAnsi="Cambria" w:cs="Arial"/>
                <w:sz w:val="22"/>
                <w:szCs w:val="24"/>
              </w:rPr>
              <w:t>Approved %</w:t>
            </w:r>
          </w:p>
        </w:tc>
        <w:tc>
          <w:tcPr>
            <w:tcW w:w="2136" w:type="dxa"/>
            <w:vAlign w:val="center"/>
          </w:tcPr>
          <w:p w14:paraId="701B87A5" w14:textId="77777777" w:rsidR="00A61713" w:rsidRPr="002911DF" w:rsidRDefault="00A61713" w:rsidP="00ED4C16">
            <w:pPr>
              <w:pStyle w:val="BodyText2"/>
              <w:spacing w:before="0" w:after="0"/>
              <w:jc w:val="center"/>
              <w:rPr>
                <w:rFonts w:ascii="Cambria" w:hAnsi="Cambria" w:cs="Arial"/>
                <w:sz w:val="22"/>
                <w:szCs w:val="24"/>
              </w:rPr>
            </w:pPr>
            <w:r w:rsidRPr="002911DF">
              <w:rPr>
                <w:rFonts w:ascii="Cambria" w:hAnsi="Cambria" w:cs="Arial"/>
                <w:sz w:val="22"/>
                <w:szCs w:val="24"/>
              </w:rPr>
              <w:t>3.00%</w:t>
            </w:r>
          </w:p>
        </w:tc>
      </w:tr>
      <w:tr w:rsidR="00A61713" w:rsidRPr="002911DF" w14:paraId="292A0250" w14:textId="77777777" w:rsidTr="00806C7E">
        <w:trPr>
          <w:trHeight w:val="294"/>
          <w:jc w:val="center"/>
        </w:trPr>
        <w:tc>
          <w:tcPr>
            <w:tcW w:w="992" w:type="dxa"/>
            <w:vAlign w:val="center"/>
          </w:tcPr>
          <w:p w14:paraId="1EA01CBF" w14:textId="77777777" w:rsidR="00A61713" w:rsidRPr="002911DF" w:rsidRDefault="00A61713" w:rsidP="00ED4C16">
            <w:pPr>
              <w:pStyle w:val="BodyText2"/>
              <w:spacing w:before="0" w:after="0"/>
              <w:jc w:val="center"/>
              <w:rPr>
                <w:rFonts w:ascii="Cambria" w:hAnsi="Cambria" w:cs="Arial"/>
                <w:sz w:val="22"/>
                <w:szCs w:val="24"/>
              </w:rPr>
            </w:pPr>
            <w:r w:rsidRPr="002911DF">
              <w:rPr>
                <w:rFonts w:ascii="Cambria" w:hAnsi="Cambria" w:cs="Arial"/>
                <w:sz w:val="22"/>
                <w:szCs w:val="24"/>
              </w:rPr>
              <w:t>6</w:t>
            </w:r>
          </w:p>
        </w:tc>
        <w:tc>
          <w:tcPr>
            <w:tcW w:w="5982" w:type="dxa"/>
            <w:vAlign w:val="center"/>
          </w:tcPr>
          <w:p w14:paraId="7F7B9F3A" w14:textId="77777777" w:rsidR="00A61713" w:rsidRPr="002911DF" w:rsidRDefault="00A61713" w:rsidP="00ED4C16">
            <w:pPr>
              <w:pStyle w:val="BodyText2"/>
              <w:spacing w:before="0" w:after="0"/>
              <w:jc w:val="both"/>
              <w:rPr>
                <w:rFonts w:ascii="Cambria" w:hAnsi="Cambria" w:cs="Arial"/>
                <w:sz w:val="22"/>
                <w:szCs w:val="24"/>
              </w:rPr>
            </w:pPr>
            <w:r w:rsidRPr="002911DF">
              <w:rPr>
                <w:rFonts w:ascii="Cambria" w:hAnsi="Cambria" w:cs="Arial"/>
                <w:sz w:val="22"/>
                <w:szCs w:val="24"/>
              </w:rPr>
              <w:t>R&amp;M Expenses for Govt. owned assets maintained by DISCOM</w:t>
            </w:r>
          </w:p>
        </w:tc>
        <w:tc>
          <w:tcPr>
            <w:tcW w:w="2136" w:type="dxa"/>
            <w:vAlign w:val="center"/>
          </w:tcPr>
          <w:p w14:paraId="44987E17" w14:textId="7C913D5C" w:rsidR="00A61713" w:rsidRPr="002911DF" w:rsidRDefault="008E712A" w:rsidP="00ED4C16">
            <w:pPr>
              <w:pStyle w:val="BodyText2"/>
              <w:spacing w:before="0" w:after="0"/>
              <w:jc w:val="center"/>
              <w:rPr>
                <w:rFonts w:ascii="Cambria" w:hAnsi="Cambria" w:cs="Arial"/>
                <w:sz w:val="22"/>
                <w:szCs w:val="24"/>
              </w:rPr>
            </w:pPr>
            <w:r w:rsidRPr="002911DF">
              <w:rPr>
                <w:rFonts w:ascii="Cambria" w:hAnsi="Cambria" w:cs="Arial"/>
                <w:sz w:val="22"/>
                <w:szCs w:val="24"/>
              </w:rPr>
              <w:t>1</w:t>
            </w:r>
            <w:r w:rsidR="00EA76A4">
              <w:rPr>
                <w:rFonts w:ascii="Cambria" w:hAnsi="Cambria" w:cs="Arial"/>
                <w:sz w:val="22"/>
                <w:szCs w:val="24"/>
              </w:rPr>
              <w:t>09.47</w:t>
            </w:r>
          </w:p>
        </w:tc>
      </w:tr>
      <w:tr w:rsidR="00A61713" w:rsidRPr="002911DF" w14:paraId="3B0CED4B" w14:textId="77777777" w:rsidTr="00806C7E">
        <w:trPr>
          <w:trHeight w:val="294"/>
          <w:jc w:val="center"/>
        </w:trPr>
        <w:tc>
          <w:tcPr>
            <w:tcW w:w="992" w:type="dxa"/>
            <w:vAlign w:val="center"/>
          </w:tcPr>
          <w:p w14:paraId="4BA77541" w14:textId="77777777" w:rsidR="00A61713" w:rsidRPr="002911DF" w:rsidRDefault="00A61713" w:rsidP="00ED4C16">
            <w:pPr>
              <w:pStyle w:val="BodyText2"/>
              <w:spacing w:before="0" w:after="0"/>
              <w:jc w:val="center"/>
              <w:rPr>
                <w:rFonts w:ascii="Cambria" w:hAnsi="Cambria" w:cs="Arial"/>
                <w:b/>
                <w:bCs/>
                <w:sz w:val="22"/>
                <w:szCs w:val="24"/>
              </w:rPr>
            </w:pPr>
            <w:r w:rsidRPr="002911DF">
              <w:rPr>
                <w:rFonts w:ascii="Cambria" w:hAnsi="Cambria" w:cs="Arial"/>
                <w:b/>
                <w:bCs/>
                <w:sz w:val="22"/>
                <w:szCs w:val="24"/>
              </w:rPr>
              <w:t>7</w:t>
            </w:r>
          </w:p>
        </w:tc>
        <w:tc>
          <w:tcPr>
            <w:tcW w:w="5982" w:type="dxa"/>
            <w:vAlign w:val="center"/>
          </w:tcPr>
          <w:p w14:paraId="724A0F4F" w14:textId="2B213078" w:rsidR="00A61713" w:rsidRPr="002911DF" w:rsidRDefault="00A61713" w:rsidP="00ED4C16">
            <w:pPr>
              <w:pStyle w:val="BodyText2"/>
              <w:spacing w:before="0" w:after="0"/>
              <w:jc w:val="both"/>
              <w:rPr>
                <w:rFonts w:ascii="Cambria" w:hAnsi="Cambria" w:cs="Arial"/>
                <w:b/>
                <w:bCs/>
                <w:sz w:val="22"/>
                <w:szCs w:val="24"/>
              </w:rPr>
            </w:pPr>
            <w:r w:rsidRPr="002911DF">
              <w:rPr>
                <w:rFonts w:ascii="Cambria" w:hAnsi="Cambria" w:cs="Arial"/>
                <w:b/>
                <w:bCs/>
                <w:sz w:val="22"/>
                <w:szCs w:val="24"/>
              </w:rPr>
              <w:t>Total R&amp;M expenses for FY 202</w:t>
            </w:r>
            <w:r w:rsidR="00EC7457">
              <w:rPr>
                <w:rFonts w:ascii="Cambria" w:hAnsi="Cambria" w:cs="Arial"/>
                <w:b/>
                <w:bCs/>
                <w:sz w:val="22"/>
                <w:szCs w:val="24"/>
              </w:rPr>
              <w:t>5</w:t>
            </w:r>
            <w:r w:rsidRPr="002911DF">
              <w:rPr>
                <w:rFonts w:ascii="Cambria" w:hAnsi="Cambria" w:cs="Arial"/>
                <w:b/>
                <w:bCs/>
                <w:sz w:val="22"/>
                <w:szCs w:val="24"/>
              </w:rPr>
              <w:t>-2</w:t>
            </w:r>
            <w:r w:rsidR="00EC7457">
              <w:rPr>
                <w:rFonts w:ascii="Cambria" w:hAnsi="Cambria" w:cs="Arial"/>
                <w:b/>
                <w:bCs/>
                <w:sz w:val="22"/>
                <w:szCs w:val="24"/>
              </w:rPr>
              <w:t>6</w:t>
            </w:r>
          </w:p>
        </w:tc>
        <w:tc>
          <w:tcPr>
            <w:tcW w:w="2136" w:type="dxa"/>
            <w:vAlign w:val="center"/>
          </w:tcPr>
          <w:p w14:paraId="1E3A3B98" w14:textId="4E2201B0" w:rsidR="00A61713" w:rsidRPr="002911DF" w:rsidRDefault="00397CDD" w:rsidP="00ED4C16">
            <w:pPr>
              <w:pStyle w:val="BodyText2"/>
              <w:spacing w:before="0" w:after="0"/>
              <w:jc w:val="center"/>
              <w:rPr>
                <w:rFonts w:ascii="Cambria" w:hAnsi="Cambria" w:cs="Arial"/>
                <w:b/>
                <w:bCs/>
                <w:sz w:val="22"/>
                <w:szCs w:val="24"/>
              </w:rPr>
            </w:pPr>
            <w:r>
              <w:rPr>
                <w:rFonts w:ascii="Cambria" w:hAnsi="Cambria" w:cs="Arial"/>
                <w:b/>
                <w:bCs/>
                <w:sz w:val="22"/>
                <w:szCs w:val="24"/>
              </w:rPr>
              <w:t>32</w:t>
            </w:r>
            <w:r w:rsidR="002E7B3E">
              <w:rPr>
                <w:rFonts w:ascii="Cambria" w:hAnsi="Cambria" w:cs="Arial"/>
                <w:b/>
                <w:bCs/>
                <w:sz w:val="22"/>
                <w:szCs w:val="24"/>
              </w:rPr>
              <w:t>6.46</w:t>
            </w:r>
          </w:p>
        </w:tc>
      </w:tr>
    </w:tbl>
    <w:p w14:paraId="163B8AE8" w14:textId="01F7061C" w:rsidR="00B26087" w:rsidRPr="007A3754" w:rsidRDefault="00B26087" w:rsidP="00B26087">
      <w:pPr>
        <w:pStyle w:val="BodyText2"/>
        <w:spacing w:line="360" w:lineRule="auto"/>
        <w:jc w:val="both"/>
        <w:rPr>
          <w:rFonts w:ascii="Cambria" w:hAnsi="Cambria" w:cs="Arial"/>
          <w:b/>
          <w:bCs/>
          <w:sz w:val="24"/>
          <w:szCs w:val="24"/>
          <w:u w:val="single"/>
        </w:rPr>
      </w:pPr>
      <w:bookmarkStart w:id="52" w:name="_Hlk183543815"/>
      <w:bookmarkEnd w:id="51"/>
      <w:r w:rsidRPr="007A3754">
        <w:rPr>
          <w:rFonts w:ascii="Cambria" w:hAnsi="Cambria" w:cs="Arial"/>
          <w:b/>
          <w:bCs/>
          <w:sz w:val="24"/>
          <w:szCs w:val="24"/>
          <w:u w:val="single"/>
        </w:rPr>
        <w:t xml:space="preserve">FY </w:t>
      </w:r>
      <w:r w:rsidR="009A0E63">
        <w:rPr>
          <w:rFonts w:ascii="Cambria" w:hAnsi="Cambria" w:cs="Arial"/>
          <w:b/>
          <w:bCs/>
          <w:sz w:val="24"/>
          <w:szCs w:val="24"/>
          <w:u w:val="single"/>
        </w:rPr>
        <w:t>2026-27</w:t>
      </w:r>
      <w:r w:rsidRPr="007A3754">
        <w:rPr>
          <w:rFonts w:ascii="Cambria" w:hAnsi="Cambria" w:cs="Arial"/>
          <w:b/>
          <w:bCs/>
          <w:sz w:val="24"/>
          <w:szCs w:val="24"/>
          <w:u w:val="single"/>
        </w:rPr>
        <w:t>:</w:t>
      </w:r>
    </w:p>
    <w:tbl>
      <w:tblPr>
        <w:tblStyle w:val="TableGrid"/>
        <w:tblW w:w="0" w:type="auto"/>
        <w:tblLook w:val="04A0" w:firstRow="1" w:lastRow="0" w:firstColumn="1" w:lastColumn="0" w:noHBand="0" w:noVBand="1"/>
      </w:tblPr>
      <w:tblGrid>
        <w:gridCol w:w="984"/>
        <w:gridCol w:w="5933"/>
        <w:gridCol w:w="2118"/>
      </w:tblGrid>
      <w:tr w:rsidR="00B26087" w:rsidRPr="002911DF" w14:paraId="7AEB3584" w14:textId="77777777" w:rsidTr="00806C7E">
        <w:trPr>
          <w:trHeight w:val="315"/>
        </w:trPr>
        <w:tc>
          <w:tcPr>
            <w:tcW w:w="984" w:type="dxa"/>
            <w:shd w:val="clear" w:color="auto" w:fill="C6D9F1" w:themeFill="text2" w:themeFillTint="33"/>
            <w:vAlign w:val="center"/>
          </w:tcPr>
          <w:p w14:paraId="403099E4" w14:textId="77777777" w:rsidR="00B26087" w:rsidRPr="002911DF" w:rsidRDefault="00B26087" w:rsidP="00ED4C16">
            <w:pPr>
              <w:pStyle w:val="BodyText2"/>
              <w:spacing w:before="0" w:after="0"/>
              <w:jc w:val="center"/>
              <w:rPr>
                <w:rFonts w:ascii="Cambria" w:hAnsi="Cambria" w:cs="Arial"/>
                <w:b/>
                <w:bCs/>
                <w:sz w:val="22"/>
                <w:szCs w:val="22"/>
              </w:rPr>
            </w:pPr>
            <w:r w:rsidRPr="002911DF">
              <w:rPr>
                <w:rFonts w:ascii="Cambria" w:hAnsi="Cambria" w:cs="Arial"/>
                <w:b/>
                <w:bCs/>
                <w:sz w:val="22"/>
                <w:szCs w:val="22"/>
              </w:rPr>
              <w:t>S. No.</w:t>
            </w:r>
          </w:p>
        </w:tc>
        <w:tc>
          <w:tcPr>
            <w:tcW w:w="5933" w:type="dxa"/>
            <w:shd w:val="clear" w:color="auto" w:fill="C6D9F1" w:themeFill="text2" w:themeFillTint="33"/>
            <w:vAlign w:val="center"/>
          </w:tcPr>
          <w:p w14:paraId="238C88F6" w14:textId="77777777" w:rsidR="00B26087" w:rsidRPr="002911DF" w:rsidRDefault="00B26087" w:rsidP="00ED4C16">
            <w:pPr>
              <w:pStyle w:val="BodyText2"/>
              <w:spacing w:before="0" w:after="0"/>
              <w:rPr>
                <w:rFonts w:ascii="Cambria" w:hAnsi="Cambria" w:cs="Arial"/>
                <w:b/>
                <w:bCs/>
                <w:sz w:val="22"/>
                <w:szCs w:val="22"/>
              </w:rPr>
            </w:pPr>
            <w:r w:rsidRPr="002911DF">
              <w:rPr>
                <w:rFonts w:ascii="Cambria" w:hAnsi="Cambria" w:cs="Arial"/>
                <w:b/>
                <w:bCs/>
                <w:sz w:val="22"/>
                <w:szCs w:val="22"/>
              </w:rPr>
              <w:t>Particulars</w:t>
            </w:r>
          </w:p>
        </w:tc>
        <w:tc>
          <w:tcPr>
            <w:tcW w:w="2118" w:type="dxa"/>
            <w:shd w:val="clear" w:color="auto" w:fill="C6D9F1" w:themeFill="text2" w:themeFillTint="33"/>
            <w:vAlign w:val="center"/>
          </w:tcPr>
          <w:p w14:paraId="616F03A2" w14:textId="77777777" w:rsidR="00B26087" w:rsidRPr="002911DF" w:rsidRDefault="00B26087" w:rsidP="00ED4C16">
            <w:pPr>
              <w:pStyle w:val="BodyText2"/>
              <w:spacing w:before="0" w:after="0"/>
              <w:jc w:val="center"/>
              <w:rPr>
                <w:rFonts w:ascii="Cambria" w:hAnsi="Cambria" w:cs="Arial"/>
                <w:b/>
                <w:bCs/>
                <w:sz w:val="22"/>
                <w:szCs w:val="22"/>
              </w:rPr>
            </w:pPr>
            <w:r w:rsidRPr="002911DF">
              <w:rPr>
                <w:rFonts w:ascii="Cambria" w:hAnsi="Cambria" w:cs="Arial"/>
                <w:b/>
                <w:bCs/>
                <w:sz w:val="22"/>
                <w:szCs w:val="22"/>
              </w:rPr>
              <w:t>Amount (Rs. Cr.)</w:t>
            </w:r>
          </w:p>
        </w:tc>
      </w:tr>
      <w:tr w:rsidR="00B26087" w:rsidRPr="002911DF" w14:paraId="32730165" w14:textId="77777777" w:rsidTr="00806C7E">
        <w:trPr>
          <w:trHeight w:val="315"/>
        </w:trPr>
        <w:tc>
          <w:tcPr>
            <w:tcW w:w="984" w:type="dxa"/>
            <w:vAlign w:val="center"/>
          </w:tcPr>
          <w:p w14:paraId="2C70F6B9" w14:textId="77777777" w:rsidR="00B26087" w:rsidRPr="002911DF" w:rsidRDefault="00B26087" w:rsidP="00ED4C16">
            <w:pPr>
              <w:pStyle w:val="BodyText2"/>
              <w:spacing w:before="0" w:after="0"/>
              <w:jc w:val="center"/>
              <w:rPr>
                <w:rFonts w:ascii="Cambria" w:hAnsi="Cambria" w:cs="Arial"/>
                <w:sz w:val="22"/>
                <w:szCs w:val="22"/>
              </w:rPr>
            </w:pPr>
            <w:r w:rsidRPr="002911DF">
              <w:rPr>
                <w:rFonts w:ascii="Cambria" w:hAnsi="Cambria" w:cs="Arial"/>
                <w:sz w:val="22"/>
                <w:szCs w:val="22"/>
              </w:rPr>
              <w:t>1</w:t>
            </w:r>
          </w:p>
        </w:tc>
        <w:tc>
          <w:tcPr>
            <w:tcW w:w="5933" w:type="dxa"/>
            <w:vAlign w:val="center"/>
          </w:tcPr>
          <w:p w14:paraId="04B5F519" w14:textId="32DE4DFE" w:rsidR="00B26087" w:rsidRPr="002911DF" w:rsidRDefault="00B26087" w:rsidP="00ED4C16">
            <w:pPr>
              <w:pStyle w:val="BodyText2"/>
              <w:spacing w:before="0" w:after="0"/>
              <w:rPr>
                <w:rFonts w:ascii="Cambria" w:hAnsi="Cambria" w:cs="Arial"/>
                <w:sz w:val="22"/>
                <w:szCs w:val="22"/>
              </w:rPr>
            </w:pPr>
            <w:r w:rsidRPr="002911DF">
              <w:rPr>
                <w:rFonts w:ascii="Cambria" w:hAnsi="Cambria" w:cs="Arial"/>
                <w:sz w:val="22"/>
                <w:szCs w:val="22"/>
              </w:rPr>
              <w:t>Opening GFA as on 01.04.202</w:t>
            </w:r>
            <w:r w:rsidR="00EC7457">
              <w:rPr>
                <w:rFonts w:ascii="Cambria" w:hAnsi="Cambria" w:cs="Arial"/>
                <w:sz w:val="22"/>
                <w:szCs w:val="22"/>
              </w:rPr>
              <w:t>6</w:t>
            </w:r>
            <w:r w:rsidRPr="002911DF">
              <w:rPr>
                <w:rFonts w:ascii="Cambria" w:hAnsi="Cambria" w:cs="Arial"/>
                <w:sz w:val="22"/>
                <w:szCs w:val="22"/>
              </w:rPr>
              <w:t xml:space="preserve"> for DISCOM owned assets</w:t>
            </w:r>
          </w:p>
        </w:tc>
        <w:tc>
          <w:tcPr>
            <w:tcW w:w="2118" w:type="dxa"/>
            <w:vAlign w:val="center"/>
          </w:tcPr>
          <w:p w14:paraId="5388640C" w14:textId="46AB0380" w:rsidR="00B26087" w:rsidRPr="002911DF" w:rsidRDefault="00EC7457" w:rsidP="00B26087">
            <w:pPr>
              <w:pStyle w:val="BodyText2"/>
              <w:spacing w:before="0" w:after="0"/>
              <w:jc w:val="center"/>
              <w:rPr>
                <w:rFonts w:ascii="Cambria" w:hAnsi="Cambria" w:cs="Arial"/>
                <w:sz w:val="22"/>
                <w:szCs w:val="22"/>
              </w:rPr>
            </w:pPr>
            <w:r>
              <w:rPr>
                <w:rFonts w:asciiTheme="majorHAnsi" w:hAnsiTheme="majorHAnsi" w:cs="Arial"/>
                <w:sz w:val="22"/>
                <w:szCs w:val="22"/>
              </w:rPr>
              <w:t>66</w:t>
            </w:r>
            <w:r w:rsidR="002E7B3E">
              <w:rPr>
                <w:rFonts w:asciiTheme="majorHAnsi" w:hAnsiTheme="majorHAnsi" w:cs="Arial"/>
                <w:sz w:val="22"/>
                <w:szCs w:val="22"/>
              </w:rPr>
              <w:t>22.05</w:t>
            </w:r>
          </w:p>
        </w:tc>
      </w:tr>
      <w:tr w:rsidR="00B26087" w:rsidRPr="002911DF" w14:paraId="370DE639" w14:textId="77777777" w:rsidTr="00806C7E">
        <w:trPr>
          <w:trHeight w:val="315"/>
        </w:trPr>
        <w:tc>
          <w:tcPr>
            <w:tcW w:w="984" w:type="dxa"/>
            <w:vAlign w:val="center"/>
          </w:tcPr>
          <w:p w14:paraId="01093BCA" w14:textId="77777777" w:rsidR="00B26087" w:rsidRPr="002911DF" w:rsidRDefault="00B26087" w:rsidP="00B26087">
            <w:pPr>
              <w:pStyle w:val="BodyText2"/>
              <w:spacing w:before="0" w:after="0"/>
              <w:jc w:val="center"/>
              <w:rPr>
                <w:rFonts w:ascii="Cambria" w:hAnsi="Cambria" w:cs="Arial"/>
                <w:sz w:val="22"/>
                <w:szCs w:val="22"/>
              </w:rPr>
            </w:pPr>
            <w:r w:rsidRPr="002911DF">
              <w:rPr>
                <w:rFonts w:ascii="Cambria" w:hAnsi="Cambria" w:cs="Arial"/>
                <w:sz w:val="22"/>
                <w:szCs w:val="22"/>
              </w:rPr>
              <w:t>2</w:t>
            </w:r>
          </w:p>
        </w:tc>
        <w:tc>
          <w:tcPr>
            <w:tcW w:w="5933" w:type="dxa"/>
            <w:vAlign w:val="center"/>
          </w:tcPr>
          <w:p w14:paraId="5A475B6B" w14:textId="77777777" w:rsidR="00B26087" w:rsidRPr="002911DF" w:rsidRDefault="00B26087" w:rsidP="00B26087">
            <w:pPr>
              <w:pStyle w:val="BodyText2"/>
              <w:spacing w:before="0" w:after="0"/>
              <w:rPr>
                <w:rFonts w:ascii="Cambria" w:hAnsi="Cambria" w:cs="Arial"/>
                <w:sz w:val="22"/>
                <w:szCs w:val="22"/>
              </w:rPr>
            </w:pPr>
            <w:r w:rsidRPr="002911DF">
              <w:rPr>
                <w:rFonts w:ascii="Cambria" w:hAnsi="Cambria" w:cs="Arial"/>
                <w:sz w:val="22"/>
                <w:szCs w:val="22"/>
              </w:rPr>
              <w:t>Approved %</w:t>
            </w:r>
          </w:p>
        </w:tc>
        <w:tc>
          <w:tcPr>
            <w:tcW w:w="2118" w:type="dxa"/>
            <w:vAlign w:val="center"/>
          </w:tcPr>
          <w:p w14:paraId="7E8B0A0F" w14:textId="00EAA627" w:rsidR="00B26087" w:rsidRPr="002911DF" w:rsidRDefault="00EC7457" w:rsidP="00B26087">
            <w:pPr>
              <w:pStyle w:val="BodyText2"/>
              <w:spacing w:before="0" w:after="0"/>
              <w:jc w:val="center"/>
              <w:rPr>
                <w:rFonts w:asciiTheme="majorHAnsi" w:hAnsiTheme="majorHAnsi" w:cs="Arial"/>
                <w:sz w:val="22"/>
                <w:szCs w:val="22"/>
              </w:rPr>
            </w:pPr>
            <w:r>
              <w:rPr>
                <w:rFonts w:asciiTheme="majorHAnsi" w:hAnsiTheme="majorHAnsi" w:cs="Arial"/>
                <w:sz w:val="22"/>
                <w:szCs w:val="22"/>
              </w:rPr>
              <w:t>3</w:t>
            </w:r>
            <w:r w:rsidR="00B26087" w:rsidRPr="002911DF">
              <w:rPr>
                <w:rFonts w:asciiTheme="majorHAnsi" w:hAnsiTheme="majorHAnsi" w:cs="Arial"/>
                <w:sz w:val="22"/>
                <w:szCs w:val="22"/>
              </w:rPr>
              <w:t>.</w:t>
            </w:r>
            <w:r w:rsidR="007928B1" w:rsidRPr="002911DF">
              <w:rPr>
                <w:rFonts w:asciiTheme="majorHAnsi" w:hAnsiTheme="majorHAnsi" w:cs="Arial"/>
                <w:sz w:val="22"/>
                <w:szCs w:val="22"/>
              </w:rPr>
              <w:t>0</w:t>
            </w:r>
            <w:r w:rsidR="00B26087" w:rsidRPr="002911DF">
              <w:rPr>
                <w:rFonts w:asciiTheme="majorHAnsi" w:hAnsiTheme="majorHAnsi" w:cs="Arial"/>
                <w:sz w:val="22"/>
                <w:szCs w:val="22"/>
              </w:rPr>
              <w:t>0%</w:t>
            </w:r>
          </w:p>
        </w:tc>
      </w:tr>
      <w:tr w:rsidR="00B26087" w:rsidRPr="002911DF" w14:paraId="6D270A8B" w14:textId="77777777" w:rsidTr="00806C7E">
        <w:trPr>
          <w:trHeight w:val="296"/>
        </w:trPr>
        <w:tc>
          <w:tcPr>
            <w:tcW w:w="984" w:type="dxa"/>
            <w:vAlign w:val="center"/>
          </w:tcPr>
          <w:p w14:paraId="2B45ED74" w14:textId="77777777" w:rsidR="00B26087" w:rsidRPr="002911DF" w:rsidRDefault="00B26087" w:rsidP="00B26087">
            <w:pPr>
              <w:pStyle w:val="BodyText2"/>
              <w:spacing w:before="0" w:after="0"/>
              <w:jc w:val="center"/>
              <w:rPr>
                <w:rFonts w:ascii="Cambria" w:hAnsi="Cambria" w:cs="Arial"/>
                <w:sz w:val="22"/>
                <w:szCs w:val="22"/>
              </w:rPr>
            </w:pPr>
            <w:r w:rsidRPr="002911DF">
              <w:rPr>
                <w:rFonts w:ascii="Cambria" w:hAnsi="Cambria" w:cs="Arial"/>
                <w:sz w:val="22"/>
                <w:szCs w:val="22"/>
              </w:rPr>
              <w:t>3</w:t>
            </w:r>
          </w:p>
        </w:tc>
        <w:tc>
          <w:tcPr>
            <w:tcW w:w="5933" w:type="dxa"/>
            <w:vAlign w:val="center"/>
          </w:tcPr>
          <w:p w14:paraId="34B33F54" w14:textId="77777777" w:rsidR="00B26087" w:rsidRPr="002911DF" w:rsidRDefault="00B26087" w:rsidP="00B26087">
            <w:pPr>
              <w:pStyle w:val="BodyText2"/>
              <w:spacing w:before="0" w:after="0"/>
              <w:rPr>
                <w:rFonts w:ascii="Cambria" w:hAnsi="Cambria" w:cs="Arial"/>
                <w:sz w:val="22"/>
                <w:szCs w:val="22"/>
              </w:rPr>
            </w:pPr>
            <w:r w:rsidRPr="002911DF">
              <w:rPr>
                <w:rFonts w:ascii="Cambria" w:hAnsi="Cambria" w:cs="Arial"/>
                <w:sz w:val="22"/>
                <w:szCs w:val="22"/>
              </w:rPr>
              <w:t>R&amp;M Expenses for DISCOM owned assets</w:t>
            </w:r>
          </w:p>
        </w:tc>
        <w:tc>
          <w:tcPr>
            <w:tcW w:w="2118" w:type="dxa"/>
            <w:vAlign w:val="center"/>
          </w:tcPr>
          <w:p w14:paraId="5B91383B" w14:textId="75425455" w:rsidR="00B26087" w:rsidRPr="002911DF" w:rsidRDefault="00EC7457" w:rsidP="00B26087">
            <w:pPr>
              <w:pStyle w:val="BodyText2"/>
              <w:spacing w:before="0" w:after="0"/>
              <w:jc w:val="center"/>
              <w:rPr>
                <w:rFonts w:asciiTheme="majorHAnsi" w:hAnsiTheme="majorHAnsi" w:cs="Arial"/>
                <w:sz w:val="22"/>
                <w:szCs w:val="22"/>
              </w:rPr>
            </w:pPr>
            <w:r>
              <w:rPr>
                <w:rFonts w:asciiTheme="majorHAnsi" w:hAnsiTheme="majorHAnsi" w:cs="Arial"/>
                <w:sz w:val="22"/>
                <w:szCs w:val="22"/>
              </w:rPr>
              <w:t>198.</w:t>
            </w:r>
            <w:r w:rsidR="002E7B3E">
              <w:rPr>
                <w:rFonts w:asciiTheme="majorHAnsi" w:hAnsiTheme="majorHAnsi" w:cs="Arial"/>
                <w:sz w:val="22"/>
                <w:szCs w:val="22"/>
              </w:rPr>
              <w:t>66</w:t>
            </w:r>
          </w:p>
        </w:tc>
      </w:tr>
      <w:tr w:rsidR="00B26087" w:rsidRPr="002911DF" w14:paraId="2CA2C229" w14:textId="77777777" w:rsidTr="00806C7E">
        <w:trPr>
          <w:trHeight w:val="649"/>
        </w:trPr>
        <w:tc>
          <w:tcPr>
            <w:tcW w:w="984" w:type="dxa"/>
            <w:vAlign w:val="center"/>
          </w:tcPr>
          <w:p w14:paraId="0DCC71E8" w14:textId="77777777" w:rsidR="00B26087" w:rsidRPr="002911DF" w:rsidRDefault="00B26087" w:rsidP="00B26087">
            <w:pPr>
              <w:pStyle w:val="BodyText2"/>
              <w:spacing w:before="0" w:after="0"/>
              <w:jc w:val="center"/>
              <w:rPr>
                <w:rFonts w:ascii="Cambria" w:hAnsi="Cambria" w:cs="Arial"/>
                <w:sz w:val="22"/>
                <w:szCs w:val="22"/>
              </w:rPr>
            </w:pPr>
            <w:r w:rsidRPr="002911DF">
              <w:rPr>
                <w:rFonts w:ascii="Cambria" w:hAnsi="Cambria" w:cs="Arial"/>
                <w:sz w:val="22"/>
                <w:szCs w:val="22"/>
              </w:rPr>
              <w:t>4</w:t>
            </w:r>
          </w:p>
        </w:tc>
        <w:tc>
          <w:tcPr>
            <w:tcW w:w="5933" w:type="dxa"/>
          </w:tcPr>
          <w:p w14:paraId="773A8B0C" w14:textId="0DEBFE7F" w:rsidR="00B26087" w:rsidRPr="002911DF" w:rsidRDefault="00B26087" w:rsidP="00B26087">
            <w:pPr>
              <w:pStyle w:val="BodyText2"/>
              <w:spacing w:before="0" w:after="0"/>
              <w:jc w:val="both"/>
              <w:rPr>
                <w:rFonts w:ascii="Cambria" w:hAnsi="Cambria" w:cs="Arial"/>
                <w:sz w:val="22"/>
                <w:szCs w:val="22"/>
              </w:rPr>
            </w:pPr>
            <w:r w:rsidRPr="002911DF">
              <w:rPr>
                <w:rFonts w:ascii="Cambria" w:hAnsi="Cambria" w:cs="Arial"/>
                <w:sz w:val="22"/>
                <w:szCs w:val="22"/>
              </w:rPr>
              <w:t>Opening GFA as on 01.04.202</w:t>
            </w:r>
            <w:r w:rsidR="00EC7457">
              <w:rPr>
                <w:rFonts w:ascii="Cambria" w:hAnsi="Cambria" w:cs="Arial"/>
                <w:sz w:val="22"/>
                <w:szCs w:val="22"/>
              </w:rPr>
              <w:t>6</w:t>
            </w:r>
            <w:r w:rsidRPr="002911DF">
              <w:rPr>
                <w:rFonts w:ascii="Cambria" w:hAnsi="Cambria" w:cs="Arial"/>
                <w:sz w:val="22"/>
                <w:szCs w:val="22"/>
              </w:rPr>
              <w:t xml:space="preserve"> for Govt. owned assets maintained by DISCOM</w:t>
            </w:r>
          </w:p>
        </w:tc>
        <w:tc>
          <w:tcPr>
            <w:tcW w:w="2118" w:type="dxa"/>
            <w:vAlign w:val="center"/>
          </w:tcPr>
          <w:p w14:paraId="1BF54D4A" w14:textId="36D72D1E" w:rsidR="00B26087" w:rsidRPr="00B557BB" w:rsidRDefault="00B557BB" w:rsidP="00B26087">
            <w:pPr>
              <w:pStyle w:val="BodyText2"/>
              <w:spacing w:before="0" w:after="0"/>
              <w:jc w:val="center"/>
              <w:rPr>
                <w:rFonts w:asciiTheme="majorHAnsi" w:hAnsiTheme="majorHAnsi" w:cs="Arial"/>
                <w:sz w:val="22"/>
                <w:szCs w:val="22"/>
              </w:rPr>
            </w:pPr>
            <w:r w:rsidRPr="00B557BB">
              <w:rPr>
                <w:rFonts w:asciiTheme="majorHAnsi" w:hAnsiTheme="majorHAnsi" w:cs="Arial"/>
                <w:sz w:val="22"/>
                <w:szCs w:val="22"/>
              </w:rPr>
              <w:t>3</w:t>
            </w:r>
            <w:r w:rsidR="002E7B3E">
              <w:rPr>
                <w:rFonts w:asciiTheme="majorHAnsi" w:hAnsiTheme="majorHAnsi" w:cs="Arial"/>
                <w:sz w:val="22"/>
                <w:szCs w:val="22"/>
              </w:rPr>
              <w:t>750.54</w:t>
            </w:r>
          </w:p>
        </w:tc>
      </w:tr>
      <w:tr w:rsidR="00B26087" w:rsidRPr="002911DF" w14:paraId="5D453AC6" w14:textId="77777777" w:rsidTr="00806C7E">
        <w:trPr>
          <w:trHeight w:val="296"/>
        </w:trPr>
        <w:tc>
          <w:tcPr>
            <w:tcW w:w="984" w:type="dxa"/>
            <w:vAlign w:val="center"/>
          </w:tcPr>
          <w:p w14:paraId="7AFF7429" w14:textId="77777777" w:rsidR="00B26087" w:rsidRPr="002911DF" w:rsidRDefault="00B26087" w:rsidP="00B26087">
            <w:pPr>
              <w:pStyle w:val="BodyText2"/>
              <w:spacing w:before="0" w:after="0"/>
              <w:jc w:val="center"/>
              <w:rPr>
                <w:rFonts w:ascii="Cambria" w:hAnsi="Cambria" w:cs="Arial"/>
                <w:sz w:val="22"/>
                <w:szCs w:val="22"/>
              </w:rPr>
            </w:pPr>
            <w:r w:rsidRPr="002911DF">
              <w:rPr>
                <w:rFonts w:ascii="Cambria" w:hAnsi="Cambria" w:cs="Arial"/>
                <w:sz w:val="22"/>
                <w:szCs w:val="22"/>
              </w:rPr>
              <w:t>5</w:t>
            </w:r>
          </w:p>
        </w:tc>
        <w:tc>
          <w:tcPr>
            <w:tcW w:w="5933" w:type="dxa"/>
            <w:vAlign w:val="center"/>
          </w:tcPr>
          <w:p w14:paraId="35183DDC" w14:textId="77777777" w:rsidR="00B26087" w:rsidRPr="002911DF" w:rsidRDefault="00B26087" w:rsidP="00B26087">
            <w:pPr>
              <w:pStyle w:val="BodyText2"/>
              <w:spacing w:before="0" w:after="0"/>
              <w:jc w:val="both"/>
              <w:rPr>
                <w:rFonts w:ascii="Cambria" w:hAnsi="Cambria" w:cs="Arial"/>
                <w:sz w:val="22"/>
                <w:szCs w:val="22"/>
              </w:rPr>
            </w:pPr>
            <w:r w:rsidRPr="002911DF">
              <w:rPr>
                <w:rFonts w:ascii="Cambria" w:hAnsi="Cambria" w:cs="Arial"/>
                <w:sz w:val="22"/>
                <w:szCs w:val="22"/>
              </w:rPr>
              <w:t>Approved %</w:t>
            </w:r>
          </w:p>
        </w:tc>
        <w:tc>
          <w:tcPr>
            <w:tcW w:w="2118" w:type="dxa"/>
            <w:vAlign w:val="center"/>
          </w:tcPr>
          <w:p w14:paraId="7E09E939" w14:textId="287509F6" w:rsidR="00B26087" w:rsidRPr="00B557BB" w:rsidRDefault="00B26087" w:rsidP="00B26087">
            <w:pPr>
              <w:pStyle w:val="BodyText2"/>
              <w:spacing w:before="0" w:after="0"/>
              <w:jc w:val="center"/>
              <w:rPr>
                <w:rFonts w:asciiTheme="majorHAnsi" w:hAnsiTheme="majorHAnsi" w:cs="Arial"/>
                <w:sz w:val="22"/>
                <w:szCs w:val="22"/>
              </w:rPr>
            </w:pPr>
            <w:r w:rsidRPr="00B557BB">
              <w:rPr>
                <w:rFonts w:asciiTheme="majorHAnsi" w:hAnsiTheme="majorHAnsi" w:cs="Arial"/>
                <w:sz w:val="22"/>
                <w:szCs w:val="22"/>
              </w:rPr>
              <w:t>3</w:t>
            </w:r>
            <w:r w:rsidR="00E76676" w:rsidRPr="00B557BB">
              <w:rPr>
                <w:rFonts w:asciiTheme="majorHAnsi" w:hAnsiTheme="majorHAnsi" w:cs="Arial"/>
                <w:sz w:val="22"/>
                <w:szCs w:val="22"/>
              </w:rPr>
              <w:t>.00</w:t>
            </w:r>
            <w:r w:rsidRPr="00B557BB">
              <w:rPr>
                <w:rFonts w:asciiTheme="majorHAnsi" w:hAnsiTheme="majorHAnsi" w:cs="Arial"/>
                <w:sz w:val="22"/>
                <w:szCs w:val="22"/>
              </w:rPr>
              <w:t>%</w:t>
            </w:r>
          </w:p>
        </w:tc>
      </w:tr>
      <w:tr w:rsidR="00B26087" w:rsidRPr="002911DF" w14:paraId="26D1276D" w14:textId="77777777" w:rsidTr="00806C7E">
        <w:trPr>
          <w:trHeight w:val="315"/>
        </w:trPr>
        <w:tc>
          <w:tcPr>
            <w:tcW w:w="984" w:type="dxa"/>
            <w:vAlign w:val="center"/>
          </w:tcPr>
          <w:p w14:paraId="43EC9C90" w14:textId="77777777" w:rsidR="00B26087" w:rsidRPr="002911DF" w:rsidRDefault="00B26087" w:rsidP="00B26087">
            <w:pPr>
              <w:pStyle w:val="BodyText2"/>
              <w:spacing w:before="0" w:after="0"/>
              <w:jc w:val="center"/>
              <w:rPr>
                <w:rFonts w:ascii="Cambria" w:hAnsi="Cambria" w:cs="Arial"/>
                <w:sz w:val="22"/>
                <w:szCs w:val="22"/>
              </w:rPr>
            </w:pPr>
            <w:r w:rsidRPr="002911DF">
              <w:rPr>
                <w:rFonts w:ascii="Cambria" w:hAnsi="Cambria" w:cs="Arial"/>
                <w:sz w:val="22"/>
                <w:szCs w:val="22"/>
              </w:rPr>
              <w:t>6</w:t>
            </w:r>
          </w:p>
        </w:tc>
        <w:tc>
          <w:tcPr>
            <w:tcW w:w="5933" w:type="dxa"/>
            <w:vAlign w:val="center"/>
          </w:tcPr>
          <w:p w14:paraId="673F29F6" w14:textId="77777777" w:rsidR="00B26087" w:rsidRPr="002911DF" w:rsidRDefault="00B26087" w:rsidP="00B26087">
            <w:pPr>
              <w:pStyle w:val="BodyText2"/>
              <w:spacing w:before="0" w:after="0"/>
              <w:jc w:val="both"/>
              <w:rPr>
                <w:rFonts w:ascii="Cambria" w:hAnsi="Cambria" w:cs="Arial"/>
                <w:sz w:val="22"/>
                <w:szCs w:val="22"/>
              </w:rPr>
            </w:pPr>
            <w:r w:rsidRPr="002911DF">
              <w:rPr>
                <w:rFonts w:ascii="Cambria" w:hAnsi="Cambria" w:cs="Arial"/>
                <w:sz w:val="22"/>
                <w:szCs w:val="22"/>
              </w:rPr>
              <w:t>R&amp;M Expenses for Govt. owned assets maintained by DISCOM</w:t>
            </w:r>
          </w:p>
        </w:tc>
        <w:tc>
          <w:tcPr>
            <w:tcW w:w="2118" w:type="dxa"/>
            <w:vAlign w:val="center"/>
          </w:tcPr>
          <w:p w14:paraId="7D39A08C" w14:textId="302BFDD8" w:rsidR="00B26087" w:rsidRPr="00B557BB" w:rsidRDefault="007928B1" w:rsidP="00B26087">
            <w:pPr>
              <w:pStyle w:val="BodyText2"/>
              <w:spacing w:before="0" w:after="0"/>
              <w:jc w:val="center"/>
              <w:rPr>
                <w:rFonts w:asciiTheme="majorHAnsi" w:hAnsiTheme="majorHAnsi" w:cs="Arial"/>
                <w:sz w:val="22"/>
                <w:szCs w:val="22"/>
              </w:rPr>
            </w:pPr>
            <w:r w:rsidRPr="00B557BB">
              <w:rPr>
                <w:rFonts w:asciiTheme="majorHAnsi" w:hAnsiTheme="majorHAnsi" w:cs="Arial"/>
                <w:sz w:val="22"/>
                <w:szCs w:val="22"/>
              </w:rPr>
              <w:t>1</w:t>
            </w:r>
            <w:r w:rsidR="002E7B3E">
              <w:rPr>
                <w:rFonts w:asciiTheme="majorHAnsi" w:hAnsiTheme="majorHAnsi" w:cs="Arial"/>
                <w:sz w:val="22"/>
                <w:szCs w:val="22"/>
              </w:rPr>
              <w:t>12.52</w:t>
            </w:r>
          </w:p>
        </w:tc>
      </w:tr>
      <w:tr w:rsidR="00B26087" w:rsidRPr="002911DF" w14:paraId="2299A6A6" w14:textId="77777777" w:rsidTr="00806C7E">
        <w:trPr>
          <w:trHeight w:val="315"/>
        </w:trPr>
        <w:tc>
          <w:tcPr>
            <w:tcW w:w="984" w:type="dxa"/>
            <w:vAlign w:val="center"/>
          </w:tcPr>
          <w:p w14:paraId="40E25125" w14:textId="77777777" w:rsidR="00B26087" w:rsidRPr="002911DF" w:rsidRDefault="00B26087" w:rsidP="00ED4C16">
            <w:pPr>
              <w:pStyle w:val="BodyText2"/>
              <w:spacing w:before="0" w:after="0"/>
              <w:jc w:val="center"/>
              <w:rPr>
                <w:rFonts w:ascii="Cambria" w:hAnsi="Cambria" w:cs="Arial"/>
                <w:b/>
                <w:bCs/>
                <w:sz w:val="22"/>
                <w:szCs w:val="22"/>
              </w:rPr>
            </w:pPr>
            <w:r w:rsidRPr="002911DF">
              <w:rPr>
                <w:rFonts w:ascii="Cambria" w:hAnsi="Cambria" w:cs="Arial"/>
                <w:b/>
                <w:bCs/>
                <w:sz w:val="22"/>
                <w:szCs w:val="22"/>
              </w:rPr>
              <w:t>7</w:t>
            </w:r>
          </w:p>
        </w:tc>
        <w:tc>
          <w:tcPr>
            <w:tcW w:w="5933" w:type="dxa"/>
            <w:vAlign w:val="center"/>
          </w:tcPr>
          <w:p w14:paraId="454FDC65" w14:textId="5497B0C6" w:rsidR="00B26087" w:rsidRPr="002911DF" w:rsidRDefault="00B26087" w:rsidP="00ED4C16">
            <w:pPr>
              <w:pStyle w:val="BodyText2"/>
              <w:spacing w:before="0" w:after="0"/>
              <w:jc w:val="both"/>
              <w:rPr>
                <w:rFonts w:ascii="Cambria" w:hAnsi="Cambria" w:cs="Arial"/>
                <w:b/>
                <w:bCs/>
                <w:sz w:val="22"/>
                <w:szCs w:val="22"/>
              </w:rPr>
            </w:pPr>
            <w:r w:rsidRPr="002911DF">
              <w:rPr>
                <w:rFonts w:ascii="Cambria" w:hAnsi="Cambria" w:cs="Arial"/>
                <w:b/>
                <w:bCs/>
                <w:sz w:val="22"/>
                <w:szCs w:val="22"/>
              </w:rPr>
              <w:t xml:space="preserve">Total R&amp;M expenses for FY </w:t>
            </w:r>
            <w:r w:rsidR="009A0E63">
              <w:rPr>
                <w:rFonts w:ascii="Cambria" w:hAnsi="Cambria" w:cs="Arial"/>
                <w:b/>
                <w:bCs/>
                <w:sz w:val="22"/>
                <w:szCs w:val="22"/>
              </w:rPr>
              <w:t>2026-27</w:t>
            </w:r>
          </w:p>
        </w:tc>
        <w:tc>
          <w:tcPr>
            <w:tcW w:w="2118" w:type="dxa"/>
            <w:vAlign w:val="center"/>
          </w:tcPr>
          <w:p w14:paraId="23C6F45F" w14:textId="21231504" w:rsidR="00B26087" w:rsidRPr="00B557BB" w:rsidRDefault="007928B1" w:rsidP="00ED4C16">
            <w:pPr>
              <w:pStyle w:val="BodyText2"/>
              <w:spacing w:before="0" w:after="0"/>
              <w:jc w:val="center"/>
              <w:rPr>
                <w:rFonts w:ascii="Cambria" w:hAnsi="Cambria" w:cs="Arial"/>
                <w:b/>
                <w:bCs/>
                <w:sz w:val="22"/>
                <w:szCs w:val="22"/>
              </w:rPr>
            </w:pPr>
            <w:r w:rsidRPr="00B557BB">
              <w:rPr>
                <w:rFonts w:ascii="Cambria" w:hAnsi="Cambria" w:cs="Arial"/>
                <w:b/>
                <w:bCs/>
                <w:sz w:val="22"/>
                <w:szCs w:val="22"/>
              </w:rPr>
              <w:t>3</w:t>
            </w:r>
            <w:r w:rsidR="002E7B3E">
              <w:rPr>
                <w:rFonts w:ascii="Cambria" w:hAnsi="Cambria" w:cs="Arial"/>
                <w:b/>
                <w:bCs/>
                <w:sz w:val="22"/>
                <w:szCs w:val="22"/>
              </w:rPr>
              <w:t>11.18</w:t>
            </w:r>
          </w:p>
        </w:tc>
      </w:tr>
      <w:bookmarkEnd w:id="52"/>
    </w:tbl>
    <w:p w14:paraId="7E3712EC" w14:textId="77777777" w:rsidR="00923A86" w:rsidRPr="00923A86" w:rsidRDefault="00923A86" w:rsidP="001D55BD">
      <w:pPr>
        <w:pStyle w:val="BodyText2"/>
        <w:spacing w:line="360" w:lineRule="auto"/>
        <w:jc w:val="both"/>
        <w:rPr>
          <w:rFonts w:ascii="Cambria" w:hAnsi="Cambria" w:cs="Arial"/>
          <w:sz w:val="8"/>
          <w:szCs w:val="8"/>
        </w:rPr>
      </w:pPr>
    </w:p>
    <w:p w14:paraId="299A6F18" w14:textId="7498DCB0" w:rsidR="002911DF" w:rsidRDefault="002911DF" w:rsidP="00923A86">
      <w:pPr>
        <w:pStyle w:val="BodyText2"/>
        <w:spacing w:beforeLines="100" w:before="240" w:afterLines="100" w:after="240" w:line="360" w:lineRule="auto"/>
        <w:jc w:val="both"/>
        <w:rPr>
          <w:rFonts w:ascii="Cambria" w:hAnsi="Cambria" w:cs="Arial"/>
          <w:sz w:val="24"/>
          <w:szCs w:val="24"/>
        </w:rPr>
      </w:pPr>
      <w:r>
        <w:rPr>
          <w:rFonts w:ascii="Cambria" w:hAnsi="Cambria" w:cs="Arial"/>
          <w:sz w:val="24"/>
          <w:szCs w:val="24"/>
        </w:rPr>
        <w:t xml:space="preserve">However, the Licensee </w:t>
      </w:r>
      <w:r w:rsidR="00CB565A">
        <w:rPr>
          <w:rFonts w:ascii="Cambria" w:hAnsi="Cambria" w:cs="Arial"/>
          <w:sz w:val="24"/>
          <w:szCs w:val="24"/>
        </w:rPr>
        <w:t xml:space="preserve">has proposed the </w:t>
      </w:r>
      <w:r>
        <w:rPr>
          <w:rFonts w:ascii="Cambria" w:hAnsi="Cambria" w:cs="Arial"/>
          <w:sz w:val="24"/>
          <w:szCs w:val="24"/>
        </w:rPr>
        <w:t xml:space="preserve">R&amp;M Expenses for FY </w:t>
      </w:r>
      <w:r w:rsidR="007507C7">
        <w:rPr>
          <w:rFonts w:ascii="Cambria" w:hAnsi="Cambria" w:cs="Arial"/>
          <w:sz w:val="24"/>
          <w:szCs w:val="24"/>
        </w:rPr>
        <w:t>26-27</w:t>
      </w:r>
      <w:r>
        <w:rPr>
          <w:rFonts w:ascii="Cambria" w:hAnsi="Cambria" w:cs="Arial"/>
          <w:sz w:val="24"/>
          <w:szCs w:val="24"/>
        </w:rPr>
        <w:t xml:space="preserve"> </w:t>
      </w:r>
      <w:r w:rsidR="00CB565A">
        <w:rPr>
          <w:rFonts w:ascii="Cambria" w:hAnsi="Cambria" w:cs="Arial"/>
          <w:sz w:val="24"/>
          <w:szCs w:val="24"/>
        </w:rPr>
        <w:t>as</w:t>
      </w:r>
      <w:r>
        <w:rPr>
          <w:rFonts w:ascii="Cambria" w:hAnsi="Cambria" w:cs="Arial"/>
          <w:sz w:val="24"/>
          <w:szCs w:val="24"/>
        </w:rPr>
        <w:t xml:space="preserve"> </w:t>
      </w:r>
      <w:r w:rsidRPr="00B67203">
        <w:rPr>
          <w:rFonts w:ascii="Cambria" w:hAnsi="Cambria" w:cs="Arial"/>
          <w:b/>
          <w:sz w:val="24"/>
          <w:szCs w:val="24"/>
        </w:rPr>
        <w:t xml:space="preserve">Rs. </w:t>
      </w:r>
      <w:r w:rsidR="00CB565A">
        <w:rPr>
          <w:rFonts w:ascii="Cambria" w:hAnsi="Cambria" w:cs="Arial"/>
          <w:b/>
          <w:sz w:val="24"/>
          <w:szCs w:val="24"/>
        </w:rPr>
        <w:t>3</w:t>
      </w:r>
      <w:r w:rsidR="00B557BB">
        <w:rPr>
          <w:rFonts w:ascii="Cambria" w:hAnsi="Cambria" w:cs="Arial"/>
          <w:b/>
          <w:sz w:val="24"/>
          <w:szCs w:val="24"/>
        </w:rPr>
        <w:t>48.62</w:t>
      </w:r>
      <w:r w:rsidRPr="00B67203">
        <w:rPr>
          <w:rFonts w:ascii="Cambria" w:hAnsi="Cambria" w:cs="Arial"/>
          <w:b/>
          <w:sz w:val="24"/>
          <w:szCs w:val="24"/>
        </w:rPr>
        <w:t xml:space="preserve"> Cr.</w:t>
      </w:r>
      <w:r>
        <w:rPr>
          <w:rFonts w:ascii="Cambria" w:hAnsi="Cambria" w:cs="Arial"/>
          <w:sz w:val="24"/>
          <w:szCs w:val="24"/>
        </w:rPr>
        <w:t xml:space="preserve"> </w:t>
      </w:r>
      <w:r w:rsidR="009562BB">
        <w:rPr>
          <w:rFonts w:ascii="Cambria" w:hAnsi="Cambria" w:cs="Arial"/>
          <w:sz w:val="24"/>
          <w:szCs w:val="24"/>
        </w:rPr>
        <w:t>as under:</w:t>
      </w:r>
    </w:p>
    <w:tbl>
      <w:tblPr>
        <w:tblW w:w="8663" w:type="dxa"/>
        <w:tblLook w:val="04A0" w:firstRow="1" w:lastRow="0" w:firstColumn="1" w:lastColumn="0" w:noHBand="0" w:noVBand="1"/>
      </w:tblPr>
      <w:tblGrid>
        <w:gridCol w:w="983"/>
        <w:gridCol w:w="5940"/>
        <w:gridCol w:w="1740"/>
      </w:tblGrid>
      <w:tr w:rsidR="009562BB" w:rsidRPr="00806C7E" w14:paraId="45509F40" w14:textId="77777777" w:rsidTr="00701A79">
        <w:trPr>
          <w:trHeight w:val="790"/>
          <w:tblHeader/>
        </w:trPr>
        <w:tc>
          <w:tcPr>
            <w:tcW w:w="983" w:type="dxa"/>
            <w:tcBorders>
              <w:top w:val="single" w:sz="4" w:space="0" w:color="auto"/>
              <w:left w:val="single" w:sz="8" w:space="0" w:color="auto"/>
              <w:bottom w:val="double" w:sz="6" w:space="0" w:color="auto"/>
              <w:right w:val="single" w:sz="4" w:space="0" w:color="auto"/>
            </w:tcBorders>
            <w:noWrap/>
            <w:vAlign w:val="center"/>
            <w:hideMark/>
          </w:tcPr>
          <w:p w14:paraId="32A6BBD5" w14:textId="77777777" w:rsidR="009562BB" w:rsidRPr="00806C7E" w:rsidRDefault="009562BB" w:rsidP="00806C7E">
            <w:pPr>
              <w:contextualSpacing/>
              <w:jc w:val="center"/>
              <w:rPr>
                <w:rFonts w:asciiTheme="majorHAnsi" w:hAnsiTheme="majorHAnsi" w:cs="Arial"/>
                <w:b/>
                <w:bCs/>
                <w:sz w:val="22"/>
                <w:szCs w:val="22"/>
                <w:lang w:val="en-IN" w:eastAsia="en-IN"/>
              </w:rPr>
            </w:pPr>
            <w:r w:rsidRPr="00806C7E">
              <w:rPr>
                <w:rFonts w:asciiTheme="majorHAnsi" w:hAnsiTheme="majorHAnsi" w:cs="Arial"/>
                <w:b/>
                <w:bCs/>
                <w:sz w:val="22"/>
                <w:szCs w:val="22"/>
              </w:rPr>
              <w:t>Sl. No</w:t>
            </w:r>
          </w:p>
        </w:tc>
        <w:tc>
          <w:tcPr>
            <w:tcW w:w="5940" w:type="dxa"/>
            <w:tcBorders>
              <w:top w:val="single" w:sz="4" w:space="0" w:color="auto"/>
              <w:left w:val="nil"/>
              <w:bottom w:val="double" w:sz="6" w:space="0" w:color="auto"/>
              <w:right w:val="single" w:sz="4" w:space="0" w:color="auto"/>
            </w:tcBorders>
            <w:noWrap/>
            <w:vAlign w:val="center"/>
            <w:hideMark/>
          </w:tcPr>
          <w:p w14:paraId="41809978" w14:textId="77777777" w:rsidR="009562BB" w:rsidRPr="00806C7E" w:rsidRDefault="009562BB" w:rsidP="00806C7E">
            <w:pPr>
              <w:contextualSpacing/>
              <w:rPr>
                <w:rFonts w:asciiTheme="majorHAnsi" w:hAnsiTheme="majorHAnsi" w:cs="Arial"/>
                <w:b/>
                <w:bCs/>
                <w:sz w:val="22"/>
                <w:szCs w:val="22"/>
              </w:rPr>
            </w:pPr>
            <w:r w:rsidRPr="00806C7E">
              <w:rPr>
                <w:rFonts w:asciiTheme="majorHAnsi" w:hAnsiTheme="majorHAnsi" w:cs="Arial"/>
                <w:b/>
                <w:bCs/>
                <w:sz w:val="22"/>
                <w:szCs w:val="22"/>
              </w:rPr>
              <w:t>Particulars (Own + Outsourced)</w:t>
            </w:r>
          </w:p>
        </w:tc>
        <w:tc>
          <w:tcPr>
            <w:tcW w:w="1740" w:type="dxa"/>
            <w:tcBorders>
              <w:top w:val="single" w:sz="4" w:space="0" w:color="auto"/>
              <w:left w:val="nil"/>
              <w:bottom w:val="double" w:sz="6" w:space="0" w:color="auto"/>
              <w:right w:val="single" w:sz="8" w:space="0" w:color="auto"/>
            </w:tcBorders>
            <w:vAlign w:val="center"/>
            <w:hideMark/>
          </w:tcPr>
          <w:p w14:paraId="62D984D9" w14:textId="77777777" w:rsidR="009562BB" w:rsidRDefault="009562BB" w:rsidP="00806C7E">
            <w:pPr>
              <w:contextualSpacing/>
              <w:jc w:val="center"/>
              <w:rPr>
                <w:rFonts w:asciiTheme="majorHAnsi" w:hAnsiTheme="majorHAnsi" w:cs="Arial"/>
                <w:b/>
                <w:bCs/>
                <w:sz w:val="22"/>
                <w:szCs w:val="22"/>
              </w:rPr>
            </w:pPr>
            <w:r w:rsidRPr="00806C7E">
              <w:rPr>
                <w:rFonts w:asciiTheme="majorHAnsi" w:hAnsiTheme="majorHAnsi" w:cs="Arial"/>
                <w:b/>
                <w:bCs/>
                <w:sz w:val="22"/>
                <w:szCs w:val="22"/>
              </w:rPr>
              <w:t xml:space="preserve">Ensuing Year </w:t>
            </w:r>
            <w:r w:rsidRPr="00806C7E">
              <w:rPr>
                <w:rFonts w:asciiTheme="majorHAnsi" w:hAnsiTheme="majorHAnsi" w:cs="Arial"/>
                <w:b/>
                <w:bCs/>
                <w:sz w:val="22"/>
                <w:szCs w:val="22"/>
              </w:rPr>
              <w:br/>
              <w:t>(26-27)</w:t>
            </w:r>
          </w:p>
          <w:p w14:paraId="079DA1B0" w14:textId="0B1AB504" w:rsidR="00CA443C" w:rsidRPr="00806C7E" w:rsidRDefault="00CA443C" w:rsidP="00806C7E">
            <w:pPr>
              <w:contextualSpacing/>
              <w:jc w:val="center"/>
              <w:rPr>
                <w:rFonts w:asciiTheme="majorHAnsi" w:hAnsiTheme="majorHAnsi" w:cs="Arial"/>
                <w:b/>
                <w:bCs/>
                <w:sz w:val="22"/>
                <w:szCs w:val="22"/>
              </w:rPr>
            </w:pPr>
            <w:r>
              <w:rPr>
                <w:rFonts w:asciiTheme="majorHAnsi" w:hAnsiTheme="majorHAnsi" w:cs="Arial"/>
                <w:b/>
                <w:bCs/>
                <w:sz w:val="22"/>
                <w:szCs w:val="22"/>
              </w:rPr>
              <w:t>(Rs. Cr.)</w:t>
            </w:r>
          </w:p>
        </w:tc>
      </w:tr>
      <w:tr w:rsidR="009562BB" w:rsidRPr="00806C7E" w14:paraId="233C7AE1" w14:textId="77777777" w:rsidTr="009562BB">
        <w:trPr>
          <w:trHeight w:val="360"/>
        </w:trPr>
        <w:tc>
          <w:tcPr>
            <w:tcW w:w="983" w:type="dxa"/>
            <w:tcBorders>
              <w:top w:val="nil"/>
              <w:left w:val="single" w:sz="8" w:space="0" w:color="auto"/>
              <w:bottom w:val="single" w:sz="4" w:space="0" w:color="auto"/>
              <w:right w:val="single" w:sz="4" w:space="0" w:color="auto"/>
            </w:tcBorders>
            <w:noWrap/>
            <w:vAlign w:val="center"/>
            <w:hideMark/>
          </w:tcPr>
          <w:p w14:paraId="40FA2A93" w14:textId="77777777" w:rsidR="009562BB" w:rsidRPr="00806C7E" w:rsidRDefault="009562BB" w:rsidP="00806C7E">
            <w:pPr>
              <w:contextualSpacing/>
              <w:jc w:val="center"/>
              <w:rPr>
                <w:rFonts w:asciiTheme="majorHAnsi" w:hAnsiTheme="majorHAnsi" w:cs="Arial"/>
                <w:sz w:val="22"/>
                <w:szCs w:val="22"/>
              </w:rPr>
            </w:pPr>
            <w:r w:rsidRPr="00806C7E">
              <w:rPr>
                <w:rFonts w:asciiTheme="majorHAnsi" w:hAnsiTheme="majorHAnsi" w:cs="Arial"/>
                <w:sz w:val="22"/>
                <w:szCs w:val="22"/>
              </w:rPr>
              <w:t>1</w:t>
            </w:r>
          </w:p>
        </w:tc>
        <w:tc>
          <w:tcPr>
            <w:tcW w:w="5940" w:type="dxa"/>
            <w:tcBorders>
              <w:top w:val="nil"/>
              <w:left w:val="nil"/>
              <w:bottom w:val="single" w:sz="4" w:space="0" w:color="auto"/>
              <w:right w:val="single" w:sz="4" w:space="0" w:color="auto"/>
            </w:tcBorders>
            <w:noWrap/>
            <w:vAlign w:val="center"/>
            <w:hideMark/>
          </w:tcPr>
          <w:p w14:paraId="58401873" w14:textId="77777777" w:rsidR="009562BB" w:rsidRPr="00806C7E" w:rsidRDefault="009562BB" w:rsidP="00806C7E">
            <w:pPr>
              <w:contextualSpacing/>
              <w:rPr>
                <w:rFonts w:asciiTheme="majorHAnsi" w:hAnsiTheme="majorHAnsi" w:cs="Arial"/>
                <w:sz w:val="22"/>
                <w:szCs w:val="22"/>
              </w:rPr>
            </w:pPr>
            <w:r w:rsidRPr="00806C7E">
              <w:rPr>
                <w:rFonts w:asciiTheme="majorHAnsi" w:hAnsiTheme="majorHAnsi" w:cs="Arial"/>
                <w:sz w:val="22"/>
                <w:szCs w:val="22"/>
              </w:rPr>
              <w:t>Civil repairs &amp; maintenance</w:t>
            </w:r>
          </w:p>
        </w:tc>
        <w:tc>
          <w:tcPr>
            <w:tcW w:w="1740" w:type="dxa"/>
            <w:tcBorders>
              <w:top w:val="nil"/>
              <w:left w:val="nil"/>
              <w:bottom w:val="single" w:sz="4" w:space="0" w:color="auto"/>
              <w:right w:val="single" w:sz="8" w:space="0" w:color="auto"/>
            </w:tcBorders>
            <w:noWrap/>
            <w:vAlign w:val="center"/>
            <w:hideMark/>
          </w:tcPr>
          <w:p w14:paraId="1725E12F" w14:textId="42FE6407" w:rsidR="009562BB" w:rsidRPr="00806C7E" w:rsidRDefault="009562BB" w:rsidP="00806C7E">
            <w:pPr>
              <w:contextualSpacing/>
              <w:jc w:val="center"/>
              <w:rPr>
                <w:rFonts w:asciiTheme="majorHAnsi" w:hAnsiTheme="majorHAnsi" w:cs="Arial"/>
                <w:sz w:val="22"/>
                <w:szCs w:val="22"/>
              </w:rPr>
            </w:pPr>
            <w:r w:rsidRPr="00806C7E">
              <w:rPr>
                <w:rFonts w:asciiTheme="majorHAnsi" w:hAnsiTheme="majorHAnsi" w:cs="Arial"/>
                <w:sz w:val="22"/>
                <w:szCs w:val="22"/>
              </w:rPr>
              <w:t>0.50</w:t>
            </w:r>
          </w:p>
        </w:tc>
      </w:tr>
      <w:tr w:rsidR="009562BB" w:rsidRPr="00806C7E" w14:paraId="1FFC9E8A" w14:textId="77777777" w:rsidTr="009562BB">
        <w:trPr>
          <w:trHeight w:val="360"/>
        </w:trPr>
        <w:tc>
          <w:tcPr>
            <w:tcW w:w="983" w:type="dxa"/>
            <w:tcBorders>
              <w:top w:val="nil"/>
              <w:left w:val="single" w:sz="8" w:space="0" w:color="auto"/>
              <w:bottom w:val="single" w:sz="4" w:space="0" w:color="auto"/>
              <w:right w:val="single" w:sz="4" w:space="0" w:color="auto"/>
            </w:tcBorders>
            <w:noWrap/>
            <w:vAlign w:val="center"/>
            <w:hideMark/>
          </w:tcPr>
          <w:p w14:paraId="6242C30F" w14:textId="77777777" w:rsidR="009562BB" w:rsidRPr="00806C7E" w:rsidRDefault="009562BB" w:rsidP="00806C7E">
            <w:pPr>
              <w:contextualSpacing/>
              <w:jc w:val="center"/>
              <w:rPr>
                <w:rFonts w:asciiTheme="majorHAnsi" w:hAnsiTheme="majorHAnsi" w:cs="Arial"/>
                <w:sz w:val="22"/>
                <w:szCs w:val="22"/>
              </w:rPr>
            </w:pPr>
            <w:r w:rsidRPr="00806C7E">
              <w:rPr>
                <w:rFonts w:asciiTheme="majorHAnsi" w:hAnsiTheme="majorHAnsi" w:cs="Arial"/>
                <w:sz w:val="22"/>
                <w:szCs w:val="22"/>
              </w:rPr>
              <w:t>2</w:t>
            </w:r>
          </w:p>
        </w:tc>
        <w:tc>
          <w:tcPr>
            <w:tcW w:w="5940" w:type="dxa"/>
            <w:tcBorders>
              <w:top w:val="nil"/>
              <w:left w:val="nil"/>
              <w:bottom w:val="single" w:sz="4" w:space="0" w:color="auto"/>
              <w:right w:val="single" w:sz="4" w:space="0" w:color="auto"/>
            </w:tcBorders>
            <w:noWrap/>
            <w:vAlign w:val="center"/>
            <w:hideMark/>
          </w:tcPr>
          <w:p w14:paraId="3641EE91" w14:textId="631CD2AC" w:rsidR="009562BB" w:rsidRPr="00806C7E" w:rsidRDefault="009562BB" w:rsidP="00806C7E">
            <w:pPr>
              <w:contextualSpacing/>
              <w:rPr>
                <w:rFonts w:asciiTheme="majorHAnsi" w:hAnsiTheme="majorHAnsi" w:cs="Arial"/>
                <w:sz w:val="22"/>
                <w:szCs w:val="22"/>
              </w:rPr>
            </w:pPr>
            <w:r w:rsidRPr="00806C7E">
              <w:rPr>
                <w:rFonts w:asciiTheme="majorHAnsi" w:hAnsiTheme="majorHAnsi" w:cs="Arial"/>
                <w:sz w:val="22"/>
                <w:szCs w:val="22"/>
              </w:rPr>
              <w:t xml:space="preserve">Distribution line repairs &amp; maintenance (Material) with </w:t>
            </w:r>
            <w:r w:rsidR="00CA443C" w:rsidRPr="00806C7E">
              <w:rPr>
                <w:rFonts w:asciiTheme="majorHAnsi" w:hAnsiTheme="majorHAnsi" w:cs="Arial"/>
                <w:sz w:val="22"/>
                <w:szCs w:val="22"/>
              </w:rPr>
              <w:t>Freight</w:t>
            </w:r>
            <w:r w:rsidRPr="00806C7E">
              <w:rPr>
                <w:rFonts w:asciiTheme="majorHAnsi" w:hAnsiTheme="majorHAnsi" w:cs="Arial"/>
                <w:sz w:val="22"/>
                <w:szCs w:val="22"/>
              </w:rPr>
              <w:t xml:space="preserve"> Cost</w:t>
            </w:r>
          </w:p>
        </w:tc>
        <w:tc>
          <w:tcPr>
            <w:tcW w:w="1740" w:type="dxa"/>
            <w:tcBorders>
              <w:top w:val="nil"/>
              <w:left w:val="nil"/>
              <w:bottom w:val="single" w:sz="4" w:space="0" w:color="auto"/>
              <w:right w:val="single" w:sz="8" w:space="0" w:color="auto"/>
            </w:tcBorders>
            <w:noWrap/>
            <w:vAlign w:val="center"/>
            <w:hideMark/>
          </w:tcPr>
          <w:p w14:paraId="79A3E7B2" w14:textId="117F8D70" w:rsidR="009562BB" w:rsidRPr="00806C7E" w:rsidRDefault="009562BB" w:rsidP="00806C7E">
            <w:pPr>
              <w:contextualSpacing/>
              <w:jc w:val="center"/>
              <w:rPr>
                <w:rFonts w:asciiTheme="majorHAnsi" w:hAnsiTheme="majorHAnsi" w:cs="Arial"/>
                <w:sz w:val="22"/>
                <w:szCs w:val="22"/>
              </w:rPr>
            </w:pPr>
            <w:r w:rsidRPr="00806C7E">
              <w:rPr>
                <w:rFonts w:asciiTheme="majorHAnsi" w:hAnsiTheme="majorHAnsi" w:cs="Arial"/>
                <w:sz w:val="22"/>
                <w:szCs w:val="22"/>
              </w:rPr>
              <w:t>16.00</w:t>
            </w:r>
          </w:p>
        </w:tc>
      </w:tr>
      <w:tr w:rsidR="009562BB" w:rsidRPr="00806C7E" w14:paraId="01F942C7" w14:textId="77777777" w:rsidTr="009562BB">
        <w:trPr>
          <w:trHeight w:val="343"/>
        </w:trPr>
        <w:tc>
          <w:tcPr>
            <w:tcW w:w="983" w:type="dxa"/>
            <w:tcBorders>
              <w:top w:val="nil"/>
              <w:left w:val="single" w:sz="8" w:space="0" w:color="auto"/>
              <w:bottom w:val="single" w:sz="4" w:space="0" w:color="auto"/>
              <w:right w:val="single" w:sz="4" w:space="0" w:color="auto"/>
            </w:tcBorders>
            <w:noWrap/>
            <w:vAlign w:val="center"/>
            <w:hideMark/>
          </w:tcPr>
          <w:p w14:paraId="395AC5D0" w14:textId="77777777" w:rsidR="009562BB" w:rsidRPr="00806C7E" w:rsidRDefault="009562BB" w:rsidP="00806C7E">
            <w:pPr>
              <w:contextualSpacing/>
              <w:jc w:val="center"/>
              <w:rPr>
                <w:rFonts w:asciiTheme="majorHAnsi" w:hAnsiTheme="majorHAnsi" w:cs="Arial"/>
                <w:sz w:val="22"/>
                <w:szCs w:val="22"/>
              </w:rPr>
            </w:pPr>
            <w:r w:rsidRPr="00806C7E">
              <w:rPr>
                <w:rFonts w:asciiTheme="majorHAnsi" w:hAnsiTheme="majorHAnsi" w:cs="Arial"/>
                <w:sz w:val="22"/>
                <w:szCs w:val="22"/>
              </w:rPr>
              <w:t>3</w:t>
            </w:r>
          </w:p>
        </w:tc>
        <w:tc>
          <w:tcPr>
            <w:tcW w:w="5940" w:type="dxa"/>
            <w:tcBorders>
              <w:top w:val="nil"/>
              <w:left w:val="nil"/>
              <w:bottom w:val="single" w:sz="4" w:space="0" w:color="auto"/>
              <w:right w:val="single" w:sz="4" w:space="0" w:color="auto"/>
            </w:tcBorders>
            <w:vAlign w:val="center"/>
            <w:hideMark/>
          </w:tcPr>
          <w:p w14:paraId="6A638072" w14:textId="77777777" w:rsidR="009562BB" w:rsidRPr="00806C7E" w:rsidRDefault="009562BB" w:rsidP="00806C7E">
            <w:pPr>
              <w:contextualSpacing/>
              <w:rPr>
                <w:rFonts w:asciiTheme="majorHAnsi" w:hAnsiTheme="majorHAnsi" w:cs="Arial"/>
                <w:sz w:val="22"/>
                <w:szCs w:val="22"/>
              </w:rPr>
            </w:pPr>
            <w:r w:rsidRPr="00806C7E">
              <w:rPr>
                <w:rFonts w:asciiTheme="majorHAnsi" w:hAnsiTheme="majorHAnsi" w:cs="Arial"/>
                <w:sz w:val="22"/>
                <w:szCs w:val="22"/>
              </w:rPr>
              <w:t>33 kV Network asset AMC (other than Grid operation)</w:t>
            </w:r>
          </w:p>
        </w:tc>
        <w:tc>
          <w:tcPr>
            <w:tcW w:w="1740" w:type="dxa"/>
            <w:tcBorders>
              <w:top w:val="nil"/>
              <w:left w:val="nil"/>
              <w:bottom w:val="single" w:sz="4" w:space="0" w:color="auto"/>
              <w:right w:val="single" w:sz="8" w:space="0" w:color="auto"/>
            </w:tcBorders>
            <w:noWrap/>
            <w:vAlign w:val="center"/>
            <w:hideMark/>
          </w:tcPr>
          <w:p w14:paraId="1F6F0AAD" w14:textId="7166BDC4" w:rsidR="009562BB" w:rsidRPr="00806C7E" w:rsidRDefault="004643FE" w:rsidP="00806C7E">
            <w:pPr>
              <w:contextualSpacing/>
              <w:jc w:val="center"/>
              <w:rPr>
                <w:rFonts w:asciiTheme="majorHAnsi" w:hAnsiTheme="majorHAnsi" w:cs="Arial"/>
                <w:sz w:val="22"/>
                <w:szCs w:val="22"/>
              </w:rPr>
            </w:pPr>
            <w:r>
              <w:rPr>
                <w:rFonts w:asciiTheme="majorHAnsi" w:hAnsiTheme="majorHAnsi" w:cs="Arial"/>
                <w:sz w:val="22"/>
                <w:szCs w:val="22"/>
              </w:rPr>
              <w:t>45.47</w:t>
            </w:r>
          </w:p>
        </w:tc>
      </w:tr>
      <w:tr w:rsidR="009562BB" w:rsidRPr="00806C7E" w14:paraId="189D6EE8" w14:textId="77777777" w:rsidTr="009562BB">
        <w:trPr>
          <w:trHeight w:val="360"/>
        </w:trPr>
        <w:tc>
          <w:tcPr>
            <w:tcW w:w="983" w:type="dxa"/>
            <w:tcBorders>
              <w:top w:val="nil"/>
              <w:left w:val="single" w:sz="8" w:space="0" w:color="auto"/>
              <w:bottom w:val="single" w:sz="4" w:space="0" w:color="auto"/>
              <w:right w:val="single" w:sz="4" w:space="0" w:color="auto"/>
            </w:tcBorders>
            <w:noWrap/>
            <w:vAlign w:val="center"/>
            <w:hideMark/>
          </w:tcPr>
          <w:p w14:paraId="52837B0C" w14:textId="77777777" w:rsidR="009562BB" w:rsidRPr="00806C7E" w:rsidRDefault="009562BB" w:rsidP="00806C7E">
            <w:pPr>
              <w:contextualSpacing/>
              <w:jc w:val="center"/>
              <w:rPr>
                <w:rFonts w:asciiTheme="majorHAnsi" w:hAnsiTheme="majorHAnsi" w:cs="Arial"/>
                <w:sz w:val="22"/>
                <w:szCs w:val="22"/>
              </w:rPr>
            </w:pPr>
            <w:r w:rsidRPr="00806C7E">
              <w:rPr>
                <w:rFonts w:asciiTheme="majorHAnsi" w:hAnsiTheme="majorHAnsi" w:cs="Arial"/>
                <w:sz w:val="22"/>
                <w:szCs w:val="22"/>
              </w:rPr>
              <w:t>4</w:t>
            </w:r>
          </w:p>
        </w:tc>
        <w:tc>
          <w:tcPr>
            <w:tcW w:w="5940" w:type="dxa"/>
            <w:tcBorders>
              <w:top w:val="nil"/>
              <w:left w:val="nil"/>
              <w:bottom w:val="single" w:sz="4" w:space="0" w:color="auto"/>
              <w:right w:val="single" w:sz="4" w:space="0" w:color="auto"/>
            </w:tcBorders>
            <w:noWrap/>
            <w:vAlign w:val="center"/>
            <w:hideMark/>
          </w:tcPr>
          <w:p w14:paraId="19146264" w14:textId="77777777" w:rsidR="009562BB" w:rsidRPr="00806C7E" w:rsidRDefault="009562BB" w:rsidP="00806C7E">
            <w:pPr>
              <w:contextualSpacing/>
              <w:rPr>
                <w:rFonts w:asciiTheme="majorHAnsi" w:hAnsiTheme="majorHAnsi" w:cs="Arial"/>
                <w:sz w:val="22"/>
                <w:szCs w:val="22"/>
              </w:rPr>
            </w:pPr>
            <w:r w:rsidRPr="00806C7E">
              <w:rPr>
                <w:rFonts w:asciiTheme="majorHAnsi" w:hAnsiTheme="majorHAnsi" w:cs="Arial"/>
                <w:sz w:val="22"/>
                <w:szCs w:val="22"/>
              </w:rPr>
              <w:t>11 kV &amp; below Network assets AMC</w:t>
            </w:r>
          </w:p>
        </w:tc>
        <w:tc>
          <w:tcPr>
            <w:tcW w:w="1740" w:type="dxa"/>
            <w:tcBorders>
              <w:top w:val="nil"/>
              <w:left w:val="nil"/>
              <w:bottom w:val="single" w:sz="4" w:space="0" w:color="auto"/>
              <w:right w:val="single" w:sz="8" w:space="0" w:color="auto"/>
            </w:tcBorders>
            <w:noWrap/>
            <w:vAlign w:val="center"/>
            <w:hideMark/>
          </w:tcPr>
          <w:p w14:paraId="532DA19A" w14:textId="2532891F" w:rsidR="009562BB" w:rsidRPr="00806C7E" w:rsidRDefault="00492143" w:rsidP="00806C7E">
            <w:pPr>
              <w:contextualSpacing/>
              <w:jc w:val="center"/>
              <w:rPr>
                <w:rFonts w:asciiTheme="majorHAnsi" w:hAnsiTheme="majorHAnsi" w:cs="Arial"/>
                <w:sz w:val="22"/>
                <w:szCs w:val="22"/>
              </w:rPr>
            </w:pPr>
            <w:r>
              <w:rPr>
                <w:rFonts w:asciiTheme="majorHAnsi" w:hAnsiTheme="majorHAnsi" w:cs="Arial"/>
                <w:sz w:val="22"/>
                <w:szCs w:val="22"/>
              </w:rPr>
              <w:t>140.39</w:t>
            </w:r>
          </w:p>
        </w:tc>
      </w:tr>
      <w:tr w:rsidR="009562BB" w:rsidRPr="00806C7E" w14:paraId="0538F19A" w14:textId="77777777" w:rsidTr="009562BB">
        <w:trPr>
          <w:trHeight w:val="360"/>
        </w:trPr>
        <w:tc>
          <w:tcPr>
            <w:tcW w:w="983" w:type="dxa"/>
            <w:tcBorders>
              <w:top w:val="nil"/>
              <w:left w:val="single" w:sz="8" w:space="0" w:color="auto"/>
              <w:bottom w:val="single" w:sz="4" w:space="0" w:color="auto"/>
              <w:right w:val="single" w:sz="4" w:space="0" w:color="auto"/>
            </w:tcBorders>
            <w:noWrap/>
            <w:vAlign w:val="center"/>
            <w:hideMark/>
          </w:tcPr>
          <w:p w14:paraId="6AB48B93" w14:textId="77777777" w:rsidR="009562BB" w:rsidRPr="00806C7E" w:rsidRDefault="009562BB" w:rsidP="00806C7E">
            <w:pPr>
              <w:contextualSpacing/>
              <w:jc w:val="center"/>
              <w:rPr>
                <w:rFonts w:asciiTheme="majorHAnsi" w:hAnsiTheme="majorHAnsi" w:cs="Arial"/>
                <w:sz w:val="22"/>
                <w:szCs w:val="22"/>
              </w:rPr>
            </w:pPr>
            <w:r w:rsidRPr="00806C7E">
              <w:rPr>
                <w:rFonts w:asciiTheme="majorHAnsi" w:hAnsiTheme="majorHAnsi" w:cs="Arial"/>
                <w:sz w:val="22"/>
                <w:szCs w:val="22"/>
              </w:rPr>
              <w:t>5</w:t>
            </w:r>
          </w:p>
        </w:tc>
        <w:tc>
          <w:tcPr>
            <w:tcW w:w="5940" w:type="dxa"/>
            <w:tcBorders>
              <w:top w:val="nil"/>
              <w:left w:val="nil"/>
              <w:bottom w:val="single" w:sz="4" w:space="0" w:color="auto"/>
              <w:right w:val="single" w:sz="4" w:space="0" w:color="auto"/>
            </w:tcBorders>
            <w:noWrap/>
            <w:vAlign w:val="center"/>
            <w:hideMark/>
          </w:tcPr>
          <w:p w14:paraId="2B5B89AE" w14:textId="77777777" w:rsidR="009562BB" w:rsidRPr="00806C7E" w:rsidRDefault="009562BB" w:rsidP="00806C7E">
            <w:pPr>
              <w:contextualSpacing/>
              <w:rPr>
                <w:rFonts w:asciiTheme="majorHAnsi" w:hAnsiTheme="majorHAnsi" w:cs="Arial"/>
                <w:sz w:val="22"/>
                <w:szCs w:val="22"/>
              </w:rPr>
            </w:pPr>
            <w:r w:rsidRPr="00806C7E">
              <w:rPr>
                <w:rFonts w:asciiTheme="majorHAnsi" w:hAnsiTheme="majorHAnsi" w:cs="Arial"/>
                <w:sz w:val="22"/>
                <w:szCs w:val="22"/>
              </w:rPr>
              <w:t>Consumer service maintenance</w:t>
            </w:r>
          </w:p>
        </w:tc>
        <w:tc>
          <w:tcPr>
            <w:tcW w:w="1740" w:type="dxa"/>
            <w:tcBorders>
              <w:top w:val="nil"/>
              <w:left w:val="nil"/>
              <w:bottom w:val="single" w:sz="4" w:space="0" w:color="auto"/>
              <w:right w:val="single" w:sz="8" w:space="0" w:color="auto"/>
            </w:tcBorders>
            <w:noWrap/>
            <w:vAlign w:val="center"/>
            <w:hideMark/>
          </w:tcPr>
          <w:p w14:paraId="11DDCE1D" w14:textId="78FBF747" w:rsidR="009562BB" w:rsidRPr="00806C7E" w:rsidRDefault="009562BB" w:rsidP="00806C7E">
            <w:pPr>
              <w:contextualSpacing/>
              <w:jc w:val="center"/>
              <w:rPr>
                <w:rFonts w:asciiTheme="majorHAnsi" w:hAnsiTheme="majorHAnsi" w:cs="Arial"/>
                <w:sz w:val="22"/>
                <w:szCs w:val="22"/>
              </w:rPr>
            </w:pPr>
            <w:r w:rsidRPr="00806C7E">
              <w:rPr>
                <w:rFonts w:asciiTheme="majorHAnsi" w:hAnsiTheme="majorHAnsi" w:cs="Arial"/>
                <w:sz w:val="22"/>
                <w:szCs w:val="22"/>
              </w:rPr>
              <w:t>37</w:t>
            </w:r>
            <w:r w:rsidR="00701A79" w:rsidRPr="00806C7E">
              <w:rPr>
                <w:rFonts w:asciiTheme="majorHAnsi" w:hAnsiTheme="majorHAnsi" w:cs="Arial"/>
                <w:sz w:val="22"/>
                <w:szCs w:val="22"/>
              </w:rPr>
              <w:t>.90</w:t>
            </w:r>
          </w:p>
        </w:tc>
      </w:tr>
      <w:tr w:rsidR="009562BB" w:rsidRPr="00806C7E" w14:paraId="5536FC07" w14:textId="77777777" w:rsidTr="009562BB">
        <w:trPr>
          <w:trHeight w:val="523"/>
        </w:trPr>
        <w:tc>
          <w:tcPr>
            <w:tcW w:w="983" w:type="dxa"/>
            <w:tcBorders>
              <w:top w:val="nil"/>
              <w:left w:val="single" w:sz="8" w:space="0" w:color="auto"/>
              <w:bottom w:val="single" w:sz="4" w:space="0" w:color="auto"/>
              <w:right w:val="single" w:sz="4" w:space="0" w:color="auto"/>
            </w:tcBorders>
            <w:noWrap/>
            <w:vAlign w:val="center"/>
            <w:hideMark/>
          </w:tcPr>
          <w:p w14:paraId="749943DC" w14:textId="77777777" w:rsidR="009562BB" w:rsidRPr="00806C7E" w:rsidRDefault="009562BB" w:rsidP="00806C7E">
            <w:pPr>
              <w:contextualSpacing/>
              <w:jc w:val="center"/>
              <w:rPr>
                <w:rFonts w:asciiTheme="majorHAnsi" w:hAnsiTheme="majorHAnsi" w:cs="Arial"/>
                <w:sz w:val="22"/>
                <w:szCs w:val="22"/>
              </w:rPr>
            </w:pPr>
            <w:r w:rsidRPr="00806C7E">
              <w:rPr>
                <w:rFonts w:asciiTheme="majorHAnsi" w:hAnsiTheme="majorHAnsi" w:cs="Arial"/>
                <w:sz w:val="22"/>
                <w:szCs w:val="22"/>
              </w:rPr>
              <w:t>6</w:t>
            </w:r>
          </w:p>
        </w:tc>
        <w:tc>
          <w:tcPr>
            <w:tcW w:w="5940" w:type="dxa"/>
            <w:tcBorders>
              <w:top w:val="nil"/>
              <w:left w:val="nil"/>
              <w:bottom w:val="single" w:sz="4" w:space="0" w:color="auto"/>
              <w:right w:val="single" w:sz="4" w:space="0" w:color="auto"/>
            </w:tcBorders>
            <w:vAlign w:val="center"/>
            <w:hideMark/>
          </w:tcPr>
          <w:p w14:paraId="36CD417D" w14:textId="77777777" w:rsidR="009562BB" w:rsidRPr="00806C7E" w:rsidRDefault="009562BB" w:rsidP="00806C7E">
            <w:pPr>
              <w:contextualSpacing/>
              <w:rPr>
                <w:rFonts w:asciiTheme="majorHAnsi" w:hAnsiTheme="majorHAnsi" w:cs="Arial"/>
                <w:sz w:val="22"/>
                <w:szCs w:val="22"/>
              </w:rPr>
            </w:pPr>
            <w:r w:rsidRPr="00806C7E">
              <w:rPr>
                <w:rFonts w:asciiTheme="majorHAnsi" w:hAnsiTheme="majorHAnsi" w:cs="Arial"/>
                <w:sz w:val="22"/>
                <w:szCs w:val="22"/>
              </w:rPr>
              <w:t>Substation operations &amp; maintenance (33 kV Grid operation &amp; maintenance)</w:t>
            </w:r>
          </w:p>
        </w:tc>
        <w:tc>
          <w:tcPr>
            <w:tcW w:w="1740" w:type="dxa"/>
            <w:tcBorders>
              <w:top w:val="nil"/>
              <w:left w:val="nil"/>
              <w:bottom w:val="single" w:sz="4" w:space="0" w:color="auto"/>
              <w:right w:val="single" w:sz="8" w:space="0" w:color="auto"/>
            </w:tcBorders>
            <w:noWrap/>
            <w:vAlign w:val="center"/>
            <w:hideMark/>
          </w:tcPr>
          <w:p w14:paraId="39BAFADE" w14:textId="63300109" w:rsidR="009562BB" w:rsidRPr="00806C7E" w:rsidRDefault="009562BB" w:rsidP="00806C7E">
            <w:pPr>
              <w:contextualSpacing/>
              <w:jc w:val="center"/>
              <w:rPr>
                <w:rFonts w:asciiTheme="majorHAnsi" w:hAnsiTheme="majorHAnsi" w:cs="Arial"/>
                <w:sz w:val="22"/>
                <w:szCs w:val="22"/>
              </w:rPr>
            </w:pPr>
            <w:r w:rsidRPr="00806C7E">
              <w:rPr>
                <w:rFonts w:asciiTheme="majorHAnsi" w:hAnsiTheme="majorHAnsi" w:cs="Arial"/>
                <w:sz w:val="22"/>
                <w:szCs w:val="22"/>
              </w:rPr>
              <w:t>62</w:t>
            </w:r>
            <w:r w:rsidR="00701A79" w:rsidRPr="00806C7E">
              <w:rPr>
                <w:rFonts w:asciiTheme="majorHAnsi" w:hAnsiTheme="majorHAnsi" w:cs="Arial"/>
                <w:sz w:val="22"/>
                <w:szCs w:val="22"/>
              </w:rPr>
              <w:t>.</w:t>
            </w:r>
            <w:r w:rsidRPr="00806C7E">
              <w:rPr>
                <w:rFonts w:asciiTheme="majorHAnsi" w:hAnsiTheme="majorHAnsi" w:cs="Arial"/>
                <w:sz w:val="22"/>
                <w:szCs w:val="22"/>
              </w:rPr>
              <w:t>2</w:t>
            </w:r>
            <w:r w:rsidR="00701A79" w:rsidRPr="00806C7E">
              <w:rPr>
                <w:rFonts w:asciiTheme="majorHAnsi" w:hAnsiTheme="majorHAnsi" w:cs="Arial"/>
                <w:sz w:val="22"/>
                <w:szCs w:val="22"/>
              </w:rPr>
              <w:t>8</w:t>
            </w:r>
          </w:p>
        </w:tc>
      </w:tr>
      <w:tr w:rsidR="009562BB" w:rsidRPr="00806C7E" w14:paraId="75077D40" w14:textId="77777777" w:rsidTr="009562BB">
        <w:trPr>
          <w:trHeight w:val="360"/>
        </w:trPr>
        <w:tc>
          <w:tcPr>
            <w:tcW w:w="983" w:type="dxa"/>
            <w:tcBorders>
              <w:top w:val="nil"/>
              <w:left w:val="single" w:sz="8" w:space="0" w:color="auto"/>
              <w:bottom w:val="single" w:sz="4" w:space="0" w:color="auto"/>
              <w:right w:val="single" w:sz="4" w:space="0" w:color="auto"/>
            </w:tcBorders>
            <w:noWrap/>
            <w:vAlign w:val="center"/>
            <w:hideMark/>
          </w:tcPr>
          <w:p w14:paraId="396F692B" w14:textId="77777777" w:rsidR="009562BB" w:rsidRPr="00806C7E" w:rsidRDefault="009562BB" w:rsidP="00806C7E">
            <w:pPr>
              <w:contextualSpacing/>
              <w:jc w:val="center"/>
              <w:rPr>
                <w:rFonts w:asciiTheme="majorHAnsi" w:hAnsiTheme="majorHAnsi" w:cs="Arial"/>
                <w:sz w:val="22"/>
                <w:szCs w:val="22"/>
              </w:rPr>
            </w:pPr>
            <w:r w:rsidRPr="00806C7E">
              <w:rPr>
                <w:rFonts w:asciiTheme="majorHAnsi" w:hAnsiTheme="majorHAnsi" w:cs="Arial"/>
                <w:sz w:val="22"/>
                <w:szCs w:val="22"/>
              </w:rPr>
              <w:t>7</w:t>
            </w:r>
          </w:p>
        </w:tc>
        <w:tc>
          <w:tcPr>
            <w:tcW w:w="5940" w:type="dxa"/>
            <w:tcBorders>
              <w:top w:val="nil"/>
              <w:left w:val="nil"/>
              <w:bottom w:val="single" w:sz="4" w:space="0" w:color="auto"/>
              <w:right w:val="single" w:sz="4" w:space="0" w:color="auto"/>
            </w:tcBorders>
            <w:noWrap/>
            <w:vAlign w:val="center"/>
            <w:hideMark/>
          </w:tcPr>
          <w:p w14:paraId="02225B2F" w14:textId="77777777" w:rsidR="009562BB" w:rsidRPr="00806C7E" w:rsidRDefault="009562BB" w:rsidP="00806C7E">
            <w:pPr>
              <w:contextualSpacing/>
              <w:rPr>
                <w:rFonts w:asciiTheme="majorHAnsi" w:hAnsiTheme="majorHAnsi" w:cs="Arial"/>
                <w:sz w:val="22"/>
                <w:szCs w:val="22"/>
              </w:rPr>
            </w:pPr>
            <w:r w:rsidRPr="00806C7E">
              <w:rPr>
                <w:rFonts w:asciiTheme="majorHAnsi" w:hAnsiTheme="majorHAnsi" w:cs="Arial"/>
                <w:sz w:val="22"/>
                <w:szCs w:val="22"/>
              </w:rPr>
              <w:t>Transformer maintenance</w:t>
            </w:r>
          </w:p>
        </w:tc>
        <w:tc>
          <w:tcPr>
            <w:tcW w:w="1740" w:type="dxa"/>
            <w:tcBorders>
              <w:top w:val="nil"/>
              <w:left w:val="nil"/>
              <w:bottom w:val="single" w:sz="4" w:space="0" w:color="auto"/>
              <w:right w:val="single" w:sz="8" w:space="0" w:color="auto"/>
            </w:tcBorders>
            <w:noWrap/>
            <w:vAlign w:val="center"/>
            <w:hideMark/>
          </w:tcPr>
          <w:p w14:paraId="3C752489" w14:textId="08A2BFBB" w:rsidR="009562BB" w:rsidRPr="00806C7E" w:rsidRDefault="009562BB" w:rsidP="00806C7E">
            <w:pPr>
              <w:contextualSpacing/>
              <w:jc w:val="center"/>
              <w:rPr>
                <w:rFonts w:asciiTheme="majorHAnsi" w:hAnsiTheme="majorHAnsi" w:cs="Arial"/>
                <w:sz w:val="22"/>
                <w:szCs w:val="22"/>
              </w:rPr>
            </w:pPr>
            <w:r w:rsidRPr="00806C7E">
              <w:rPr>
                <w:rFonts w:asciiTheme="majorHAnsi" w:hAnsiTheme="majorHAnsi" w:cs="Arial"/>
                <w:sz w:val="22"/>
                <w:szCs w:val="22"/>
              </w:rPr>
              <w:t>23</w:t>
            </w:r>
            <w:r w:rsidR="00701A79" w:rsidRPr="00806C7E">
              <w:rPr>
                <w:rFonts w:asciiTheme="majorHAnsi" w:hAnsiTheme="majorHAnsi" w:cs="Arial"/>
                <w:sz w:val="22"/>
                <w:szCs w:val="22"/>
              </w:rPr>
              <w:t>.</w:t>
            </w:r>
            <w:r w:rsidRPr="00806C7E">
              <w:rPr>
                <w:rFonts w:asciiTheme="majorHAnsi" w:hAnsiTheme="majorHAnsi" w:cs="Arial"/>
                <w:sz w:val="22"/>
                <w:szCs w:val="22"/>
              </w:rPr>
              <w:t>4</w:t>
            </w:r>
            <w:r w:rsidR="00701A79" w:rsidRPr="00806C7E">
              <w:rPr>
                <w:rFonts w:asciiTheme="majorHAnsi" w:hAnsiTheme="majorHAnsi" w:cs="Arial"/>
                <w:sz w:val="22"/>
                <w:szCs w:val="22"/>
              </w:rPr>
              <w:t>7</w:t>
            </w:r>
          </w:p>
        </w:tc>
      </w:tr>
      <w:tr w:rsidR="009562BB" w:rsidRPr="00806C7E" w14:paraId="7D24D5EE" w14:textId="77777777" w:rsidTr="009562BB">
        <w:trPr>
          <w:trHeight w:val="613"/>
        </w:trPr>
        <w:tc>
          <w:tcPr>
            <w:tcW w:w="983" w:type="dxa"/>
            <w:tcBorders>
              <w:top w:val="nil"/>
              <w:left w:val="single" w:sz="8" w:space="0" w:color="auto"/>
              <w:bottom w:val="single" w:sz="4" w:space="0" w:color="auto"/>
              <w:right w:val="single" w:sz="4" w:space="0" w:color="auto"/>
            </w:tcBorders>
            <w:noWrap/>
            <w:vAlign w:val="center"/>
            <w:hideMark/>
          </w:tcPr>
          <w:p w14:paraId="3B5CE627" w14:textId="77777777" w:rsidR="009562BB" w:rsidRPr="00806C7E" w:rsidRDefault="009562BB" w:rsidP="00806C7E">
            <w:pPr>
              <w:contextualSpacing/>
              <w:jc w:val="center"/>
              <w:rPr>
                <w:rFonts w:asciiTheme="majorHAnsi" w:hAnsiTheme="majorHAnsi" w:cs="Arial"/>
                <w:sz w:val="22"/>
                <w:szCs w:val="22"/>
              </w:rPr>
            </w:pPr>
            <w:r w:rsidRPr="00806C7E">
              <w:rPr>
                <w:rFonts w:asciiTheme="majorHAnsi" w:hAnsiTheme="majorHAnsi" w:cs="Arial"/>
                <w:sz w:val="22"/>
                <w:szCs w:val="22"/>
              </w:rPr>
              <w:t>8</w:t>
            </w:r>
          </w:p>
        </w:tc>
        <w:tc>
          <w:tcPr>
            <w:tcW w:w="5940" w:type="dxa"/>
            <w:tcBorders>
              <w:top w:val="nil"/>
              <w:left w:val="nil"/>
              <w:bottom w:val="single" w:sz="4" w:space="0" w:color="auto"/>
              <w:right w:val="single" w:sz="4" w:space="0" w:color="auto"/>
            </w:tcBorders>
            <w:vAlign w:val="center"/>
            <w:hideMark/>
          </w:tcPr>
          <w:p w14:paraId="75F64134" w14:textId="75B0F703" w:rsidR="009562BB" w:rsidRPr="00806C7E" w:rsidRDefault="009562BB" w:rsidP="00806C7E">
            <w:pPr>
              <w:contextualSpacing/>
              <w:rPr>
                <w:rFonts w:asciiTheme="majorHAnsi" w:hAnsiTheme="majorHAnsi" w:cs="Arial"/>
                <w:sz w:val="22"/>
                <w:szCs w:val="22"/>
              </w:rPr>
            </w:pPr>
            <w:r w:rsidRPr="00806C7E">
              <w:rPr>
                <w:rFonts w:asciiTheme="majorHAnsi" w:hAnsiTheme="majorHAnsi" w:cs="Arial"/>
                <w:sz w:val="22"/>
                <w:szCs w:val="22"/>
              </w:rPr>
              <w:t>Other repairs &amp; maintenance (Safety+</w:t>
            </w:r>
            <w:r w:rsidR="00100964" w:rsidRPr="00806C7E">
              <w:rPr>
                <w:rFonts w:asciiTheme="majorHAnsi" w:hAnsiTheme="majorHAnsi" w:cs="Arial"/>
                <w:sz w:val="22"/>
                <w:szCs w:val="22"/>
              </w:rPr>
              <w:t xml:space="preserve"> </w:t>
            </w:r>
            <w:r w:rsidRPr="00806C7E">
              <w:rPr>
                <w:rFonts w:asciiTheme="majorHAnsi" w:hAnsiTheme="majorHAnsi" w:cs="Arial"/>
                <w:sz w:val="22"/>
                <w:szCs w:val="22"/>
              </w:rPr>
              <w:t>Technical Services</w:t>
            </w:r>
            <w:r w:rsidR="00100964" w:rsidRPr="00806C7E">
              <w:rPr>
                <w:rFonts w:asciiTheme="majorHAnsi" w:hAnsiTheme="majorHAnsi" w:cs="Arial"/>
                <w:sz w:val="22"/>
                <w:szCs w:val="22"/>
              </w:rPr>
              <w:t xml:space="preserve"> </w:t>
            </w:r>
            <w:r w:rsidRPr="00806C7E">
              <w:rPr>
                <w:rFonts w:asciiTheme="majorHAnsi" w:hAnsiTheme="majorHAnsi" w:cs="Arial"/>
                <w:sz w:val="22"/>
                <w:szCs w:val="22"/>
              </w:rPr>
              <w:t>+</w:t>
            </w:r>
            <w:r w:rsidR="00100964" w:rsidRPr="00806C7E">
              <w:rPr>
                <w:rFonts w:asciiTheme="majorHAnsi" w:hAnsiTheme="majorHAnsi" w:cs="Arial"/>
                <w:sz w:val="22"/>
                <w:szCs w:val="22"/>
              </w:rPr>
              <w:t xml:space="preserve"> </w:t>
            </w:r>
            <w:r w:rsidRPr="00806C7E">
              <w:rPr>
                <w:rFonts w:asciiTheme="majorHAnsi" w:hAnsiTheme="majorHAnsi" w:cs="Arial"/>
                <w:sz w:val="22"/>
                <w:szCs w:val="22"/>
              </w:rPr>
              <w:t>MMG O</w:t>
            </w:r>
            <w:r w:rsidR="00D03E48">
              <w:rPr>
                <w:rFonts w:asciiTheme="majorHAnsi" w:hAnsiTheme="majorHAnsi" w:cs="Arial"/>
                <w:sz w:val="22"/>
                <w:szCs w:val="22"/>
              </w:rPr>
              <w:t>PEX</w:t>
            </w:r>
            <w:r w:rsidR="00100964" w:rsidRPr="00806C7E">
              <w:rPr>
                <w:rFonts w:asciiTheme="majorHAnsi" w:hAnsiTheme="majorHAnsi" w:cs="Arial"/>
                <w:sz w:val="22"/>
                <w:szCs w:val="22"/>
              </w:rPr>
              <w:t xml:space="preserve"> </w:t>
            </w:r>
            <w:r w:rsidRPr="00806C7E">
              <w:rPr>
                <w:rFonts w:asciiTheme="majorHAnsi" w:hAnsiTheme="majorHAnsi" w:cs="Arial"/>
                <w:sz w:val="22"/>
                <w:szCs w:val="22"/>
              </w:rPr>
              <w:t>+</w:t>
            </w:r>
            <w:r w:rsidR="00100964" w:rsidRPr="00806C7E">
              <w:rPr>
                <w:rFonts w:asciiTheme="majorHAnsi" w:hAnsiTheme="majorHAnsi" w:cs="Arial"/>
                <w:sz w:val="22"/>
                <w:szCs w:val="22"/>
              </w:rPr>
              <w:t xml:space="preserve"> </w:t>
            </w:r>
            <w:r w:rsidRPr="00806C7E">
              <w:rPr>
                <w:rFonts w:asciiTheme="majorHAnsi" w:hAnsiTheme="majorHAnsi" w:cs="Arial"/>
                <w:sz w:val="22"/>
                <w:szCs w:val="22"/>
              </w:rPr>
              <w:t>Office maintenance)</w:t>
            </w:r>
          </w:p>
        </w:tc>
        <w:tc>
          <w:tcPr>
            <w:tcW w:w="1740" w:type="dxa"/>
            <w:tcBorders>
              <w:top w:val="nil"/>
              <w:left w:val="nil"/>
              <w:bottom w:val="single" w:sz="4" w:space="0" w:color="auto"/>
              <w:right w:val="single" w:sz="8" w:space="0" w:color="auto"/>
            </w:tcBorders>
            <w:noWrap/>
            <w:vAlign w:val="center"/>
            <w:hideMark/>
          </w:tcPr>
          <w:p w14:paraId="79F9BF17" w14:textId="1EAF96A7" w:rsidR="009562BB" w:rsidRPr="00806C7E" w:rsidRDefault="009562BB" w:rsidP="00806C7E">
            <w:pPr>
              <w:contextualSpacing/>
              <w:jc w:val="center"/>
              <w:rPr>
                <w:rFonts w:asciiTheme="majorHAnsi" w:hAnsiTheme="majorHAnsi" w:cs="Arial"/>
                <w:sz w:val="22"/>
                <w:szCs w:val="22"/>
              </w:rPr>
            </w:pPr>
            <w:r w:rsidRPr="00806C7E">
              <w:rPr>
                <w:rFonts w:asciiTheme="majorHAnsi" w:hAnsiTheme="majorHAnsi" w:cs="Arial"/>
                <w:sz w:val="22"/>
                <w:szCs w:val="22"/>
              </w:rPr>
              <w:t>10</w:t>
            </w:r>
            <w:r w:rsidR="00701A79" w:rsidRPr="00806C7E">
              <w:rPr>
                <w:rFonts w:asciiTheme="majorHAnsi" w:hAnsiTheme="majorHAnsi" w:cs="Arial"/>
                <w:sz w:val="22"/>
                <w:szCs w:val="22"/>
              </w:rPr>
              <w:t>.</w:t>
            </w:r>
            <w:r w:rsidRPr="00806C7E">
              <w:rPr>
                <w:rFonts w:asciiTheme="majorHAnsi" w:hAnsiTheme="majorHAnsi" w:cs="Arial"/>
                <w:sz w:val="22"/>
                <w:szCs w:val="22"/>
              </w:rPr>
              <w:t>00</w:t>
            </w:r>
          </w:p>
        </w:tc>
      </w:tr>
      <w:tr w:rsidR="0098766F" w:rsidRPr="00806C7E" w14:paraId="679973D3" w14:textId="77777777" w:rsidTr="0098766F">
        <w:trPr>
          <w:trHeight w:val="360"/>
        </w:trPr>
        <w:tc>
          <w:tcPr>
            <w:tcW w:w="983" w:type="dxa"/>
            <w:tcBorders>
              <w:top w:val="nil"/>
              <w:left w:val="single" w:sz="8" w:space="0" w:color="auto"/>
              <w:bottom w:val="single" w:sz="8" w:space="0" w:color="auto"/>
              <w:right w:val="single" w:sz="4" w:space="0" w:color="auto"/>
            </w:tcBorders>
            <w:noWrap/>
            <w:vAlign w:val="center"/>
          </w:tcPr>
          <w:p w14:paraId="6E2340D8" w14:textId="04FD4C15" w:rsidR="0098766F" w:rsidRPr="0098766F" w:rsidRDefault="0098766F" w:rsidP="00806C7E">
            <w:pPr>
              <w:contextualSpacing/>
              <w:jc w:val="center"/>
              <w:rPr>
                <w:rFonts w:asciiTheme="majorHAnsi" w:hAnsiTheme="majorHAnsi" w:cs="Arial"/>
                <w:sz w:val="22"/>
                <w:szCs w:val="22"/>
              </w:rPr>
            </w:pPr>
            <w:r w:rsidRPr="0098766F">
              <w:rPr>
                <w:rFonts w:asciiTheme="majorHAnsi" w:hAnsiTheme="majorHAnsi" w:cs="Arial"/>
                <w:sz w:val="22"/>
                <w:szCs w:val="22"/>
              </w:rPr>
              <w:t>9</w:t>
            </w:r>
          </w:p>
        </w:tc>
        <w:tc>
          <w:tcPr>
            <w:tcW w:w="5940" w:type="dxa"/>
            <w:tcBorders>
              <w:top w:val="single" w:sz="4" w:space="0" w:color="auto"/>
              <w:left w:val="nil"/>
              <w:bottom w:val="single" w:sz="8" w:space="0" w:color="auto"/>
              <w:right w:val="single" w:sz="4" w:space="0" w:color="auto"/>
            </w:tcBorders>
            <w:noWrap/>
            <w:vAlign w:val="center"/>
          </w:tcPr>
          <w:p w14:paraId="597B8E1C" w14:textId="24C86FA3" w:rsidR="0098766F" w:rsidRPr="0098766F" w:rsidRDefault="0098766F" w:rsidP="0098766F">
            <w:pPr>
              <w:contextualSpacing/>
              <w:rPr>
                <w:rFonts w:asciiTheme="majorHAnsi" w:hAnsiTheme="majorHAnsi" w:cs="Arial"/>
                <w:sz w:val="22"/>
                <w:szCs w:val="22"/>
              </w:rPr>
            </w:pPr>
            <w:r w:rsidRPr="0098766F">
              <w:rPr>
                <w:rFonts w:asciiTheme="majorHAnsi" w:hAnsiTheme="majorHAnsi" w:cs="Arial"/>
                <w:sz w:val="22"/>
                <w:szCs w:val="22"/>
              </w:rPr>
              <w:t>Additional Cost of FCC shift operators (2</w:t>
            </w:r>
            <w:r w:rsidRPr="00A91605">
              <w:rPr>
                <w:rFonts w:asciiTheme="majorHAnsi" w:hAnsiTheme="majorHAnsi" w:cs="Arial"/>
                <w:sz w:val="22"/>
                <w:szCs w:val="22"/>
                <w:vertAlign w:val="superscript"/>
              </w:rPr>
              <w:t>nd</w:t>
            </w:r>
            <w:r w:rsidR="00FE0655">
              <w:rPr>
                <w:rFonts w:asciiTheme="majorHAnsi" w:hAnsiTheme="majorHAnsi" w:cs="Arial"/>
                <w:sz w:val="22"/>
                <w:szCs w:val="22"/>
                <w:vertAlign w:val="superscript"/>
              </w:rPr>
              <w:t xml:space="preserve"> </w:t>
            </w:r>
            <w:r w:rsidRPr="0098766F">
              <w:rPr>
                <w:rFonts w:asciiTheme="majorHAnsi" w:hAnsiTheme="majorHAnsi" w:cs="Arial"/>
                <w:sz w:val="22"/>
                <w:szCs w:val="22"/>
              </w:rPr>
              <w:t>Shift)</w:t>
            </w:r>
          </w:p>
        </w:tc>
        <w:tc>
          <w:tcPr>
            <w:tcW w:w="1740" w:type="dxa"/>
            <w:tcBorders>
              <w:top w:val="single" w:sz="4" w:space="0" w:color="auto"/>
              <w:left w:val="nil"/>
              <w:bottom w:val="single" w:sz="8" w:space="0" w:color="auto"/>
              <w:right w:val="single" w:sz="8" w:space="0" w:color="auto"/>
            </w:tcBorders>
            <w:noWrap/>
            <w:vAlign w:val="center"/>
          </w:tcPr>
          <w:p w14:paraId="7407BAE2" w14:textId="36551634" w:rsidR="0098766F" w:rsidRPr="0098766F" w:rsidRDefault="00CA443C" w:rsidP="00806C7E">
            <w:pPr>
              <w:contextualSpacing/>
              <w:jc w:val="center"/>
              <w:rPr>
                <w:rFonts w:asciiTheme="majorHAnsi" w:hAnsiTheme="majorHAnsi" w:cs="Arial"/>
                <w:sz w:val="22"/>
                <w:szCs w:val="22"/>
              </w:rPr>
            </w:pPr>
            <w:r>
              <w:rPr>
                <w:rFonts w:asciiTheme="majorHAnsi" w:hAnsiTheme="majorHAnsi" w:cs="Arial"/>
                <w:sz w:val="22"/>
                <w:szCs w:val="22"/>
              </w:rPr>
              <w:t>12.62</w:t>
            </w:r>
          </w:p>
        </w:tc>
      </w:tr>
      <w:tr w:rsidR="009562BB" w:rsidRPr="00806C7E" w14:paraId="0C121A5D" w14:textId="77777777" w:rsidTr="009562BB">
        <w:trPr>
          <w:trHeight w:val="360"/>
        </w:trPr>
        <w:tc>
          <w:tcPr>
            <w:tcW w:w="983" w:type="dxa"/>
            <w:tcBorders>
              <w:top w:val="nil"/>
              <w:left w:val="single" w:sz="8" w:space="0" w:color="auto"/>
              <w:bottom w:val="single" w:sz="8" w:space="0" w:color="auto"/>
              <w:right w:val="single" w:sz="4" w:space="0" w:color="auto"/>
            </w:tcBorders>
            <w:noWrap/>
            <w:vAlign w:val="center"/>
            <w:hideMark/>
          </w:tcPr>
          <w:p w14:paraId="3B01F881" w14:textId="2FA88B21" w:rsidR="009562BB" w:rsidRPr="00806C7E" w:rsidRDefault="0098766F" w:rsidP="00806C7E">
            <w:pPr>
              <w:contextualSpacing/>
              <w:jc w:val="center"/>
              <w:rPr>
                <w:rFonts w:asciiTheme="majorHAnsi" w:hAnsiTheme="majorHAnsi" w:cs="Arial"/>
                <w:b/>
                <w:bCs/>
                <w:sz w:val="22"/>
                <w:szCs w:val="22"/>
              </w:rPr>
            </w:pPr>
            <w:r>
              <w:rPr>
                <w:rFonts w:asciiTheme="majorHAnsi" w:hAnsiTheme="majorHAnsi" w:cs="Arial"/>
                <w:b/>
                <w:bCs/>
                <w:sz w:val="22"/>
                <w:szCs w:val="22"/>
              </w:rPr>
              <w:t>10</w:t>
            </w:r>
          </w:p>
        </w:tc>
        <w:tc>
          <w:tcPr>
            <w:tcW w:w="5940" w:type="dxa"/>
            <w:tcBorders>
              <w:top w:val="single" w:sz="4" w:space="0" w:color="auto"/>
              <w:left w:val="nil"/>
              <w:bottom w:val="single" w:sz="8" w:space="0" w:color="auto"/>
              <w:right w:val="single" w:sz="4" w:space="0" w:color="auto"/>
            </w:tcBorders>
            <w:noWrap/>
            <w:vAlign w:val="center"/>
            <w:hideMark/>
          </w:tcPr>
          <w:p w14:paraId="55A72ECD" w14:textId="77777777" w:rsidR="009562BB" w:rsidRPr="00806C7E" w:rsidRDefault="009562BB" w:rsidP="00806C7E">
            <w:pPr>
              <w:contextualSpacing/>
              <w:jc w:val="center"/>
              <w:rPr>
                <w:rFonts w:asciiTheme="majorHAnsi" w:hAnsiTheme="majorHAnsi" w:cs="Arial"/>
                <w:b/>
                <w:bCs/>
                <w:sz w:val="22"/>
                <w:szCs w:val="22"/>
              </w:rPr>
            </w:pPr>
            <w:r w:rsidRPr="00806C7E">
              <w:rPr>
                <w:rFonts w:asciiTheme="majorHAnsi" w:hAnsiTheme="majorHAnsi" w:cs="Arial"/>
                <w:b/>
                <w:bCs/>
                <w:sz w:val="22"/>
                <w:szCs w:val="22"/>
              </w:rPr>
              <w:t>TOTAL</w:t>
            </w:r>
          </w:p>
        </w:tc>
        <w:tc>
          <w:tcPr>
            <w:tcW w:w="1740" w:type="dxa"/>
            <w:tcBorders>
              <w:top w:val="single" w:sz="4" w:space="0" w:color="auto"/>
              <w:left w:val="nil"/>
              <w:bottom w:val="single" w:sz="8" w:space="0" w:color="auto"/>
              <w:right w:val="single" w:sz="8" w:space="0" w:color="auto"/>
            </w:tcBorders>
            <w:noWrap/>
            <w:vAlign w:val="center"/>
            <w:hideMark/>
          </w:tcPr>
          <w:p w14:paraId="296B1505" w14:textId="00F35896" w:rsidR="009562BB" w:rsidRPr="00806C7E" w:rsidRDefault="009562BB" w:rsidP="00806C7E">
            <w:pPr>
              <w:contextualSpacing/>
              <w:jc w:val="center"/>
              <w:rPr>
                <w:rFonts w:asciiTheme="majorHAnsi" w:hAnsiTheme="majorHAnsi" w:cs="Arial"/>
                <w:b/>
                <w:bCs/>
                <w:sz w:val="22"/>
                <w:szCs w:val="22"/>
              </w:rPr>
            </w:pPr>
            <w:r w:rsidRPr="00806C7E">
              <w:rPr>
                <w:rFonts w:asciiTheme="majorHAnsi" w:hAnsiTheme="majorHAnsi" w:cs="Arial"/>
                <w:b/>
                <w:bCs/>
                <w:sz w:val="22"/>
                <w:szCs w:val="22"/>
              </w:rPr>
              <w:t>348</w:t>
            </w:r>
            <w:r w:rsidR="00701A79" w:rsidRPr="00806C7E">
              <w:rPr>
                <w:rFonts w:asciiTheme="majorHAnsi" w:hAnsiTheme="majorHAnsi" w:cs="Arial"/>
                <w:b/>
                <w:bCs/>
                <w:sz w:val="22"/>
                <w:szCs w:val="22"/>
              </w:rPr>
              <w:t>.</w:t>
            </w:r>
            <w:r w:rsidRPr="00806C7E">
              <w:rPr>
                <w:rFonts w:asciiTheme="majorHAnsi" w:hAnsiTheme="majorHAnsi" w:cs="Arial"/>
                <w:b/>
                <w:bCs/>
                <w:sz w:val="22"/>
                <w:szCs w:val="22"/>
              </w:rPr>
              <w:t>62</w:t>
            </w:r>
          </w:p>
        </w:tc>
      </w:tr>
    </w:tbl>
    <w:p w14:paraId="0EC92702" w14:textId="7D9C2283" w:rsidR="00B034D2" w:rsidRPr="002911DF" w:rsidRDefault="00B034D2" w:rsidP="00923A86">
      <w:pPr>
        <w:pStyle w:val="BodyText2"/>
        <w:spacing w:beforeLines="100" w:before="240" w:afterLines="100" w:after="240" w:line="360" w:lineRule="auto"/>
        <w:jc w:val="both"/>
        <w:rPr>
          <w:rFonts w:ascii="Cambria" w:hAnsi="Cambria" w:cs="Arial"/>
          <w:sz w:val="24"/>
          <w:szCs w:val="24"/>
        </w:rPr>
      </w:pPr>
      <w:r w:rsidRPr="002911DF">
        <w:rPr>
          <w:rFonts w:ascii="Cambria" w:hAnsi="Cambria" w:cs="Arial"/>
          <w:sz w:val="24"/>
          <w:szCs w:val="24"/>
        </w:rPr>
        <w:t xml:space="preserve">The Licensee submits that comprehensive repair and maintenance is required in the areas of safety, system operation, distribution system and distribution services, centralized power system control center, civil structures, automation technology etc. R&amp;M Expenses are mainly incurred by the Petitioner under 33 </w:t>
      </w:r>
      <w:r w:rsidR="006019AD" w:rsidRPr="002911DF">
        <w:rPr>
          <w:rFonts w:ascii="Cambria" w:hAnsi="Cambria" w:cs="Arial"/>
          <w:sz w:val="24"/>
          <w:szCs w:val="24"/>
        </w:rPr>
        <w:t>kV</w:t>
      </w:r>
      <w:r w:rsidRPr="002911DF">
        <w:rPr>
          <w:rFonts w:ascii="Cambria" w:hAnsi="Cambria" w:cs="Arial"/>
          <w:sz w:val="24"/>
          <w:szCs w:val="24"/>
        </w:rPr>
        <w:t xml:space="preserve"> &amp; 11 </w:t>
      </w:r>
      <w:r w:rsidR="00E666A9" w:rsidRPr="002911DF">
        <w:rPr>
          <w:rFonts w:ascii="Cambria" w:hAnsi="Cambria" w:cs="Arial"/>
          <w:sz w:val="24"/>
          <w:szCs w:val="24"/>
        </w:rPr>
        <w:t>k</w:t>
      </w:r>
      <w:r w:rsidR="006019AD" w:rsidRPr="002911DF">
        <w:rPr>
          <w:rFonts w:ascii="Cambria" w:hAnsi="Cambria" w:cs="Arial"/>
          <w:sz w:val="24"/>
          <w:szCs w:val="24"/>
        </w:rPr>
        <w:t>V</w:t>
      </w:r>
      <w:r w:rsidRPr="002911DF">
        <w:rPr>
          <w:rFonts w:ascii="Cambria" w:hAnsi="Cambria" w:cs="Arial"/>
          <w:sz w:val="24"/>
          <w:szCs w:val="24"/>
        </w:rPr>
        <w:t xml:space="preserve"> grid substation and lines (AMC &amp; material), safety expenses, PSCC, SCADA, GIS, transformer and other equipment repairs, civil repair and maintenance, IT related and store related material handling. </w:t>
      </w:r>
    </w:p>
    <w:p w14:paraId="4A7D8C73" w14:textId="386F829A" w:rsidR="009249EB" w:rsidRDefault="00786D3F" w:rsidP="00923A86">
      <w:pPr>
        <w:pStyle w:val="BodyText2"/>
        <w:spacing w:beforeLines="100" w:before="240" w:afterLines="100" w:after="240" w:line="360" w:lineRule="auto"/>
        <w:jc w:val="both"/>
        <w:rPr>
          <w:rFonts w:ascii="Cambria" w:hAnsi="Cambria" w:cs="Arial"/>
          <w:sz w:val="24"/>
          <w:szCs w:val="24"/>
        </w:rPr>
      </w:pPr>
      <w:r w:rsidRPr="002911DF">
        <w:rPr>
          <w:rFonts w:ascii="Cambria" w:hAnsi="Cambria" w:cs="Arial"/>
          <w:sz w:val="24"/>
          <w:szCs w:val="24"/>
        </w:rPr>
        <w:t xml:space="preserve">It is </w:t>
      </w:r>
      <w:r w:rsidR="009249EB" w:rsidRPr="002911DF">
        <w:rPr>
          <w:rFonts w:ascii="Cambria" w:hAnsi="Cambria" w:cs="Arial"/>
          <w:sz w:val="24"/>
          <w:szCs w:val="24"/>
        </w:rPr>
        <w:t>submitted that ageing also plays an important factor in the distribution system. Due to ageing of the electrical equipment, power distribution system is plagued with problems of high failures. Also, if proper repair and maintenance is not carried out in time, it may lead to high failures in distribution transformers and sub-</w:t>
      </w:r>
      <w:r w:rsidR="009249EB">
        <w:rPr>
          <w:rFonts w:ascii="Cambria" w:hAnsi="Cambria" w:cs="Arial"/>
          <w:sz w:val="24"/>
          <w:szCs w:val="24"/>
        </w:rPr>
        <w:t xml:space="preserve">stations leading to interruption in power supply to the consumers. </w:t>
      </w:r>
      <w:r w:rsidR="00A7398C">
        <w:rPr>
          <w:rFonts w:ascii="Cambria" w:hAnsi="Cambria" w:cs="Arial"/>
          <w:sz w:val="24"/>
          <w:szCs w:val="24"/>
        </w:rPr>
        <w:t>Also</w:t>
      </w:r>
      <w:r w:rsidR="00FE0655">
        <w:rPr>
          <w:rFonts w:ascii="Cambria" w:hAnsi="Cambria" w:cs="Arial"/>
          <w:sz w:val="24"/>
          <w:szCs w:val="24"/>
        </w:rPr>
        <w:t>,</w:t>
      </w:r>
      <w:r w:rsidR="00A7398C">
        <w:rPr>
          <w:rFonts w:ascii="Cambria" w:hAnsi="Cambria" w:cs="Arial"/>
          <w:sz w:val="24"/>
          <w:szCs w:val="24"/>
        </w:rPr>
        <w:t xml:space="preserve"> the maintenance activity cost varies substantially across the license area due to varied terrain.</w:t>
      </w:r>
    </w:p>
    <w:p w14:paraId="5B4FC9A0" w14:textId="1A305019" w:rsidR="00786D3F" w:rsidRDefault="009249EB" w:rsidP="001D55BD">
      <w:pPr>
        <w:pStyle w:val="BodyText2"/>
        <w:spacing w:line="360" w:lineRule="auto"/>
        <w:jc w:val="both"/>
        <w:rPr>
          <w:rFonts w:ascii="Cambria" w:hAnsi="Cambria" w:cs="Arial"/>
          <w:sz w:val="24"/>
          <w:szCs w:val="24"/>
        </w:rPr>
      </w:pPr>
      <w:r>
        <w:rPr>
          <w:rFonts w:ascii="Cambria" w:hAnsi="Cambria" w:cs="Arial"/>
          <w:sz w:val="24"/>
          <w:szCs w:val="24"/>
        </w:rPr>
        <w:t xml:space="preserve">Some of the key reasons for failures in </w:t>
      </w:r>
      <w:r w:rsidRPr="009249EB">
        <w:rPr>
          <w:rFonts w:ascii="Cambria" w:hAnsi="Cambria" w:cs="Arial"/>
          <w:sz w:val="24"/>
          <w:szCs w:val="24"/>
        </w:rPr>
        <w:t>distribution transformers are as given below</w:t>
      </w:r>
      <w:r>
        <w:rPr>
          <w:rFonts w:ascii="Cambria" w:hAnsi="Cambria" w:cs="Arial"/>
          <w:sz w:val="24"/>
          <w:szCs w:val="24"/>
        </w:rPr>
        <w:t>:</w:t>
      </w:r>
    </w:p>
    <w:p w14:paraId="3CD15613" w14:textId="77777777" w:rsidR="009249EB" w:rsidRPr="009249EB" w:rsidRDefault="009249EB" w:rsidP="00701A79">
      <w:pPr>
        <w:pStyle w:val="BodyText2"/>
        <w:numPr>
          <w:ilvl w:val="0"/>
          <w:numId w:val="14"/>
        </w:numPr>
        <w:jc w:val="both"/>
        <w:rPr>
          <w:rFonts w:ascii="Cambria" w:hAnsi="Cambria" w:cs="Arial"/>
          <w:sz w:val="24"/>
          <w:szCs w:val="24"/>
        </w:rPr>
      </w:pPr>
      <w:r w:rsidRPr="009249EB">
        <w:rPr>
          <w:rFonts w:ascii="Cambria" w:hAnsi="Cambria" w:cs="Arial"/>
          <w:sz w:val="24"/>
          <w:szCs w:val="24"/>
        </w:rPr>
        <w:t>Prolonged overloading</w:t>
      </w:r>
    </w:p>
    <w:p w14:paraId="45DFFCBB" w14:textId="59E903BF" w:rsidR="009249EB" w:rsidRPr="009249EB" w:rsidRDefault="009249EB" w:rsidP="00701A79">
      <w:pPr>
        <w:pStyle w:val="BodyText2"/>
        <w:numPr>
          <w:ilvl w:val="0"/>
          <w:numId w:val="14"/>
        </w:numPr>
        <w:jc w:val="both"/>
        <w:rPr>
          <w:rFonts w:ascii="Cambria" w:hAnsi="Cambria" w:cs="Arial"/>
          <w:sz w:val="24"/>
          <w:szCs w:val="24"/>
        </w:rPr>
      </w:pPr>
      <w:r w:rsidRPr="009249EB">
        <w:rPr>
          <w:rFonts w:ascii="Cambria" w:hAnsi="Cambria" w:cs="Arial"/>
          <w:sz w:val="24"/>
          <w:szCs w:val="24"/>
        </w:rPr>
        <w:t>Oil pilferage or leakage</w:t>
      </w:r>
    </w:p>
    <w:p w14:paraId="3CEF6601" w14:textId="5B749681" w:rsidR="009249EB" w:rsidRPr="009249EB" w:rsidRDefault="009249EB" w:rsidP="00701A79">
      <w:pPr>
        <w:pStyle w:val="BodyText2"/>
        <w:numPr>
          <w:ilvl w:val="0"/>
          <w:numId w:val="14"/>
        </w:numPr>
        <w:jc w:val="both"/>
        <w:rPr>
          <w:rFonts w:ascii="Cambria" w:hAnsi="Cambria" w:cs="Arial"/>
          <w:sz w:val="24"/>
          <w:szCs w:val="24"/>
        </w:rPr>
      </w:pPr>
      <w:r w:rsidRPr="009249EB">
        <w:rPr>
          <w:rFonts w:ascii="Cambria" w:hAnsi="Cambria" w:cs="Arial"/>
          <w:sz w:val="24"/>
          <w:szCs w:val="24"/>
        </w:rPr>
        <w:t>Non-topping up of oil</w:t>
      </w:r>
    </w:p>
    <w:p w14:paraId="4729068F" w14:textId="7BEA43C3" w:rsidR="009249EB" w:rsidRPr="009249EB" w:rsidRDefault="009249EB" w:rsidP="00701A79">
      <w:pPr>
        <w:pStyle w:val="BodyText2"/>
        <w:numPr>
          <w:ilvl w:val="0"/>
          <w:numId w:val="14"/>
        </w:numPr>
        <w:jc w:val="both"/>
        <w:rPr>
          <w:rFonts w:ascii="Cambria" w:hAnsi="Cambria" w:cs="Arial"/>
          <w:sz w:val="24"/>
          <w:szCs w:val="24"/>
        </w:rPr>
      </w:pPr>
      <w:r w:rsidRPr="009249EB">
        <w:rPr>
          <w:rFonts w:ascii="Cambria" w:hAnsi="Cambria" w:cs="Arial"/>
          <w:sz w:val="24"/>
          <w:szCs w:val="24"/>
        </w:rPr>
        <w:t>Single phasing</w:t>
      </w:r>
    </w:p>
    <w:p w14:paraId="0BED7FC2" w14:textId="00B8A471" w:rsidR="009249EB" w:rsidRPr="009249EB" w:rsidRDefault="009249EB" w:rsidP="00701A79">
      <w:pPr>
        <w:pStyle w:val="BodyText2"/>
        <w:numPr>
          <w:ilvl w:val="0"/>
          <w:numId w:val="14"/>
        </w:numPr>
        <w:jc w:val="both"/>
        <w:rPr>
          <w:rFonts w:ascii="Cambria" w:hAnsi="Cambria" w:cs="Arial"/>
          <w:sz w:val="24"/>
          <w:szCs w:val="24"/>
        </w:rPr>
      </w:pPr>
      <w:r w:rsidRPr="009249EB">
        <w:rPr>
          <w:rFonts w:ascii="Cambria" w:hAnsi="Cambria" w:cs="Arial"/>
          <w:sz w:val="24"/>
          <w:szCs w:val="24"/>
        </w:rPr>
        <w:t>Improper size of fuses</w:t>
      </w:r>
    </w:p>
    <w:p w14:paraId="314AE6DB" w14:textId="006D9A64" w:rsidR="009249EB" w:rsidRPr="009249EB" w:rsidRDefault="009249EB" w:rsidP="00701A79">
      <w:pPr>
        <w:pStyle w:val="BodyText2"/>
        <w:numPr>
          <w:ilvl w:val="0"/>
          <w:numId w:val="14"/>
        </w:numPr>
        <w:jc w:val="both"/>
        <w:rPr>
          <w:rFonts w:ascii="Cambria" w:hAnsi="Cambria" w:cs="Arial"/>
          <w:sz w:val="24"/>
          <w:szCs w:val="24"/>
        </w:rPr>
      </w:pPr>
      <w:r w:rsidRPr="009249EB">
        <w:rPr>
          <w:rFonts w:ascii="Cambria" w:hAnsi="Cambria" w:cs="Arial"/>
          <w:sz w:val="24"/>
          <w:szCs w:val="24"/>
        </w:rPr>
        <w:t>No lightning arresters installed/faulty</w:t>
      </w:r>
    </w:p>
    <w:p w14:paraId="21872DF0" w14:textId="6C5A5514" w:rsidR="009249EB" w:rsidRPr="009249EB" w:rsidRDefault="009249EB" w:rsidP="00701A79">
      <w:pPr>
        <w:pStyle w:val="BodyText2"/>
        <w:numPr>
          <w:ilvl w:val="0"/>
          <w:numId w:val="14"/>
        </w:numPr>
        <w:jc w:val="both"/>
        <w:rPr>
          <w:rFonts w:ascii="Cambria" w:hAnsi="Cambria" w:cs="Arial"/>
          <w:sz w:val="24"/>
          <w:szCs w:val="24"/>
        </w:rPr>
      </w:pPr>
      <w:r w:rsidRPr="009249EB">
        <w:rPr>
          <w:rFonts w:ascii="Cambria" w:hAnsi="Cambria" w:cs="Arial"/>
          <w:sz w:val="24"/>
          <w:szCs w:val="24"/>
        </w:rPr>
        <w:t>Faulty earthing</w:t>
      </w:r>
    </w:p>
    <w:p w14:paraId="59FA0383" w14:textId="199649A3" w:rsidR="009249EB" w:rsidRPr="009249EB" w:rsidRDefault="009249EB" w:rsidP="00701A79">
      <w:pPr>
        <w:pStyle w:val="BodyText2"/>
        <w:numPr>
          <w:ilvl w:val="0"/>
          <w:numId w:val="14"/>
        </w:numPr>
        <w:jc w:val="both"/>
        <w:rPr>
          <w:rFonts w:ascii="Cambria" w:hAnsi="Cambria" w:cs="Arial"/>
          <w:sz w:val="24"/>
          <w:szCs w:val="24"/>
        </w:rPr>
      </w:pPr>
      <w:r w:rsidRPr="009249EB">
        <w:rPr>
          <w:rFonts w:ascii="Cambria" w:hAnsi="Cambria" w:cs="Arial"/>
          <w:sz w:val="24"/>
          <w:szCs w:val="24"/>
        </w:rPr>
        <w:t xml:space="preserve">Tree </w:t>
      </w:r>
      <w:r w:rsidR="009244DA">
        <w:rPr>
          <w:rFonts w:ascii="Cambria" w:hAnsi="Cambria" w:cs="Arial"/>
          <w:sz w:val="24"/>
          <w:szCs w:val="24"/>
        </w:rPr>
        <w:t xml:space="preserve">falling </w:t>
      </w:r>
    </w:p>
    <w:p w14:paraId="58617D4D" w14:textId="5F0B4836" w:rsidR="009249EB" w:rsidRDefault="009249EB" w:rsidP="00701A79">
      <w:pPr>
        <w:pStyle w:val="BodyText2"/>
        <w:numPr>
          <w:ilvl w:val="0"/>
          <w:numId w:val="14"/>
        </w:numPr>
        <w:jc w:val="both"/>
        <w:rPr>
          <w:rFonts w:ascii="Cambria" w:hAnsi="Cambria" w:cs="Arial"/>
          <w:sz w:val="24"/>
          <w:szCs w:val="24"/>
        </w:rPr>
      </w:pPr>
      <w:r w:rsidRPr="009249EB">
        <w:rPr>
          <w:rFonts w:ascii="Cambria" w:hAnsi="Cambria" w:cs="Arial"/>
          <w:sz w:val="24"/>
          <w:szCs w:val="24"/>
        </w:rPr>
        <w:t>Improper sag in lines and miscellaneous maintenance reasons</w:t>
      </w:r>
      <w:r>
        <w:rPr>
          <w:rFonts w:ascii="Cambria" w:hAnsi="Cambria" w:cs="Arial"/>
          <w:sz w:val="24"/>
          <w:szCs w:val="24"/>
        </w:rPr>
        <w:t>.</w:t>
      </w:r>
    </w:p>
    <w:p w14:paraId="5876703F" w14:textId="77777777" w:rsidR="00806C7E" w:rsidRPr="00806C7E" w:rsidRDefault="00806C7E" w:rsidP="009249EB">
      <w:pPr>
        <w:pStyle w:val="BodyText2"/>
        <w:spacing w:line="360" w:lineRule="auto"/>
        <w:jc w:val="both"/>
        <w:rPr>
          <w:rFonts w:ascii="Cambria" w:hAnsi="Cambria" w:cs="Arial"/>
          <w:sz w:val="8"/>
          <w:szCs w:val="24"/>
        </w:rPr>
      </w:pPr>
    </w:p>
    <w:p w14:paraId="4EDE370D" w14:textId="7607EB00" w:rsidR="009249EB" w:rsidRDefault="009249EB" w:rsidP="009249EB">
      <w:pPr>
        <w:pStyle w:val="BodyText2"/>
        <w:spacing w:line="360" w:lineRule="auto"/>
        <w:jc w:val="both"/>
        <w:rPr>
          <w:rFonts w:ascii="Cambria" w:hAnsi="Cambria" w:cs="Arial"/>
          <w:sz w:val="24"/>
          <w:szCs w:val="24"/>
        </w:rPr>
      </w:pPr>
      <w:r w:rsidRPr="009249EB">
        <w:rPr>
          <w:rFonts w:ascii="Cambria" w:hAnsi="Cambria" w:cs="Arial"/>
          <w:sz w:val="24"/>
          <w:szCs w:val="24"/>
        </w:rPr>
        <w:t xml:space="preserve">Timely </w:t>
      </w:r>
      <w:r>
        <w:rPr>
          <w:rFonts w:ascii="Cambria" w:hAnsi="Cambria" w:cs="Arial"/>
          <w:sz w:val="24"/>
          <w:szCs w:val="24"/>
        </w:rPr>
        <w:t xml:space="preserve">and regular </w:t>
      </w:r>
      <w:r w:rsidRPr="009249EB">
        <w:rPr>
          <w:rFonts w:ascii="Cambria" w:hAnsi="Cambria" w:cs="Arial"/>
          <w:sz w:val="24"/>
          <w:szCs w:val="24"/>
        </w:rPr>
        <w:t>maintenance helps to reduce outages, lower costs, and increase</w:t>
      </w:r>
      <w:r w:rsidR="000C1158">
        <w:rPr>
          <w:rFonts w:ascii="Cambria" w:hAnsi="Cambria" w:cs="Arial"/>
          <w:sz w:val="24"/>
          <w:szCs w:val="24"/>
        </w:rPr>
        <w:t>d</w:t>
      </w:r>
      <w:r w:rsidRPr="009249EB">
        <w:rPr>
          <w:rFonts w:ascii="Cambria" w:hAnsi="Cambria" w:cs="Arial"/>
          <w:sz w:val="24"/>
          <w:szCs w:val="24"/>
        </w:rPr>
        <w:t xml:space="preserve"> energy efficiency.</w:t>
      </w:r>
      <w:r>
        <w:rPr>
          <w:rFonts w:ascii="Cambria" w:hAnsi="Cambria" w:cs="Arial"/>
          <w:sz w:val="24"/>
          <w:szCs w:val="24"/>
        </w:rPr>
        <w:t xml:space="preserve"> </w:t>
      </w:r>
      <w:r w:rsidR="000C1158">
        <w:rPr>
          <w:rFonts w:ascii="Cambria" w:hAnsi="Cambria" w:cs="Arial"/>
          <w:sz w:val="24"/>
          <w:szCs w:val="24"/>
        </w:rPr>
        <w:t xml:space="preserve">However, maintenance includes costs and it is the commitment of the Licensee to provide uninterrupted </w:t>
      </w:r>
      <w:r w:rsidR="00A7398C">
        <w:rPr>
          <w:rFonts w:ascii="Cambria" w:hAnsi="Cambria" w:cs="Arial"/>
          <w:sz w:val="24"/>
          <w:szCs w:val="24"/>
        </w:rPr>
        <w:t xml:space="preserve">and quality </w:t>
      </w:r>
      <w:r w:rsidR="000C1158">
        <w:rPr>
          <w:rFonts w:ascii="Cambria" w:hAnsi="Cambria" w:cs="Arial"/>
          <w:sz w:val="24"/>
          <w:szCs w:val="24"/>
        </w:rPr>
        <w:t>power supply to all its consumers.</w:t>
      </w:r>
    </w:p>
    <w:p w14:paraId="00091AB7" w14:textId="643D1CF0" w:rsidR="000C1158" w:rsidRDefault="000C1158" w:rsidP="00923A86">
      <w:pPr>
        <w:pStyle w:val="BodyText2"/>
        <w:spacing w:beforeLines="100" w:before="240" w:afterLines="100" w:after="240" w:line="360" w:lineRule="auto"/>
        <w:jc w:val="both"/>
        <w:rPr>
          <w:rFonts w:ascii="Cambria" w:hAnsi="Cambria" w:cs="Arial"/>
          <w:sz w:val="24"/>
          <w:szCs w:val="24"/>
        </w:rPr>
      </w:pPr>
      <w:r w:rsidRPr="009F560B">
        <w:rPr>
          <w:rFonts w:ascii="Cambria" w:hAnsi="Cambria" w:cs="Arial"/>
          <w:sz w:val="24"/>
          <w:szCs w:val="24"/>
        </w:rPr>
        <w:t xml:space="preserve">Accordingly, the Licensee requests the Hon’ble Commission to allow </w:t>
      </w:r>
      <w:r w:rsidR="00526B76" w:rsidRPr="009F560B">
        <w:rPr>
          <w:rFonts w:ascii="Cambria" w:hAnsi="Cambria" w:cs="Arial"/>
          <w:sz w:val="24"/>
          <w:szCs w:val="24"/>
        </w:rPr>
        <w:t xml:space="preserve">R&amp;M Expenses </w:t>
      </w:r>
      <w:r w:rsidR="002911DF">
        <w:rPr>
          <w:rFonts w:ascii="Cambria" w:hAnsi="Cambria" w:cs="Arial"/>
          <w:sz w:val="24"/>
          <w:szCs w:val="24"/>
        </w:rPr>
        <w:t xml:space="preserve">of </w:t>
      </w:r>
      <w:r w:rsidRPr="009F560B">
        <w:rPr>
          <w:rFonts w:ascii="Cambria" w:hAnsi="Cambria" w:cs="Arial"/>
          <w:b/>
          <w:bCs/>
          <w:sz w:val="24"/>
          <w:szCs w:val="24"/>
        </w:rPr>
        <w:t xml:space="preserve">Rs. </w:t>
      </w:r>
      <w:r w:rsidR="00701A79">
        <w:rPr>
          <w:rFonts w:ascii="Cambria" w:hAnsi="Cambria" w:cs="Arial"/>
          <w:b/>
          <w:bCs/>
          <w:sz w:val="24"/>
          <w:szCs w:val="24"/>
        </w:rPr>
        <w:t>326.10</w:t>
      </w:r>
      <w:r w:rsidRPr="009F560B">
        <w:rPr>
          <w:rFonts w:ascii="Cambria" w:hAnsi="Cambria" w:cs="Arial"/>
          <w:b/>
          <w:bCs/>
          <w:sz w:val="24"/>
          <w:szCs w:val="24"/>
        </w:rPr>
        <w:t xml:space="preserve"> Cr.</w:t>
      </w:r>
      <w:r w:rsidRPr="009F560B">
        <w:rPr>
          <w:rFonts w:ascii="Cambria" w:hAnsi="Cambria" w:cs="Arial"/>
          <w:sz w:val="24"/>
          <w:szCs w:val="24"/>
        </w:rPr>
        <w:t xml:space="preserve"> for FY 202</w:t>
      </w:r>
      <w:r w:rsidR="00701A79">
        <w:rPr>
          <w:rFonts w:ascii="Cambria" w:hAnsi="Cambria" w:cs="Arial"/>
          <w:sz w:val="24"/>
          <w:szCs w:val="24"/>
        </w:rPr>
        <w:t>5</w:t>
      </w:r>
      <w:r w:rsidRPr="009F560B">
        <w:rPr>
          <w:rFonts w:ascii="Cambria" w:hAnsi="Cambria" w:cs="Arial"/>
          <w:sz w:val="24"/>
          <w:szCs w:val="24"/>
        </w:rPr>
        <w:t>-2</w:t>
      </w:r>
      <w:r w:rsidR="00701A79">
        <w:rPr>
          <w:rFonts w:ascii="Cambria" w:hAnsi="Cambria" w:cs="Arial"/>
          <w:sz w:val="24"/>
          <w:szCs w:val="24"/>
        </w:rPr>
        <w:t>6</w:t>
      </w:r>
      <w:r w:rsidR="008C072D" w:rsidRPr="009F560B">
        <w:rPr>
          <w:rFonts w:ascii="Cambria" w:hAnsi="Cambria" w:cs="Arial"/>
          <w:sz w:val="24"/>
          <w:szCs w:val="24"/>
        </w:rPr>
        <w:t xml:space="preserve"> &amp; </w:t>
      </w:r>
      <w:r w:rsidR="008C072D" w:rsidRPr="009F560B">
        <w:rPr>
          <w:rFonts w:ascii="Cambria" w:hAnsi="Cambria" w:cs="Arial"/>
          <w:b/>
          <w:bCs/>
          <w:sz w:val="24"/>
          <w:szCs w:val="24"/>
        </w:rPr>
        <w:t xml:space="preserve">Rs. </w:t>
      </w:r>
      <w:r w:rsidR="00701A79">
        <w:rPr>
          <w:rFonts w:ascii="Cambria" w:hAnsi="Cambria" w:cs="Arial"/>
          <w:b/>
          <w:bCs/>
          <w:sz w:val="24"/>
          <w:szCs w:val="24"/>
        </w:rPr>
        <w:t>348.62</w:t>
      </w:r>
      <w:r w:rsidR="00701A79" w:rsidRPr="009F560B">
        <w:rPr>
          <w:rFonts w:ascii="Cambria" w:hAnsi="Cambria" w:cs="Arial"/>
          <w:b/>
          <w:bCs/>
          <w:sz w:val="24"/>
          <w:szCs w:val="24"/>
        </w:rPr>
        <w:t xml:space="preserve"> </w:t>
      </w:r>
      <w:r w:rsidR="008C072D" w:rsidRPr="009F560B">
        <w:rPr>
          <w:rFonts w:ascii="Cambria" w:hAnsi="Cambria" w:cs="Arial"/>
          <w:b/>
          <w:bCs/>
          <w:sz w:val="24"/>
          <w:szCs w:val="24"/>
        </w:rPr>
        <w:t>Cr.</w:t>
      </w:r>
      <w:r w:rsidR="008C072D" w:rsidRPr="009F560B">
        <w:rPr>
          <w:rFonts w:ascii="Cambria" w:hAnsi="Cambria" w:cs="Arial"/>
          <w:sz w:val="24"/>
          <w:szCs w:val="24"/>
        </w:rPr>
        <w:t xml:space="preserve"> for FY </w:t>
      </w:r>
      <w:r w:rsidR="009A0E63">
        <w:rPr>
          <w:rFonts w:ascii="Cambria" w:hAnsi="Cambria" w:cs="Arial"/>
          <w:sz w:val="24"/>
          <w:szCs w:val="24"/>
        </w:rPr>
        <w:t>2026-27</w:t>
      </w:r>
      <w:r w:rsidR="008C072D" w:rsidRPr="009F560B">
        <w:rPr>
          <w:rFonts w:ascii="Cambria" w:hAnsi="Cambria" w:cs="Arial"/>
          <w:sz w:val="24"/>
          <w:szCs w:val="24"/>
        </w:rPr>
        <w:t xml:space="preserve"> </w:t>
      </w:r>
      <w:r w:rsidRPr="009F560B">
        <w:rPr>
          <w:rFonts w:ascii="Cambria" w:hAnsi="Cambria" w:cs="Arial"/>
          <w:sz w:val="24"/>
          <w:szCs w:val="24"/>
        </w:rPr>
        <w:t xml:space="preserve">considering the efforts put in by the </w:t>
      </w:r>
      <w:r w:rsidR="009739A1" w:rsidRPr="009F560B">
        <w:rPr>
          <w:rFonts w:ascii="Cambria" w:hAnsi="Cambria" w:cs="Arial"/>
          <w:sz w:val="24"/>
          <w:szCs w:val="24"/>
        </w:rPr>
        <w:t xml:space="preserve">Licensee </w:t>
      </w:r>
      <w:r w:rsidR="00F1012C">
        <w:rPr>
          <w:rFonts w:ascii="Cambria" w:hAnsi="Cambria" w:cs="Arial"/>
          <w:sz w:val="24"/>
          <w:szCs w:val="24"/>
        </w:rPr>
        <w:t>for proper upkeep</w:t>
      </w:r>
      <w:r w:rsidR="00F51394">
        <w:rPr>
          <w:rFonts w:ascii="Cambria" w:hAnsi="Cambria" w:cs="Arial"/>
          <w:sz w:val="24"/>
          <w:szCs w:val="24"/>
        </w:rPr>
        <w:t>ing</w:t>
      </w:r>
      <w:r w:rsidR="00F1012C">
        <w:rPr>
          <w:rFonts w:ascii="Cambria" w:hAnsi="Cambria" w:cs="Arial"/>
          <w:sz w:val="24"/>
          <w:szCs w:val="24"/>
        </w:rPr>
        <w:t xml:space="preserve"> of the equipment </w:t>
      </w:r>
      <w:r w:rsidR="009739A1" w:rsidRPr="009F560B">
        <w:rPr>
          <w:rFonts w:ascii="Cambria" w:hAnsi="Cambria" w:cs="Arial"/>
          <w:sz w:val="24"/>
          <w:szCs w:val="24"/>
        </w:rPr>
        <w:t xml:space="preserve">to provide </w:t>
      </w:r>
      <w:r w:rsidR="00F1012C">
        <w:rPr>
          <w:rFonts w:ascii="Cambria" w:hAnsi="Cambria" w:cs="Arial"/>
          <w:sz w:val="24"/>
          <w:szCs w:val="24"/>
        </w:rPr>
        <w:t xml:space="preserve">reliable </w:t>
      </w:r>
      <w:r w:rsidR="009739A1" w:rsidRPr="009F560B">
        <w:rPr>
          <w:rFonts w:ascii="Cambria" w:hAnsi="Cambria" w:cs="Arial"/>
          <w:sz w:val="24"/>
          <w:szCs w:val="24"/>
        </w:rPr>
        <w:t>and safe supply to the consumers.</w:t>
      </w:r>
    </w:p>
    <w:p w14:paraId="7701EE10" w14:textId="1AB17AC1" w:rsidR="008A10E5" w:rsidRPr="001B2C79" w:rsidRDefault="008A10E5" w:rsidP="00DE244C">
      <w:pPr>
        <w:pStyle w:val="BodyText"/>
        <w:spacing w:before="221" w:line="360" w:lineRule="auto"/>
        <w:ind w:right="49"/>
        <w:rPr>
          <w:rFonts w:asciiTheme="majorHAnsi" w:hAnsiTheme="majorHAnsi" w:cstheme="minorHAnsi"/>
          <w:b/>
          <w:bCs/>
          <w:u w:val="single"/>
        </w:rPr>
      </w:pPr>
      <w:r w:rsidRPr="001B2C79">
        <w:rPr>
          <w:rFonts w:asciiTheme="majorHAnsi" w:hAnsiTheme="majorHAnsi" w:cstheme="minorHAnsi"/>
          <w:b/>
          <w:bCs/>
          <w:u w:val="single"/>
        </w:rPr>
        <w:t xml:space="preserve">Justification of Repair &amp; Maintenance Cost </w:t>
      </w:r>
    </w:p>
    <w:p w14:paraId="332E9E07" w14:textId="0D639AD9" w:rsidR="008A10E5" w:rsidRPr="00A41794" w:rsidRDefault="008A10E5" w:rsidP="007B66E8">
      <w:pPr>
        <w:pStyle w:val="BodyText"/>
        <w:spacing w:beforeLines="100" w:before="240" w:afterLines="100" w:after="240" w:line="360" w:lineRule="auto"/>
        <w:ind w:right="49"/>
        <w:jc w:val="both"/>
        <w:rPr>
          <w:rFonts w:asciiTheme="majorHAnsi" w:hAnsiTheme="majorHAnsi" w:cstheme="minorHAnsi"/>
        </w:rPr>
      </w:pPr>
      <w:r w:rsidRPr="00A41794">
        <w:rPr>
          <w:rFonts w:asciiTheme="majorHAnsi" w:hAnsiTheme="majorHAnsi" w:cstheme="minorHAnsi"/>
        </w:rPr>
        <w:t>TPWODL</w:t>
      </w:r>
      <w:r w:rsidR="009739A1">
        <w:rPr>
          <w:rFonts w:asciiTheme="majorHAnsi" w:hAnsiTheme="majorHAnsi" w:cstheme="minorHAnsi"/>
        </w:rPr>
        <w:t>,</w:t>
      </w:r>
      <w:r w:rsidRPr="00A41794">
        <w:rPr>
          <w:rFonts w:asciiTheme="majorHAnsi" w:hAnsiTheme="majorHAnsi" w:cstheme="minorHAnsi"/>
        </w:rPr>
        <w:t xml:space="preserve"> serves a population of </w:t>
      </w:r>
      <w:r w:rsidR="00B3003E">
        <w:rPr>
          <w:rFonts w:asciiTheme="majorHAnsi" w:hAnsiTheme="majorHAnsi" w:cstheme="minorHAnsi"/>
        </w:rPr>
        <w:t>around 90</w:t>
      </w:r>
      <w:r w:rsidRPr="00A41794">
        <w:rPr>
          <w:rFonts w:asciiTheme="majorHAnsi" w:hAnsiTheme="majorHAnsi" w:cstheme="minorHAnsi"/>
        </w:rPr>
        <w:t xml:space="preserve"> la</w:t>
      </w:r>
      <w:r w:rsidR="00B3003E">
        <w:rPr>
          <w:rFonts w:asciiTheme="majorHAnsi" w:hAnsiTheme="majorHAnsi" w:cstheme="minorHAnsi"/>
        </w:rPr>
        <w:t>kh</w:t>
      </w:r>
      <w:r w:rsidR="00EC4047">
        <w:rPr>
          <w:rFonts w:asciiTheme="majorHAnsi" w:hAnsiTheme="majorHAnsi" w:cstheme="minorHAnsi"/>
        </w:rPr>
        <w:t>s</w:t>
      </w:r>
      <w:r w:rsidRPr="00A41794">
        <w:rPr>
          <w:rFonts w:asciiTheme="majorHAnsi" w:hAnsiTheme="majorHAnsi" w:cstheme="minorHAnsi"/>
        </w:rPr>
        <w:t xml:space="preserve"> with a Customer Base of more than 2</w:t>
      </w:r>
      <w:r w:rsidR="00E211A3">
        <w:rPr>
          <w:rFonts w:asciiTheme="majorHAnsi" w:hAnsiTheme="majorHAnsi" w:cstheme="minorHAnsi"/>
        </w:rPr>
        <w:t>9</w:t>
      </w:r>
      <w:r w:rsidRPr="00A41794">
        <w:rPr>
          <w:rFonts w:asciiTheme="majorHAnsi" w:hAnsiTheme="majorHAnsi" w:cstheme="minorHAnsi"/>
        </w:rPr>
        <w:t xml:space="preserve"> la</w:t>
      </w:r>
      <w:r w:rsidR="00B3003E">
        <w:rPr>
          <w:rFonts w:asciiTheme="majorHAnsi" w:hAnsiTheme="majorHAnsi" w:cstheme="minorHAnsi"/>
        </w:rPr>
        <w:t>kh</w:t>
      </w:r>
      <w:r w:rsidR="00EC4047">
        <w:rPr>
          <w:rFonts w:asciiTheme="majorHAnsi" w:hAnsiTheme="majorHAnsi" w:cstheme="minorHAnsi"/>
        </w:rPr>
        <w:t>s</w:t>
      </w:r>
      <w:r w:rsidRPr="00A41794">
        <w:rPr>
          <w:rFonts w:asciiTheme="majorHAnsi" w:hAnsiTheme="majorHAnsi" w:cstheme="minorHAnsi"/>
        </w:rPr>
        <w:t xml:space="preserve">. </w:t>
      </w:r>
      <w:r w:rsidR="00B3003E">
        <w:rPr>
          <w:rFonts w:asciiTheme="majorHAnsi" w:hAnsiTheme="majorHAnsi" w:cstheme="minorHAnsi"/>
        </w:rPr>
        <w:t>With</w:t>
      </w:r>
      <w:r w:rsidRPr="00A41794">
        <w:rPr>
          <w:rFonts w:asciiTheme="majorHAnsi" w:hAnsiTheme="majorHAnsi" w:cstheme="minorHAnsi"/>
        </w:rPr>
        <w:t xml:space="preserve"> vast Distribution Area covering 48,373 sq. km across nine revenue districts of Odisha </w:t>
      </w:r>
      <w:r w:rsidR="00A35E06">
        <w:rPr>
          <w:rFonts w:asciiTheme="majorHAnsi" w:hAnsiTheme="majorHAnsi" w:cstheme="minorHAnsi"/>
        </w:rPr>
        <w:t>namely</w:t>
      </w:r>
      <w:r w:rsidRPr="00A41794">
        <w:rPr>
          <w:rFonts w:asciiTheme="majorHAnsi" w:hAnsiTheme="majorHAnsi" w:cstheme="minorHAnsi"/>
        </w:rPr>
        <w:t xml:space="preserve"> Bargarh, Bolangir, </w:t>
      </w:r>
      <w:proofErr w:type="spellStart"/>
      <w:r w:rsidRPr="00A41794">
        <w:rPr>
          <w:rFonts w:asciiTheme="majorHAnsi" w:hAnsiTheme="majorHAnsi" w:cstheme="minorHAnsi"/>
        </w:rPr>
        <w:t>Deogarh</w:t>
      </w:r>
      <w:proofErr w:type="spellEnd"/>
      <w:r w:rsidRPr="00A41794">
        <w:rPr>
          <w:rFonts w:asciiTheme="majorHAnsi" w:hAnsiTheme="majorHAnsi" w:cstheme="minorHAnsi"/>
        </w:rPr>
        <w:t>, Jharsuguda</w:t>
      </w:r>
      <w:r w:rsidR="00803145">
        <w:rPr>
          <w:rFonts w:asciiTheme="majorHAnsi" w:hAnsiTheme="majorHAnsi" w:cstheme="minorHAnsi"/>
        </w:rPr>
        <w:t>,</w:t>
      </w:r>
      <w:r w:rsidRPr="00A41794">
        <w:rPr>
          <w:rFonts w:asciiTheme="majorHAnsi" w:hAnsiTheme="majorHAnsi" w:cstheme="minorHAnsi"/>
        </w:rPr>
        <w:t xml:space="preserve"> Kalahandi, </w:t>
      </w:r>
      <w:proofErr w:type="spellStart"/>
      <w:r w:rsidRPr="00A41794">
        <w:rPr>
          <w:rFonts w:asciiTheme="majorHAnsi" w:hAnsiTheme="majorHAnsi" w:cstheme="minorHAnsi"/>
        </w:rPr>
        <w:t>Nuapada</w:t>
      </w:r>
      <w:proofErr w:type="spellEnd"/>
      <w:r w:rsidRPr="00A41794">
        <w:rPr>
          <w:rFonts w:asciiTheme="majorHAnsi" w:hAnsiTheme="majorHAnsi" w:cstheme="minorHAnsi"/>
        </w:rPr>
        <w:t xml:space="preserve">, Sambalpur </w:t>
      </w:r>
      <w:proofErr w:type="spellStart"/>
      <w:r w:rsidRPr="00A41794">
        <w:rPr>
          <w:rFonts w:asciiTheme="majorHAnsi" w:hAnsiTheme="majorHAnsi" w:cstheme="minorHAnsi"/>
        </w:rPr>
        <w:t>Sonepur</w:t>
      </w:r>
      <w:proofErr w:type="spellEnd"/>
      <w:r w:rsidRPr="00A41794">
        <w:rPr>
          <w:rFonts w:asciiTheme="majorHAnsi" w:hAnsiTheme="majorHAnsi" w:cstheme="minorHAnsi"/>
        </w:rPr>
        <w:t xml:space="preserve"> and </w:t>
      </w:r>
      <w:proofErr w:type="spellStart"/>
      <w:r w:rsidRPr="00A41794">
        <w:rPr>
          <w:rFonts w:asciiTheme="majorHAnsi" w:hAnsiTheme="majorHAnsi" w:cstheme="minorHAnsi"/>
        </w:rPr>
        <w:t>Sundergarh</w:t>
      </w:r>
      <w:proofErr w:type="spellEnd"/>
      <w:r w:rsidR="00077EA7">
        <w:rPr>
          <w:rFonts w:asciiTheme="majorHAnsi" w:hAnsiTheme="majorHAnsi" w:cstheme="minorHAnsi"/>
        </w:rPr>
        <w:t xml:space="preserve"> with varied topology</w:t>
      </w:r>
      <w:r w:rsidRPr="00A41794">
        <w:rPr>
          <w:rFonts w:asciiTheme="majorHAnsi" w:hAnsiTheme="majorHAnsi" w:cstheme="minorHAnsi"/>
        </w:rPr>
        <w:t>. It procures power from GRIDCO at 33</w:t>
      </w:r>
      <w:r w:rsidR="006019AD">
        <w:rPr>
          <w:rFonts w:asciiTheme="majorHAnsi" w:hAnsiTheme="majorHAnsi" w:cstheme="minorHAnsi"/>
        </w:rPr>
        <w:t>KV</w:t>
      </w:r>
      <w:r w:rsidRPr="00A41794">
        <w:rPr>
          <w:rFonts w:asciiTheme="majorHAnsi" w:hAnsiTheme="majorHAnsi" w:cstheme="minorHAnsi"/>
        </w:rPr>
        <w:t xml:space="preserve"> at various supply points and maintains extensive 33</w:t>
      </w:r>
      <w:r w:rsidR="006019AD">
        <w:rPr>
          <w:rFonts w:asciiTheme="majorHAnsi" w:hAnsiTheme="majorHAnsi" w:cstheme="minorHAnsi"/>
        </w:rPr>
        <w:t>KV</w:t>
      </w:r>
      <w:r w:rsidRPr="00A41794">
        <w:rPr>
          <w:rFonts w:asciiTheme="majorHAnsi" w:hAnsiTheme="majorHAnsi" w:cstheme="minorHAnsi"/>
        </w:rPr>
        <w:t>, 11</w:t>
      </w:r>
      <w:r w:rsidR="006019AD">
        <w:rPr>
          <w:rFonts w:asciiTheme="majorHAnsi" w:hAnsiTheme="majorHAnsi" w:cstheme="minorHAnsi"/>
        </w:rPr>
        <w:t>KV</w:t>
      </w:r>
      <w:r w:rsidRPr="00A41794">
        <w:rPr>
          <w:rFonts w:asciiTheme="majorHAnsi" w:hAnsiTheme="majorHAnsi" w:cstheme="minorHAnsi"/>
        </w:rPr>
        <w:t xml:space="preserve"> and LT networks for distribution of electric supply over </w:t>
      </w:r>
      <w:proofErr w:type="spellStart"/>
      <w:r w:rsidRPr="00A41794">
        <w:rPr>
          <w:rFonts w:asciiTheme="majorHAnsi" w:hAnsiTheme="majorHAnsi" w:cstheme="minorHAnsi"/>
        </w:rPr>
        <w:t>it</w:t>
      </w:r>
      <w:r w:rsidR="00AB4EFF">
        <w:rPr>
          <w:rFonts w:asciiTheme="majorHAnsi" w:hAnsiTheme="majorHAnsi" w:cstheme="minorHAnsi"/>
        </w:rPr>
        <w:t>’</w:t>
      </w:r>
      <w:r w:rsidRPr="00A41794">
        <w:rPr>
          <w:rFonts w:asciiTheme="majorHAnsi" w:hAnsiTheme="majorHAnsi" w:cstheme="minorHAnsi"/>
        </w:rPr>
        <w:t>s</w:t>
      </w:r>
      <w:proofErr w:type="spellEnd"/>
      <w:r w:rsidRPr="00A41794">
        <w:rPr>
          <w:rFonts w:asciiTheme="majorHAnsi" w:hAnsiTheme="majorHAnsi" w:cstheme="minorHAnsi"/>
        </w:rPr>
        <w:t xml:space="preserve"> entire area of operation. For </w:t>
      </w:r>
      <w:r w:rsidR="00AB4EFF">
        <w:rPr>
          <w:rFonts w:asciiTheme="majorHAnsi" w:hAnsiTheme="majorHAnsi" w:cstheme="minorHAnsi"/>
        </w:rPr>
        <w:t>ensuring</w:t>
      </w:r>
      <w:r w:rsidRPr="00A41794">
        <w:rPr>
          <w:rFonts w:asciiTheme="majorHAnsi" w:hAnsiTheme="majorHAnsi" w:cstheme="minorHAnsi"/>
        </w:rPr>
        <w:t xml:space="preserve"> reliable power supply </w:t>
      </w:r>
      <w:r w:rsidR="00463DA1">
        <w:rPr>
          <w:rFonts w:asciiTheme="majorHAnsi" w:hAnsiTheme="majorHAnsi" w:cstheme="minorHAnsi"/>
        </w:rPr>
        <w:t>and</w:t>
      </w:r>
      <w:r w:rsidRPr="00A41794">
        <w:rPr>
          <w:rFonts w:asciiTheme="majorHAnsi" w:hAnsiTheme="majorHAnsi" w:cstheme="minorHAnsi"/>
        </w:rPr>
        <w:t xml:space="preserve"> prompt service to its consumers</w:t>
      </w:r>
      <w:r w:rsidR="00B3003E">
        <w:rPr>
          <w:rFonts w:asciiTheme="majorHAnsi" w:hAnsiTheme="majorHAnsi" w:cstheme="minorHAnsi"/>
        </w:rPr>
        <w:t xml:space="preserve">, </w:t>
      </w:r>
      <w:r w:rsidR="00D7059F">
        <w:rPr>
          <w:rFonts w:asciiTheme="majorHAnsi" w:hAnsiTheme="majorHAnsi" w:cstheme="minorHAnsi"/>
        </w:rPr>
        <w:t xml:space="preserve">an </w:t>
      </w:r>
      <w:r w:rsidR="00B3003E">
        <w:rPr>
          <w:rFonts w:asciiTheme="majorHAnsi" w:hAnsiTheme="majorHAnsi" w:cstheme="minorHAnsi"/>
        </w:rPr>
        <w:t xml:space="preserve">establishment </w:t>
      </w:r>
      <w:r w:rsidR="00A76089">
        <w:rPr>
          <w:rFonts w:asciiTheme="majorHAnsi" w:hAnsiTheme="majorHAnsi" w:cstheme="minorHAnsi"/>
        </w:rPr>
        <w:t xml:space="preserve">comprising </w:t>
      </w:r>
      <w:r w:rsidR="00B3003E">
        <w:rPr>
          <w:rFonts w:asciiTheme="majorHAnsi" w:hAnsiTheme="majorHAnsi" w:cstheme="minorHAnsi"/>
        </w:rPr>
        <w:t xml:space="preserve">of </w:t>
      </w:r>
      <w:r w:rsidRPr="00A41794">
        <w:rPr>
          <w:rFonts w:asciiTheme="majorHAnsi" w:hAnsiTheme="majorHAnsi" w:cstheme="minorHAnsi"/>
        </w:rPr>
        <w:t>5 Circles</w:t>
      </w:r>
      <w:r w:rsidR="00A76089">
        <w:rPr>
          <w:rFonts w:asciiTheme="majorHAnsi" w:hAnsiTheme="majorHAnsi" w:cstheme="minorHAnsi"/>
        </w:rPr>
        <w:t>,</w:t>
      </w:r>
      <w:r w:rsidRPr="00A41794">
        <w:rPr>
          <w:rFonts w:asciiTheme="majorHAnsi" w:hAnsiTheme="majorHAnsi" w:cstheme="minorHAnsi"/>
        </w:rPr>
        <w:t xml:space="preserve"> 17 Divisions</w:t>
      </w:r>
      <w:r w:rsidR="00B3003E">
        <w:rPr>
          <w:rFonts w:asciiTheme="majorHAnsi" w:hAnsiTheme="majorHAnsi" w:cstheme="minorHAnsi"/>
        </w:rPr>
        <w:t>, 5</w:t>
      </w:r>
      <w:r w:rsidR="008E37EF">
        <w:rPr>
          <w:rFonts w:asciiTheme="majorHAnsi" w:hAnsiTheme="majorHAnsi" w:cstheme="minorHAnsi"/>
        </w:rPr>
        <w:t>7</w:t>
      </w:r>
      <w:r w:rsidR="00B3003E">
        <w:rPr>
          <w:rFonts w:asciiTheme="majorHAnsi" w:hAnsiTheme="majorHAnsi" w:cstheme="minorHAnsi"/>
        </w:rPr>
        <w:t xml:space="preserve"> Sub</w:t>
      </w:r>
      <w:r w:rsidR="00565474">
        <w:rPr>
          <w:rFonts w:asciiTheme="majorHAnsi" w:hAnsiTheme="majorHAnsi" w:cstheme="minorHAnsi"/>
        </w:rPr>
        <w:t>-D</w:t>
      </w:r>
      <w:r w:rsidR="00B3003E">
        <w:rPr>
          <w:rFonts w:asciiTheme="majorHAnsi" w:hAnsiTheme="majorHAnsi" w:cstheme="minorHAnsi"/>
        </w:rPr>
        <w:t>ivision</w:t>
      </w:r>
      <w:r w:rsidR="00565474">
        <w:rPr>
          <w:rFonts w:asciiTheme="majorHAnsi" w:hAnsiTheme="majorHAnsi" w:cstheme="minorHAnsi"/>
        </w:rPr>
        <w:t>s</w:t>
      </w:r>
      <w:r w:rsidR="00B3003E">
        <w:rPr>
          <w:rFonts w:asciiTheme="majorHAnsi" w:hAnsiTheme="majorHAnsi" w:cstheme="minorHAnsi"/>
        </w:rPr>
        <w:t xml:space="preserve">, </w:t>
      </w:r>
      <w:r w:rsidR="00A76089">
        <w:rPr>
          <w:rFonts w:asciiTheme="majorHAnsi" w:hAnsiTheme="majorHAnsi" w:cstheme="minorHAnsi"/>
        </w:rPr>
        <w:t xml:space="preserve">and </w:t>
      </w:r>
      <w:r w:rsidR="00B3003E">
        <w:rPr>
          <w:rFonts w:asciiTheme="majorHAnsi" w:hAnsiTheme="majorHAnsi" w:cstheme="minorHAnsi"/>
        </w:rPr>
        <w:t>20</w:t>
      </w:r>
      <w:r w:rsidR="00E666A9">
        <w:rPr>
          <w:rFonts w:asciiTheme="majorHAnsi" w:hAnsiTheme="majorHAnsi" w:cstheme="minorHAnsi"/>
        </w:rPr>
        <w:t>1</w:t>
      </w:r>
      <w:r w:rsidR="00B3003E">
        <w:rPr>
          <w:rFonts w:asciiTheme="majorHAnsi" w:hAnsiTheme="majorHAnsi" w:cstheme="minorHAnsi"/>
        </w:rPr>
        <w:t xml:space="preserve"> Electrical </w:t>
      </w:r>
      <w:r w:rsidR="00565474">
        <w:rPr>
          <w:rFonts w:asciiTheme="majorHAnsi" w:hAnsiTheme="majorHAnsi" w:cstheme="minorHAnsi"/>
        </w:rPr>
        <w:t>S</w:t>
      </w:r>
      <w:r w:rsidR="00B3003E">
        <w:rPr>
          <w:rFonts w:asciiTheme="majorHAnsi" w:hAnsiTheme="majorHAnsi" w:cstheme="minorHAnsi"/>
        </w:rPr>
        <w:t xml:space="preserve">ections </w:t>
      </w:r>
      <w:r w:rsidR="003B2392">
        <w:rPr>
          <w:rFonts w:asciiTheme="majorHAnsi" w:hAnsiTheme="majorHAnsi" w:cstheme="minorHAnsi"/>
        </w:rPr>
        <w:t>have</w:t>
      </w:r>
      <w:r w:rsidR="00B3003E">
        <w:rPr>
          <w:rFonts w:asciiTheme="majorHAnsi" w:hAnsiTheme="majorHAnsi" w:cstheme="minorHAnsi"/>
        </w:rPr>
        <w:t xml:space="preserve"> been created.</w:t>
      </w:r>
    </w:p>
    <w:p w14:paraId="62F8A7B7" w14:textId="01BD534E" w:rsidR="00F54F89" w:rsidRPr="009F560B" w:rsidRDefault="00F54F89" w:rsidP="007B66E8">
      <w:pPr>
        <w:pStyle w:val="BodyText"/>
        <w:spacing w:beforeLines="100" w:before="240" w:afterLines="100" w:after="240" w:line="360" w:lineRule="auto"/>
        <w:ind w:right="-93"/>
        <w:jc w:val="both"/>
        <w:rPr>
          <w:rFonts w:asciiTheme="majorHAnsi" w:hAnsiTheme="majorHAnsi" w:cstheme="minorHAnsi"/>
        </w:rPr>
      </w:pPr>
      <w:r w:rsidRPr="009F560B">
        <w:rPr>
          <w:rFonts w:asciiTheme="majorHAnsi" w:hAnsiTheme="majorHAnsi" w:cstheme="minorHAnsi"/>
        </w:rPr>
        <w:t>TPWODL receives electrical power at 33</w:t>
      </w:r>
      <w:r w:rsidR="00E666A9">
        <w:rPr>
          <w:rFonts w:asciiTheme="majorHAnsi" w:hAnsiTheme="majorHAnsi" w:cstheme="minorHAnsi"/>
        </w:rPr>
        <w:t xml:space="preserve"> k</w:t>
      </w:r>
      <w:r w:rsidR="006019AD">
        <w:rPr>
          <w:rFonts w:asciiTheme="majorHAnsi" w:hAnsiTheme="majorHAnsi" w:cstheme="minorHAnsi"/>
        </w:rPr>
        <w:t>V</w:t>
      </w:r>
      <w:r w:rsidRPr="009F560B">
        <w:rPr>
          <w:rFonts w:asciiTheme="majorHAnsi" w:hAnsiTheme="majorHAnsi" w:cstheme="minorHAnsi"/>
        </w:rPr>
        <w:t xml:space="preserve"> level from 4</w:t>
      </w:r>
      <w:r w:rsidR="002911DF">
        <w:rPr>
          <w:rFonts w:asciiTheme="majorHAnsi" w:hAnsiTheme="majorHAnsi" w:cstheme="minorHAnsi"/>
        </w:rPr>
        <w:t>7</w:t>
      </w:r>
      <w:r w:rsidRPr="009F560B">
        <w:rPr>
          <w:rFonts w:asciiTheme="majorHAnsi" w:hAnsiTheme="majorHAnsi" w:cstheme="minorHAnsi"/>
        </w:rPr>
        <w:t xml:space="preserve"> numbers of 220/33</w:t>
      </w:r>
      <w:r w:rsidR="006019AD">
        <w:rPr>
          <w:rFonts w:asciiTheme="majorHAnsi" w:hAnsiTheme="majorHAnsi" w:cstheme="minorHAnsi"/>
        </w:rPr>
        <w:t>KV</w:t>
      </w:r>
      <w:r w:rsidRPr="009F560B">
        <w:rPr>
          <w:rFonts w:asciiTheme="majorHAnsi" w:hAnsiTheme="majorHAnsi" w:cstheme="minorHAnsi"/>
        </w:rPr>
        <w:t xml:space="preserve"> or 132/33</w:t>
      </w:r>
      <w:r w:rsidR="00E666A9">
        <w:rPr>
          <w:rFonts w:asciiTheme="majorHAnsi" w:hAnsiTheme="majorHAnsi" w:cstheme="minorHAnsi"/>
        </w:rPr>
        <w:t xml:space="preserve"> k</w:t>
      </w:r>
      <w:r w:rsidR="006019AD">
        <w:rPr>
          <w:rFonts w:asciiTheme="majorHAnsi" w:hAnsiTheme="majorHAnsi" w:cstheme="minorHAnsi"/>
        </w:rPr>
        <w:t>V</w:t>
      </w:r>
      <w:r w:rsidRPr="009F560B">
        <w:rPr>
          <w:rFonts w:asciiTheme="majorHAnsi" w:hAnsiTheme="majorHAnsi" w:cstheme="minorHAnsi"/>
        </w:rPr>
        <w:t xml:space="preserve"> GSS substation (OPTCL) located within and in the vicinity of TPWODL operational area. TPWODL distributes the power </w:t>
      </w:r>
      <w:r w:rsidR="007E31FA">
        <w:rPr>
          <w:rFonts w:asciiTheme="majorHAnsi" w:hAnsiTheme="majorHAnsi" w:cstheme="minorHAnsi"/>
        </w:rPr>
        <w:t xml:space="preserve">and </w:t>
      </w:r>
      <w:r w:rsidR="00597005">
        <w:rPr>
          <w:rFonts w:asciiTheme="majorHAnsi" w:hAnsiTheme="majorHAnsi" w:cstheme="minorHAnsi"/>
        </w:rPr>
        <w:t>provides</w:t>
      </w:r>
      <w:r w:rsidR="007E31FA">
        <w:rPr>
          <w:rFonts w:asciiTheme="majorHAnsi" w:hAnsiTheme="majorHAnsi" w:cstheme="minorHAnsi"/>
        </w:rPr>
        <w:t xml:space="preserve"> connectivity </w:t>
      </w:r>
      <w:r w:rsidRPr="009F560B">
        <w:rPr>
          <w:rFonts w:asciiTheme="majorHAnsi" w:hAnsiTheme="majorHAnsi" w:cstheme="minorHAnsi"/>
        </w:rPr>
        <w:t>at 33</w:t>
      </w:r>
      <w:r w:rsidR="00E666A9">
        <w:rPr>
          <w:rFonts w:asciiTheme="majorHAnsi" w:hAnsiTheme="majorHAnsi" w:cstheme="minorHAnsi"/>
        </w:rPr>
        <w:t xml:space="preserve"> k</w:t>
      </w:r>
      <w:r w:rsidR="006019AD">
        <w:rPr>
          <w:rFonts w:asciiTheme="majorHAnsi" w:hAnsiTheme="majorHAnsi" w:cstheme="minorHAnsi"/>
        </w:rPr>
        <w:t>V</w:t>
      </w:r>
      <w:r w:rsidRPr="009F560B">
        <w:rPr>
          <w:rFonts w:asciiTheme="majorHAnsi" w:hAnsiTheme="majorHAnsi" w:cstheme="minorHAnsi"/>
        </w:rPr>
        <w:t xml:space="preserve"> / 11</w:t>
      </w:r>
      <w:r w:rsidR="00E666A9">
        <w:rPr>
          <w:rFonts w:asciiTheme="majorHAnsi" w:hAnsiTheme="majorHAnsi" w:cstheme="minorHAnsi"/>
        </w:rPr>
        <w:t xml:space="preserve"> k</w:t>
      </w:r>
      <w:r w:rsidR="006019AD">
        <w:rPr>
          <w:rFonts w:asciiTheme="majorHAnsi" w:hAnsiTheme="majorHAnsi" w:cstheme="minorHAnsi"/>
        </w:rPr>
        <w:t>V</w:t>
      </w:r>
      <w:r w:rsidRPr="009F560B">
        <w:rPr>
          <w:rFonts w:asciiTheme="majorHAnsi" w:hAnsiTheme="majorHAnsi" w:cstheme="minorHAnsi"/>
        </w:rPr>
        <w:t xml:space="preserve"> / 440V / 230V depending on the demand of the consumers. </w:t>
      </w:r>
      <w:r w:rsidR="007C1E49" w:rsidRPr="009F560B">
        <w:rPr>
          <w:rFonts w:asciiTheme="majorHAnsi" w:hAnsiTheme="majorHAnsi" w:cstheme="minorHAnsi"/>
        </w:rPr>
        <w:t>Presently, there are</w:t>
      </w:r>
      <w:r w:rsidR="007C1E49">
        <w:rPr>
          <w:rFonts w:asciiTheme="majorHAnsi" w:hAnsiTheme="majorHAnsi" w:cstheme="minorHAnsi"/>
        </w:rPr>
        <w:t xml:space="preserve"> </w:t>
      </w:r>
      <w:r w:rsidR="0013197F">
        <w:rPr>
          <w:rFonts w:asciiTheme="majorHAnsi" w:hAnsiTheme="majorHAnsi" w:cstheme="minorHAnsi"/>
        </w:rPr>
        <w:t>224</w:t>
      </w:r>
      <w:r w:rsidR="007C1E49" w:rsidRPr="009F560B">
        <w:rPr>
          <w:rFonts w:asciiTheme="majorHAnsi" w:hAnsiTheme="majorHAnsi" w:cstheme="minorHAnsi"/>
        </w:rPr>
        <w:t xml:space="preserve"> numbers of 33</w:t>
      </w:r>
      <w:r w:rsidR="007C1E49">
        <w:rPr>
          <w:rFonts w:asciiTheme="majorHAnsi" w:hAnsiTheme="majorHAnsi" w:cstheme="minorHAnsi"/>
        </w:rPr>
        <w:t>KV</w:t>
      </w:r>
      <w:r w:rsidR="007C1E49" w:rsidRPr="009F560B">
        <w:rPr>
          <w:rFonts w:asciiTheme="majorHAnsi" w:hAnsiTheme="majorHAnsi" w:cstheme="minorHAnsi"/>
        </w:rPr>
        <w:t xml:space="preserve"> feeders </w:t>
      </w:r>
      <w:r w:rsidR="007C1E49">
        <w:rPr>
          <w:rFonts w:asciiTheme="majorHAnsi" w:hAnsiTheme="majorHAnsi" w:cstheme="minorHAnsi"/>
        </w:rPr>
        <w:t xml:space="preserve">emanating from OPTCL GSS </w:t>
      </w:r>
      <w:r w:rsidR="007C1E49" w:rsidRPr="009F560B">
        <w:rPr>
          <w:rFonts w:asciiTheme="majorHAnsi" w:hAnsiTheme="majorHAnsi" w:cstheme="minorHAnsi"/>
        </w:rPr>
        <w:t xml:space="preserve">with a combined circuit length of approximately </w:t>
      </w:r>
      <w:r w:rsidR="007C1E49">
        <w:rPr>
          <w:rFonts w:asciiTheme="majorHAnsi" w:hAnsiTheme="majorHAnsi" w:cstheme="minorHAnsi"/>
        </w:rPr>
        <w:t>630</w:t>
      </w:r>
      <w:r w:rsidR="0007569D">
        <w:rPr>
          <w:rFonts w:asciiTheme="majorHAnsi" w:hAnsiTheme="majorHAnsi" w:cstheme="minorHAnsi"/>
        </w:rPr>
        <w:t>9</w:t>
      </w:r>
      <w:r w:rsidR="007C1E49" w:rsidRPr="009F560B">
        <w:rPr>
          <w:rFonts w:asciiTheme="majorHAnsi" w:hAnsiTheme="majorHAnsi" w:cstheme="minorHAnsi"/>
        </w:rPr>
        <w:t xml:space="preserve"> CKMs supplying power to </w:t>
      </w:r>
      <w:r w:rsidR="007C1E49" w:rsidRPr="008A245B">
        <w:rPr>
          <w:rFonts w:asciiTheme="majorHAnsi" w:hAnsiTheme="majorHAnsi" w:cstheme="minorHAnsi"/>
        </w:rPr>
        <w:t>324 numbers</w:t>
      </w:r>
      <w:r w:rsidR="007C1E49" w:rsidRPr="009F560B">
        <w:rPr>
          <w:rFonts w:asciiTheme="majorHAnsi" w:hAnsiTheme="majorHAnsi" w:cstheme="minorHAnsi"/>
        </w:rPr>
        <w:t xml:space="preserve"> of 33/11</w:t>
      </w:r>
      <w:r w:rsidR="007C1E49">
        <w:rPr>
          <w:rFonts w:asciiTheme="majorHAnsi" w:hAnsiTheme="majorHAnsi" w:cstheme="minorHAnsi"/>
        </w:rPr>
        <w:t xml:space="preserve"> kV</w:t>
      </w:r>
      <w:r w:rsidR="007C1E49" w:rsidRPr="009F560B">
        <w:rPr>
          <w:rFonts w:asciiTheme="majorHAnsi" w:hAnsiTheme="majorHAnsi" w:cstheme="minorHAnsi"/>
        </w:rPr>
        <w:t xml:space="preserve"> Primary Substation (Structures).</w:t>
      </w:r>
      <w:r w:rsidRPr="009F560B">
        <w:rPr>
          <w:rFonts w:asciiTheme="majorHAnsi" w:hAnsiTheme="majorHAnsi" w:cstheme="minorHAnsi"/>
        </w:rPr>
        <w:t xml:space="preserve"> The 33</w:t>
      </w:r>
      <w:r w:rsidR="00E666A9">
        <w:rPr>
          <w:rFonts w:asciiTheme="majorHAnsi" w:hAnsiTheme="majorHAnsi" w:cstheme="minorHAnsi"/>
        </w:rPr>
        <w:t xml:space="preserve"> k</w:t>
      </w:r>
      <w:r w:rsidR="006019AD">
        <w:rPr>
          <w:rFonts w:asciiTheme="majorHAnsi" w:hAnsiTheme="majorHAnsi" w:cstheme="minorHAnsi"/>
        </w:rPr>
        <w:t>V</w:t>
      </w:r>
      <w:r w:rsidRPr="009F560B">
        <w:rPr>
          <w:rFonts w:asciiTheme="majorHAnsi" w:hAnsiTheme="majorHAnsi" w:cstheme="minorHAnsi"/>
        </w:rPr>
        <w:t xml:space="preserve"> supply is stepped down to 11</w:t>
      </w:r>
      <w:r w:rsidR="00E666A9">
        <w:rPr>
          <w:rFonts w:asciiTheme="majorHAnsi" w:hAnsiTheme="majorHAnsi" w:cstheme="minorHAnsi"/>
        </w:rPr>
        <w:t xml:space="preserve"> k</w:t>
      </w:r>
      <w:r w:rsidR="006019AD">
        <w:rPr>
          <w:rFonts w:asciiTheme="majorHAnsi" w:hAnsiTheme="majorHAnsi" w:cstheme="minorHAnsi"/>
        </w:rPr>
        <w:t>V</w:t>
      </w:r>
      <w:r w:rsidRPr="009F560B">
        <w:rPr>
          <w:rFonts w:asciiTheme="majorHAnsi" w:hAnsiTheme="majorHAnsi" w:cstheme="minorHAnsi"/>
        </w:rPr>
        <w:t xml:space="preserve"> level through </w:t>
      </w:r>
      <w:r w:rsidR="00BD7358">
        <w:rPr>
          <w:rFonts w:asciiTheme="majorHAnsi" w:hAnsiTheme="majorHAnsi" w:cstheme="minorHAnsi"/>
        </w:rPr>
        <w:t xml:space="preserve">705 </w:t>
      </w:r>
      <w:r w:rsidRPr="009F560B">
        <w:rPr>
          <w:rFonts w:asciiTheme="majorHAnsi" w:hAnsiTheme="majorHAnsi" w:cstheme="minorHAnsi"/>
        </w:rPr>
        <w:t>numbers of 33/11</w:t>
      </w:r>
      <w:r w:rsidR="00E666A9">
        <w:rPr>
          <w:rFonts w:asciiTheme="majorHAnsi" w:hAnsiTheme="majorHAnsi" w:cstheme="minorHAnsi"/>
        </w:rPr>
        <w:t xml:space="preserve"> k</w:t>
      </w:r>
      <w:r w:rsidR="006019AD">
        <w:rPr>
          <w:rFonts w:asciiTheme="majorHAnsi" w:hAnsiTheme="majorHAnsi" w:cstheme="minorHAnsi"/>
        </w:rPr>
        <w:t>V</w:t>
      </w:r>
      <w:r w:rsidRPr="009F560B">
        <w:rPr>
          <w:rFonts w:asciiTheme="majorHAnsi" w:hAnsiTheme="majorHAnsi" w:cstheme="minorHAnsi"/>
        </w:rPr>
        <w:t xml:space="preserve"> power transformers. 1</w:t>
      </w:r>
      <w:r w:rsidR="002911DF">
        <w:rPr>
          <w:rFonts w:asciiTheme="majorHAnsi" w:hAnsiTheme="majorHAnsi" w:cstheme="minorHAnsi"/>
        </w:rPr>
        <w:t>2</w:t>
      </w:r>
      <w:r w:rsidR="00B1610B">
        <w:rPr>
          <w:rFonts w:asciiTheme="majorHAnsi" w:hAnsiTheme="majorHAnsi" w:cstheme="minorHAnsi"/>
        </w:rPr>
        <w:t>50</w:t>
      </w:r>
      <w:r w:rsidRPr="009F560B">
        <w:rPr>
          <w:rFonts w:asciiTheme="majorHAnsi" w:hAnsiTheme="majorHAnsi" w:cstheme="minorHAnsi"/>
        </w:rPr>
        <w:t xml:space="preserve"> numbers of 11</w:t>
      </w:r>
      <w:r w:rsidR="00E666A9">
        <w:rPr>
          <w:rFonts w:asciiTheme="majorHAnsi" w:hAnsiTheme="majorHAnsi" w:cstheme="minorHAnsi"/>
        </w:rPr>
        <w:t xml:space="preserve"> k</w:t>
      </w:r>
      <w:r w:rsidR="006019AD">
        <w:rPr>
          <w:rFonts w:asciiTheme="majorHAnsi" w:hAnsiTheme="majorHAnsi" w:cstheme="minorHAnsi"/>
        </w:rPr>
        <w:t>V</w:t>
      </w:r>
      <w:r w:rsidRPr="009F560B">
        <w:rPr>
          <w:rFonts w:asciiTheme="majorHAnsi" w:hAnsiTheme="majorHAnsi" w:cstheme="minorHAnsi"/>
        </w:rPr>
        <w:t xml:space="preserve"> feeders </w:t>
      </w:r>
      <w:r w:rsidR="004C31F5" w:rsidRPr="009F560B">
        <w:rPr>
          <w:rFonts w:asciiTheme="majorHAnsi" w:hAnsiTheme="majorHAnsi" w:cstheme="minorHAnsi"/>
        </w:rPr>
        <w:t>emanate</w:t>
      </w:r>
      <w:r w:rsidRPr="009F560B">
        <w:rPr>
          <w:rFonts w:asciiTheme="majorHAnsi" w:hAnsiTheme="majorHAnsi" w:cstheme="minorHAnsi"/>
        </w:rPr>
        <w:t xml:space="preserve"> from the 33/11</w:t>
      </w:r>
      <w:r w:rsidR="00E666A9">
        <w:rPr>
          <w:rFonts w:asciiTheme="majorHAnsi" w:hAnsiTheme="majorHAnsi" w:cstheme="minorHAnsi"/>
        </w:rPr>
        <w:t xml:space="preserve"> k</w:t>
      </w:r>
      <w:r w:rsidR="006019AD">
        <w:rPr>
          <w:rFonts w:asciiTheme="majorHAnsi" w:hAnsiTheme="majorHAnsi" w:cstheme="minorHAnsi"/>
        </w:rPr>
        <w:t>V</w:t>
      </w:r>
      <w:r w:rsidRPr="009F560B">
        <w:rPr>
          <w:rFonts w:asciiTheme="majorHAnsi" w:hAnsiTheme="majorHAnsi" w:cstheme="minorHAnsi"/>
        </w:rPr>
        <w:t xml:space="preserve"> primary substations having cumulative length of approximately </w:t>
      </w:r>
      <w:r w:rsidRPr="0007569D">
        <w:rPr>
          <w:rFonts w:asciiTheme="majorHAnsi" w:hAnsiTheme="majorHAnsi" w:cstheme="minorHAnsi"/>
        </w:rPr>
        <w:t>5</w:t>
      </w:r>
      <w:r w:rsidR="00B32754" w:rsidRPr="0007569D">
        <w:rPr>
          <w:rFonts w:asciiTheme="majorHAnsi" w:hAnsiTheme="majorHAnsi" w:cstheme="minorHAnsi"/>
        </w:rPr>
        <w:t>3455</w:t>
      </w:r>
      <w:r w:rsidRPr="009F560B">
        <w:rPr>
          <w:rFonts w:asciiTheme="majorHAnsi" w:hAnsiTheme="majorHAnsi" w:cstheme="minorHAnsi"/>
        </w:rPr>
        <w:t xml:space="preserve"> CKMs and supply power to HT consumers connected at 11</w:t>
      </w:r>
      <w:r w:rsidR="00E666A9">
        <w:rPr>
          <w:rFonts w:asciiTheme="majorHAnsi" w:hAnsiTheme="majorHAnsi" w:cstheme="minorHAnsi"/>
        </w:rPr>
        <w:t xml:space="preserve"> k</w:t>
      </w:r>
      <w:r w:rsidR="006019AD">
        <w:rPr>
          <w:rFonts w:asciiTheme="majorHAnsi" w:hAnsiTheme="majorHAnsi" w:cstheme="minorHAnsi"/>
        </w:rPr>
        <w:t>V</w:t>
      </w:r>
      <w:r w:rsidRPr="009F560B">
        <w:rPr>
          <w:rFonts w:asciiTheme="majorHAnsi" w:hAnsiTheme="majorHAnsi" w:cstheme="minorHAnsi"/>
        </w:rPr>
        <w:t xml:space="preserve"> level and other LT customers connected to 11/0.415</w:t>
      </w:r>
      <w:r w:rsidR="00E666A9">
        <w:rPr>
          <w:rFonts w:asciiTheme="majorHAnsi" w:hAnsiTheme="majorHAnsi" w:cstheme="minorHAnsi"/>
        </w:rPr>
        <w:t xml:space="preserve"> k</w:t>
      </w:r>
      <w:r w:rsidR="006019AD">
        <w:rPr>
          <w:rFonts w:asciiTheme="majorHAnsi" w:hAnsiTheme="majorHAnsi" w:cstheme="minorHAnsi"/>
        </w:rPr>
        <w:t>V</w:t>
      </w:r>
      <w:r w:rsidRPr="009F560B">
        <w:rPr>
          <w:rFonts w:asciiTheme="majorHAnsi" w:hAnsiTheme="majorHAnsi" w:cstheme="minorHAnsi"/>
        </w:rPr>
        <w:t xml:space="preserve"> distribution substation. Approx. </w:t>
      </w:r>
      <w:r w:rsidR="00C00BD4">
        <w:rPr>
          <w:rFonts w:asciiTheme="majorHAnsi" w:hAnsiTheme="majorHAnsi" w:cstheme="minorHAnsi"/>
        </w:rPr>
        <w:t>84542</w:t>
      </w:r>
      <w:r w:rsidR="00C00BD4" w:rsidRPr="009F560B">
        <w:rPr>
          <w:rFonts w:asciiTheme="majorHAnsi" w:hAnsiTheme="majorHAnsi" w:cstheme="minorHAnsi"/>
        </w:rPr>
        <w:t xml:space="preserve"> </w:t>
      </w:r>
      <w:r w:rsidRPr="009F560B">
        <w:rPr>
          <w:rFonts w:asciiTheme="majorHAnsi" w:hAnsiTheme="majorHAnsi" w:cstheme="minorHAnsi"/>
        </w:rPr>
        <w:t xml:space="preserve">numbers of distribution transformers are installed in all five circles. The length of the LT network is approximately </w:t>
      </w:r>
      <w:r w:rsidR="0007569D">
        <w:rPr>
          <w:rFonts w:asciiTheme="majorHAnsi" w:hAnsiTheme="majorHAnsi" w:cstheme="minorHAnsi"/>
        </w:rPr>
        <w:t>73882</w:t>
      </w:r>
      <w:r w:rsidRPr="009F560B">
        <w:rPr>
          <w:rFonts w:asciiTheme="majorHAnsi" w:hAnsiTheme="majorHAnsi" w:cstheme="minorHAnsi"/>
        </w:rPr>
        <w:t xml:space="preserve"> KMs. These LT feeders supply power to three phase and single-phase consumers.</w:t>
      </w:r>
    </w:p>
    <w:p w14:paraId="17818E31" w14:textId="72CE30AB" w:rsidR="00F024C4" w:rsidRDefault="00F54F89" w:rsidP="007B66E8">
      <w:pPr>
        <w:pStyle w:val="BodyText"/>
        <w:spacing w:beforeLines="100" w:before="240" w:afterLines="100" w:after="240" w:line="360" w:lineRule="auto"/>
        <w:ind w:right="-93"/>
        <w:jc w:val="both"/>
        <w:rPr>
          <w:rFonts w:asciiTheme="majorHAnsi" w:hAnsiTheme="majorHAnsi" w:cstheme="minorHAnsi"/>
        </w:rPr>
      </w:pPr>
      <w:r w:rsidRPr="009F560B">
        <w:rPr>
          <w:rFonts w:asciiTheme="majorHAnsi" w:hAnsiTheme="majorHAnsi" w:cstheme="minorHAnsi"/>
        </w:rPr>
        <w:t xml:space="preserve">With this objective of ensuring reliable power supply and ensuring best customer services to the end consumers, </w:t>
      </w:r>
      <w:r w:rsidR="004E401B" w:rsidRPr="009F560B">
        <w:rPr>
          <w:rFonts w:asciiTheme="majorHAnsi" w:hAnsiTheme="majorHAnsi" w:cstheme="minorHAnsi"/>
        </w:rPr>
        <w:t>TPWODL requires expenditure for</w:t>
      </w:r>
      <w:r w:rsidR="004E401B">
        <w:rPr>
          <w:rFonts w:asciiTheme="majorHAnsi" w:hAnsiTheme="majorHAnsi" w:cstheme="minorHAnsi"/>
        </w:rPr>
        <w:t xml:space="preserve"> resources and to</w:t>
      </w:r>
      <w:r w:rsidR="004E401B" w:rsidRPr="009F560B">
        <w:rPr>
          <w:rFonts w:asciiTheme="majorHAnsi" w:hAnsiTheme="majorHAnsi" w:cstheme="minorHAnsi"/>
        </w:rPr>
        <w:t xml:space="preserve"> maintain the existing 33</w:t>
      </w:r>
      <w:r w:rsidR="004E401B">
        <w:rPr>
          <w:rFonts w:asciiTheme="majorHAnsi" w:hAnsiTheme="majorHAnsi" w:cstheme="minorHAnsi"/>
        </w:rPr>
        <w:t xml:space="preserve"> kV</w:t>
      </w:r>
      <w:r w:rsidR="004E401B" w:rsidRPr="009F560B">
        <w:rPr>
          <w:rFonts w:asciiTheme="majorHAnsi" w:hAnsiTheme="majorHAnsi" w:cstheme="minorHAnsi"/>
        </w:rPr>
        <w:t>, 11</w:t>
      </w:r>
      <w:r w:rsidR="004E401B">
        <w:rPr>
          <w:rFonts w:asciiTheme="majorHAnsi" w:hAnsiTheme="majorHAnsi" w:cstheme="minorHAnsi"/>
        </w:rPr>
        <w:t xml:space="preserve"> kV</w:t>
      </w:r>
      <w:r w:rsidR="004E401B" w:rsidRPr="009F560B">
        <w:rPr>
          <w:rFonts w:asciiTheme="majorHAnsi" w:hAnsiTheme="majorHAnsi" w:cstheme="minorHAnsi"/>
        </w:rPr>
        <w:t>, LT Network and its office building under “Repair &amp; Maintenance” Head.</w:t>
      </w:r>
      <w:r w:rsidRPr="009F560B">
        <w:rPr>
          <w:rFonts w:asciiTheme="majorHAnsi" w:hAnsiTheme="majorHAnsi" w:cstheme="minorHAnsi"/>
        </w:rPr>
        <w:t xml:space="preserve"> In order to ensure the </w:t>
      </w:r>
      <w:r w:rsidR="0095034D" w:rsidRPr="009F560B">
        <w:rPr>
          <w:rFonts w:asciiTheme="majorHAnsi" w:hAnsiTheme="majorHAnsi" w:cstheme="minorHAnsi"/>
        </w:rPr>
        <w:t>operation</w:t>
      </w:r>
      <w:r w:rsidRPr="009F560B">
        <w:rPr>
          <w:rFonts w:asciiTheme="majorHAnsi" w:hAnsiTheme="majorHAnsi" w:cstheme="minorHAnsi"/>
        </w:rPr>
        <w:t>, repair and maintenance and upkeep of the existing network</w:t>
      </w:r>
      <w:r w:rsidR="00E57D92">
        <w:rPr>
          <w:rFonts w:asciiTheme="majorHAnsi" w:hAnsiTheme="majorHAnsi" w:cstheme="minorHAnsi"/>
        </w:rPr>
        <w:t xml:space="preserve"> </w:t>
      </w:r>
      <w:r w:rsidR="00A05582">
        <w:rPr>
          <w:rFonts w:asciiTheme="majorHAnsi" w:hAnsiTheme="majorHAnsi" w:cstheme="minorHAnsi"/>
        </w:rPr>
        <w:t xml:space="preserve">on </w:t>
      </w:r>
      <w:r w:rsidR="006E0678">
        <w:rPr>
          <w:rFonts w:asciiTheme="majorHAnsi" w:hAnsiTheme="majorHAnsi" w:cstheme="minorHAnsi"/>
        </w:rPr>
        <w:t>24</w:t>
      </w:r>
      <w:r w:rsidR="001A631B">
        <w:rPr>
          <w:rFonts w:asciiTheme="majorHAnsi" w:hAnsiTheme="majorHAnsi" w:cstheme="minorHAnsi"/>
        </w:rPr>
        <w:t>x</w:t>
      </w:r>
      <w:r w:rsidR="006E0678">
        <w:rPr>
          <w:rFonts w:asciiTheme="majorHAnsi" w:hAnsiTheme="majorHAnsi" w:cstheme="minorHAnsi"/>
        </w:rPr>
        <w:t xml:space="preserve">7 </w:t>
      </w:r>
      <w:r w:rsidR="00505566">
        <w:rPr>
          <w:rFonts w:asciiTheme="majorHAnsi" w:hAnsiTheme="majorHAnsi" w:cstheme="minorHAnsi"/>
        </w:rPr>
        <w:t xml:space="preserve">basis </w:t>
      </w:r>
      <w:r w:rsidR="00E57D92">
        <w:rPr>
          <w:rFonts w:asciiTheme="majorHAnsi" w:hAnsiTheme="majorHAnsi" w:cstheme="minorHAnsi"/>
        </w:rPr>
        <w:t>spread across the licensee command area</w:t>
      </w:r>
      <w:r w:rsidRPr="009F560B">
        <w:rPr>
          <w:rFonts w:asciiTheme="majorHAnsi" w:hAnsiTheme="majorHAnsi" w:cstheme="minorHAnsi"/>
        </w:rPr>
        <w:t xml:space="preserve">, </w:t>
      </w:r>
      <w:r w:rsidR="008B71C0">
        <w:rPr>
          <w:rFonts w:asciiTheme="majorHAnsi" w:hAnsiTheme="majorHAnsi" w:cstheme="minorHAnsi"/>
        </w:rPr>
        <w:t>the Licensee</w:t>
      </w:r>
      <w:r w:rsidRPr="009F560B">
        <w:rPr>
          <w:rFonts w:asciiTheme="majorHAnsi" w:hAnsiTheme="majorHAnsi" w:cstheme="minorHAnsi"/>
        </w:rPr>
        <w:t xml:space="preserve"> has placed various AMC </w:t>
      </w:r>
      <w:r w:rsidR="006741B9" w:rsidRPr="009F560B">
        <w:rPr>
          <w:rFonts w:asciiTheme="majorHAnsi" w:hAnsiTheme="majorHAnsi" w:cstheme="minorHAnsi"/>
        </w:rPr>
        <w:t>contracts</w:t>
      </w:r>
      <w:r w:rsidRPr="009F560B">
        <w:rPr>
          <w:rFonts w:asciiTheme="majorHAnsi" w:hAnsiTheme="majorHAnsi" w:cstheme="minorHAnsi"/>
        </w:rPr>
        <w:t xml:space="preserve"> through competitive bidding process for 33</w:t>
      </w:r>
      <w:r w:rsidR="00E666A9">
        <w:rPr>
          <w:rFonts w:asciiTheme="majorHAnsi" w:hAnsiTheme="majorHAnsi" w:cstheme="minorHAnsi"/>
        </w:rPr>
        <w:t xml:space="preserve"> k</w:t>
      </w:r>
      <w:r w:rsidR="006019AD">
        <w:rPr>
          <w:rFonts w:asciiTheme="majorHAnsi" w:hAnsiTheme="majorHAnsi" w:cstheme="minorHAnsi"/>
        </w:rPr>
        <w:t>V</w:t>
      </w:r>
      <w:r w:rsidRPr="009F560B">
        <w:rPr>
          <w:rFonts w:asciiTheme="majorHAnsi" w:hAnsiTheme="majorHAnsi" w:cstheme="minorHAnsi"/>
        </w:rPr>
        <w:t xml:space="preserve"> Operations, 33</w:t>
      </w:r>
      <w:r w:rsidR="00E666A9">
        <w:rPr>
          <w:rFonts w:asciiTheme="majorHAnsi" w:hAnsiTheme="majorHAnsi" w:cstheme="minorHAnsi"/>
        </w:rPr>
        <w:t xml:space="preserve"> k</w:t>
      </w:r>
      <w:r w:rsidR="006019AD">
        <w:rPr>
          <w:rFonts w:asciiTheme="majorHAnsi" w:hAnsiTheme="majorHAnsi" w:cstheme="minorHAnsi"/>
        </w:rPr>
        <w:t>V</w:t>
      </w:r>
      <w:r w:rsidRPr="009F560B">
        <w:rPr>
          <w:rFonts w:asciiTheme="majorHAnsi" w:hAnsiTheme="majorHAnsi" w:cstheme="minorHAnsi"/>
        </w:rPr>
        <w:t xml:space="preserve"> </w:t>
      </w:r>
      <w:r w:rsidR="00D8401F" w:rsidRPr="009F560B">
        <w:rPr>
          <w:rFonts w:asciiTheme="majorHAnsi" w:hAnsiTheme="majorHAnsi" w:cstheme="minorHAnsi"/>
        </w:rPr>
        <w:t>Network,</w:t>
      </w:r>
      <w:r w:rsidRPr="009F560B">
        <w:rPr>
          <w:rFonts w:asciiTheme="majorHAnsi" w:hAnsiTheme="majorHAnsi" w:cstheme="minorHAnsi"/>
        </w:rPr>
        <w:t xml:space="preserve"> 11</w:t>
      </w:r>
      <w:r w:rsidR="00E666A9">
        <w:rPr>
          <w:rFonts w:asciiTheme="majorHAnsi" w:hAnsiTheme="majorHAnsi" w:cstheme="minorHAnsi"/>
        </w:rPr>
        <w:t xml:space="preserve"> k</w:t>
      </w:r>
      <w:r w:rsidR="006019AD">
        <w:rPr>
          <w:rFonts w:asciiTheme="majorHAnsi" w:hAnsiTheme="majorHAnsi" w:cstheme="minorHAnsi"/>
        </w:rPr>
        <w:t>V</w:t>
      </w:r>
      <w:r w:rsidRPr="009F560B">
        <w:rPr>
          <w:rFonts w:asciiTheme="majorHAnsi" w:hAnsiTheme="majorHAnsi" w:cstheme="minorHAnsi"/>
        </w:rPr>
        <w:t xml:space="preserve"> network, DTR &amp; PTR repair, </w:t>
      </w:r>
      <w:r w:rsidR="008670E8">
        <w:rPr>
          <w:rFonts w:asciiTheme="majorHAnsi" w:hAnsiTheme="majorHAnsi" w:cstheme="minorHAnsi"/>
        </w:rPr>
        <w:t>l</w:t>
      </w:r>
      <w:r w:rsidR="002B4973">
        <w:rPr>
          <w:rFonts w:asciiTheme="majorHAnsi" w:hAnsiTheme="majorHAnsi" w:cstheme="minorHAnsi"/>
        </w:rPr>
        <w:t>ine</w:t>
      </w:r>
      <w:r w:rsidRPr="009F560B">
        <w:rPr>
          <w:rFonts w:asciiTheme="majorHAnsi" w:hAnsiTheme="majorHAnsi" w:cstheme="minorHAnsi"/>
        </w:rPr>
        <w:t xml:space="preserve"> maintenance in the previous year and upcoming year. Additionally various spares, repairs &amp; OEM </w:t>
      </w:r>
      <w:r w:rsidR="006349E2">
        <w:rPr>
          <w:rFonts w:asciiTheme="majorHAnsi" w:hAnsiTheme="majorHAnsi" w:cstheme="minorHAnsi"/>
        </w:rPr>
        <w:t xml:space="preserve">support </w:t>
      </w:r>
      <w:r w:rsidRPr="009F560B">
        <w:rPr>
          <w:rFonts w:asciiTheme="majorHAnsi" w:hAnsiTheme="majorHAnsi" w:cstheme="minorHAnsi"/>
        </w:rPr>
        <w:t xml:space="preserve">services </w:t>
      </w:r>
      <w:r w:rsidR="00D8401F" w:rsidRPr="009F560B">
        <w:rPr>
          <w:rFonts w:asciiTheme="majorHAnsi" w:hAnsiTheme="majorHAnsi" w:cstheme="minorHAnsi"/>
        </w:rPr>
        <w:t>are</w:t>
      </w:r>
      <w:r w:rsidRPr="009F560B">
        <w:rPr>
          <w:rFonts w:asciiTheme="majorHAnsi" w:hAnsiTheme="majorHAnsi" w:cstheme="minorHAnsi"/>
        </w:rPr>
        <w:t xml:space="preserve"> also proposed under Repair &amp; Maintenance Head.</w:t>
      </w:r>
    </w:p>
    <w:p w14:paraId="1D0EE4D9" w14:textId="77777777" w:rsidR="00097D94" w:rsidRDefault="00BA7140" w:rsidP="007B66E8">
      <w:pPr>
        <w:pStyle w:val="BodyText"/>
        <w:spacing w:beforeLines="100" w:before="240" w:afterLines="100" w:after="240" w:line="360" w:lineRule="auto"/>
        <w:ind w:right="-93"/>
        <w:jc w:val="both"/>
        <w:rPr>
          <w:rFonts w:asciiTheme="majorHAnsi" w:hAnsiTheme="majorHAnsi" w:cstheme="minorHAnsi"/>
        </w:rPr>
      </w:pPr>
      <w:r w:rsidRPr="00A06690">
        <w:rPr>
          <w:rFonts w:asciiTheme="majorHAnsi" w:hAnsiTheme="majorHAnsi" w:cstheme="minorHAnsi"/>
          <w:b/>
          <w:bCs/>
          <w:u w:val="single"/>
        </w:rPr>
        <w:t>Infrastructure Maintenance (Preventive &amp; Breakdown):</w:t>
      </w:r>
      <w:r w:rsidRPr="00B67203">
        <w:rPr>
          <w:rFonts w:asciiTheme="majorHAnsi" w:hAnsiTheme="majorHAnsi" w:cstheme="minorHAnsi"/>
        </w:rPr>
        <w:t xml:space="preserve"> </w:t>
      </w:r>
    </w:p>
    <w:p w14:paraId="1D142301" w14:textId="1AB0E10C" w:rsidR="001704CD" w:rsidRPr="00B67203" w:rsidRDefault="001704CD" w:rsidP="007B66E8">
      <w:pPr>
        <w:pStyle w:val="BodyText"/>
        <w:spacing w:beforeLines="100" w:before="240" w:afterLines="100" w:after="240" w:line="360" w:lineRule="auto"/>
        <w:ind w:right="-93"/>
        <w:jc w:val="both"/>
        <w:rPr>
          <w:rFonts w:asciiTheme="majorHAnsi" w:hAnsiTheme="majorHAnsi" w:cstheme="minorHAnsi"/>
        </w:rPr>
      </w:pPr>
      <w:r w:rsidRPr="001704CD">
        <w:rPr>
          <w:rFonts w:asciiTheme="majorHAnsi" w:hAnsiTheme="majorHAnsi" w:cstheme="minorHAnsi"/>
        </w:rPr>
        <w:t xml:space="preserve">The Licensee’s existing infrastructure requires regular, periodic maintenance and, in some cases, urgent upgradation to ensure reliable performance, particularly in view of the </w:t>
      </w:r>
      <w:r w:rsidR="00A7398C">
        <w:rPr>
          <w:rFonts w:asciiTheme="majorHAnsi" w:hAnsiTheme="majorHAnsi" w:cstheme="minorHAnsi"/>
        </w:rPr>
        <w:t>unpredictable</w:t>
      </w:r>
      <w:r w:rsidRPr="001704CD">
        <w:rPr>
          <w:rFonts w:asciiTheme="majorHAnsi" w:hAnsiTheme="majorHAnsi" w:cstheme="minorHAnsi"/>
        </w:rPr>
        <w:t xml:space="preserve"> and frequent occurrences of </w:t>
      </w:r>
      <w:proofErr w:type="spellStart"/>
      <w:r w:rsidRPr="001704CD">
        <w:rPr>
          <w:rFonts w:asciiTheme="majorHAnsi" w:hAnsiTheme="majorHAnsi" w:cstheme="minorHAnsi"/>
        </w:rPr>
        <w:t>Kal</w:t>
      </w:r>
      <w:r w:rsidR="00806C7E">
        <w:rPr>
          <w:rFonts w:asciiTheme="majorHAnsi" w:hAnsiTheme="majorHAnsi" w:cstheme="minorHAnsi"/>
        </w:rPr>
        <w:t>-</w:t>
      </w:r>
      <w:r w:rsidRPr="001704CD">
        <w:rPr>
          <w:rFonts w:asciiTheme="majorHAnsi" w:hAnsiTheme="majorHAnsi" w:cstheme="minorHAnsi"/>
        </w:rPr>
        <w:t>baisakhi</w:t>
      </w:r>
      <w:proofErr w:type="spellEnd"/>
      <w:r w:rsidRPr="001704CD">
        <w:rPr>
          <w:rFonts w:asciiTheme="majorHAnsi" w:hAnsiTheme="majorHAnsi" w:cstheme="minorHAnsi"/>
        </w:rPr>
        <w:t xml:space="preserve"> in the region. Additionally, the following issues necessitate specific expenditures to effectively manage the unique challenges associated with maintaining and operating the network infrastructure in this geography:</w:t>
      </w:r>
    </w:p>
    <w:p w14:paraId="1C1ED69F" w14:textId="47E4C426" w:rsidR="00BA7140" w:rsidRPr="00B67203" w:rsidRDefault="00622EF6" w:rsidP="001972DE">
      <w:pPr>
        <w:pStyle w:val="BodyText"/>
        <w:numPr>
          <w:ilvl w:val="0"/>
          <w:numId w:val="42"/>
        </w:numPr>
        <w:spacing w:beforeLines="100" w:before="240" w:afterLines="100" w:after="240" w:line="360" w:lineRule="auto"/>
        <w:ind w:right="-93"/>
        <w:jc w:val="both"/>
        <w:rPr>
          <w:rFonts w:asciiTheme="majorHAnsi" w:hAnsiTheme="majorHAnsi" w:cstheme="minorHAnsi"/>
        </w:rPr>
      </w:pPr>
      <w:r w:rsidRPr="00B67203">
        <w:rPr>
          <w:rFonts w:asciiTheme="majorHAnsi" w:hAnsiTheme="majorHAnsi" w:cstheme="minorHAnsi"/>
        </w:rPr>
        <w:t>The Licensee operates in a geographically diverse region, which includes elephant corridors and extensive government assets. The maintenance of infrastructure in such areas requires specialized</w:t>
      </w:r>
      <w:r w:rsidR="00435731">
        <w:rPr>
          <w:rFonts w:asciiTheme="majorHAnsi" w:hAnsiTheme="majorHAnsi" w:cstheme="minorHAnsi"/>
        </w:rPr>
        <w:t xml:space="preserve">, highly </w:t>
      </w:r>
      <w:r w:rsidR="00C51C7C">
        <w:rPr>
          <w:rFonts w:asciiTheme="majorHAnsi" w:hAnsiTheme="majorHAnsi" w:cstheme="minorHAnsi"/>
        </w:rPr>
        <w:t xml:space="preserve">skilled </w:t>
      </w:r>
      <w:r w:rsidRPr="00B67203">
        <w:rPr>
          <w:rFonts w:asciiTheme="majorHAnsi" w:hAnsiTheme="majorHAnsi" w:cstheme="minorHAnsi"/>
        </w:rPr>
        <w:t>resources, equipment and expertise.</w:t>
      </w:r>
    </w:p>
    <w:p w14:paraId="6F032271" w14:textId="2CB5D7C0" w:rsidR="00622EF6" w:rsidRPr="00B67203" w:rsidRDefault="00F01842" w:rsidP="001972DE">
      <w:pPr>
        <w:pStyle w:val="BodyText"/>
        <w:numPr>
          <w:ilvl w:val="0"/>
          <w:numId w:val="42"/>
        </w:numPr>
        <w:spacing w:beforeLines="100" w:before="240" w:afterLines="100" w:after="240" w:line="360" w:lineRule="auto"/>
        <w:ind w:right="-93"/>
        <w:jc w:val="both"/>
        <w:rPr>
          <w:rFonts w:asciiTheme="majorHAnsi" w:hAnsiTheme="majorHAnsi" w:cstheme="minorHAnsi"/>
        </w:rPr>
      </w:pPr>
      <w:r w:rsidRPr="00F01842">
        <w:rPr>
          <w:rFonts w:asciiTheme="majorHAnsi" w:hAnsiTheme="majorHAnsi" w:cstheme="minorHAnsi"/>
        </w:rPr>
        <w:t>Further, ensuring the longevity and reliability of the infrastructure requires robust preventive and predictive maintenance. Regular inspections, testing, and timely upkeep are essential to identify potential issues early and address them before they escalate into costly breakdowns or power supply disruptions.</w:t>
      </w:r>
    </w:p>
    <w:p w14:paraId="4AA5310B" w14:textId="61C00D4B" w:rsidR="00DE7843" w:rsidRPr="00B67203" w:rsidRDefault="00AC071C" w:rsidP="001972DE">
      <w:pPr>
        <w:pStyle w:val="BodyText"/>
        <w:numPr>
          <w:ilvl w:val="0"/>
          <w:numId w:val="42"/>
        </w:numPr>
        <w:spacing w:beforeLines="100" w:before="240" w:afterLines="100" w:after="240" w:line="360" w:lineRule="auto"/>
        <w:ind w:right="-93"/>
        <w:jc w:val="both"/>
        <w:rPr>
          <w:rFonts w:asciiTheme="majorHAnsi" w:hAnsiTheme="majorHAnsi" w:cstheme="minorHAnsi"/>
        </w:rPr>
      </w:pPr>
      <w:r w:rsidRPr="00AC071C">
        <w:rPr>
          <w:rFonts w:asciiTheme="majorHAnsi" w:hAnsiTheme="majorHAnsi" w:cstheme="minorHAnsi"/>
        </w:rPr>
        <w:t xml:space="preserve">Despite the best efforts in preventive </w:t>
      </w:r>
      <w:r w:rsidR="00F50B02">
        <w:rPr>
          <w:rFonts w:asciiTheme="majorHAnsi" w:hAnsiTheme="majorHAnsi" w:cstheme="minorHAnsi"/>
        </w:rPr>
        <w:t xml:space="preserve">&amp; predictive </w:t>
      </w:r>
      <w:r w:rsidRPr="00AC071C">
        <w:rPr>
          <w:rFonts w:asciiTheme="majorHAnsi" w:hAnsiTheme="majorHAnsi" w:cstheme="minorHAnsi"/>
        </w:rPr>
        <w:t>maintenance, unforeseen breakdowns may still occur due to various factors such as natural disasters, wildlife interference, or equipment failures. Timely repair and replacement of damaged components are therefore essential to restore power supply and minimize downtime. It is also worthwhile to mention that the extensive distribution network infrastructure remains exposed to environmental conditions, making it inherently vulnerable to such disruptions.</w:t>
      </w:r>
    </w:p>
    <w:p w14:paraId="6748CD9E" w14:textId="09DDD12A" w:rsidR="00DE7843" w:rsidRPr="00B67203" w:rsidRDefault="00DE7843" w:rsidP="001972DE">
      <w:pPr>
        <w:pStyle w:val="BodyText"/>
        <w:numPr>
          <w:ilvl w:val="0"/>
          <w:numId w:val="42"/>
        </w:numPr>
        <w:spacing w:beforeLines="100" w:before="240" w:afterLines="100" w:after="240" w:line="360" w:lineRule="auto"/>
        <w:ind w:right="-93"/>
        <w:jc w:val="both"/>
        <w:rPr>
          <w:rFonts w:asciiTheme="majorHAnsi" w:hAnsiTheme="majorHAnsi" w:cstheme="minorHAnsi"/>
        </w:rPr>
      </w:pPr>
      <w:r w:rsidRPr="00B67203">
        <w:rPr>
          <w:rFonts w:asciiTheme="majorHAnsi" w:hAnsiTheme="majorHAnsi" w:cstheme="minorHAnsi"/>
        </w:rPr>
        <w:t xml:space="preserve">The Licensee is responsible for maintaining and safeguarding various </w:t>
      </w:r>
      <w:r w:rsidR="000E211A">
        <w:rPr>
          <w:rFonts w:asciiTheme="majorHAnsi" w:hAnsiTheme="majorHAnsi" w:cstheme="minorHAnsi"/>
        </w:rPr>
        <w:t xml:space="preserve">essential </w:t>
      </w:r>
      <w:r w:rsidRPr="00B67203">
        <w:rPr>
          <w:rFonts w:asciiTheme="majorHAnsi" w:hAnsiTheme="majorHAnsi" w:cstheme="minorHAnsi"/>
        </w:rPr>
        <w:t>government assets, including sub-stations, transformers and distribution lines. These assets are critical for the reliable delivery of electricity to consumers.</w:t>
      </w:r>
    </w:p>
    <w:p w14:paraId="7E698406" w14:textId="3FEC000C" w:rsidR="00DE7843" w:rsidRDefault="00DE7843" w:rsidP="00DE7843">
      <w:pPr>
        <w:pStyle w:val="BodyText"/>
        <w:spacing w:beforeLines="100" w:before="240" w:afterLines="100" w:after="240" w:line="360" w:lineRule="auto"/>
        <w:ind w:left="414" w:right="-93"/>
        <w:jc w:val="both"/>
        <w:rPr>
          <w:rFonts w:asciiTheme="majorHAnsi" w:hAnsiTheme="majorHAnsi" w:cstheme="minorHAnsi"/>
        </w:rPr>
      </w:pPr>
      <w:r w:rsidRPr="00B67203">
        <w:rPr>
          <w:rFonts w:asciiTheme="majorHAnsi" w:hAnsiTheme="majorHAnsi" w:cstheme="minorHAnsi"/>
        </w:rPr>
        <w:t>These assets are crucial for maintaining the safety and reliability of our power distribution network and additional funds will help cover the expenses associated.</w:t>
      </w:r>
    </w:p>
    <w:p w14:paraId="4D41A40F" w14:textId="525945D9" w:rsidR="008A10E5" w:rsidRPr="00004A37" w:rsidRDefault="008A10E5" w:rsidP="001972DE">
      <w:pPr>
        <w:pStyle w:val="ListParagraph"/>
        <w:numPr>
          <w:ilvl w:val="0"/>
          <w:numId w:val="28"/>
        </w:numPr>
        <w:ind w:left="426" w:hanging="426"/>
        <w:jc w:val="both"/>
        <w:rPr>
          <w:rFonts w:asciiTheme="majorHAnsi" w:eastAsia="Times New Roman" w:hAnsiTheme="majorHAnsi" w:cstheme="minorHAnsi"/>
          <w:b/>
          <w:bCs/>
          <w:sz w:val="24"/>
          <w:szCs w:val="24"/>
          <w:u w:val="single"/>
        </w:rPr>
      </w:pPr>
      <w:r w:rsidRPr="00004A37">
        <w:rPr>
          <w:rFonts w:asciiTheme="majorHAnsi" w:eastAsia="Times New Roman" w:hAnsiTheme="majorHAnsi" w:cstheme="minorHAnsi"/>
          <w:b/>
          <w:bCs/>
          <w:sz w:val="24"/>
          <w:szCs w:val="24"/>
          <w:u w:val="single"/>
        </w:rPr>
        <w:t>Civil infrastructure repair &amp; maintenance:</w:t>
      </w:r>
    </w:p>
    <w:p w14:paraId="2632D537" w14:textId="3C6EC68C" w:rsidR="008A10E5" w:rsidRDefault="004535CD" w:rsidP="008A10E5">
      <w:pPr>
        <w:shd w:val="clear" w:color="auto" w:fill="FFFFFF"/>
        <w:spacing w:line="360" w:lineRule="auto"/>
        <w:jc w:val="both"/>
        <w:rPr>
          <w:rFonts w:asciiTheme="majorHAnsi" w:hAnsiTheme="majorHAnsi" w:cstheme="minorHAnsi"/>
          <w:color w:val="242424"/>
          <w:bdr w:val="none" w:sz="0" w:space="0" w:color="auto" w:frame="1"/>
          <w:lang w:eastAsia="en-IN" w:bidi="hi-IN"/>
        </w:rPr>
      </w:pPr>
      <w:r w:rsidRPr="004535CD">
        <w:rPr>
          <w:rFonts w:asciiTheme="majorHAnsi" w:hAnsiTheme="majorHAnsi" w:cstheme="minorHAnsi"/>
          <w:color w:val="242424"/>
          <w:bdr w:val="none" w:sz="0" w:space="0" w:color="auto" w:frame="1"/>
          <w:lang w:eastAsia="en-IN" w:bidi="hi-IN"/>
        </w:rPr>
        <w:t>Civil maintenance activities for PSS, transformer plinths, boundary walls, stores, access roads, and office buildings require time-bound upkeep, including structural repairs and painting, to ensure a safe and hygienic environment. Most of these buildings are old, with several structures exceeding 50 years of age, resulting in high maintenance requirements to maintain structural integrity and operational safety.</w:t>
      </w:r>
    </w:p>
    <w:p w14:paraId="6B87E7D8" w14:textId="77777777" w:rsidR="004535CD" w:rsidRPr="009F560B" w:rsidRDefault="004535CD" w:rsidP="008A10E5">
      <w:pPr>
        <w:shd w:val="clear" w:color="auto" w:fill="FFFFFF"/>
        <w:spacing w:line="360" w:lineRule="auto"/>
        <w:jc w:val="both"/>
        <w:rPr>
          <w:rFonts w:asciiTheme="majorHAnsi" w:hAnsiTheme="majorHAnsi" w:cstheme="minorHAnsi"/>
          <w:color w:val="242424"/>
          <w:bdr w:val="none" w:sz="0" w:space="0" w:color="auto" w:frame="1"/>
          <w:lang w:eastAsia="en-IN" w:bidi="hi-IN"/>
        </w:rPr>
      </w:pPr>
    </w:p>
    <w:p w14:paraId="567408C4" w14:textId="77777777" w:rsidR="00995D42" w:rsidRPr="00995D42" w:rsidRDefault="00995D42" w:rsidP="00995D42">
      <w:pPr>
        <w:shd w:val="clear" w:color="auto" w:fill="FFFFFF"/>
        <w:spacing w:line="276" w:lineRule="auto"/>
        <w:jc w:val="both"/>
        <w:rPr>
          <w:rFonts w:asciiTheme="majorHAnsi" w:hAnsiTheme="majorHAnsi" w:cstheme="minorHAnsi"/>
          <w:color w:val="242424"/>
          <w:bdr w:val="none" w:sz="0" w:space="0" w:color="auto" w:frame="1"/>
          <w:lang w:eastAsia="en-IN" w:bidi="hi-IN"/>
        </w:rPr>
      </w:pPr>
      <w:r w:rsidRPr="00995D42">
        <w:rPr>
          <w:rFonts w:asciiTheme="majorHAnsi" w:hAnsiTheme="majorHAnsi" w:cstheme="minorHAnsi"/>
          <w:color w:val="242424"/>
          <w:bdr w:val="none" w:sz="0" w:space="0" w:color="auto" w:frame="1"/>
          <w:lang w:eastAsia="en-IN" w:bidi="hi-IN"/>
        </w:rPr>
        <w:t xml:space="preserve">Following activities are covered under civil repair &amp; maintenance: </w:t>
      </w:r>
    </w:p>
    <w:p w14:paraId="3C812D1B" w14:textId="7C412662" w:rsidR="00995D42" w:rsidRPr="00995D42" w:rsidRDefault="00995D42" w:rsidP="001972DE">
      <w:pPr>
        <w:numPr>
          <w:ilvl w:val="0"/>
          <w:numId w:val="9"/>
        </w:numPr>
        <w:shd w:val="clear" w:color="auto" w:fill="FFFFFF"/>
        <w:spacing w:line="276" w:lineRule="auto"/>
        <w:jc w:val="both"/>
        <w:rPr>
          <w:rFonts w:asciiTheme="majorHAnsi" w:hAnsiTheme="majorHAnsi" w:cstheme="minorHAnsi"/>
          <w:color w:val="242424"/>
          <w:bdr w:val="none" w:sz="0" w:space="0" w:color="auto" w:frame="1"/>
          <w:lang w:eastAsia="en-IN" w:bidi="hi-IN"/>
        </w:rPr>
      </w:pPr>
      <w:r w:rsidRPr="00995D42">
        <w:rPr>
          <w:rFonts w:asciiTheme="majorHAnsi" w:hAnsiTheme="majorHAnsi" w:cstheme="minorHAnsi"/>
          <w:color w:val="242424"/>
          <w:bdr w:val="none" w:sz="0" w:space="0" w:color="auto" w:frame="1"/>
          <w:lang w:eastAsia="en-IN" w:bidi="hi-IN"/>
        </w:rPr>
        <w:t xml:space="preserve"> Maintenance of PSS </w:t>
      </w:r>
    </w:p>
    <w:p w14:paraId="42AC3FD9" w14:textId="2A4BAA50" w:rsidR="00995D42" w:rsidRPr="00995D42" w:rsidRDefault="00995D42" w:rsidP="001972DE">
      <w:pPr>
        <w:numPr>
          <w:ilvl w:val="0"/>
          <w:numId w:val="9"/>
        </w:numPr>
        <w:shd w:val="clear" w:color="auto" w:fill="FFFFFF"/>
        <w:tabs>
          <w:tab w:val="clear" w:pos="990"/>
          <w:tab w:val="num" w:pos="630"/>
        </w:tabs>
        <w:spacing w:line="276" w:lineRule="auto"/>
        <w:jc w:val="both"/>
        <w:rPr>
          <w:rFonts w:asciiTheme="majorHAnsi" w:hAnsiTheme="majorHAnsi" w:cstheme="minorHAnsi"/>
          <w:color w:val="242424"/>
          <w:bdr w:val="none" w:sz="0" w:space="0" w:color="auto" w:frame="1"/>
          <w:lang w:eastAsia="en-IN" w:bidi="hi-IN"/>
        </w:rPr>
      </w:pPr>
      <w:r w:rsidRPr="00995D42">
        <w:rPr>
          <w:rFonts w:asciiTheme="majorHAnsi" w:hAnsiTheme="majorHAnsi" w:cstheme="minorHAnsi"/>
          <w:color w:val="242424"/>
          <w:bdr w:val="none" w:sz="0" w:space="0" w:color="auto" w:frame="1"/>
          <w:lang w:eastAsia="en-IN" w:bidi="hi-IN"/>
        </w:rPr>
        <w:t xml:space="preserve"> </w:t>
      </w:r>
      <w:r w:rsidR="00994A14" w:rsidRPr="00995D42">
        <w:rPr>
          <w:rFonts w:asciiTheme="majorHAnsi" w:hAnsiTheme="majorHAnsi" w:cstheme="minorHAnsi"/>
          <w:color w:val="242424"/>
          <w:bdr w:val="none" w:sz="0" w:space="0" w:color="auto" w:frame="1"/>
          <w:lang w:eastAsia="en-IN" w:bidi="hi-IN"/>
        </w:rPr>
        <w:t>Repair</w:t>
      </w:r>
      <w:r w:rsidRPr="00995D42">
        <w:rPr>
          <w:rFonts w:asciiTheme="majorHAnsi" w:hAnsiTheme="majorHAnsi" w:cstheme="minorHAnsi"/>
          <w:color w:val="242424"/>
          <w:bdr w:val="none" w:sz="0" w:space="0" w:color="auto" w:frame="1"/>
          <w:lang w:eastAsia="en-IN" w:bidi="hi-IN"/>
        </w:rPr>
        <w:t xml:space="preserve"> of Transformer plinth </w:t>
      </w:r>
    </w:p>
    <w:p w14:paraId="651A35E8" w14:textId="1F292121" w:rsidR="00995D42" w:rsidRPr="00995D42" w:rsidRDefault="00995D42" w:rsidP="001972DE">
      <w:pPr>
        <w:numPr>
          <w:ilvl w:val="0"/>
          <w:numId w:val="9"/>
        </w:numPr>
        <w:shd w:val="clear" w:color="auto" w:fill="FFFFFF"/>
        <w:spacing w:line="276" w:lineRule="auto"/>
        <w:jc w:val="both"/>
        <w:rPr>
          <w:rFonts w:asciiTheme="majorHAnsi" w:hAnsiTheme="majorHAnsi" w:cstheme="minorHAnsi"/>
          <w:color w:val="242424"/>
          <w:bdr w:val="none" w:sz="0" w:space="0" w:color="auto" w:frame="1"/>
          <w:lang w:eastAsia="en-IN" w:bidi="hi-IN"/>
        </w:rPr>
      </w:pPr>
      <w:r w:rsidRPr="00995D42">
        <w:rPr>
          <w:rFonts w:asciiTheme="majorHAnsi" w:hAnsiTheme="majorHAnsi" w:cstheme="minorHAnsi"/>
          <w:color w:val="242424"/>
          <w:bdr w:val="none" w:sz="0" w:space="0" w:color="auto" w:frame="1"/>
          <w:lang w:eastAsia="en-IN" w:bidi="hi-IN"/>
        </w:rPr>
        <w:t xml:space="preserve"> Repairing of PSS and DSS boundary wall </w:t>
      </w:r>
    </w:p>
    <w:p w14:paraId="3992E976" w14:textId="077609D0" w:rsidR="00995D42" w:rsidRPr="00995D42" w:rsidRDefault="00995D42" w:rsidP="001972DE">
      <w:pPr>
        <w:numPr>
          <w:ilvl w:val="0"/>
          <w:numId w:val="9"/>
        </w:numPr>
        <w:shd w:val="clear" w:color="auto" w:fill="FFFFFF"/>
        <w:spacing w:line="276" w:lineRule="auto"/>
        <w:jc w:val="both"/>
        <w:rPr>
          <w:rFonts w:asciiTheme="majorHAnsi" w:hAnsiTheme="majorHAnsi" w:cstheme="minorHAnsi"/>
          <w:color w:val="242424"/>
          <w:bdr w:val="none" w:sz="0" w:space="0" w:color="auto" w:frame="1"/>
          <w:lang w:eastAsia="en-IN" w:bidi="hi-IN"/>
        </w:rPr>
      </w:pPr>
      <w:r w:rsidRPr="00995D42">
        <w:rPr>
          <w:rFonts w:asciiTheme="majorHAnsi" w:hAnsiTheme="majorHAnsi" w:cstheme="minorHAnsi"/>
          <w:color w:val="242424"/>
          <w:bdr w:val="none" w:sz="0" w:space="0" w:color="auto" w:frame="1"/>
          <w:lang w:eastAsia="en-IN" w:bidi="hi-IN"/>
        </w:rPr>
        <w:t xml:space="preserve"> Trench Cover</w:t>
      </w:r>
    </w:p>
    <w:p w14:paraId="54132816" w14:textId="4715D309" w:rsidR="00995D42" w:rsidRPr="00995D42" w:rsidRDefault="00995D42" w:rsidP="001972DE">
      <w:pPr>
        <w:numPr>
          <w:ilvl w:val="0"/>
          <w:numId w:val="9"/>
        </w:numPr>
        <w:shd w:val="clear" w:color="auto" w:fill="FFFFFF"/>
        <w:spacing w:line="276" w:lineRule="auto"/>
        <w:jc w:val="both"/>
        <w:rPr>
          <w:rFonts w:asciiTheme="majorHAnsi" w:hAnsiTheme="majorHAnsi" w:cstheme="minorHAnsi"/>
          <w:color w:val="242424"/>
          <w:bdr w:val="none" w:sz="0" w:space="0" w:color="auto" w:frame="1"/>
          <w:lang w:eastAsia="en-IN" w:bidi="hi-IN"/>
        </w:rPr>
      </w:pPr>
      <w:r w:rsidRPr="00995D42">
        <w:rPr>
          <w:rFonts w:asciiTheme="majorHAnsi" w:hAnsiTheme="majorHAnsi" w:cstheme="minorHAnsi"/>
          <w:color w:val="242424"/>
          <w:bdr w:val="none" w:sz="0" w:space="0" w:color="auto" w:frame="1"/>
          <w:lang w:eastAsia="en-IN" w:bidi="hi-IN"/>
        </w:rPr>
        <w:t xml:space="preserve"> Old Building Painting, Maintenance work of AC &amp; sanitary</w:t>
      </w:r>
      <w:r w:rsidR="00EF0602">
        <w:rPr>
          <w:rFonts w:asciiTheme="majorHAnsi" w:hAnsiTheme="majorHAnsi" w:cstheme="minorHAnsi"/>
          <w:color w:val="242424"/>
          <w:bdr w:val="none" w:sz="0" w:space="0" w:color="auto" w:frame="1"/>
          <w:lang w:eastAsia="en-IN" w:bidi="hi-IN"/>
        </w:rPr>
        <w:t xml:space="preserve"> </w:t>
      </w:r>
      <w:r w:rsidRPr="00995D42">
        <w:rPr>
          <w:rFonts w:asciiTheme="majorHAnsi" w:hAnsiTheme="majorHAnsi" w:cstheme="minorHAnsi"/>
          <w:color w:val="242424"/>
          <w:bdr w:val="none" w:sz="0" w:space="0" w:color="auto" w:frame="1"/>
          <w:lang w:eastAsia="en-IN" w:bidi="hi-IN"/>
        </w:rPr>
        <w:t>item</w:t>
      </w:r>
      <w:r w:rsidR="00EF0602">
        <w:rPr>
          <w:rFonts w:asciiTheme="majorHAnsi" w:hAnsiTheme="majorHAnsi" w:cstheme="minorHAnsi"/>
          <w:color w:val="242424"/>
          <w:bdr w:val="none" w:sz="0" w:space="0" w:color="auto" w:frame="1"/>
          <w:lang w:eastAsia="en-IN" w:bidi="hi-IN"/>
        </w:rPr>
        <w:t>s</w:t>
      </w:r>
    </w:p>
    <w:p w14:paraId="7DF5B41F" w14:textId="25171751" w:rsidR="00995D42" w:rsidRPr="00995D42" w:rsidRDefault="00995D42" w:rsidP="001972DE">
      <w:pPr>
        <w:numPr>
          <w:ilvl w:val="0"/>
          <w:numId w:val="9"/>
        </w:numPr>
        <w:shd w:val="clear" w:color="auto" w:fill="FFFFFF"/>
        <w:spacing w:line="276" w:lineRule="auto"/>
        <w:jc w:val="both"/>
        <w:rPr>
          <w:rFonts w:asciiTheme="majorHAnsi" w:hAnsiTheme="majorHAnsi" w:cstheme="minorHAnsi"/>
          <w:color w:val="242424"/>
          <w:bdr w:val="none" w:sz="0" w:space="0" w:color="auto" w:frame="1"/>
          <w:lang w:eastAsia="en-IN" w:bidi="hi-IN"/>
        </w:rPr>
      </w:pPr>
      <w:r w:rsidRPr="00995D42">
        <w:rPr>
          <w:rFonts w:asciiTheme="majorHAnsi" w:hAnsiTheme="majorHAnsi" w:cstheme="minorHAnsi"/>
          <w:color w:val="242424"/>
          <w:bdr w:val="none" w:sz="0" w:space="0" w:color="auto" w:frame="1"/>
          <w:lang w:eastAsia="en-IN" w:bidi="hi-IN"/>
        </w:rPr>
        <w:t xml:space="preserve"> Periodically cleaning of Septic Tank &amp; Soak Pit </w:t>
      </w:r>
    </w:p>
    <w:p w14:paraId="3B2B0EE6" w14:textId="7CBDFB68" w:rsidR="008A10E5" w:rsidRPr="009F560B" w:rsidRDefault="00995D42" w:rsidP="001972DE">
      <w:pPr>
        <w:numPr>
          <w:ilvl w:val="0"/>
          <w:numId w:val="9"/>
        </w:numPr>
        <w:shd w:val="clear" w:color="auto" w:fill="FFFFFF"/>
        <w:spacing w:line="276" w:lineRule="auto"/>
        <w:jc w:val="both"/>
        <w:rPr>
          <w:rFonts w:asciiTheme="majorHAnsi" w:hAnsiTheme="majorHAnsi" w:cstheme="minorHAnsi"/>
          <w:color w:val="242424"/>
          <w:lang w:eastAsia="en-IN" w:bidi="hi-IN"/>
        </w:rPr>
      </w:pPr>
      <w:r w:rsidRPr="00995D42">
        <w:rPr>
          <w:rFonts w:asciiTheme="majorHAnsi" w:hAnsiTheme="majorHAnsi" w:cstheme="minorHAnsi"/>
          <w:color w:val="242424"/>
          <w:bdr w:val="none" w:sz="0" w:space="0" w:color="auto" w:frame="1"/>
          <w:lang w:eastAsia="en-IN" w:bidi="hi-IN"/>
        </w:rPr>
        <w:t xml:space="preserve"> Replacing of Light Fittings, Shifting of material including scrap, Other Miscellaneous work</w:t>
      </w:r>
    </w:p>
    <w:p w14:paraId="7DE750E9" w14:textId="77777777" w:rsidR="008A10E5" w:rsidRPr="009F560B" w:rsidRDefault="008A10E5" w:rsidP="008A10E5">
      <w:pPr>
        <w:spacing w:line="256" w:lineRule="auto"/>
        <w:contextualSpacing/>
        <w:jc w:val="both"/>
        <w:rPr>
          <w:rFonts w:asciiTheme="majorHAnsi" w:hAnsiTheme="majorHAnsi" w:cstheme="minorHAnsi"/>
          <w:b/>
          <w:bCs/>
          <w:sz w:val="28"/>
          <w:szCs w:val="28"/>
        </w:rPr>
      </w:pPr>
    </w:p>
    <w:p w14:paraId="2E18062A" w14:textId="4C2172FC" w:rsidR="008A10E5" w:rsidRPr="00196CAE" w:rsidRDefault="008A10E5" w:rsidP="001972DE">
      <w:pPr>
        <w:pStyle w:val="ListParagraph"/>
        <w:numPr>
          <w:ilvl w:val="0"/>
          <w:numId w:val="28"/>
        </w:numPr>
        <w:spacing w:line="256" w:lineRule="auto"/>
        <w:jc w:val="both"/>
        <w:rPr>
          <w:rFonts w:asciiTheme="majorHAnsi" w:hAnsiTheme="majorHAnsi" w:cstheme="minorHAnsi"/>
          <w:b/>
          <w:bCs/>
          <w:sz w:val="24"/>
          <w:szCs w:val="24"/>
          <w:u w:val="single"/>
        </w:rPr>
      </w:pPr>
      <w:r w:rsidRPr="00196CAE">
        <w:rPr>
          <w:rFonts w:asciiTheme="majorHAnsi" w:hAnsiTheme="majorHAnsi" w:cstheme="minorHAnsi"/>
          <w:b/>
          <w:bCs/>
          <w:sz w:val="24"/>
          <w:szCs w:val="24"/>
          <w:u w:val="single"/>
        </w:rPr>
        <w:t xml:space="preserve">33 </w:t>
      </w:r>
      <w:r w:rsidR="00E666A9" w:rsidRPr="00196CAE">
        <w:rPr>
          <w:rFonts w:asciiTheme="majorHAnsi" w:hAnsiTheme="majorHAnsi" w:cstheme="minorHAnsi"/>
          <w:b/>
          <w:bCs/>
          <w:sz w:val="24"/>
          <w:szCs w:val="24"/>
          <w:u w:val="single"/>
        </w:rPr>
        <w:t>k</w:t>
      </w:r>
      <w:r w:rsidR="006019AD" w:rsidRPr="00196CAE">
        <w:rPr>
          <w:rFonts w:asciiTheme="majorHAnsi" w:hAnsiTheme="majorHAnsi" w:cstheme="minorHAnsi"/>
          <w:b/>
          <w:bCs/>
          <w:sz w:val="24"/>
          <w:szCs w:val="24"/>
          <w:u w:val="single"/>
        </w:rPr>
        <w:t>V</w:t>
      </w:r>
      <w:r w:rsidRPr="00196CAE">
        <w:rPr>
          <w:rFonts w:asciiTheme="majorHAnsi" w:hAnsiTheme="majorHAnsi" w:cstheme="minorHAnsi"/>
          <w:b/>
          <w:bCs/>
          <w:sz w:val="24"/>
          <w:szCs w:val="24"/>
          <w:u w:val="single"/>
        </w:rPr>
        <w:t xml:space="preserve"> Network AMC:</w:t>
      </w:r>
    </w:p>
    <w:p w14:paraId="6AB13520" w14:textId="77777777" w:rsidR="008A10E5" w:rsidRPr="009F560B" w:rsidRDefault="008A10E5" w:rsidP="00F0412D">
      <w:pPr>
        <w:spacing w:line="360" w:lineRule="auto"/>
        <w:contextualSpacing/>
        <w:jc w:val="both"/>
        <w:rPr>
          <w:rFonts w:asciiTheme="majorHAnsi" w:hAnsiTheme="majorHAnsi" w:cstheme="minorHAnsi"/>
          <w:sz w:val="12"/>
          <w:szCs w:val="12"/>
        </w:rPr>
      </w:pPr>
    </w:p>
    <w:p w14:paraId="2B4FEB7C" w14:textId="722E57D3" w:rsidR="008A10E5" w:rsidRDefault="008A10E5" w:rsidP="00806C7E">
      <w:pPr>
        <w:spacing w:line="360" w:lineRule="auto"/>
        <w:ind w:left="360"/>
        <w:contextualSpacing/>
        <w:jc w:val="both"/>
        <w:rPr>
          <w:rFonts w:asciiTheme="majorHAnsi" w:hAnsiTheme="majorHAnsi" w:cstheme="minorHAnsi"/>
        </w:rPr>
      </w:pPr>
      <w:r w:rsidRPr="009F560B">
        <w:rPr>
          <w:rFonts w:asciiTheme="majorHAnsi" w:hAnsiTheme="majorHAnsi" w:cstheme="minorHAnsi"/>
        </w:rPr>
        <w:t>33</w:t>
      </w:r>
      <w:r w:rsidR="00F8250F">
        <w:rPr>
          <w:rFonts w:asciiTheme="majorHAnsi" w:hAnsiTheme="majorHAnsi" w:cstheme="minorHAnsi"/>
        </w:rPr>
        <w:t xml:space="preserve"> k</w:t>
      </w:r>
      <w:r w:rsidR="006019AD">
        <w:rPr>
          <w:rFonts w:asciiTheme="majorHAnsi" w:hAnsiTheme="majorHAnsi" w:cstheme="minorHAnsi"/>
        </w:rPr>
        <w:t>V</w:t>
      </w:r>
      <w:r w:rsidRPr="009F560B">
        <w:rPr>
          <w:rFonts w:asciiTheme="majorHAnsi" w:hAnsiTheme="majorHAnsi" w:cstheme="minorHAnsi"/>
        </w:rPr>
        <w:t xml:space="preserve"> Network AMC is placed for each circle through competitive bidding process, which covers following activities</w:t>
      </w:r>
      <w:r w:rsidR="00CA30F9">
        <w:rPr>
          <w:rFonts w:asciiTheme="majorHAnsi" w:hAnsiTheme="majorHAnsi" w:cstheme="minorHAnsi"/>
        </w:rPr>
        <w:t>.</w:t>
      </w:r>
    </w:p>
    <w:p w14:paraId="5CD0D69F" w14:textId="77777777" w:rsidR="00CA30F9" w:rsidRPr="009F560B" w:rsidRDefault="00CA30F9" w:rsidP="00F0412D">
      <w:pPr>
        <w:spacing w:line="360" w:lineRule="auto"/>
        <w:contextualSpacing/>
        <w:jc w:val="both"/>
        <w:rPr>
          <w:rFonts w:asciiTheme="majorHAnsi" w:hAnsiTheme="majorHAnsi" w:cstheme="minorHAnsi"/>
        </w:rPr>
      </w:pPr>
    </w:p>
    <w:p w14:paraId="3409CC3D" w14:textId="5735A861" w:rsidR="008A10E5" w:rsidRPr="00196CAE" w:rsidRDefault="00CA30F9" w:rsidP="001972DE">
      <w:pPr>
        <w:pStyle w:val="ListParagraph"/>
        <w:numPr>
          <w:ilvl w:val="0"/>
          <w:numId w:val="19"/>
        </w:numPr>
        <w:spacing w:after="160" w:line="360" w:lineRule="auto"/>
        <w:jc w:val="both"/>
        <w:rPr>
          <w:rFonts w:asciiTheme="majorHAnsi" w:hAnsiTheme="majorHAnsi" w:cstheme="minorHAnsi"/>
          <w:b/>
          <w:bCs/>
          <w:sz w:val="24"/>
          <w:szCs w:val="24"/>
          <w:u w:val="single"/>
        </w:rPr>
      </w:pPr>
      <w:r w:rsidRPr="00196CAE">
        <w:rPr>
          <w:rFonts w:asciiTheme="majorHAnsi" w:hAnsiTheme="majorHAnsi" w:cstheme="minorHAnsi"/>
          <w:b/>
          <w:bCs/>
          <w:sz w:val="24"/>
          <w:szCs w:val="24"/>
          <w:u w:val="single"/>
        </w:rPr>
        <w:t>Feeder Maintenance:</w:t>
      </w:r>
    </w:p>
    <w:p w14:paraId="1E83C2B0" w14:textId="41AFFA84" w:rsidR="00FB0357" w:rsidRPr="00FB0357" w:rsidRDefault="00FB0357" w:rsidP="00806C7E">
      <w:pPr>
        <w:pStyle w:val="ListParagraph"/>
        <w:numPr>
          <w:ilvl w:val="0"/>
          <w:numId w:val="7"/>
        </w:numPr>
        <w:spacing w:after="160" w:line="360" w:lineRule="auto"/>
        <w:ind w:left="1134"/>
        <w:jc w:val="both"/>
        <w:rPr>
          <w:rFonts w:asciiTheme="majorHAnsi" w:eastAsia="Arial" w:hAnsiTheme="majorHAnsi" w:cstheme="minorHAnsi"/>
          <w:sz w:val="24"/>
          <w:szCs w:val="24"/>
          <w:lang w:bidi="en-US"/>
        </w:rPr>
      </w:pPr>
      <w:r w:rsidRPr="00FB0357">
        <w:rPr>
          <w:rFonts w:asciiTheme="majorHAnsi" w:eastAsia="Arial" w:hAnsiTheme="majorHAnsi" w:cstheme="minorHAnsi"/>
          <w:sz w:val="24"/>
          <w:szCs w:val="24"/>
          <w:lang w:bidi="en-US"/>
        </w:rPr>
        <w:t xml:space="preserve">Replacement of damaged poles/assistance for erecting structures during the breakdown. For towers, separate orders will be placed as </w:t>
      </w:r>
      <w:r w:rsidR="007549EA" w:rsidRPr="00FB0357">
        <w:rPr>
          <w:rFonts w:asciiTheme="majorHAnsi" w:eastAsia="Arial" w:hAnsiTheme="majorHAnsi" w:cstheme="minorHAnsi"/>
          <w:sz w:val="24"/>
          <w:szCs w:val="24"/>
          <w:lang w:bidi="en-US"/>
        </w:rPr>
        <w:t>they are</w:t>
      </w:r>
      <w:r w:rsidRPr="00FB0357">
        <w:rPr>
          <w:rFonts w:asciiTheme="majorHAnsi" w:eastAsia="Arial" w:hAnsiTheme="majorHAnsi" w:cstheme="minorHAnsi"/>
          <w:sz w:val="24"/>
          <w:szCs w:val="24"/>
          <w:lang w:bidi="en-US"/>
        </w:rPr>
        <w:t xml:space="preserve"> not covered under the annual AMC. However, feeder will be restored by installing rail/joist poles.</w:t>
      </w:r>
    </w:p>
    <w:p w14:paraId="3FD0A83D" w14:textId="77777777" w:rsidR="00FB0357" w:rsidRPr="00FB0357" w:rsidRDefault="00FB0357" w:rsidP="00806C7E">
      <w:pPr>
        <w:pStyle w:val="ListParagraph"/>
        <w:numPr>
          <w:ilvl w:val="0"/>
          <w:numId w:val="7"/>
        </w:numPr>
        <w:spacing w:after="160" w:line="360" w:lineRule="auto"/>
        <w:ind w:left="1134"/>
        <w:jc w:val="both"/>
        <w:rPr>
          <w:rFonts w:asciiTheme="majorHAnsi" w:eastAsia="Arial" w:hAnsiTheme="majorHAnsi" w:cstheme="minorHAnsi"/>
          <w:sz w:val="24"/>
          <w:szCs w:val="24"/>
          <w:lang w:bidi="en-US"/>
        </w:rPr>
      </w:pPr>
      <w:r w:rsidRPr="00FB0357">
        <w:rPr>
          <w:rFonts w:asciiTheme="majorHAnsi" w:eastAsia="Arial" w:hAnsiTheme="majorHAnsi" w:cstheme="minorHAnsi"/>
          <w:sz w:val="24"/>
          <w:szCs w:val="24"/>
          <w:lang w:bidi="en-US"/>
        </w:rPr>
        <w:t xml:space="preserve">Replacement of corroded, cracked, flashed insulators (Disc/Pin). </w:t>
      </w:r>
    </w:p>
    <w:p w14:paraId="42D2FEE2" w14:textId="46B60F22" w:rsidR="00FB0357" w:rsidRPr="00FB0357" w:rsidRDefault="00FB0357" w:rsidP="00806C7E">
      <w:pPr>
        <w:pStyle w:val="ListParagraph"/>
        <w:numPr>
          <w:ilvl w:val="0"/>
          <w:numId w:val="7"/>
        </w:numPr>
        <w:spacing w:after="160" w:line="360" w:lineRule="auto"/>
        <w:ind w:left="1134"/>
        <w:jc w:val="both"/>
        <w:rPr>
          <w:rFonts w:asciiTheme="majorHAnsi" w:eastAsia="Arial" w:hAnsiTheme="majorHAnsi" w:cstheme="minorHAnsi"/>
          <w:sz w:val="24"/>
          <w:szCs w:val="24"/>
          <w:lang w:bidi="en-US"/>
        </w:rPr>
      </w:pPr>
      <w:r w:rsidRPr="00FB0357">
        <w:rPr>
          <w:rFonts w:asciiTheme="majorHAnsi" w:eastAsia="Arial" w:hAnsiTheme="majorHAnsi" w:cstheme="minorHAnsi"/>
          <w:sz w:val="24"/>
          <w:szCs w:val="24"/>
          <w:lang w:bidi="en-US"/>
        </w:rPr>
        <w:t>Trimming (</w:t>
      </w:r>
      <w:r w:rsidR="00483AC2" w:rsidRPr="00FB0357">
        <w:rPr>
          <w:rFonts w:asciiTheme="majorHAnsi" w:eastAsia="Arial" w:hAnsiTheme="majorHAnsi" w:cstheme="minorHAnsi"/>
          <w:sz w:val="24"/>
          <w:szCs w:val="24"/>
          <w:lang w:bidi="en-US"/>
        </w:rPr>
        <w:t>offline</w:t>
      </w:r>
      <w:r w:rsidRPr="00FB0357">
        <w:rPr>
          <w:rFonts w:asciiTheme="majorHAnsi" w:eastAsia="Arial" w:hAnsiTheme="majorHAnsi" w:cstheme="minorHAnsi"/>
          <w:sz w:val="24"/>
          <w:szCs w:val="24"/>
          <w:lang w:bidi="en-US"/>
        </w:rPr>
        <w:t>) of trees under/near the feeders on regular basis</w:t>
      </w:r>
    </w:p>
    <w:p w14:paraId="3388EBF5" w14:textId="77777777" w:rsidR="00FB0357" w:rsidRPr="00FB0357" w:rsidRDefault="00FB0357" w:rsidP="00806C7E">
      <w:pPr>
        <w:pStyle w:val="ListParagraph"/>
        <w:numPr>
          <w:ilvl w:val="0"/>
          <w:numId w:val="7"/>
        </w:numPr>
        <w:spacing w:after="160" w:line="360" w:lineRule="auto"/>
        <w:ind w:left="1134"/>
        <w:jc w:val="both"/>
        <w:rPr>
          <w:rFonts w:asciiTheme="majorHAnsi" w:eastAsia="Arial" w:hAnsiTheme="majorHAnsi" w:cstheme="minorHAnsi"/>
          <w:sz w:val="24"/>
          <w:szCs w:val="24"/>
          <w:lang w:bidi="en-US"/>
        </w:rPr>
      </w:pPr>
      <w:r w:rsidRPr="00FB0357">
        <w:rPr>
          <w:rFonts w:asciiTheme="majorHAnsi" w:eastAsia="Arial" w:hAnsiTheme="majorHAnsi" w:cstheme="minorHAnsi"/>
          <w:sz w:val="24"/>
          <w:szCs w:val="24"/>
          <w:lang w:bidi="en-US"/>
        </w:rPr>
        <w:t>Attending to hotspots / replacement of joints</w:t>
      </w:r>
    </w:p>
    <w:p w14:paraId="26D0F743" w14:textId="77777777" w:rsidR="00FB0357" w:rsidRPr="00FB0357" w:rsidRDefault="00FB0357" w:rsidP="00806C7E">
      <w:pPr>
        <w:pStyle w:val="ListParagraph"/>
        <w:numPr>
          <w:ilvl w:val="0"/>
          <w:numId w:val="7"/>
        </w:numPr>
        <w:spacing w:after="160" w:line="360" w:lineRule="auto"/>
        <w:ind w:left="1134"/>
        <w:jc w:val="both"/>
        <w:rPr>
          <w:rFonts w:asciiTheme="majorHAnsi" w:eastAsia="Arial" w:hAnsiTheme="majorHAnsi" w:cstheme="minorHAnsi"/>
          <w:sz w:val="24"/>
          <w:szCs w:val="24"/>
          <w:lang w:bidi="en-US"/>
        </w:rPr>
      </w:pPr>
      <w:r w:rsidRPr="00FB0357">
        <w:rPr>
          <w:rFonts w:asciiTheme="majorHAnsi" w:eastAsia="Arial" w:hAnsiTheme="majorHAnsi" w:cstheme="minorHAnsi"/>
          <w:sz w:val="24"/>
          <w:szCs w:val="24"/>
          <w:lang w:bidi="en-US"/>
        </w:rPr>
        <w:t>Repairs and re-tensioning of conductors, G.I. Earth wire, providing of guard laces, stay wires. repairs to the earthing of the poles.</w:t>
      </w:r>
    </w:p>
    <w:p w14:paraId="39AA9657" w14:textId="77777777" w:rsidR="00FB0357" w:rsidRPr="00FB0357" w:rsidRDefault="00FB0357" w:rsidP="00806C7E">
      <w:pPr>
        <w:pStyle w:val="ListParagraph"/>
        <w:numPr>
          <w:ilvl w:val="0"/>
          <w:numId w:val="7"/>
        </w:numPr>
        <w:spacing w:after="160" w:line="360" w:lineRule="auto"/>
        <w:ind w:left="1134"/>
        <w:jc w:val="both"/>
        <w:rPr>
          <w:rFonts w:asciiTheme="majorHAnsi" w:eastAsia="Arial" w:hAnsiTheme="majorHAnsi" w:cstheme="minorHAnsi"/>
          <w:sz w:val="24"/>
          <w:szCs w:val="24"/>
          <w:lang w:bidi="en-US"/>
        </w:rPr>
      </w:pPr>
      <w:r w:rsidRPr="00FB0357">
        <w:rPr>
          <w:rFonts w:asciiTheme="majorHAnsi" w:eastAsia="Arial" w:hAnsiTheme="majorHAnsi" w:cstheme="minorHAnsi"/>
          <w:sz w:val="24"/>
          <w:szCs w:val="24"/>
          <w:lang w:bidi="en-US"/>
        </w:rPr>
        <w:t>Installation of lightning arrestors, in places, where the chances of lightning is very high, as per guidance of Division In charge.</w:t>
      </w:r>
    </w:p>
    <w:p w14:paraId="605648A4" w14:textId="77777777" w:rsidR="00FB0357" w:rsidRPr="00FB0357" w:rsidRDefault="00FB0357" w:rsidP="00806C7E">
      <w:pPr>
        <w:pStyle w:val="ListParagraph"/>
        <w:numPr>
          <w:ilvl w:val="0"/>
          <w:numId w:val="7"/>
        </w:numPr>
        <w:spacing w:after="160" w:line="360" w:lineRule="auto"/>
        <w:ind w:left="1134"/>
        <w:jc w:val="both"/>
        <w:rPr>
          <w:rFonts w:asciiTheme="majorHAnsi" w:eastAsia="Arial" w:hAnsiTheme="majorHAnsi" w:cstheme="minorHAnsi"/>
          <w:sz w:val="24"/>
          <w:szCs w:val="24"/>
          <w:lang w:bidi="en-US"/>
        </w:rPr>
      </w:pPr>
      <w:r w:rsidRPr="00FB0357">
        <w:rPr>
          <w:rFonts w:asciiTheme="majorHAnsi" w:eastAsia="Arial" w:hAnsiTheme="majorHAnsi" w:cstheme="minorHAnsi"/>
          <w:sz w:val="24"/>
          <w:szCs w:val="24"/>
          <w:lang w:bidi="en-US"/>
        </w:rPr>
        <w:t>Thermo vision scanning to be carried out on periodic basis or on the instruction of Division in charge (without outage)</w:t>
      </w:r>
    </w:p>
    <w:p w14:paraId="692DAEE4" w14:textId="094EF2AE" w:rsidR="00FB0357" w:rsidRPr="00FB0357" w:rsidRDefault="00FB0357" w:rsidP="00806C7E">
      <w:pPr>
        <w:pStyle w:val="ListParagraph"/>
        <w:numPr>
          <w:ilvl w:val="0"/>
          <w:numId w:val="7"/>
        </w:numPr>
        <w:spacing w:after="160" w:line="360" w:lineRule="auto"/>
        <w:ind w:left="1134"/>
        <w:jc w:val="both"/>
        <w:rPr>
          <w:rFonts w:asciiTheme="majorHAnsi" w:eastAsia="Arial" w:hAnsiTheme="majorHAnsi" w:cstheme="minorHAnsi"/>
          <w:sz w:val="24"/>
          <w:szCs w:val="24"/>
          <w:lang w:bidi="en-US"/>
        </w:rPr>
      </w:pPr>
      <w:r w:rsidRPr="00FB0357">
        <w:rPr>
          <w:rFonts w:asciiTheme="majorHAnsi" w:eastAsia="Arial" w:hAnsiTheme="majorHAnsi" w:cstheme="minorHAnsi"/>
          <w:sz w:val="24"/>
          <w:szCs w:val="24"/>
          <w:lang w:bidi="en-US"/>
        </w:rPr>
        <w:t>Providing</w:t>
      </w:r>
      <w:r w:rsidR="00806C7E">
        <w:rPr>
          <w:rFonts w:asciiTheme="majorHAnsi" w:eastAsia="Arial" w:hAnsiTheme="majorHAnsi" w:cstheme="minorHAnsi"/>
          <w:sz w:val="24"/>
          <w:szCs w:val="24"/>
          <w:lang w:bidi="en-US"/>
        </w:rPr>
        <w:t xml:space="preserve"> </w:t>
      </w:r>
      <w:r w:rsidRPr="00FB0357">
        <w:rPr>
          <w:rFonts w:asciiTheme="majorHAnsi" w:eastAsia="Arial" w:hAnsiTheme="majorHAnsi" w:cstheme="minorHAnsi"/>
          <w:sz w:val="24"/>
          <w:szCs w:val="24"/>
          <w:lang w:bidi="en-US"/>
        </w:rPr>
        <w:t>assistance in identification of tower/poles without earthing. Identification of locations where guard wires/cradle guards are required. The details would be sent to engineer-in-charge for needful action after the inspections are affected.</w:t>
      </w:r>
    </w:p>
    <w:p w14:paraId="189B4F93" w14:textId="5F4153E7" w:rsidR="00FB0357" w:rsidRPr="00FB0357" w:rsidRDefault="00FB0357" w:rsidP="00806C7E">
      <w:pPr>
        <w:pStyle w:val="ListParagraph"/>
        <w:numPr>
          <w:ilvl w:val="0"/>
          <w:numId w:val="7"/>
        </w:numPr>
        <w:spacing w:after="160" w:line="360" w:lineRule="auto"/>
        <w:ind w:left="1134"/>
        <w:jc w:val="both"/>
        <w:rPr>
          <w:rFonts w:asciiTheme="majorHAnsi" w:eastAsia="Arial" w:hAnsiTheme="majorHAnsi" w:cstheme="minorHAnsi"/>
          <w:sz w:val="24"/>
          <w:szCs w:val="24"/>
          <w:lang w:bidi="en-US"/>
        </w:rPr>
      </w:pPr>
      <w:r w:rsidRPr="00FB0357">
        <w:rPr>
          <w:rFonts w:asciiTheme="majorHAnsi" w:eastAsia="Arial" w:hAnsiTheme="majorHAnsi" w:cstheme="minorHAnsi"/>
          <w:sz w:val="24"/>
          <w:szCs w:val="24"/>
          <w:lang w:bidi="en-US"/>
        </w:rPr>
        <w:t>To ensure Plan Maintenance Schedule for 630</w:t>
      </w:r>
      <w:r w:rsidR="00510BC3">
        <w:rPr>
          <w:rFonts w:asciiTheme="majorHAnsi" w:eastAsia="Arial" w:hAnsiTheme="majorHAnsi" w:cstheme="minorHAnsi"/>
          <w:sz w:val="24"/>
          <w:szCs w:val="24"/>
          <w:lang w:bidi="en-US"/>
        </w:rPr>
        <w:t>9</w:t>
      </w:r>
      <w:r w:rsidRPr="00FB0357">
        <w:rPr>
          <w:rFonts w:asciiTheme="majorHAnsi" w:eastAsia="Arial" w:hAnsiTheme="majorHAnsi" w:cstheme="minorHAnsi"/>
          <w:sz w:val="24"/>
          <w:szCs w:val="24"/>
          <w:lang w:bidi="en-US"/>
        </w:rPr>
        <w:t xml:space="preserve"> </w:t>
      </w:r>
      <w:proofErr w:type="spellStart"/>
      <w:r w:rsidRPr="00FB0357">
        <w:rPr>
          <w:rFonts w:asciiTheme="majorHAnsi" w:eastAsia="Arial" w:hAnsiTheme="majorHAnsi" w:cstheme="minorHAnsi"/>
          <w:sz w:val="24"/>
          <w:szCs w:val="24"/>
          <w:lang w:bidi="en-US"/>
        </w:rPr>
        <w:t>Ckm</w:t>
      </w:r>
      <w:proofErr w:type="spellEnd"/>
      <w:r w:rsidRPr="00FB0357">
        <w:rPr>
          <w:rFonts w:asciiTheme="majorHAnsi" w:eastAsia="Arial" w:hAnsiTheme="majorHAnsi" w:cstheme="minorHAnsi"/>
          <w:sz w:val="24"/>
          <w:szCs w:val="24"/>
          <w:lang w:bidi="en-US"/>
        </w:rPr>
        <w:t>. lines.</w:t>
      </w:r>
    </w:p>
    <w:p w14:paraId="55FB94CC" w14:textId="19487FB7" w:rsidR="00A941E8" w:rsidRDefault="00FB0357" w:rsidP="00806C7E">
      <w:pPr>
        <w:pStyle w:val="ListParagraph"/>
        <w:numPr>
          <w:ilvl w:val="0"/>
          <w:numId w:val="7"/>
        </w:numPr>
        <w:spacing w:after="160" w:line="360" w:lineRule="auto"/>
        <w:ind w:left="1134"/>
        <w:jc w:val="both"/>
        <w:rPr>
          <w:rFonts w:asciiTheme="majorHAnsi" w:eastAsia="Arial" w:hAnsiTheme="majorHAnsi" w:cstheme="minorHAnsi"/>
          <w:sz w:val="24"/>
          <w:szCs w:val="24"/>
          <w:lang w:bidi="en-US"/>
        </w:rPr>
      </w:pPr>
      <w:r w:rsidRPr="00FB0357">
        <w:rPr>
          <w:rFonts w:asciiTheme="majorHAnsi" w:eastAsia="Arial" w:hAnsiTheme="majorHAnsi" w:cstheme="minorHAnsi"/>
          <w:sz w:val="24"/>
          <w:szCs w:val="24"/>
          <w:lang w:bidi="en-US"/>
        </w:rPr>
        <w:t>Heightening of lines in the elephant corridors.</w:t>
      </w:r>
    </w:p>
    <w:p w14:paraId="7B16216F" w14:textId="77777777" w:rsidR="00356626" w:rsidRDefault="00356626" w:rsidP="00806C7E">
      <w:pPr>
        <w:pStyle w:val="ListParagraph"/>
        <w:spacing w:after="160" w:line="360" w:lineRule="auto"/>
        <w:ind w:left="360"/>
        <w:jc w:val="both"/>
        <w:rPr>
          <w:rFonts w:asciiTheme="majorHAnsi" w:eastAsia="Arial" w:hAnsiTheme="majorHAnsi" w:cstheme="minorHAnsi"/>
          <w:sz w:val="24"/>
          <w:szCs w:val="24"/>
          <w:lang w:bidi="en-US"/>
        </w:rPr>
      </w:pPr>
    </w:p>
    <w:p w14:paraId="6C5D7543" w14:textId="76D16116" w:rsidR="008A10E5" w:rsidRPr="009F560B" w:rsidRDefault="009843ED" w:rsidP="00806C7E">
      <w:pPr>
        <w:pStyle w:val="ListParagraph"/>
        <w:numPr>
          <w:ilvl w:val="0"/>
          <w:numId w:val="19"/>
        </w:numPr>
        <w:spacing w:after="160" w:line="360" w:lineRule="auto"/>
        <w:jc w:val="both"/>
        <w:rPr>
          <w:rFonts w:asciiTheme="majorHAnsi" w:hAnsiTheme="majorHAnsi" w:cstheme="minorHAnsi"/>
          <w:b/>
          <w:bCs/>
          <w:sz w:val="24"/>
          <w:szCs w:val="24"/>
          <w:u w:val="single"/>
        </w:rPr>
      </w:pPr>
      <w:r w:rsidRPr="009F560B">
        <w:rPr>
          <w:rFonts w:asciiTheme="majorHAnsi" w:hAnsiTheme="majorHAnsi" w:cstheme="minorHAnsi"/>
          <w:b/>
          <w:bCs/>
          <w:sz w:val="24"/>
          <w:szCs w:val="24"/>
          <w:u w:val="single"/>
        </w:rPr>
        <w:t>P</w:t>
      </w:r>
      <w:r>
        <w:rPr>
          <w:rFonts w:asciiTheme="majorHAnsi" w:hAnsiTheme="majorHAnsi" w:cstheme="minorHAnsi"/>
          <w:b/>
          <w:bCs/>
          <w:sz w:val="24"/>
          <w:szCs w:val="24"/>
          <w:u w:val="single"/>
        </w:rPr>
        <w:t>SS</w:t>
      </w:r>
      <w:r w:rsidRPr="009F560B">
        <w:rPr>
          <w:rFonts w:asciiTheme="majorHAnsi" w:hAnsiTheme="majorHAnsi" w:cstheme="minorHAnsi"/>
          <w:b/>
          <w:bCs/>
          <w:sz w:val="24"/>
          <w:szCs w:val="24"/>
          <w:u w:val="single"/>
        </w:rPr>
        <w:t xml:space="preserve"> Maintenance &amp; Testing</w:t>
      </w:r>
    </w:p>
    <w:p w14:paraId="3E3AC45A" w14:textId="767FEE5B" w:rsidR="002F67A8" w:rsidRPr="002F67A8" w:rsidRDefault="002F67A8" w:rsidP="00806C7E">
      <w:pPr>
        <w:pStyle w:val="ListParagraph"/>
        <w:numPr>
          <w:ilvl w:val="0"/>
          <w:numId w:val="20"/>
        </w:numPr>
        <w:spacing w:line="360" w:lineRule="auto"/>
        <w:ind w:left="1134"/>
        <w:jc w:val="both"/>
        <w:rPr>
          <w:rFonts w:asciiTheme="majorHAnsi" w:hAnsiTheme="majorHAnsi" w:cstheme="minorHAnsi"/>
          <w:sz w:val="24"/>
          <w:szCs w:val="24"/>
        </w:rPr>
      </w:pPr>
      <w:r w:rsidRPr="002F67A8">
        <w:rPr>
          <w:rFonts w:asciiTheme="majorHAnsi" w:hAnsiTheme="majorHAnsi" w:cstheme="minorHAnsi"/>
          <w:sz w:val="24"/>
          <w:szCs w:val="24"/>
        </w:rPr>
        <w:t xml:space="preserve">Inspection, Preventive and Predictive maintenance, condition monitoring of all electrical equipment installed in </w:t>
      </w:r>
      <w:r>
        <w:rPr>
          <w:rFonts w:asciiTheme="majorHAnsi" w:hAnsiTheme="majorHAnsi" w:cstheme="minorHAnsi"/>
          <w:sz w:val="24"/>
          <w:szCs w:val="24"/>
        </w:rPr>
        <w:t xml:space="preserve">(PSS) </w:t>
      </w:r>
      <w:r w:rsidRPr="002F67A8">
        <w:rPr>
          <w:rFonts w:asciiTheme="majorHAnsi" w:hAnsiTheme="majorHAnsi" w:cstheme="minorHAnsi"/>
          <w:sz w:val="24"/>
          <w:szCs w:val="24"/>
        </w:rPr>
        <w:t>Primary Substation S/S as per the schedule and check list provided by respective engineers in charge to ensure optimum performance.</w:t>
      </w:r>
    </w:p>
    <w:p w14:paraId="6F8B8476" w14:textId="478B4D3E" w:rsidR="002F67A8" w:rsidRPr="002F67A8" w:rsidRDefault="002F67A8" w:rsidP="00806C7E">
      <w:pPr>
        <w:pStyle w:val="ListParagraph"/>
        <w:numPr>
          <w:ilvl w:val="0"/>
          <w:numId w:val="20"/>
        </w:numPr>
        <w:spacing w:line="360" w:lineRule="auto"/>
        <w:ind w:left="1134"/>
        <w:jc w:val="both"/>
        <w:rPr>
          <w:rFonts w:asciiTheme="majorHAnsi" w:hAnsiTheme="majorHAnsi" w:cstheme="minorHAnsi"/>
          <w:sz w:val="24"/>
          <w:szCs w:val="24"/>
        </w:rPr>
      </w:pPr>
      <w:r w:rsidRPr="002F67A8">
        <w:rPr>
          <w:rFonts w:asciiTheme="majorHAnsi" w:hAnsiTheme="majorHAnsi" w:cstheme="minorHAnsi"/>
          <w:sz w:val="24"/>
          <w:szCs w:val="24"/>
        </w:rPr>
        <w:t xml:space="preserve">Improvisation at PSS i.e. adding Transformers, breakers, CRP, Switchgear and other equipment along with accessories (Control cable, MCBs, Switches, LED hooters etc.)  It also includes cost incurred for Replacements, attending breakdown, Spares identification &amp; Inventory </w:t>
      </w:r>
      <w:r w:rsidR="00FB136C">
        <w:rPr>
          <w:rFonts w:asciiTheme="majorHAnsi" w:hAnsiTheme="majorHAnsi" w:cstheme="minorHAnsi"/>
          <w:sz w:val="24"/>
          <w:szCs w:val="24"/>
        </w:rPr>
        <w:t>management</w:t>
      </w:r>
      <w:r w:rsidRPr="002F67A8">
        <w:rPr>
          <w:rFonts w:asciiTheme="majorHAnsi" w:hAnsiTheme="majorHAnsi" w:cstheme="minorHAnsi"/>
          <w:sz w:val="24"/>
          <w:szCs w:val="24"/>
        </w:rPr>
        <w:t>.</w:t>
      </w:r>
    </w:p>
    <w:p w14:paraId="5665A5EA" w14:textId="77777777" w:rsidR="002F67A8" w:rsidRPr="002F67A8" w:rsidRDefault="002F67A8" w:rsidP="00806C7E">
      <w:pPr>
        <w:pStyle w:val="ListParagraph"/>
        <w:numPr>
          <w:ilvl w:val="0"/>
          <w:numId w:val="20"/>
        </w:numPr>
        <w:spacing w:line="360" w:lineRule="auto"/>
        <w:ind w:left="1134"/>
        <w:jc w:val="both"/>
        <w:rPr>
          <w:rFonts w:asciiTheme="majorHAnsi" w:hAnsiTheme="majorHAnsi" w:cstheme="minorHAnsi"/>
          <w:sz w:val="24"/>
          <w:szCs w:val="24"/>
        </w:rPr>
      </w:pPr>
      <w:r w:rsidRPr="002F67A8">
        <w:rPr>
          <w:rFonts w:asciiTheme="majorHAnsi" w:hAnsiTheme="majorHAnsi" w:cstheme="minorHAnsi"/>
          <w:sz w:val="24"/>
          <w:szCs w:val="24"/>
        </w:rPr>
        <w:t>Inspection, maintenance, &amp; restoration of Electrical equipment installed in PSS.</w:t>
      </w:r>
    </w:p>
    <w:p w14:paraId="149AF660" w14:textId="77777777" w:rsidR="002F67A8" w:rsidRPr="002F67A8" w:rsidRDefault="002F67A8" w:rsidP="00806C7E">
      <w:pPr>
        <w:pStyle w:val="ListParagraph"/>
        <w:numPr>
          <w:ilvl w:val="0"/>
          <w:numId w:val="20"/>
        </w:numPr>
        <w:spacing w:line="360" w:lineRule="auto"/>
        <w:ind w:left="1134"/>
        <w:jc w:val="both"/>
        <w:rPr>
          <w:rFonts w:asciiTheme="majorHAnsi" w:hAnsiTheme="majorHAnsi" w:cstheme="minorHAnsi"/>
          <w:sz w:val="24"/>
          <w:szCs w:val="24"/>
        </w:rPr>
      </w:pPr>
      <w:r w:rsidRPr="002F67A8">
        <w:rPr>
          <w:rFonts w:asciiTheme="majorHAnsi" w:hAnsiTheme="majorHAnsi" w:cstheme="minorHAnsi"/>
          <w:sz w:val="24"/>
          <w:szCs w:val="24"/>
        </w:rPr>
        <w:t xml:space="preserve">Pre-commissioning Test, Post commissioning checks, Investigation Tests, Routine Testing of Electrical equipment. </w:t>
      </w:r>
    </w:p>
    <w:p w14:paraId="17EA77BA" w14:textId="77777777" w:rsidR="002F67A8" w:rsidRPr="002F67A8" w:rsidRDefault="002F67A8" w:rsidP="00806C7E">
      <w:pPr>
        <w:pStyle w:val="ListParagraph"/>
        <w:numPr>
          <w:ilvl w:val="0"/>
          <w:numId w:val="20"/>
        </w:numPr>
        <w:spacing w:line="360" w:lineRule="auto"/>
        <w:ind w:left="1134"/>
        <w:jc w:val="both"/>
        <w:rPr>
          <w:rFonts w:asciiTheme="majorHAnsi" w:hAnsiTheme="majorHAnsi" w:cstheme="minorHAnsi"/>
          <w:sz w:val="24"/>
          <w:szCs w:val="24"/>
        </w:rPr>
      </w:pPr>
      <w:r w:rsidRPr="002F67A8">
        <w:rPr>
          <w:rFonts w:asciiTheme="majorHAnsi" w:hAnsiTheme="majorHAnsi" w:cstheme="minorHAnsi"/>
          <w:sz w:val="24"/>
          <w:szCs w:val="24"/>
        </w:rPr>
        <w:t>Transformer Oil Testing at NABL for chemical properties, DGA, furan analysis.</w:t>
      </w:r>
    </w:p>
    <w:p w14:paraId="18FFCC8D" w14:textId="77777777" w:rsidR="002F67A8" w:rsidRPr="002F67A8" w:rsidRDefault="002F67A8" w:rsidP="00806C7E">
      <w:pPr>
        <w:pStyle w:val="ListParagraph"/>
        <w:numPr>
          <w:ilvl w:val="0"/>
          <w:numId w:val="20"/>
        </w:numPr>
        <w:spacing w:line="360" w:lineRule="auto"/>
        <w:ind w:left="1134"/>
        <w:jc w:val="both"/>
        <w:rPr>
          <w:rFonts w:asciiTheme="majorHAnsi" w:hAnsiTheme="majorHAnsi" w:cstheme="minorHAnsi"/>
          <w:sz w:val="24"/>
          <w:szCs w:val="24"/>
        </w:rPr>
      </w:pPr>
      <w:r w:rsidRPr="002F67A8">
        <w:rPr>
          <w:rFonts w:asciiTheme="majorHAnsi" w:hAnsiTheme="majorHAnsi" w:cstheme="minorHAnsi"/>
          <w:sz w:val="24"/>
          <w:szCs w:val="24"/>
        </w:rPr>
        <w:t>DC System Maintenance for reliable DC Supply in PSS. Inspection of Battery and Battery Chargers services provided by AMC.</w:t>
      </w:r>
    </w:p>
    <w:p w14:paraId="2856F69F" w14:textId="77777777" w:rsidR="002F67A8" w:rsidRPr="002F67A8" w:rsidRDefault="002F67A8" w:rsidP="00806C7E">
      <w:pPr>
        <w:pStyle w:val="ListParagraph"/>
        <w:numPr>
          <w:ilvl w:val="0"/>
          <w:numId w:val="20"/>
        </w:numPr>
        <w:spacing w:line="360" w:lineRule="auto"/>
        <w:ind w:left="1134"/>
        <w:jc w:val="both"/>
        <w:rPr>
          <w:rFonts w:asciiTheme="majorHAnsi" w:hAnsiTheme="majorHAnsi" w:cstheme="minorHAnsi"/>
          <w:sz w:val="24"/>
          <w:szCs w:val="24"/>
        </w:rPr>
      </w:pPr>
      <w:r w:rsidRPr="002F67A8">
        <w:rPr>
          <w:rFonts w:asciiTheme="majorHAnsi" w:hAnsiTheme="majorHAnsi" w:cstheme="minorHAnsi"/>
          <w:sz w:val="24"/>
          <w:szCs w:val="24"/>
        </w:rPr>
        <w:t>Earthing System study, recommendations, and refurbishment of earthing</w:t>
      </w:r>
    </w:p>
    <w:p w14:paraId="2B3FEA7C" w14:textId="77777777" w:rsidR="002F67A8" w:rsidRPr="002F67A8" w:rsidRDefault="002F67A8" w:rsidP="00806C7E">
      <w:pPr>
        <w:pStyle w:val="ListParagraph"/>
        <w:numPr>
          <w:ilvl w:val="0"/>
          <w:numId w:val="20"/>
        </w:numPr>
        <w:spacing w:line="360" w:lineRule="auto"/>
        <w:ind w:left="1134"/>
        <w:jc w:val="both"/>
        <w:rPr>
          <w:rFonts w:asciiTheme="majorHAnsi" w:hAnsiTheme="majorHAnsi" w:cstheme="minorHAnsi"/>
          <w:sz w:val="24"/>
          <w:szCs w:val="24"/>
        </w:rPr>
      </w:pPr>
      <w:r w:rsidRPr="002F67A8">
        <w:rPr>
          <w:rFonts w:asciiTheme="majorHAnsi" w:hAnsiTheme="majorHAnsi" w:cstheme="minorHAnsi"/>
          <w:sz w:val="24"/>
          <w:szCs w:val="24"/>
        </w:rPr>
        <w:t>Testing Equipment’s calibration and repairing of the Kit.</w:t>
      </w:r>
    </w:p>
    <w:p w14:paraId="020601F9" w14:textId="0D083929" w:rsidR="00635B95" w:rsidRPr="009F560B" w:rsidRDefault="002F67A8" w:rsidP="00806C7E">
      <w:pPr>
        <w:pStyle w:val="ListParagraph"/>
        <w:numPr>
          <w:ilvl w:val="0"/>
          <w:numId w:val="20"/>
        </w:numPr>
        <w:spacing w:line="360" w:lineRule="auto"/>
        <w:ind w:left="1134"/>
        <w:jc w:val="both"/>
        <w:rPr>
          <w:rFonts w:asciiTheme="majorHAnsi" w:hAnsiTheme="majorHAnsi" w:cstheme="minorHAnsi"/>
          <w:sz w:val="24"/>
          <w:szCs w:val="24"/>
        </w:rPr>
      </w:pPr>
      <w:r w:rsidRPr="002F67A8">
        <w:rPr>
          <w:rFonts w:asciiTheme="majorHAnsi" w:hAnsiTheme="majorHAnsi" w:cstheme="minorHAnsi"/>
          <w:sz w:val="24"/>
          <w:szCs w:val="24"/>
        </w:rPr>
        <w:t>Repairing of defective relay through card repairs/replacement.</w:t>
      </w:r>
    </w:p>
    <w:p w14:paraId="7BD1E291" w14:textId="77777777" w:rsidR="0002730A" w:rsidRPr="009F560B" w:rsidRDefault="0002730A" w:rsidP="0002730A">
      <w:pPr>
        <w:pStyle w:val="ListParagraph"/>
        <w:spacing w:line="360" w:lineRule="auto"/>
        <w:ind w:left="1134"/>
        <w:jc w:val="both"/>
        <w:rPr>
          <w:rFonts w:asciiTheme="majorHAnsi" w:hAnsiTheme="majorHAnsi" w:cstheme="minorHAnsi"/>
          <w:sz w:val="24"/>
          <w:szCs w:val="24"/>
        </w:rPr>
      </w:pPr>
    </w:p>
    <w:p w14:paraId="372DAF2E" w14:textId="0EACF908" w:rsidR="008A10E5" w:rsidRPr="00300A13" w:rsidRDefault="00AC5844" w:rsidP="001972DE">
      <w:pPr>
        <w:pStyle w:val="ListParagraph"/>
        <w:numPr>
          <w:ilvl w:val="0"/>
          <w:numId w:val="28"/>
        </w:numPr>
        <w:spacing w:after="120" w:line="256" w:lineRule="auto"/>
        <w:contextualSpacing w:val="0"/>
        <w:jc w:val="both"/>
        <w:rPr>
          <w:rFonts w:asciiTheme="majorHAnsi" w:hAnsiTheme="majorHAnsi" w:cstheme="minorHAnsi"/>
          <w:b/>
          <w:bCs/>
          <w:sz w:val="24"/>
          <w:u w:val="single"/>
        </w:rPr>
      </w:pPr>
      <w:r w:rsidRPr="00300A13">
        <w:rPr>
          <w:rFonts w:asciiTheme="majorHAnsi" w:hAnsiTheme="majorHAnsi" w:cstheme="minorHAnsi"/>
          <w:b/>
          <w:bCs/>
          <w:sz w:val="24"/>
          <w:u w:val="single"/>
        </w:rPr>
        <w:t>11 kV Network AMC</w:t>
      </w:r>
    </w:p>
    <w:p w14:paraId="2FFB44DD" w14:textId="19BECA3D" w:rsidR="00CC6C38" w:rsidRPr="009F560B" w:rsidRDefault="00345D92" w:rsidP="00F3743A">
      <w:pPr>
        <w:pStyle w:val="ListParagraph"/>
        <w:spacing w:after="120" w:line="360" w:lineRule="auto"/>
        <w:ind w:left="360"/>
        <w:contextualSpacing w:val="0"/>
        <w:jc w:val="both"/>
        <w:rPr>
          <w:rFonts w:asciiTheme="majorHAnsi" w:eastAsia="Times New Roman" w:hAnsiTheme="majorHAnsi" w:cstheme="minorHAnsi"/>
          <w:sz w:val="24"/>
          <w:szCs w:val="24"/>
        </w:rPr>
      </w:pPr>
      <w:r w:rsidRPr="00345D92">
        <w:rPr>
          <w:rFonts w:asciiTheme="majorHAnsi" w:eastAsia="Times New Roman" w:hAnsiTheme="majorHAnsi" w:cstheme="minorHAnsi"/>
          <w:sz w:val="24"/>
          <w:szCs w:val="24"/>
        </w:rPr>
        <w:t>Presently 11kV contract includes combined activities related to Maintenance of LT &amp; HT Network, Installation, replacement and shifting of single-phase meter whenever required and disconnection in TPWODL area.</w:t>
      </w:r>
    </w:p>
    <w:p w14:paraId="36956AC3" w14:textId="44EC2A7D" w:rsidR="00727CCF" w:rsidRDefault="006D56E4" w:rsidP="00BE2195">
      <w:pPr>
        <w:pStyle w:val="ListParagraph"/>
        <w:spacing w:after="120" w:line="360" w:lineRule="auto"/>
        <w:ind w:left="357"/>
        <w:contextualSpacing w:val="0"/>
        <w:jc w:val="both"/>
        <w:rPr>
          <w:rFonts w:asciiTheme="majorHAnsi" w:eastAsia="Times New Roman" w:hAnsiTheme="majorHAnsi" w:cstheme="minorHAnsi"/>
          <w:sz w:val="24"/>
          <w:szCs w:val="24"/>
        </w:rPr>
      </w:pPr>
      <w:r w:rsidRPr="006D56E4">
        <w:rPr>
          <w:rFonts w:asciiTheme="majorHAnsi" w:eastAsia="Times New Roman" w:hAnsiTheme="majorHAnsi" w:cstheme="minorHAnsi"/>
          <w:sz w:val="24"/>
          <w:szCs w:val="24"/>
        </w:rPr>
        <w:t>TPWODL intend to deploy 11kV AMC contract to ensure better quality services to its esteemed consumers and also in order to improve the network condition, disconnection being part of the existing contract needs to be strengthened in order to achieve desired targets of organization.</w:t>
      </w:r>
    </w:p>
    <w:p w14:paraId="1D2D7C8E" w14:textId="21B79DD6" w:rsidR="00727CCF" w:rsidRDefault="00BE2195" w:rsidP="00BE2195">
      <w:pPr>
        <w:pStyle w:val="ListParagraph"/>
        <w:spacing w:after="120" w:line="360" w:lineRule="auto"/>
        <w:ind w:left="357"/>
        <w:contextualSpacing w:val="0"/>
        <w:jc w:val="both"/>
        <w:rPr>
          <w:rFonts w:asciiTheme="majorHAnsi" w:eastAsia="Times New Roman" w:hAnsiTheme="majorHAnsi" w:cstheme="minorHAnsi"/>
          <w:sz w:val="24"/>
          <w:szCs w:val="24"/>
        </w:rPr>
      </w:pPr>
      <w:r w:rsidRPr="00BE2195">
        <w:rPr>
          <w:rFonts w:asciiTheme="majorHAnsi" w:eastAsia="Times New Roman" w:hAnsiTheme="majorHAnsi" w:cstheme="minorHAnsi"/>
          <w:sz w:val="24"/>
          <w:szCs w:val="24"/>
        </w:rPr>
        <w:t>The following are the salient features and considerations which are considered for renewal/new tender of 11kV AMC contract for FY 26-27.</w:t>
      </w:r>
    </w:p>
    <w:p w14:paraId="194D9A29" w14:textId="7EFD8A56" w:rsidR="003916F6" w:rsidRPr="00A77E47" w:rsidRDefault="003916F6" w:rsidP="001972DE">
      <w:pPr>
        <w:pStyle w:val="ListParagraph"/>
        <w:numPr>
          <w:ilvl w:val="0"/>
          <w:numId w:val="21"/>
        </w:numPr>
        <w:spacing w:line="360" w:lineRule="auto"/>
        <w:jc w:val="both"/>
        <w:rPr>
          <w:rFonts w:asciiTheme="majorHAnsi" w:hAnsiTheme="majorHAnsi" w:cstheme="minorHAnsi"/>
          <w:sz w:val="24"/>
          <w:szCs w:val="24"/>
        </w:rPr>
      </w:pPr>
      <w:r w:rsidRPr="00A77E47">
        <w:rPr>
          <w:rFonts w:asciiTheme="majorHAnsi" w:hAnsiTheme="majorHAnsi" w:cstheme="minorHAnsi"/>
          <w:sz w:val="24"/>
          <w:szCs w:val="24"/>
        </w:rPr>
        <w:t>In FY 24-25, Total number of 11kV feeders were 12</w:t>
      </w:r>
      <w:r w:rsidR="00D865A5">
        <w:rPr>
          <w:rFonts w:asciiTheme="majorHAnsi" w:hAnsiTheme="majorHAnsi" w:cstheme="minorHAnsi"/>
          <w:sz w:val="24"/>
          <w:szCs w:val="24"/>
        </w:rPr>
        <w:t>36</w:t>
      </w:r>
      <w:r w:rsidRPr="00A77E47">
        <w:rPr>
          <w:rFonts w:asciiTheme="majorHAnsi" w:hAnsiTheme="majorHAnsi" w:cstheme="minorHAnsi"/>
          <w:sz w:val="24"/>
          <w:szCs w:val="24"/>
        </w:rPr>
        <w:t xml:space="preserve"> nos</w:t>
      </w:r>
      <w:r w:rsidR="00806C7E">
        <w:rPr>
          <w:rFonts w:asciiTheme="majorHAnsi" w:hAnsiTheme="majorHAnsi" w:cstheme="minorHAnsi"/>
          <w:sz w:val="24"/>
          <w:szCs w:val="24"/>
        </w:rPr>
        <w:t>.</w:t>
      </w:r>
      <w:r w:rsidRPr="00A77E47">
        <w:rPr>
          <w:rFonts w:asciiTheme="majorHAnsi" w:hAnsiTheme="majorHAnsi" w:cstheme="minorHAnsi"/>
          <w:sz w:val="24"/>
          <w:szCs w:val="24"/>
        </w:rPr>
        <w:t xml:space="preserve"> while it is now increased to 12</w:t>
      </w:r>
      <w:r w:rsidR="00673BDC">
        <w:rPr>
          <w:rFonts w:asciiTheme="majorHAnsi" w:hAnsiTheme="majorHAnsi" w:cstheme="minorHAnsi"/>
          <w:sz w:val="24"/>
          <w:szCs w:val="24"/>
        </w:rPr>
        <w:t>50</w:t>
      </w:r>
      <w:r w:rsidRPr="00A77E47">
        <w:rPr>
          <w:rFonts w:asciiTheme="majorHAnsi" w:hAnsiTheme="majorHAnsi" w:cstheme="minorHAnsi"/>
          <w:sz w:val="24"/>
          <w:szCs w:val="24"/>
        </w:rPr>
        <w:t xml:space="preserve"> Nos till H1(FY 25-26). Also, total numbers of Distribution transformers in FY 24-25 were around 82752 while it is now increased to 84542 No’s till H1(FY 25-26).</w:t>
      </w:r>
    </w:p>
    <w:p w14:paraId="511FC75F" w14:textId="5FB10897" w:rsidR="003916F6" w:rsidRPr="00A77E47" w:rsidRDefault="003916F6" w:rsidP="001972DE">
      <w:pPr>
        <w:pStyle w:val="ListParagraph"/>
        <w:numPr>
          <w:ilvl w:val="0"/>
          <w:numId w:val="21"/>
        </w:numPr>
        <w:spacing w:line="360" w:lineRule="auto"/>
        <w:jc w:val="both"/>
        <w:rPr>
          <w:rFonts w:asciiTheme="majorHAnsi" w:hAnsiTheme="majorHAnsi" w:cstheme="minorHAnsi"/>
          <w:sz w:val="24"/>
          <w:szCs w:val="24"/>
        </w:rPr>
      </w:pPr>
      <w:r w:rsidRPr="00A77E47">
        <w:rPr>
          <w:rFonts w:asciiTheme="majorHAnsi" w:hAnsiTheme="majorHAnsi" w:cstheme="minorHAnsi"/>
          <w:sz w:val="24"/>
          <w:szCs w:val="24"/>
        </w:rPr>
        <w:t>The reliability and safety of the 11 kV distribution network are significantly affected by vegetation growth along overhead lines due to vast geography and forest area. Extensive tree branches, creepers, and climbers are encroaching upon the electrical conductors and poles in several locations, particularly along rural and semi-urban feeders. Such vegetation interference is a major cause of line faults, flashovers and conductor snapping during windy or rainy conditions.</w:t>
      </w:r>
    </w:p>
    <w:p w14:paraId="4B30755B" w14:textId="77777777" w:rsidR="003916F6" w:rsidRPr="00A77E47" w:rsidRDefault="003916F6" w:rsidP="003916F6">
      <w:pPr>
        <w:pStyle w:val="ListParagraph"/>
        <w:spacing w:line="360" w:lineRule="auto"/>
        <w:ind w:left="1080"/>
        <w:jc w:val="both"/>
        <w:rPr>
          <w:rFonts w:asciiTheme="majorHAnsi" w:hAnsiTheme="majorHAnsi" w:cstheme="minorHAnsi"/>
          <w:sz w:val="24"/>
          <w:szCs w:val="24"/>
        </w:rPr>
      </w:pPr>
      <w:r w:rsidRPr="00A77E47">
        <w:rPr>
          <w:rFonts w:asciiTheme="majorHAnsi" w:hAnsiTheme="majorHAnsi" w:cstheme="minorHAnsi"/>
          <w:sz w:val="24"/>
          <w:szCs w:val="24"/>
        </w:rPr>
        <w:t>Regular and systematic tree trimming and removal of climbers are therefore essential preventive maintenance activities to ensure uninterrupted and safe power supply</w:t>
      </w:r>
    </w:p>
    <w:p w14:paraId="1D1308D7" w14:textId="0248A7E8" w:rsidR="003916F6" w:rsidRPr="00A77E47" w:rsidRDefault="003916F6" w:rsidP="001972DE">
      <w:pPr>
        <w:pStyle w:val="ListParagraph"/>
        <w:numPr>
          <w:ilvl w:val="0"/>
          <w:numId w:val="21"/>
        </w:numPr>
        <w:spacing w:line="360" w:lineRule="auto"/>
        <w:jc w:val="both"/>
        <w:rPr>
          <w:rFonts w:asciiTheme="majorHAnsi" w:hAnsiTheme="majorHAnsi" w:cstheme="minorHAnsi"/>
          <w:sz w:val="24"/>
          <w:szCs w:val="24"/>
        </w:rPr>
      </w:pPr>
      <w:r w:rsidRPr="00A77E47">
        <w:rPr>
          <w:rFonts w:asciiTheme="majorHAnsi" w:hAnsiTheme="majorHAnsi" w:cstheme="minorHAnsi"/>
          <w:sz w:val="24"/>
          <w:szCs w:val="24"/>
        </w:rPr>
        <w:t xml:space="preserve">Though a lot of work has been done in 11 kV and LT network which has also resulted into significant reduction of tripping. However, still a lot of work </w:t>
      </w:r>
      <w:r w:rsidR="00582AAB" w:rsidRPr="00A77E47">
        <w:rPr>
          <w:rFonts w:asciiTheme="majorHAnsi" w:hAnsiTheme="majorHAnsi" w:cstheme="minorHAnsi"/>
          <w:sz w:val="24"/>
          <w:szCs w:val="24"/>
        </w:rPr>
        <w:t>is</w:t>
      </w:r>
      <w:r w:rsidRPr="00A77E47">
        <w:rPr>
          <w:rFonts w:asciiTheme="majorHAnsi" w:hAnsiTheme="majorHAnsi" w:cstheme="minorHAnsi"/>
          <w:sz w:val="24"/>
          <w:szCs w:val="24"/>
        </w:rPr>
        <w:t xml:space="preserve"> required to be done to improve dilapidated state of network which requires ample resources to make robust, reliable and safe network system.</w:t>
      </w:r>
    </w:p>
    <w:p w14:paraId="7E46DF57" w14:textId="0EB8BA88" w:rsidR="003916F6" w:rsidRPr="00A77E47" w:rsidRDefault="003916F6" w:rsidP="001972DE">
      <w:pPr>
        <w:pStyle w:val="ListParagraph"/>
        <w:numPr>
          <w:ilvl w:val="0"/>
          <w:numId w:val="21"/>
        </w:numPr>
        <w:spacing w:line="360" w:lineRule="auto"/>
        <w:jc w:val="both"/>
        <w:rPr>
          <w:rFonts w:asciiTheme="majorHAnsi" w:hAnsiTheme="majorHAnsi" w:cstheme="minorHAnsi"/>
          <w:sz w:val="24"/>
          <w:szCs w:val="24"/>
        </w:rPr>
      </w:pPr>
      <w:r w:rsidRPr="00A77E47">
        <w:rPr>
          <w:rFonts w:asciiTheme="majorHAnsi" w:hAnsiTheme="majorHAnsi" w:cstheme="minorHAnsi"/>
          <w:sz w:val="24"/>
          <w:szCs w:val="24"/>
        </w:rPr>
        <w:t xml:space="preserve">Routine maintenance practice has now begun which has significantly improved Distribution Network health. So far, we have covered high value DTs and now </w:t>
      </w:r>
      <w:r w:rsidR="00582AAB" w:rsidRPr="00A77E47">
        <w:rPr>
          <w:rFonts w:asciiTheme="majorHAnsi" w:hAnsiTheme="majorHAnsi" w:cstheme="minorHAnsi"/>
          <w:sz w:val="24"/>
          <w:szCs w:val="24"/>
        </w:rPr>
        <w:t>require</w:t>
      </w:r>
      <w:r w:rsidRPr="00A77E47">
        <w:rPr>
          <w:rFonts w:asciiTheme="majorHAnsi" w:hAnsiTheme="majorHAnsi" w:cstheme="minorHAnsi"/>
          <w:sz w:val="24"/>
          <w:szCs w:val="24"/>
        </w:rPr>
        <w:t xml:space="preserve"> urgent attention to improve heath of lower rating DTs whose failure rate is very high. Hence, resources in terms of manpower, testing equipment’s and vehicles would be required for condition monitoring and maintenance.</w:t>
      </w:r>
    </w:p>
    <w:p w14:paraId="7FF3187E" w14:textId="77777777" w:rsidR="003916F6" w:rsidRPr="00A77E47" w:rsidRDefault="003916F6" w:rsidP="001972DE">
      <w:pPr>
        <w:pStyle w:val="ListParagraph"/>
        <w:numPr>
          <w:ilvl w:val="0"/>
          <w:numId w:val="21"/>
        </w:numPr>
        <w:spacing w:line="360" w:lineRule="auto"/>
        <w:jc w:val="both"/>
        <w:rPr>
          <w:rFonts w:asciiTheme="majorHAnsi" w:hAnsiTheme="majorHAnsi" w:cstheme="minorHAnsi"/>
          <w:sz w:val="24"/>
          <w:szCs w:val="24"/>
        </w:rPr>
      </w:pPr>
      <w:r w:rsidRPr="00A77E47">
        <w:rPr>
          <w:rFonts w:asciiTheme="majorHAnsi" w:hAnsiTheme="majorHAnsi" w:cstheme="minorHAnsi"/>
          <w:sz w:val="24"/>
          <w:szCs w:val="24"/>
        </w:rPr>
        <w:t>Further, increased numbers of assets in tune of 5% in 11kV population and 5% in DT population requires to be maintained for which extra number of resources would be required to be placed.</w:t>
      </w:r>
    </w:p>
    <w:p w14:paraId="2BFF9EC6" w14:textId="54F6DE60" w:rsidR="003916F6" w:rsidRPr="00A77E47" w:rsidRDefault="003916F6" w:rsidP="001972DE">
      <w:pPr>
        <w:pStyle w:val="ListParagraph"/>
        <w:numPr>
          <w:ilvl w:val="0"/>
          <w:numId w:val="21"/>
        </w:numPr>
        <w:spacing w:line="360" w:lineRule="auto"/>
        <w:jc w:val="both"/>
        <w:rPr>
          <w:rFonts w:asciiTheme="majorHAnsi" w:hAnsiTheme="majorHAnsi" w:cstheme="minorHAnsi"/>
          <w:sz w:val="24"/>
          <w:szCs w:val="24"/>
        </w:rPr>
      </w:pPr>
      <w:r w:rsidRPr="00A77E47">
        <w:rPr>
          <w:rFonts w:asciiTheme="majorHAnsi" w:hAnsiTheme="majorHAnsi" w:cstheme="minorHAnsi"/>
          <w:sz w:val="24"/>
          <w:szCs w:val="24"/>
        </w:rPr>
        <w:t xml:space="preserve">The Safety of human, animal and electrical equipment’s is a big challenge in last one and half year we have strengthen safety </w:t>
      </w:r>
      <w:r w:rsidR="00844984" w:rsidRPr="00A77E47">
        <w:rPr>
          <w:rFonts w:asciiTheme="majorHAnsi" w:hAnsiTheme="majorHAnsi" w:cstheme="minorHAnsi"/>
          <w:sz w:val="24"/>
          <w:szCs w:val="24"/>
        </w:rPr>
        <w:t>processes,</w:t>
      </w:r>
      <w:r w:rsidRPr="00A77E47">
        <w:rPr>
          <w:rFonts w:asciiTheme="majorHAnsi" w:hAnsiTheme="majorHAnsi" w:cstheme="minorHAnsi"/>
          <w:sz w:val="24"/>
          <w:szCs w:val="24"/>
        </w:rPr>
        <w:t xml:space="preserve"> but 100% usage of PPE is also a big concern. Hence, we are deploying dedicated safety person</w:t>
      </w:r>
      <w:r w:rsidR="0083096E">
        <w:rPr>
          <w:rFonts w:asciiTheme="majorHAnsi" w:hAnsiTheme="majorHAnsi" w:cstheme="minorHAnsi"/>
          <w:sz w:val="24"/>
          <w:szCs w:val="24"/>
        </w:rPr>
        <w:t>nel</w:t>
      </w:r>
      <w:r w:rsidRPr="00A77E47">
        <w:rPr>
          <w:rFonts w:asciiTheme="majorHAnsi" w:hAnsiTheme="majorHAnsi" w:cstheme="minorHAnsi"/>
          <w:sz w:val="24"/>
          <w:szCs w:val="24"/>
        </w:rPr>
        <w:t xml:space="preserve"> </w:t>
      </w:r>
      <w:r w:rsidR="00EB3279">
        <w:rPr>
          <w:rFonts w:asciiTheme="majorHAnsi" w:hAnsiTheme="majorHAnsi" w:cstheme="minorHAnsi"/>
          <w:sz w:val="24"/>
          <w:szCs w:val="24"/>
        </w:rPr>
        <w:t xml:space="preserve">and providing </w:t>
      </w:r>
      <w:r w:rsidRPr="00A77E47">
        <w:rPr>
          <w:rFonts w:asciiTheme="majorHAnsi" w:hAnsiTheme="majorHAnsi" w:cstheme="minorHAnsi"/>
          <w:sz w:val="24"/>
          <w:szCs w:val="24"/>
        </w:rPr>
        <w:t>all required PPE</w:t>
      </w:r>
      <w:r w:rsidR="00EB3279">
        <w:rPr>
          <w:rFonts w:asciiTheme="majorHAnsi" w:hAnsiTheme="majorHAnsi" w:cstheme="minorHAnsi"/>
          <w:sz w:val="24"/>
          <w:szCs w:val="24"/>
        </w:rPr>
        <w:t>s</w:t>
      </w:r>
      <w:r w:rsidRPr="00A77E47">
        <w:rPr>
          <w:rFonts w:asciiTheme="majorHAnsi" w:hAnsiTheme="majorHAnsi" w:cstheme="minorHAnsi"/>
          <w:sz w:val="24"/>
          <w:szCs w:val="24"/>
        </w:rPr>
        <w:t xml:space="preserve"> and other safety gadgets to the line staff. This will help to enhance and maintain safety culture in the organization.</w:t>
      </w:r>
    </w:p>
    <w:p w14:paraId="087AD54B" w14:textId="77777777" w:rsidR="003916F6" w:rsidRPr="00A77E47" w:rsidRDefault="003916F6" w:rsidP="001972DE">
      <w:pPr>
        <w:pStyle w:val="ListParagraph"/>
        <w:numPr>
          <w:ilvl w:val="0"/>
          <w:numId w:val="21"/>
        </w:numPr>
        <w:spacing w:line="360" w:lineRule="auto"/>
        <w:jc w:val="both"/>
        <w:rPr>
          <w:rFonts w:asciiTheme="majorHAnsi" w:hAnsiTheme="majorHAnsi" w:cstheme="minorHAnsi"/>
          <w:sz w:val="24"/>
          <w:szCs w:val="24"/>
        </w:rPr>
      </w:pPr>
      <w:r w:rsidRPr="00A77E47">
        <w:rPr>
          <w:rFonts w:asciiTheme="majorHAnsi" w:hAnsiTheme="majorHAnsi" w:cstheme="minorHAnsi"/>
          <w:sz w:val="24"/>
          <w:szCs w:val="24"/>
        </w:rPr>
        <w:t>Other commercial activities like Meter shifting, Service line replacement, burnt meter/faulty replacement etc. would also be carried out on a day-to-day basis.</w:t>
      </w:r>
    </w:p>
    <w:p w14:paraId="6B555D09" w14:textId="77777777" w:rsidR="003916F6" w:rsidRPr="00A77E47" w:rsidRDefault="003916F6" w:rsidP="001972DE">
      <w:pPr>
        <w:pStyle w:val="ListParagraph"/>
        <w:numPr>
          <w:ilvl w:val="0"/>
          <w:numId w:val="21"/>
        </w:numPr>
        <w:spacing w:line="360" w:lineRule="auto"/>
        <w:jc w:val="both"/>
        <w:rPr>
          <w:rFonts w:asciiTheme="majorHAnsi" w:hAnsiTheme="majorHAnsi" w:cstheme="minorHAnsi"/>
          <w:sz w:val="24"/>
          <w:szCs w:val="24"/>
        </w:rPr>
      </w:pPr>
      <w:r w:rsidRPr="00A77E47">
        <w:rPr>
          <w:rFonts w:asciiTheme="majorHAnsi" w:hAnsiTheme="majorHAnsi" w:cstheme="minorHAnsi"/>
          <w:sz w:val="24"/>
          <w:szCs w:val="24"/>
        </w:rPr>
        <w:t>As disconnection is a part of this AMC contract and now in order to achieve desired targets of organization, we need to strengthen disconnection by deployment of dedicated team and other resources in all 201 sections of TPWODL.</w:t>
      </w:r>
    </w:p>
    <w:p w14:paraId="44DF045A" w14:textId="77777777" w:rsidR="003916F6" w:rsidRPr="00A77E47" w:rsidRDefault="003916F6" w:rsidP="001972DE">
      <w:pPr>
        <w:pStyle w:val="ListParagraph"/>
        <w:numPr>
          <w:ilvl w:val="0"/>
          <w:numId w:val="21"/>
        </w:numPr>
        <w:spacing w:line="360" w:lineRule="auto"/>
        <w:jc w:val="both"/>
        <w:rPr>
          <w:rFonts w:asciiTheme="majorHAnsi" w:hAnsiTheme="majorHAnsi" w:cstheme="minorHAnsi"/>
          <w:sz w:val="24"/>
          <w:szCs w:val="24"/>
        </w:rPr>
      </w:pPr>
      <w:r w:rsidRPr="00A77E47">
        <w:rPr>
          <w:rFonts w:asciiTheme="majorHAnsi" w:hAnsiTheme="majorHAnsi" w:cstheme="minorHAnsi"/>
          <w:sz w:val="24"/>
          <w:szCs w:val="24"/>
        </w:rPr>
        <w:t>The dehooking of unauthorized consumer connections is a critical maintenance and system improvement activity carried out under the (AMC). Unauthorized tapping of LT lines from 11 kV feeders not only leads to substantial technical and commercial losses but also poses severe safety hazards to the public and field personnel.</w:t>
      </w:r>
    </w:p>
    <w:p w14:paraId="3AB6C1B2" w14:textId="77777777" w:rsidR="003916F6" w:rsidRPr="00A77E47" w:rsidRDefault="003916F6" w:rsidP="001972DE">
      <w:pPr>
        <w:pStyle w:val="ListParagraph"/>
        <w:numPr>
          <w:ilvl w:val="0"/>
          <w:numId w:val="21"/>
        </w:numPr>
        <w:spacing w:line="360" w:lineRule="auto"/>
        <w:jc w:val="both"/>
        <w:rPr>
          <w:rFonts w:asciiTheme="majorHAnsi" w:hAnsiTheme="majorHAnsi" w:cstheme="minorHAnsi"/>
          <w:sz w:val="24"/>
          <w:szCs w:val="24"/>
        </w:rPr>
      </w:pPr>
      <w:r w:rsidRPr="00A77E47">
        <w:rPr>
          <w:rFonts w:asciiTheme="majorHAnsi" w:hAnsiTheme="majorHAnsi" w:cstheme="minorHAnsi"/>
          <w:sz w:val="24"/>
          <w:szCs w:val="24"/>
        </w:rPr>
        <w:t>Frequent hooking of lines results in phase imbalance, excessive loading of distribution transformers, voltage fluctuations, and premature failure of network equipment. The dehooking work ensures proper load management, minimizes energy loss, and enhances the reliability and efficiency of the distribution network.</w:t>
      </w:r>
    </w:p>
    <w:p w14:paraId="10318AB4" w14:textId="77777777" w:rsidR="003916F6" w:rsidRPr="00A77E47" w:rsidRDefault="003916F6" w:rsidP="001972DE">
      <w:pPr>
        <w:pStyle w:val="ListParagraph"/>
        <w:numPr>
          <w:ilvl w:val="0"/>
          <w:numId w:val="21"/>
        </w:numPr>
        <w:spacing w:line="360" w:lineRule="auto"/>
        <w:jc w:val="both"/>
        <w:rPr>
          <w:rFonts w:asciiTheme="majorHAnsi" w:hAnsiTheme="majorHAnsi" w:cstheme="minorHAnsi"/>
          <w:sz w:val="24"/>
          <w:szCs w:val="24"/>
        </w:rPr>
      </w:pPr>
      <w:r w:rsidRPr="00A77E47">
        <w:rPr>
          <w:rFonts w:asciiTheme="majorHAnsi" w:hAnsiTheme="majorHAnsi" w:cstheme="minorHAnsi"/>
          <w:sz w:val="24"/>
          <w:szCs w:val="24"/>
        </w:rPr>
        <w:t>The activity also contributes to improving system performance indices such as SAIFI and SAIDI by reducing faults and interruptions caused due to illegal tapping. Moreover, continuous dehooking and monitoring discourage unauthorized usage and promote legitimate consumer connections.</w:t>
      </w:r>
    </w:p>
    <w:p w14:paraId="7750FE16" w14:textId="2099FBDC" w:rsidR="00F8250F" w:rsidRDefault="003916F6" w:rsidP="001972DE">
      <w:pPr>
        <w:pStyle w:val="ListParagraph"/>
        <w:numPr>
          <w:ilvl w:val="0"/>
          <w:numId w:val="21"/>
        </w:numPr>
        <w:spacing w:line="360" w:lineRule="auto"/>
        <w:jc w:val="both"/>
        <w:rPr>
          <w:rFonts w:asciiTheme="majorHAnsi" w:eastAsia="Times New Roman" w:hAnsiTheme="majorHAnsi" w:cstheme="minorHAnsi"/>
          <w:sz w:val="24"/>
          <w:szCs w:val="24"/>
        </w:rPr>
      </w:pPr>
      <w:r w:rsidRPr="00A77E47">
        <w:rPr>
          <w:rFonts w:asciiTheme="majorHAnsi" w:hAnsiTheme="majorHAnsi" w:cstheme="minorHAnsi"/>
          <w:sz w:val="24"/>
          <w:szCs w:val="24"/>
        </w:rPr>
        <w:t>To take care of the movement of the team, all the 17 Nos of divisions are provided with 24 Hrs.</w:t>
      </w:r>
      <w:r w:rsidR="00186C7D">
        <w:rPr>
          <w:rFonts w:asciiTheme="majorHAnsi" w:hAnsiTheme="majorHAnsi" w:cstheme="minorHAnsi"/>
          <w:sz w:val="24"/>
          <w:szCs w:val="24"/>
        </w:rPr>
        <w:t xml:space="preserve"> &amp; </w:t>
      </w:r>
      <w:r w:rsidRPr="00A77E47">
        <w:rPr>
          <w:rFonts w:asciiTheme="majorHAnsi" w:hAnsiTheme="majorHAnsi" w:cstheme="minorHAnsi"/>
          <w:sz w:val="24"/>
          <w:szCs w:val="24"/>
        </w:rPr>
        <w:t xml:space="preserve">12 Hrs. vehicles considering geographical locations, total number of sections and number of feeders per section etc. Due to the addition of 11KV feeders and new line additional </w:t>
      </w:r>
      <w:r w:rsidR="004E5743" w:rsidRPr="00A77E47">
        <w:rPr>
          <w:rFonts w:asciiTheme="majorHAnsi" w:hAnsiTheme="majorHAnsi" w:cstheme="minorHAnsi"/>
          <w:sz w:val="24"/>
          <w:szCs w:val="24"/>
        </w:rPr>
        <w:t>resources</w:t>
      </w:r>
      <w:r w:rsidRPr="00A77E47">
        <w:rPr>
          <w:rFonts w:asciiTheme="majorHAnsi" w:hAnsiTheme="majorHAnsi" w:cstheme="minorHAnsi"/>
          <w:sz w:val="24"/>
          <w:szCs w:val="24"/>
        </w:rPr>
        <w:t xml:space="preserve"> would be deployed.</w:t>
      </w:r>
    </w:p>
    <w:p w14:paraId="074D5300" w14:textId="7F4F0DB5" w:rsidR="000952FF" w:rsidRDefault="000952FF" w:rsidP="000952FF">
      <w:pPr>
        <w:pStyle w:val="ListParagraph"/>
        <w:spacing w:line="360" w:lineRule="auto"/>
        <w:ind w:left="1080"/>
        <w:jc w:val="both"/>
        <w:rPr>
          <w:rFonts w:asciiTheme="majorHAnsi" w:eastAsia="Times New Roman" w:hAnsiTheme="majorHAnsi" w:cstheme="minorHAnsi"/>
          <w:sz w:val="24"/>
          <w:szCs w:val="24"/>
        </w:rPr>
      </w:pPr>
    </w:p>
    <w:p w14:paraId="2443879E" w14:textId="1FEB2E38" w:rsidR="008A10E5" w:rsidRPr="009F560B" w:rsidRDefault="00114FD3" w:rsidP="001972DE">
      <w:pPr>
        <w:pStyle w:val="ListParagraph"/>
        <w:numPr>
          <w:ilvl w:val="0"/>
          <w:numId w:val="28"/>
        </w:numPr>
        <w:spacing w:afterLines="160" w:after="384" w:line="256" w:lineRule="auto"/>
        <w:contextualSpacing w:val="0"/>
        <w:jc w:val="both"/>
        <w:rPr>
          <w:rFonts w:asciiTheme="majorHAnsi" w:hAnsiTheme="majorHAnsi" w:cstheme="minorHAnsi"/>
          <w:b/>
          <w:bCs/>
          <w:u w:val="single"/>
        </w:rPr>
      </w:pPr>
      <w:r w:rsidRPr="009F560B">
        <w:rPr>
          <w:rFonts w:asciiTheme="majorHAnsi" w:hAnsiTheme="majorHAnsi" w:cstheme="minorHAnsi"/>
          <w:b/>
          <w:bCs/>
          <w:sz w:val="24"/>
          <w:szCs w:val="24"/>
          <w:u w:val="single"/>
        </w:rPr>
        <w:t>Operation</w:t>
      </w:r>
      <w:r w:rsidRPr="00DE244C">
        <w:rPr>
          <w:rFonts w:asciiTheme="majorHAnsi" w:hAnsiTheme="majorHAnsi" w:cstheme="minorHAnsi"/>
          <w:b/>
          <w:bCs/>
          <w:sz w:val="24"/>
          <w:u w:val="single"/>
        </w:rPr>
        <w:t xml:space="preserve"> of </w:t>
      </w:r>
      <w:r w:rsidR="008A10E5" w:rsidRPr="00DE244C">
        <w:rPr>
          <w:rFonts w:asciiTheme="majorHAnsi" w:hAnsiTheme="majorHAnsi" w:cstheme="minorHAnsi"/>
          <w:b/>
          <w:bCs/>
          <w:sz w:val="24"/>
          <w:u w:val="single"/>
        </w:rPr>
        <w:t xml:space="preserve">PSS – 33 </w:t>
      </w:r>
      <w:r w:rsidR="00F8250F" w:rsidRPr="00DE244C">
        <w:rPr>
          <w:rFonts w:asciiTheme="majorHAnsi" w:hAnsiTheme="majorHAnsi" w:cstheme="minorHAnsi"/>
          <w:b/>
          <w:bCs/>
          <w:sz w:val="24"/>
          <w:u w:val="single"/>
        </w:rPr>
        <w:t>k</w:t>
      </w:r>
      <w:r w:rsidR="006019AD" w:rsidRPr="00DE244C">
        <w:rPr>
          <w:rFonts w:asciiTheme="majorHAnsi" w:hAnsiTheme="majorHAnsi" w:cstheme="minorHAnsi"/>
          <w:b/>
          <w:bCs/>
          <w:sz w:val="24"/>
          <w:u w:val="single"/>
        </w:rPr>
        <w:t>V</w:t>
      </w:r>
      <w:r w:rsidR="008A10E5" w:rsidRPr="00DE244C">
        <w:rPr>
          <w:rFonts w:asciiTheme="majorHAnsi" w:hAnsiTheme="majorHAnsi" w:cstheme="minorHAnsi"/>
          <w:b/>
          <w:bCs/>
          <w:sz w:val="24"/>
          <w:u w:val="single"/>
        </w:rPr>
        <w:t xml:space="preserve"> / 11 </w:t>
      </w:r>
      <w:r w:rsidR="00F8250F" w:rsidRPr="00DE244C">
        <w:rPr>
          <w:rFonts w:asciiTheme="majorHAnsi" w:hAnsiTheme="majorHAnsi" w:cstheme="minorHAnsi"/>
          <w:b/>
          <w:bCs/>
          <w:sz w:val="24"/>
          <w:u w:val="single"/>
        </w:rPr>
        <w:t>k</w:t>
      </w:r>
      <w:r w:rsidR="006019AD" w:rsidRPr="00DE244C">
        <w:rPr>
          <w:rFonts w:asciiTheme="majorHAnsi" w:hAnsiTheme="majorHAnsi" w:cstheme="minorHAnsi"/>
          <w:b/>
          <w:bCs/>
          <w:sz w:val="24"/>
          <w:u w:val="single"/>
        </w:rPr>
        <w:t>V</w:t>
      </w:r>
      <w:r w:rsidR="008A10E5" w:rsidRPr="00DE244C">
        <w:rPr>
          <w:rFonts w:asciiTheme="majorHAnsi" w:hAnsiTheme="majorHAnsi" w:cstheme="minorHAnsi"/>
          <w:b/>
          <w:bCs/>
          <w:sz w:val="24"/>
          <w:u w:val="single"/>
        </w:rPr>
        <w:t xml:space="preserve"> </w:t>
      </w:r>
      <w:r w:rsidRPr="00DE244C">
        <w:rPr>
          <w:rFonts w:asciiTheme="majorHAnsi" w:hAnsiTheme="majorHAnsi" w:cstheme="minorHAnsi"/>
          <w:b/>
          <w:bCs/>
          <w:sz w:val="24"/>
          <w:u w:val="single"/>
        </w:rPr>
        <w:t>substation</w:t>
      </w:r>
      <w:r w:rsidR="008A10E5" w:rsidRPr="00DE244C">
        <w:rPr>
          <w:rFonts w:asciiTheme="majorHAnsi" w:hAnsiTheme="majorHAnsi" w:cstheme="minorHAnsi"/>
          <w:b/>
          <w:bCs/>
          <w:sz w:val="24"/>
          <w:u w:val="single"/>
        </w:rPr>
        <w:t>:</w:t>
      </w:r>
    </w:p>
    <w:p w14:paraId="4DB675D7" w14:textId="3093D2D0" w:rsidR="008A10E5" w:rsidRPr="009F560B" w:rsidRDefault="00C1684F" w:rsidP="00D32A2C">
      <w:pPr>
        <w:pStyle w:val="ListParagraph"/>
        <w:spacing w:afterLines="160" w:after="384" w:line="360" w:lineRule="auto"/>
        <w:ind w:left="360"/>
        <w:contextualSpacing w:val="0"/>
        <w:jc w:val="both"/>
        <w:rPr>
          <w:rFonts w:asciiTheme="majorHAnsi" w:eastAsia="Times New Roman" w:hAnsiTheme="majorHAnsi" w:cstheme="minorHAnsi"/>
          <w:sz w:val="24"/>
          <w:szCs w:val="24"/>
        </w:rPr>
      </w:pPr>
      <w:r w:rsidRPr="00C1684F">
        <w:rPr>
          <w:rFonts w:asciiTheme="majorHAnsi" w:eastAsia="Times New Roman" w:hAnsiTheme="majorHAnsi" w:cstheme="minorHAnsi"/>
          <w:sz w:val="24"/>
          <w:szCs w:val="24"/>
        </w:rPr>
        <w:t>All the 33/11 kV Grid substations Operations and Condition monitoring are being carried out 24X7 by various AMC Business Associates across TPWODL.</w:t>
      </w:r>
    </w:p>
    <w:p w14:paraId="6BD390D8" w14:textId="026AF545" w:rsidR="008A10E5" w:rsidRPr="009F560B" w:rsidRDefault="008A10E5" w:rsidP="00EF4CCD">
      <w:pPr>
        <w:tabs>
          <w:tab w:val="right" w:pos="10260"/>
        </w:tabs>
        <w:spacing w:line="360" w:lineRule="auto"/>
        <w:ind w:left="426" w:right="-900"/>
        <w:jc w:val="both"/>
        <w:rPr>
          <w:rFonts w:asciiTheme="majorHAnsi" w:hAnsiTheme="majorHAnsi" w:cstheme="minorHAnsi"/>
          <w:b/>
        </w:rPr>
      </w:pPr>
      <w:r w:rsidRPr="009F560B">
        <w:rPr>
          <w:rFonts w:asciiTheme="majorHAnsi" w:hAnsiTheme="majorHAnsi" w:cstheme="minorHAnsi"/>
          <w:b/>
        </w:rPr>
        <w:t>The major activities are as follows</w:t>
      </w:r>
      <w:r w:rsidR="00B6715F" w:rsidRPr="009F560B">
        <w:rPr>
          <w:rFonts w:asciiTheme="majorHAnsi" w:hAnsiTheme="majorHAnsi" w:cstheme="minorHAnsi"/>
          <w:b/>
        </w:rPr>
        <w:t>:</w:t>
      </w:r>
    </w:p>
    <w:p w14:paraId="264F29F2" w14:textId="569B9A81" w:rsidR="00D22220" w:rsidRPr="00D22220" w:rsidRDefault="00D22220" w:rsidP="001972DE">
      <w:pPr>
        <w:pStyle w:val="ListParagraph"/>
        <w:numPr>
          <w:ilvl w:val="0"/>
          <w:numId w:val="22"/>
        </w:numPr>
        <w:autoSpaceDE w:val="0"/>
        <w:autoSpaceDN w:val="0"/>
        <w:adjustRightInd w:val="0"/>
        <w:spacing w:line="360" w:lineRule="auto"/>
        <w:jc w:val="both"/>
        <w:rPr>
          <w:rFonts w:asciiTheme="majorHAnsi" w:hAnsiTheme="majorHAnsi" w:cstheme="minorHAnsi"/>
          <w:sz w:val="24"/>
          <w:szCs w:val="24"/>
        </w:rPr>
      </w:pPr>
      <w:r w:rsidRPr="00D22220">
        <w:rPr>
          <w:rFonts w:asciiTheme="majorHAnsi" w:hAnsiTheme="majorHAnsi" w:cstheme="minorHAnsi"/>
          <w:sz w:val="24"/>
          <w:szCs w:val="24"/>
        </w:rPr>
        <w:t xml:space="preserve">Recording the readings at periodical intervals including Feeder Metering Points as specified by Officer-in charge of Sub-station and maintaining them in the logbook. All log sheets and registers </w:t>
      </w:r>
      <w:r w:rsidR="003D56E2">
        <w:rPr>
          <w:rFonts w:asciiTheme="majorHAnsi" w:hAnsiTheme="majorHAnsi" w:cstheme="minorHAnsi"/>
          <w:sz w:val="24"/>
          <w:szCs w:val="24"/>
        </w:rPr>
        <w:t>to</w:t>
      </w:r>
      <w:r w:rsidRPr="00D22220">
        <w:rPr>
          <w:rFonts w:asciiTheme="majorHAnsi" w:hAnsiTheme="majorHAnsi" w:cstheme="minorHAnsi"/>
          <w:sz w:val="24"/>
          <w:szCs w:val="24"/>
        </w:rPr>
        <w:t xml:space="preserve"> be signed with their name by the concerned person on duty deployed by the Service Provider in every shift.</w:t>
      </w:r>
    </w:p>
    <w:p w14:paraId="4608E59B" w14:textId="28CBF90C" w:rsidR="00D22220" w:rsidRPr="00D22220" w:rsidRDefault="00D22220" w:rsidP="001972DE">
      <w:pPr>
        <w:pStyle w:val="ListParagraph"/>
        <w:numPr>
          <w:ilvl w:val="0"/>
          <w:numId w:val="22"/>
        </w:numPr>
        <w:autoSpaceDE w:val="0"/>
        <w:autoSpaceDN w:val="0"/>
        <w:adjustRightInd w:val="0"/>
        <w:spacing w:line="360" w:lineRule="auto"/>
        <w:jc w:val="both"/>
        <w:rPr>
          <w:rFonts w:asciiTheme="majorHAnsi" w:hAnsiTheme="majorHAnsi" w:cstheme="minorHAnsi"/>
          <w:sz w:val="24"/>
          <w:szCs w:val="24"/>
        </w:rPr>
      </w:pPr>
      <w:r w:rsidRPr="00D22220">
        <w:rPr>
          <w:rFonts w:asciiTheme="majorHAnsi" w:hAnsiTheme="majorHAnsi" w:cstheme="minorHAnsi"/>
          <w:sz w:val="24"/>
          <w:szCs w:val="24"/>
        </w:rPr>
        <w:t xml:space="preserve">carry out the </w:t>
      </w:r>
      <w:r w:rsidR="001B351F">
        <w:rPr>
          <w:rFonts w:asciiTheme="majorHAnsi" w:hAnsiTheme="majorHAnsi" w:cstheme="minorHAnsi"/>
          <w:sz w:val="24"/>
          <w:szCs w:val="24"/>
        </w:rPr>
        <w:t>actions</w:t>
      </w:r>
      <w:r w:rsidRPr="00D22220">
        <w:rPr>
          <w:rFonts w:asciiTheme="majorHAnsi" w:hAnsiTheme="majorHAnsi" w:cstheme="minorHAnsi"/>
          <w:sz w:val="24"/>
          <w:szCs w:val="24"/>
        </w:rPr>
        <w:t xml:space="preserve"> like</w:t>
      </w:r>
      <w:r w:rsidR="001B351F">
        <w:rPr>
          <w:rFonts w:asciiTheme="majorHAnsi" w:hAnsiTheme="majorHAnsi" w:cstheme="minorHAnsi"/>
          <w:sz w:val="24"/>
          <w:szCs w:val="24"/>
        </w:rPr>
        <w:t xml:space="preserve"> operation</w:t>
      </w:r>
      <w:r w:rsidRPr="00D22220">
        <w:rPr>
          <w:rFonts w:asciiTheme="majorHAnsi" w:hAnsiTheme="majorHAnsi" w:cstheme="minorHAnsi"/>
          <w:sz w:val="24"/>
          <w:szCs w:val="24"/>
        </w:rPr>
        <w:t xml:space="preserve"> </w:t>
      </w:r>
      <w:r w:rsidR="00A100D7">
        <w:rPr>
          <w:rFonts w:asciiTheme="majorHAnsi" w:hAnsiTheme="majorHAnsi" w:cstheme="minorHAnsi"/>
          <w:sz w:val="24"/>
          <w:szCs w:val="24"/>
        </w:rPr>
        <w:t xml:space="preserve">of </w:t>
      </w:r>
      <w:r w:rsidR="00A71B47">
        <w:rPr>
          <w:rFonts w:asciiTheme="majorHAnsi" w:hAnsiTheme="majorHAnsi" w:cstheme="minorHAnsi"/>
          <w:sz w:val="24"/>
          <w:szCs w:val="24"/>
        </w:rPr>
        <w:t>c</w:t>
      </w:r>
      <w:r w:rsidRPr="00D22220">
        <w:rPr>
          <w:rFonts w:asciiTheme="majorHAnsi" w:hAnsiTheme="majorHAnsi" w:cstheme="minorHAnsi"/>
          <w:sz w:val="24"/>
          <w:szCs w:val="24"/>
        </w:rPr>
        <w:t xml:space="preserve">ircuit breakers and other equipment, issue of PTW to authorized person etc. and follow the SOP (Standard Operating Procedure) during </w:t>
      </w:r>
      <w:r w:rsidR="00FB3608">
        <w:rPr>
          <w:rFonts w:asciiTheme="majorHAnsi" w:hAnsiTheme="majorHAnsi" w:cstheme="minorHAnsi"/>
          <w:sz w:val="24"/>
          <w:szCs w:val="24"/>
        </w:rPr>
        <w:t>execution of the job</w:t>
      </w:r>
      <w:r w:rsidRPr="00D22220">
        <w:rPr>
          <w:rFonts w:asciiTheme="majorHAnsi" w:hAnsiTheme="majorHAnsi" w:cstheme="minorHAnsi"/>
          <w:sz w:val="24"/>
          <w:szCs w:val="24"/>
        </w:rPr>
        <w:t>.</w:t>
      </w:r>
    </w:p>
    <w:p w14:paraId="5E5D4A17" w14:textId="569DA301" w:rsidR="00D22220" w:rsidRPr="00D22220" w:rsidRDefault="00D22220" w:rsidP="001972DE">
      <w:pPr>
        <w:pStyle w:val="ListParagraph"/>
        <w:numPr>
          <w:ilvl w:val="0"/>
          <w:numId w:val="22"/>
        </w:numPr>
        <w:autoSpaceDE w:val="0"/>
        <w:autoSpaceDN w:val="0"/>
        <w:adjustRightInd w:val="0"/>
        <w:spacing w:line="360" w:lineRule="auto"/>
        <w:jc w:val="both"/>
        <w:rPr>
          <w:rFonts w:asciiTheme="majorHAnsi" w:hAnsiTheme="majorHAnsi" w:cstheme="minorHAnsi"/>
          <w:sz w:val="24"/>
          <w:szCs w:val="24"/>
        </w:rPr>
      </w:pPr>
      <w:r w:rsidRPr="00D22220">
        <w:rPr>
          <w:rFonts w:asciiTheme="majorHAnsi" w:hAnsiTheme="majorHAnsi" w:cstheme="minorHAnsi"/>
          <w:sz w:val="24"/>
          <w:szCs w:val="24"/>
        </w:rPr>
        <w:t xml:space="preserve">Recording all tripping of Breakers and other events that occur in the order of sequence with the time of occurrence correctly and </w:t>
      </w:r>
      <w:r w:rsidR="00A67F7A" w:rsidRPr="00D22220">
        <w:rPr>
          <w:rFonts w:asciiTheme="majorHAnsi" w:hAnsiTheme="majorHAnsi" w:cstheme="minorHAnsi"/>
          <w:sz w:val="24"/>
          <w:szCs w:val="24"/>
        </w:rPr>
        <w:t>recording</w:t>
      </w:r>
      <w:r w:rsidRPr="00D22220">
        <w:rPr>
          <w:rFonts w:asciiTheme="majorHAnsi" w:hAnsiTheme="majorHAnsi" w:cstheme="minorHAnsi"/>
          <w:sz w:val="24"/>
          <w:szCs w:val="24"/>
        </w:rPr>
        <w:t xml:space="preserve"> them in logbook.</w:t>
      </w:r>
    </w:p>
    <w:p w14:paraId="3BF04BF1" w14:textId="77777777" w:rsidR="00D22220" w:rsidRPr="00D22220" w:rsidRDefault="00D22220" w:rsidP="001972DE">
      <w:pPr>
        <w:pStyle w:val="ListParagraph"/>
        <w:numPr>
          <w:ilvl w:val="0"/>
          <w:numId w:val="22"/>
        </w:numPr>
        <w:autoSpaceDE w:val="0"/>
        <w:autoSpaceDN w:val="0"/>
        <w:adjustRightInd w:val="0"/>
        <w:spacing w:line="360" w:lineRule="auto"/>
        <w:jc w:val="both"/>
        <w:rPr>
          <w:rFonts w:asciiTheme="majorHAnsi" w:hAnsiTheme="majorHAnsi" w:cstheme="minorHAnsi"/>
          <w:sz w:val="24"/>
          <w:szCs w:val="24"/>
        </w:rPr>
      </w:pPr>
      <w:r w:rsidRPr="00D22220">
        <w:rPr>
          <w:rFonts w:asciiTheme="majorHAnsi" w:hAnsiTheme="majorHAnsi" w:cstheme="minorHAnsi"/>
          <w:sz w:val="24"/>
          <w:szCs w:val="24"/>
        </w:rPr>
        <w:t>Updating of interruption registers, Telephone Call Register, Data Book, Battery Register, Register of Inspection of Jumpers. Apart from the above, the Service Provider shall carry out the routine checks during the Contract period daily.</w:t>
      </w:r>
    </w:p>
    <w:p w14:paraId="0C9E327F" w14:textId="77777777" w:rsidR="00D22220" w:rsidRPr="00D22220" w:rsidRDefault="00D22220" w:rsidP="001972DE">
      <w:pPr>
        <w:pStyle w:val="ListParagraph"/>
        <w:numPr>
          <w:ilvl w:val="0"/>
          <w:numId w:val="22"/>
        </w:numPr>
        <w:autoSpaceDE w:val="0"/>
        <w:autoSpaceDN w:val="0"/>
        <w:adjustRightInd w:val="0"/>
        <w:spacing w:line="360" w:lineRule="auto"/>
        <w:jc w:val="both"/>
        <w:rPr>
          <w:rFonts w:asciiTheme="majorHAnsi" w:hAnsiTheme="majorHAnsi" w:cstheme="minorHAnsi"/>
          <w:sz w:val="24"/>
          <w:szCs w:val="24"/>
        </w:rPr>
      </w:pPr>
      <w:r w:rsidRPr="00D22220">
        <w:rPr>
          <w:rFonts w:asciiTheme="majorHAnsi" w:hAnsiTheme="majorHAnsi" w:cstheme="minorHAnsi"/>
          <w:sz w:val="24"/>
          <w:szCs w:val="24"/>
        </w:rPr>
        <w:t>Must attend to all emergencies that may arise during the contract period such as equipment failures, fire accidents etc., shall get acquainted with all the operations such as isolating transformers and other equipment etc.</w:t>
      </w:r>
    </w:p>
    <w:p w14:paraId="23C31898" w14:textId="2C03F2BA" w:rsidR="008062B8" w:rsidRDefault="00D22220" w:rsidP="001972DE">
      <w:pPr>
        <w:pStyle w:val="ListParagraph"/>
        <w:numPr>
          <w:ilvl w:val="0"/>
          <w:numId w:val="22"/>
        </w:numPr>
        <w:autoSpaceDE w:val="0"/>
        <w:autoSpaceDN w:val="0"/>
        <w:adjustRightInd w:val="0"/>
        <w:spacing w:line="360" w:lineRule="auto"/>
        <w:jc w:val="both"/>
        <w:rPr>
          <w:rFonts w:asciiTheme="majorHAnsi" w:hAnsiTheme="majorHAnsi" w:cstheme="minorHAnsi"/>
          <w:sz w:val="24"/>
          <w:szCs w:val="24"/>
        </w:rPr>
      </w:pPr>
      <w:r w:rsidRPr="00D22220">
        <w:rPr>
          <w:rFonts w:asciiTheme="majorHAnsi" w:hAnsiTheme="majorHAnsi" w:cstheme="minorHAnsi"/>
          <w:sz w:val="24"/>
          <w:szCs w:val="24"/>
        </w:rPr>
        <w:t>Periodical inspection and intimation for any defects, abnormality to PSCC/ maintenance team.</w:t>
      </w:r>
    </w:p>
    <w:p w14:paraId="5AA5986A" w14:textId="77777777" w:rsidR="00EC4B74" w:rsidRPr="00F8250F" w:rsidRDefault="00EC4B74" w:rsidP="00EC4B74">
      <w:pPr>
        <w:pStyle w:val="ListParagraph"/>
        <w:autoSpaceDE w:val="0"/>
        <w:autoSpaceDN w:val="0"/>
        <w:adjustRightInd w:val="0"/>
        <w:spacing w:line="360" w:lineRule="auto"/>
        <w:jc w:val="both"/>
        <w:rPr>
          <w:rFonts w:asciiTheme="majorHAnsi" w:hAnsiTheme="majorHAnsi" w:cstheme="minorHAnsi"/>
          <w:sz w:val="24"/>
          <w:szCs w:val="24"/>
        </w:rPr>
      </w:pPr>
    </w:p>
    <w:p w14:paraId="1957E573" w14:textId="2DC78050" w:rsidR="008A10E5" w:rsidRPr="009F560B" w:rsidRDefault="008A10E5" w:rsidP="001972DE">
      <w:pPr>
        <w:pStyle w:val="ListParagraph"/>
        <w:numPr>
          <w:ilvl w:val="0"/>
          <w:numId w:val="24"/>
        </w:numPr>
        <w:autoSpaceDE w:val="0"/>
        <w:autoSpaceDN w:val="0"/>
        <w:adjustRightInd w:val="0"/>
        <w:spacing w:line="360" w:lineRule="auto"/>
        <w:ind w:left="709"/>
        <w:jc w:val="both"/>
        <w:rPr>
          <w:rFonts w:asciiTheme="majorHAnsi" w:hAnsiTheme="majorHAnsi" w:cstheme="minorHAnsi"/>
          <w:b/>
          <w:bCs/>
          <w:lang w:eastAsia="en-IN"/>
        </w:rPr>
      </w:pPr>
      <w:r w:rsidRPr="00DE244C">
        <w:rPr>
          <w:rFonts w:asciiTheme="majorHAnsi" w:hAnsiTheme="majorHAnsi" w:cstheme="minorHAnsi"/>
          <w:b/>
          <w:bCs/>
          <w:sz w:val="24"/>
          <w:lang w:eastAsia="en-IN"/>
        </w:rPr>
        <w:t>TRANSFORMERS</w:t>
      </w:r>
      <w:r w:rsidRPr="009F560B">
        <w:rPr>
          <w:rFonts w:asciiTheme="majorHAnsi" w:hAnsiTheme="majorHAnsi" w:cstheme="minorHAnsi"/>
          <w:b/>
          <w:bCs/>
          <w:lang w:eastAsia="en-IN"/>
        </w:rPr>
        <w:t>:</w:t>
      </w:r>
    </w:p>
    <w:p w14:paraId="339BF7B5" w14:textId="77777777" w:rsidR="007D1B17" w:rsidRPr="00806C7E" w:rsidRDefault="007D1B17" w:rsidP="001972DE">
      <w:pPr>
        <w:pStyle w:val="ListParagraph"/>
        <w:numPr>
          <w:ilvl w:val="3"/>
          <w:numId w:val="23"/>
        </w:numPr>
        <w:autoSpaceDE w:val="0"/>
        <w:autoSpaceDN w:val="0"/>
        <w:adjustRightInd w:val="0"/>
        <w:spacing w:line="360" w:lineRule="auto"/>
        <w:ind w:left="1134"/>
        <w:jc w:val="both"/>
        <w:rPr>
          <w:rFonts w:asciiTheme="majorHAnsi" w:hAnsiTheme="majorHAnsi" w:cstheme="minorHAnsi"/>
          <w:sz w:val="24"/>
          <w:lang w:val="en-IN" w:eastAsia="en-IN"/>
        </w:rPr>
      </w:pPr>
      <w:r w:rsidRPr="00806C7E">
        <w:rPr>
          <w:rFonts w:asciiTheme="majorHAnsi" w:hAnsiTheme="majorHAnsi" w:cstheme="minorHAnsi"/>
          <w:sz w:val="24"/>
          <w:lang w:val="en-IN" w:eastAsia="en-IN"/>
        </w:rPr>
        <w:t>Logging &amp; reporting of oil level &amp; leakages &amp; recording temperatures of oil and winding.</w:t>
      </w:r>
    </w:p>
    <w:p w14:paraId="017A97E6" w14:textId="77777777" w:rsidR="007D1B17" w:rsidRPr="00806C7E" w:rsidRDefault="007D1B17" w:rsidP="001972DE">
      <w:pPr>
        <w:pStyle w:val="ListParagraph"/>
        <w:numPr>
          <w:ilvl w:val="3"/>
          <w:numId w:val="23"/>
        </w:numPr>
        <w:autoSpaceDE w:val="0"/>
        <w:autoSpaceDN w:val="0"/>
        <w:adjustRightInd w:val="0"/>
        <w:spacing w:line="360" w:lineRule="auto"/>
        <w:ind w:left="1134"/>
        <w:jc w:val="both"/>
        <w:rPr>
          <w:rFonts w:asciiTheme="majorHAnsi" w:hAnsiTheme="majorHAnsi" w:cstheme="minorHAnsi"/>
          <w:sz w:val="24"/>
          <w:lang w:val="en-IN" w:eastAsia="en-IN"/>
        </w:rPr>
      </w:pPr>
      <w:r w:rsidRPr="00806C7E">
        <w:rPr>
          <w:rFonts w:asciiTheme="majorHAnsi" w:hAnsiTheme="majorHAnsi" w:cstheme="minorHAnsi"/>
          <w:sz w:val="24"/>
          <w:lang w:val="en-IN" w:eastAsia="en-IN"/>
        </w:rPr>
        <w:t>Reporting un-usual internal noises.</w:t>
      </w:r>
    </w:p>
    <w:p w14:paraId="57220E6C" w14:textId="77777777" w:rsidR="007D1B17" w:rsidRPr="00806C7E" w:rsidRDefault="007D1B17" w:rsidP="001972DE">
      <w:pPr>
        <w:pStyle w:val="ListParagraph"/>
        <w:numPr>
          <w:ilvl w:val="3"/>
          <w:numId w:val="23"/>
        </w:numPr>
        <w:autoSpaceDE w:val="0"/>
        <w:autoSpaceDN w:val="0"/>
        <w:adjustRightInd w:val="0"/>
        <w:spacing w:line="360" w:lineRule="auto"/>
        <w:ind w:left="1134"/>
        <w:jc w:val="both"/>
        <w:rPr>
          <w:rFonts w:asciiTheme="majorHAnsi" w:hAnsiTheme="majorHAnsi" w:cstheme="minorHAnsi"/>
          <w:sz w:val="24"/>
          <w:lang w:val="en-IN" w:eastAsia="en-IN"/>
        </w:rPr>
      </w:pPr>
      <w:r w:rsidRPr="00806C7E">
        <w:rPr>
          <w:rFonts w:asciiTheme="majorHAnsi" w:hAnsiTheme="majorHAnsi" w:cstheme="minorHAnsi"/>
          <w:sz w:val="24"/>
          <w:lang w:val="en-IN" w:eastAsia="en-IN"/>
        </w:rPr>
        <w:t>Reporting relief diaphragm for cracks.</w:t>
      </w:r>
    </w:p>
    <w:p w14:paraId="50902418" w14:textId="77777777" w:rsidR="007D1B17" w:rsidRPr="00806C7E" w:rsidRDefault="007D1B17" w:rsidP="001972DE">
      <w:pPr>
        <w:pStyle w:val="ListParagraph"/>
        <w:numPr>
          <w:ilvl w:val="3"/>
          <w:numId w:val="23"/>
        </w:numPr>
        <w:autoSpaceDE w:val="0"/>
        <w:autoSpaceDN w:val="0"/>
        <w:adjustRightInd w:val="0"/>
        <w:spacing w:line="360" w:lineRule="auto"/>
        <w:ind w:left="1134"/>
        <w:jc w:val="both"/>
        <w:rPr>
          <w:rFonts w:asciiTheme="majorHAnsi" w:hAnsiTheme="majorHAnsi" w:cstheme="minorHAnsi"/>
          <w:sz w:val="24"/>
          <w:lang w:val="en-IN" w:eastAsia="en-IN"/>
        </w:rPr>
      </w:pPr>
      <w:r w:rsidRPr="00806C7E">
        <w:rPr>
          <w:rFonts w:asciiTheme="majorHAnsi" w:hAnsiTheme="majorHAnsi" w:cstheme="minorHAnsi"/>
          <w:sz w:val="24"/>
          <w:lang w:val="en-IN" w:eastAsia="en-IN"/>
        </w:rPr>
        <w:t>Reporting status of HG-Fuses and Section Fuses of Station Transformer for replacement by TPWODL.</w:t>
      </w:r>
    </w:p>
    <w:p w14:paraId="44C59060" w14:textId="77777777" w:rsidR="007D1B17" w:rsidRPr="00806C7E" w:rsidRDefault="007D1B17" w:rsidP="001972DE">
      <w:pPr>
        <w:pStyle w:val="ListParagraph"/>
        <w:numPr>
          <w:ilvl w:val="3"/>
          <w:numId w:val="23"/>
        </w:numPr>
        <w:autoSpaceDE w:val="0"/>
        <w:autoSpaceDN w:val="0"/>
        <w:adjustRightInd w:val="0"/>
        <w:spacing w:line="360" w:lineRule="auto"/>
        <w:ind w:left="1134"/>
        <w:jc w:val="both"/>
        <w:rPr>
          <w:rFonts w:asciiTheme="majorHAnsi" w:hAnsiTheme="majorHAnsi" w:cstheme="minorHAnsi"/>
          <w:sz w:val="24"/>
          <w:lang w:val="en-IN" w:eastAsia="en-IN"/>
        </w:rPr>
      </w:pPr>
      <w:r w:rsidRPr="00806C7E">
        <w:rPr>
          <w:rFonts w:asciiTheme="majorHAnsi" w:hAnsiTheme="majorHAnsi" w:cstheme="minorHAnsi"/>
          <w:sz w:val="24"/>
          <w:lang w:val="en-IN" w:eastAsia="en-IN"/>
        </w:rPr>
        <w:t>Reporting the condition of silica gel and record in the Logbook.</w:t>
      </w:r>
    </w:p>
    <w:p w14:paraId="6A407CAD" w14:textId="77777777" w:rsidR="007D1B17" w:rsidRPr="00806C7E" w:rsidRDefault="007D1B17" w:rsidP="001972DE">
      <w:pPr>
        <w:pStyle w:val="ListParagraph"/>
        <w:numPr>
          <w:ilvl w:val="3"/>
          <w:numId w:val="23"/>
        </w:numPr>
        <w:autoSpaceDE w:val="0"/>
        <w:autoSpaceDN w:val="0"/>
        <w:adjustRightInd w:val="0"/>
        <w:spacing w:line="360" w:lineRule="auto"/>
        <w:ind w:left="1134"/>
        <w:jc w:val="both"/>
        <w:rPr>
          <w:rFonts w:asciiTheme="majorHAnsi" w:hAnsiTheme="majorHAnsi" w:cstheme="minorHAnsi"/>
          <w:sz w:val="24"/>
          <w:lang w:val="en-IN" w:eastAsia="en-IN"/>
        </w:rPr>
      </w:pPr>
      <w:r w:rsidRPr="00806C7E">
        <w:rPr>
          <w:rFonts w:asciiTheme="majorHAnsi" w:hAnsiTheme="majorHAnsi" w:cstheme="minorHAnsi"/>
          <w:sz w:val="24"/>
          <w:lang w:val="en-IN" w:eastAsia="en-IN"/>
        </w:rPr>
        <w:t>Shall record hourly readings of temperature of oil and winding in the logbook.</w:t>
      </w:r>
    </w:p>
    <w:p w14:paraId="58B8FE5C" w14:textId="2DEEAB16" w:rsidR="00AF1642" w:rsidRDefault="007D1B17" w:rsidP="001972DE">
      <w:pPr>
        <w:pStyle w:val="ListParagraph"/>
        <w:numPr>
          <w:ilvl w:val="3"/>
          <w:numId w:val="23"/>
        </w:numPr>
        <w:autoSpaceDE w:val="0"/>
        <w:autoSpaceDN w:val="0"/>
        <w:adjustRightInd w:val="0"/>
        <w:spacing w:line="360" w:lineRule="auto"/>
        <w:ind w:left="1134"/>
        <w:jc w:val="both"/>
        <w:rPr>
          <w:rFonts w:asciiTheme="majorHAnsi" w:hAnsiTheme="majorHAnsi" w:cstheme="minorHAnsi"/>
          <w:sz w:val="24"/>
          <w:szCs w:val="24"/>
          <w:lang w:val="en-IN" w:eastAsia="en-IN"/>
        </w:rPr>
      </w:pPr>
      <w:r w:rsidRPr="00806C7E">
        <w:rPr>
          <w:rFonts w:asciiTheme="majorHAnsi" w:hAnsiTheme="majorHAnsi" w:cstheme="minorHAnsi"/>
          <w:sz w:val="24"/>
          <w:lang w:val="en-IN" w:eastAsia="en-IN"/>
        </w:rPr>
        <w:t>Reporting for Release of gas from Buchholz relay during its operation</w:t>
      </w:r>
      <w:r w:rsidRPr="009F560B">
        <w:rPr>
          <w:rFonts w:asciiTheme="majorHAnsi" w:hAnsiTheme="majorHAnsi" w:cstheme="minorHAnsi"/>
          <w:lang w:val="en-IN" w:eastAsia="en-IN"/>
        </w:rPr>
        <w:t>.</w:t>
      </w:r>
    </w:p>
    <w:p w14:paraId="59A64325" w14:textId="26F8C4E4" w:rsidR="008A10E5" w:rsidRPr="009F560B" w:rsidRDefault="008A10E5" w:rsidP="001972DE">
      <w:pPr>
        <w:pStyle w:val="ListParagraph"/>
        <w:numPr>
          <w:ilvl w:val="0"/>
          <w:numId w:val="24"/>
        </w:numPr>
        <w:autoSpaceDE w:val="0"/>
        <w:autoSpaceDN w:val="0"/>
        <w:adjustRightInd w:val="0"/>
        <w:spacing w:line="360" w:lineRule="auto"/>
        <w:ind w:left="709"/>
        <w:jc w:val="both"/>
        <w:rPr>
          <w:rFonts w:asciiTheme="majorHAnsi" w:hAnsiTheme="majorHAnsi" w:cstheme="minorHAnsi"/>
          <w:b/>
          <w:bCs/>
          <w:lang w:eastAsia="en-IN"/>
        </w:rPr>
      </w:pPr>
      <w:r w:rsidRPr="00DE244C">
        <w:rPr>
          <w:rFonts w:asciiTheme="majorHAnsi" w:hAnsiTheme="majorHAnsi" w:cstheme="minorHAnsi"/>
          <w:b/>
          <w:bCs/>
          <w:sz w:val="24"/>
          <w:lang w:eastAsia="en-IN"/>
        </w:rPr>
        <w:t xml:space="preserve">33/11 </w:t>
      </w:r>
      <w:r w:rsidR="00F8250F" w:rsidRPr="00DE244C">
        <w:rPr>
          <w:rFonts w:asciiTheme="majorHAnsi" w:hAnsiTheme="majorHAnsi" w:cstheme="minorHAnsi"/>
          <w:b/>
          <w:bCs/>
          <w:sz w:val="24"/>
          <w:lang w:eastAsia="en-IN"/>
        </w:rPr>
        <w:t>k</w:t>
      </w:r>
      <w:r w:rsidR="006019AD" w:rsidRPr="00DE244C">
        <w:rPr>
          <w:rFonts w:asciiTheme="majorHAnsi" w:hAnsiTheme="majorHAnsi" w:cstheme="minorHAnsi"/>
          <w:b/>
          <w:bCs/>
          <w:sz w:val="24"/>
          <w:lang w:eastAsia="en-IN"/>
        </w:rPr>
        <w:t>V</w:t>
      </w:r>
      <w:r w:rsidRPr="00DE244C">
        <w:rPr>
          <w:rFonts w:asciiTheme="majorHAnsi" w:hAnsiTheme="majorHAnsi" w:cstheme="minorHAnsi"/>
          <w:b/>
          <w:bCs/>
          <w:sz w:val="24"/>
          <w:lang w:eastAsia="en-IN"/>
        </w:rPr>
        <w:t xml:space="preserve"> BREAKERS</w:t>
      </w:r>
      <w:r w:rsidRPr="009F560B">
        <w:rPr>
          <w:rFonts w:asciiTheme="majorHAnsi" w:hAnsiTheme="majorHAnsi" w:cstheme="minorHAnsi"/>
          <w:b/>
          <w:bCs/>
          <w:lang w:eastAsia="en-IN"/>
        </w:rPr>
        <w:t>:</w:t>
      </w:r>
    </w:p>
    <w:p w14:paraId="294548B5" w14:textId="77777777" w:rsidR="00D2542A" w:rsidRPr="00D2542A" w:rsidRDefault="00D2542A" w:rsidP="001972DE">
      <w:pPr>
        <w:pStyle w:val="ListParagraph"/>
        <w:numPr>
          <w:ilvl w:val="0"/>
          <w:numId w:val="10"/>
        </w:numPr>
        <w:autoSpaceDE w:val="0"/>
        <w:autoSpaceDN w:val="0"/>
        <w:adjustRightInd w:val="0"/>
        <w:spacing w:after="0" w:line="360" w:lineRule="auto"/>
        <w:ind w:left="1134"/>
        <w:contextualSpacing w:val="0"/>
        <w:jc w:val="both"/>
        <w:rPr>
          <w:rFonts w:asciiTheme="majorHAnsi" w:hAnsiTheme="majorHAnsi" w:cstheme="minorHAnsi"/>
          <w:sz w:val="24"/>
          <w:szCs w:val="24"/>
          <w:lang w:val="en-IN" w:eastAsia="en-IN"/>
        </w:rPr>
      </w:pPr>
      <w:r w:rsidRPr="00D2542A">
        <w:rPr>
          <w:rFonts w:asciiTheme="majorHAnsi" w:hAnsiTheme="majorHAnsi" w:cstheme="minorHAnsi"/>
          <w:sz w:val="24"/>
          <w:szCs w:val="24"/>
          <w:lang w:val="en-IN" w:eastAsia="en-IN"/>
        </w:rPr>
        <w:t>Reporting of healthiness of trip circuits, SF-6 Gas pressure, pneumatic and hydraulic.</w:t>
      </w:r>
    </w:p>
    <w:p w14:paraId="4D63D534" w14:textId="6202FF93" w:rsidR="008A10E5" w:rsidRDefault="00D2542A" w:rsidP="001972DE">
      <w:pPr>
        <w:pStyle w:val="ListParagraph"/>
        <w:numPr>
          <w:ilvl w:val="0"/>
          <w:numId w:val="10"/>
        </w:numPr>
        <w:autoSpaceDE w:val="0"/>
        <w:autoSpaceDN w:val="0"/>
        <w:adjustRightInd w:val="0"/>
        <w:spacing w:after="0" w:line="360" w:lineRule="auto"/>
        <w:ind w:left="1134"/>
        <w:contextualSpacing w:val="0"/>
        <w:jc w:val="both"/>
        <w:rPr>
          <w:rFonts w:asciiTheme="majorHAnsi" w:hAnsiTheme="majorHAnsi" w:cstheme="minorHAnsi"/>
          <w:sz w:val="24"/>
          <w:szCs w:val="24"/>
          <w:lang w:val="en-IN" w:eastAsia="en-IN"/>
        </w:rPr>
      </w:pPr>
      <w:r w:rsidRPr="00D2542A">
        <w:rPr>
          <w:rFonts w:asciiTheme="majorHAnsi" w:hAnsiTheme="majorHAnsi" w:cstheme="minorHAnsi"/>
          <w:sz w:val="24"/>
          <w:szCs w:val="24"/>
          <w:lang w:val="en-IN" w:eastAsia="en-IN"/>
        </w:rPr>
        <w:t>Pressures and oil leakage, if any, and other works specified by the Officer of TPWODL.</w:t>
      </w:r>
    </w:p>
    <w:p w14:paraId="09F719AA" w14:textId="19337A32" w:rsidR="008A10E5" w:rsidRPr="00DE244C" w:rsidRDefault="008A10E5" w:rsidP="001972DE">
      <w:pPr>
        <w:pStyle w:val="ListParagraph"/>
        <w:numPr>
          <w:ilvl w:val="0"/>
          <w:numId w:val="24"/>
        </w:numPr>
        <w:autoSpaceDE w:val="0"/>
        <w:autoSpaceDN w:val="0"/>
        <w:adjustRightInd w:val="0"/>
        <w:spacing w:line="360" w:lineRule="auto"/>
        <w:ind w:left="709"/>
        <w:jc w:val="both"/>
        <w:rPr>
          <w:rFonts w:asciiTheme="majorHAnsi" w:hAnsiTheme="majorHAnsi" w:cstheme="minorHAnsi"/>
          <w:b/>
          <w:bCs/>
          <w:sz w:val="24"/>
          <w:lang w:eastAsia="en-IN"/>
        </w:rPr>
      </w:pPr>
      <w:r w:rsidRPr="00DE244C">
        <w:rPr>
          <w:rFonts w:asciiTheme="majorHAnsi" w:hAnsiTheme="majorHAnsi" w:cstheme="minorHAnsi"/>
          <w:b/>
          <w:bCs/>
          <w:sz w:val="24"/>
          <w:lang w:eastAsia="en-IN"/>
        </w:rPr>
        <w:t>SWITCH YARD:</w:t>
      </w:r>
    </w:p>
    <w:p w14:paraId="336E5503" w14:textId="77777777" w:rsidR="002E1993" w:rsidRPr="002E1993" w:rsidRDefault="002E1993" w:rsidP="001972DE">
      <w:pPr>
        <w:pStyle w:val="ListParagraph"/>
        <w:numPr>
          <w:ilvl w:val="0"/>
          <w:numId w:val="25"/>
        </w:numPr>
        <w:autoSpaceDE w:val="0"/>
        <w:autoSpaceDN w:val="0"/>
        <w:adjustRightInd w:val="0"/>
        <w:spacing w:line="360" w:lineRule="auto"/>
        <w:ind w:left="1134" w:hanging="425"/>
        <w:jc w:val="both"/>
        <w:rPr>
          <w:rFonts w:asciiTheme="majorHAnsi" w:hAnsiTheme="majorHAnsi" w:cstheme="minorHAnsi"/>
          <w:sz w:val="24"/>
          <w:szCs w:val="24"/>
          <w:lang w:val="en-IN" w:eastAsia="en-IN"/>
        </w:rPr>
      </w:pPr>
      <w:r w:rsidRPr="002E1993">
        <w:rPr>
          <w:rFonts w:asciiTheme="majorHAnsi" w:hAnsiTheme="majorHAnsi" w:cstheme="minorHAnsi"/>
          <w:sz w:val="24"/>
          <w:szCs w:val="24"/>
          <w:lang w:val="en-IN" w:eastAsia="en-IN"/>
        </w:rPr>
        <w:t>Checking of the Yard at hourly intervals and note down &amp; report unusual observations,</w:t>
      </w:r>
    </w:p>
    <w:p w14:paraId="6EE6C630" w14:textId="2AC017E7" w:rsidR="008A10E5" w:rsidRDefault="002E1993" w:rsidP="001972DE">
      <w:pPr>
        <w:pStyle w:val="ListParagraph"/>
        <w:numPr>
          <w:ilvl w:val="0"/>
          <w:numId w:val="25"/>
        </w:numPr>
        <w:autoSpaceDE w:val="0"/>
        <w:autoSpaceDN w:val="0"/>
        <w:adjustRightInd w:val="0"/>
        <w:spacing w:line="360" w:lineRule="auto"/>
        <w:ind w:left="1134" w:hanging="425"/>
        <w:jc w:val="both"/>
        <w:rPr>
          <w:rFonts w:asciiTheme="majorHAnsi" w:hAnsiTheme="majorHAnsi" w:cstheme="minorHAnsi"/>
          <w:sz w:val="24"/>
          <w:szCs w:val="24"/>
          <w:lang w:val="en-IN" w:eastAsia="en-IN"/>
        </w:rPr>
      </w:pPr>
      <w:r w:rsidRPr="002E1993">
        <w:rPr>
          <w:rFonts w:asciiTheme="majorHAnsi" w:hAnsiTheme="majorHAnsi" w:cstheme="minorHAnsi"/>
          <w:sz w:val="24"/>
          <w:szCs w:val="24"/>
          <w:lang w:val="en-IN" w:eastAsia="en-IN"/>
        </w:rPr>
        <w:t>Defects, sparks, loose contracts, red hot spots, jumpers, abnormalities detected in the equipment and loose bolts &amp; nuts etc. and informing the concerned officers of TPWODL.</w:t>
      </w:r>
    </w:p>
    <w:p w14:paraId="264E0185" w14:textId="52E83DD3" w:rsidR="008A10E5" w:rsidRPr="00DE244C" w:rsidRDefault="008A10E5" w:rsidP="001972DE">
      <w:pPr>
        <w:pStyle w:val="ListParagraph"/>
        <w:numPr>
          <w:ilvl w:val="0"/>
          <w:numId w:val="24"/>
        </w:numPr>
        <w:autoSpaceDE w:val="0"/>
        <w:autoSpaceDN w:val="0"/>
        <w:adjustRightInd w:val="0"/>
        <w:spacing w:line="360" w:lineRule="auto"/>
        <w:ind w:left="709"/>
        <w:jc w:val="both"/>
        <w:rPr>
          <w:rFonts w:asciiTheme="majorHAnsi" w:hAnsiTheme="majorHAnsi" w:cstheme="minorHAnsi"/>
          <w:b/>
          <w:bCs/>
          <w:sz w:val="28"/>
          <w:szCs w:val="24"/>
          <w:lang w:val="en-IN" w:eastAsia="en-IN"/>
        </w:rPr>
      </w:pPr>
      <w:r w:rsidRPr="00DE244C">
        <w:rPr>
          <w:rFonts w:asciiTheme="majorHAnsi" w:hAnsiTheme="majorHAnsi" w:cstheme="minorHAnsi"/>
          <w:b/>
          <w:bCs/>
          <w:sz w:val="24"/>
          <w:lang w:eastAsia="en-IN"/>
        </w:rPr>
        <w:t>BATTERIES</w:t>
      </w:r>
      <w:r w:rsidRPr="00DE244C">
        <w:rPr>
          <w:rFonts w:asciiTheme="majorHAnsi" w:hAnsiTheme="majorHAnsi" w:cstheme="minorHAnsi"/>
          <w:b/>
          <w:bCs/>
          <w:sz w:val="28"/>
          <w:szCs w:val="24"/>
          <w:lang w:val="en-IN" w:eastAsia="en-IN"/>
        </w:rPr>
        <w:t>:</w:t>
      </w:r>
    </w:p>
    <w:p w14:paraId="199D1C51" w14:textId="7B0A0A94" w:rsidR="008A10E5" w:rsidRPr="009F560B" w:rsidRDefault="008A10E5" w:rsidP="001972DE">
      <w:pPr>
        <w:pStyle w:val="ListParagraph"/>
        <w:numPr>
          <w:ilvl w:val="3"/>
          <w:numId w:val="26"/>
        </w:numPr>
        <w:autoSpaceDE w:val="0"/>
        <w:autoSpaceDN w:val="0"/>
        <w:adjustRightInd w:val="0"/>
        <w:spacing w:line="360" w:lineRule="auto"/>
        <w:ind w:left="1134"/>
        <w:jc w:val="both"/>
        <w:rPr>
          <w:rFonts w:asciiTheme="majorHAnsi" w:hAnsiTheme="majorHAnsi" w:cstheme="minorHAnsi"/>
          <w:sz w:val="24"/>
          <w:szCs w:val="24"/>
          <w:lang w:val="en-IN" w:eastAsia="en-IN"/>
        </w:rPr>
      </w:pPr>
      <w:r w:rsidRPr="009F560B">
        <w:rPr>
          <w:rFonts w:asciiTheme="majorHAnsi" w:hAnsiTheme="majorHAnsi" w:cstheme="minorHAnsi"/>
          <w:sz w:val="24"/>
          <w:szCs w:val="24"/>
          <w:lang w:val="en-IN" w:eastAsia="en-IN"/>
        </w:rPr>
        <w:t xml:space="preserve">Logging of specific gravity and voltage of pilot cells daily during morning shift and for all cells weekly once &amp; observation shall be recorded in the </w:t>
      </w:r>
      <w:r w:rsidR="00EF4CCD" w:rsidRPr="009F560B">
        <w:rPr>
          <w:rFonts w:asciiTheme="majorHAnsi" w:hAnsiTheme="majorHAnsi" w:cstheme="minorHAnsi"/>
          <w:sz w:val="24"/>
          <w:szCs w:val="24"/>
          <w:lang w:val="en-IN" w:eastAsia="en-IN"/>
        </w:rPr>
        <w:t>logbook</w:t>
      </w:r>
      <w:r w:rsidRPr="009F560B">
        <w:rPr>
          <w:rFonts w:asciiTheme="majorHAnsi" w:hAnsiTheme="majorHAnsi" w:cstheme="minorHAnsi"/>
          <w:sz w:val="24"/>
          <w:szCs w:val="24"/>
          <w:lang w:val="en-IN" w:eastAsia="en-IN"/>
        </w:rPr>
        <w:t>.</w:t>
      </w:r>
    </w:p>
    <w:p w14:paraId="3C97C828" w14:textId="47320A6F" w:rsidR="008A10E5" w:rsidRPr="007B66E8" w:rsidRDefault="008A10E5" w:rsidP="001972DE">
      <w:pPr>
        <w:pStyle w:val="ListParagraph"/>
        <w:numPr>
          <w:ilvl w:val="3"/>
          <w:numId w:val="26"/>
        </w:numPr>
        <w:autoSpaceDE w:val="0"/>
        <w:autoSpaceDN w:val="0"/>
        <w:adjustRightInd w:val="0"/>
        <w:spacing w:line="360" w:lineRule="auto"/>
        <w:ind w:left="1134"/>
        <w:jc w:val="both"/>
        <w:rPr>
          <w:rFonts w:asciiTheme="majorHAnsi" w:hAnsiTheme="majorHAnsi" w:cstheme="minorHAnsi"/>
        </w:rPr>
      </w:pPr>
      <w:r w:rsidRPr="00F8250F">
        <w:rPr>
          <w:rFonts w:asciiTheme="majorHAnsi" w:hAnsiTheme="majorHAnsi" w:cstheme="minorHAnsi"/>
          <w:sz w:val="24"/>
          <w:szCs w:val="24"/>
          <w:lang w:val="en-IN" w:eastAsia="en-IN"/>
        </w:rPr>
        <w:t>Logging/Checking of DC Earth leakage, physical condition of connectors and top up distilled water when required.</w:t>
      </w:r>
    </w:p>
    <w:p w14:paraId="65C70C54" w14:textId="77777777" w:rsidR="007B66E8" w:rsidRPr="00F8250F" w:rsidRDefault="007B66E8" w:rsidP="000952FF">
      <w:pPr>
        <w:pStyle w:val="ListParagraph"/>
        <w:autoSpaceDE w:val="0"/>
        <w:autoSpaceDN w:val="0"/>
        <w:adjustRightInd w:val="0"/>
        <w:spacing w:line="360" w:lineRule="auto"/>
        <w:ind w:left="1134"/>
        <w:jc w:val="both"/>
        <w:rPr>
          <w:rFonts w:asciiTheme="majorHAnsi" w:hAnsiTheme="majorHAnsi" w:cstheme="minorHAnsi"/>
        </w:rPr>
      </w:pPr>
    </w:p>
    <w:p w14:paraId="25E67030" w14:textId="17461C14" w:rsidR="008A10E5" w:rsidRPr="00A40A21" w:rsidRDefault="008A10E5" w:rsidP="001972DE">
      <w:pPr>
        <w:pStyle w:val="ListParagraph"/>
        <w:numPr>
          <w:ilvl w:val="0"/>
          <w:numId w:val="28"/>
        </w:numPr>
        <w:spacing w:afterLines="160" w:after="384" w:line="256" w:lineRule="auto"/>
        <w:contextualSpacing w:val="0"/>
        <w:jc w:val="both"/>
        <w:rPr>
          <w:rFonts w:asciiTheme="majorHAnsi" w:hAnsiTheme="majorHAnsi" w:cstheme="minorHAnsi"/>
          <w:b/>
          <w:bCs/>
          <w:sz w:val="24"/>
          <w:szCs w:val="24"/>
        </w:rPr>
      </w:pPr>
      <w:r w:rsidRPr="00A40A21">
        <w:rPr>
          <w:rFonts w:asciiTheme="majorHAnsi" w:hAnsiTheme="majorHAnsi" w:cstheme="minorHAnsi"/>
          <w:b/>
          <w:bCs/>
          <w:sz w:val="24"/>
          <w:szCs w:val="24"/>
          <w:u w:val="single"/>
        </w:rPr>
        <w:t>DTR &amp; PTR Repair &amp; Maintenance:</w:t>
      </w:r>
    </w:p>
    <w:p w14:paraId="42B6A95F" w14:textId="07EEA57A" w:rsidR="00F845D7" w:rsidRPr="00DE244C" w:rsidRDefault="00F845D7" w:rsidP="001972DE">
      <w:pPr>
        <w:pStyle w:val="ListParagraph"/>
        <w:numPr>
          <w:ilvl w:val="0"/>
          <w:numId w:val="27"/>
        </w:numPr>
        <w:spacing w:after="160"/>
        <w:ind w:left="1134" w:hanging="357"/>
        <w:contextualSpacing w:val="0"/>
        <w:jc w:val="both"/>
        <w:rPr>
          <w:rFonts w:asciiTheme="majorHAnsi" w:hAnsiTheme="majorHAnsi" w:cstheme="minorHAnsi"/>
          <w:sz w:val="24"/>
          <w:szCs w:val="24"/>
        </w:rPr>
      </w:pPr>
      <w:r w:rsidRPr="00DE244C">
        <w:rPr>
          <w:rFonts w:asciiTheme="majorHAnsi" w:hAnsiTheme="majorHAnsi" w:cstheme="minorHAnsi"/>
          <w:b/>
          <w:bCs/>
          <w:sz w:val="24"/>
          <w:szCs w:val="24"/>
        </w:rPr>
        <w:t>DTRs Instal</w:t>
      </w:r>
      <w:r w:rsidR="00DE244C" w:rsidRPr="00DE244C">
        <w:rPr>
          <w:rFonts w:asciiTheme="majorHAnsi" w:hAnsiTheme="majorHAnsi" w:cstheme="minorHAnsi"/>
          <w:b/>
          <w:bCs/>
          <w:sz w:val="24"/>
          <w:szCs w:val="24"/>
        </w:rPr>
        <w:t>led in TP</w:t>
      </w:r>
      <w:r w:rsidRPr="00DE244C">
        <w:rPr>
          <w:rFonts w:asciiTheme="majorHAnsi" w:hAnsiTheme="majorHAnsi" w:cstheme="minorHAnsi"/>
          <w:b/>
          <w:bCs/>
          <w:sz w:val="24"/>
          <w:szCs w:val="24"/>
        </w:rPr>
        <w:t>WODL:</w:t>
      </w:r>
      <w:r w:rsidRPr="00DE244C">
        <w:rPr>
          <w:rFonts w:asciiTheme="majorHAnsi" w:hAnsiTheme="majorHAnsi" w:cstheme="minorHAnsi"/>
          <w:sz w:val="24"/>
          <w:szCs w:val="24"/>
        </w:rPr>
        <w:t xml:space="preserve"> </w:t>
      </w:r>
      <w:r w:rsidR="003139CB" w:rsidRPr="003139CB">
        <w:rPr>
          <w:rFonts w:asciiTheme="majorHAnsi" w:hAnsiTheme="majorHAnsi" w:cstheme="minorHAnsi"/>
          <w:sz w:val="24"/>
          <w:szCs w:val="24"/>
        </w:rPr>
        <w:t>Total 84542 DTRs are installed in TPWODL System.</w:t>
      </w:r>
      <w:r w:rsidRPr="00DE244C">
        <w:rPr>
          <w:rFonts w:asciiTheme="majorHAnsi" w:hAnsiTheme="majorHAnsi" w:cstheme="minorHAnsi"/>
          <w:sz w:val="24"/>
          <w:szCs w:val="24"/>
        </w:rPr>
        <w:t xml:space="preserve"> </w:t>
      </w:r>
    </w:p>
    <w:p w14:paraId="3107EC5D" w14:textId="6C6BFB04" w:rsidR="00567B80" w:rsidRPr="00806C7E" w:rsidRDefault="00F845D7" w:rsidP="001972DE">
      <w:pPr>
        <w:pStyle w:val="ListParagraph"/>
        <w:numPr>
          <w:ilvl w:val="0"/>
          <w:numId w:val="8"/>
        </w:numPr>
        <w:spacing w:after="160" w:line="259" w:lineRule="auto"/>
        <w:ind w:left="1560"/>
        <w:jc w:val="both"/>
        <w:rPr>
          <w:rFonts w:asciiTheme="majorHAnsi" w:hAnsiTheme="majorHAnsi" w:cstheme="minorHAnsi"/>
        </w:rPr>
      </w:pPr>
      <w:r w:rsidRPr="009E7094">
        <w:rPr>
          <w:rFonts w:asciiTheme="majorHAnsi" w:hAnsiTheme="majorHAnsi" w:cstheme="minorHAnsi"/>
          <w:sz w:val="24"/>
          <w:szCs w:val="24"/>
        </w:rPr>
        <w:t>Below Report shows Total DTs Installed</w:t>
      </w:r>
      <w:r w:rsidR="009E7094" w:rsidRPr="009E7094">
        <w:rPr>
          <w:rFonts w:asciiTheme="majorHAnsi" w:hAnsiTheme="majorHAnsi" w:cstheme="minorHAnsi"/>
          <w:sz w:val="24"/>
          <w:szCs w:val="24"/>
        </w:rPr>
        <w:t xml:space="preserve"> in 5 circles.</w:t>
      </w:r>
    </w:p>
    <w:p w14:paraId="0589C4D7" w14:textId="77777777" w:rsidR="00806C7E" w:rsidRPr="009E7094" w:rsidRDefault="00806C7E" w:rsidP="00806C7E">
      <w:pPr>
        <w:pStyle w:val="ListParagraph"/>
        <w:spacing w:after="160" w:line="259" w:lineRule="auto"/>
        <w:ind w:left="1560"/>
        <w:jc w:val="both"/>
        <w:rPr>
          <w:rFonts w:asciiTheme="majorHAnsi" w:hAnsiTheme="majorHAnsi" w:cstheme="minorHAnsi"/>
        </w:rPr>
      </w:pPr>
    </w:p>
    <w:tbl>
      <w:tblPr>
        <w:tblW w:w="6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49"/>
        <w:gridCol w:w="1155"/>
        <w:gridCol w:w="1325"/>
        <w:gridCol w:w="1046"/>
        <w:gridCol w:w="1090"/>
        <w:gridCol w:w="1254"/>
      </w:tblGrid>
      <w:tr w:rsidR="008A10E5" w:rsidRPr="009F560B" w14:paraId="40365CAC" w14:textId="77777777" w:rsidTr="000952FF">
        <w:trPr>
          <w:trHeight w:val="441"/>
          <w:jc w:val="center"/>
        </w:trPr>
        <w:tc>
          <w:tcPr>
            <w:tcW w:w="849" w:type="dxa"/>
            <w:shd w:val="clear" w:color="auto" w:fill="C6D9F1" w:themeFill="text2" w:themeFillTint="33"/>
            <w:vAlign w:val="center"/>
            <w:hideMark/>
          </w:tcPr>
          <w:p w14:paraId="21E149A9" w14:textId="446CFD60" w:rsidR="008A10E5" w:rsidRPr="009F560B" w:rsidRDefault="008A10E5" w:rsidP="009E7094">
            <w:pPr>
              <w:jc w:val="center"/>
              <w:rPr>
                <w:rFonts w:asciiTheme="majorHAnsi" w:hAnsiTheme="majorHAnsi" w:cstheme="minorHAnsi"/>
                <w:b/>
                <w:bCs/>
                <w:color w:val="000000"/>
                <w:sz w:val="22"/>
                <w:szCs w:val="22"/>
                <w:lang w:eastAsia="en-IN"/>
              </w:rPr>
            </w:pPr>
            <w:r w:rsidRPr="009F560B">
              <w:rPr>
                <w:rFonts w:asciiTheme="majorHAnsi" w:hAnsiTheme="majorHAnsi" w:cstheme="minorHAnsi"/>
                <w:b/>
                <w:bCs/>
                <w:color w:val="000000"/>
                <w:sz w:val="22"/>
                <w:szCs w:val="22"/>
                <w:lang w:eastAsia="en-IN"/>
              </w:rPr>
              <w:t>C</w:t>
            </w:r>
            <w:r w:rsidR="00B07BA6" w:rsidRPr="009F560B">
              <w:rPr>
                <w:rFonts w:asciiTheme="majorHAnsi" w:hAnsiTheme="majorHAnsi" w:cstheme="minorHAnsi"/>
                <w:b/>
                <w:bCs/>
                <w:color w:val="000000"/>
                <w:sz w:val="22"/>
                <w:szCs w:val="22"/>
                <w:lang w:eastAsia="en-IN"/>
              </w:rPr>
              <w:t>ircle</w:t>
            </w:r>
          </w:p>
        </w:tc>
        <w:tc>
          <w:tcPr>
            <w:tcW w:w="1155" w:type="dxa"/>
            <w:shd w:val="clear" w:color="auto" w:fill="C6D9F1" w:themeFill="text2" w:themeFillTint="33"/>
            <w:vAlign w:val="center"/>
            <w:hideMark/>
          </w:tcPr>
          <w:p w14:paraId="5AD39D8D" w14:textId="2A68312B" w:rsidR="008A10E5" w:rsidRPr="009F560B" w:rsidRDefault="008A10E5" w:rsidP="003911BE">
            <w:pPr>
              <w:jc w:val="both"/>
              <w:rPr>
                <w:rFonts w:asciiTheme="majorHAnsi" w:hAnsiTheme="majorHAnsi" w:cstheme="minorHAnsi"/>
                <w:b/>
                <w:bCs/>
                <w:color w:val="000000"/>
                <w:sz w:val="22"/>
                <w:szCs w:val="22"/>
                <w:lang w:eastAsia="en-IN"/>
              </w:rPr>
            </w:pPr>
            <w:r w:rsidRPr="009F560B">
              <w:rPr>
                <w:rFonts w:asciiTheme="majorHAnsi" w:hAnsiTheme="majorHAnsi" w:cstheme="minorHAnsi"/>
                <w:b/>
                <w:bCs/>
                <w:color w:val="000000"/>
                <w:sz w:val="22"/>
                <w:szCs w:val="22"/>
                <w:lang w:eastAsia="en-IN"/>
              </w:rPr>
              <w:t>R</w:t>
            </w:r>
            <w:r w:rsidR="00F024C4" w:rsidRPr="009F560B">
              <w:rPr>
                <w:rFonts w:asciiTheme="majorHAnsi" w:hAnsiTheme="majorHAnsi" w:cstheme="minorHAnsi"/>
                <w:b/>
                <w:bCs/>
                <w:color w:val="000000"/>
                <w:sz w:val="22"/>
                <w:szCs w:val="22"/>
                <w:lang w:eastAsia="en-IN"/>
              </w:rPr>
              <w:t>ourkela</w:t>
            </w:r>
          </w:p>
        </w:tc>
        <w:tc>
          <w:tcPr>
            <w:tcW w:w="1325" w:type="dxa"/>
            <w:shd w:val="clear" w:color="auto" w:fill="C6D9F1" w:themeFill="text2" w:themeFillTint="33"/>
            <w:vAlign w:val="center"/>
            <w:hideMark/>
          </w:tcPr>
          <w:p w14:paraId="03501D2B" w14:textId="14C29E1A" w:rsidR="008A10E5" w:rsidRPr="009F560B" w:rsidRDefault="008A10E5" w:rsidP="003911BE">
            <w:pPr>
              <w:jc w:val="both"/>
              <w:rPr>
                <w:rFonts w:asciiTheme="majorHAnsi" w:hAnsiTheme="majorHAnsi" w:cstheme="minorHAnsi"/>
                <w:b/>
                <w:bCs/>
                <w:color w:val="000000"/>
                <w:sz w:val="22"/>
                <w:szCs w:val="22"/>
                <w:lang w:eastAsia="en-IN"/>
              </w:rPr>
            </w:pPr>
            <w:r w:rsidRPr="009F560B">
              <w:rPr>
                <w:rFonts w:asciiTheme="majorHAnsi" w:hAnsiTheme="majorHAnsi" w:cstheme="minorHAnsi"/>
                <w:b/>
                <w:bCs/>
                <w:color w:val="000000"/>
                <w:sz w:val="22"/>
                <w:szCs w:val="22"/>
                <w:lang w:eastAsia="en-IN"/>
              </w:rPr>
              <w:t>S</w:t>
            </w:r>
            <w:r w:rsidR="00F024C4" w:rsidRPr="009F560B">
              <w:rPr>
                <w:rFonts w:asciiTheme="majorHAnsi" w:hAnsiTheme="majorHAnsi" w:cstheme="minorHAnsi"/>
                <w:b/>
                <w:bCs/>
                <w:color w:val="000000"/>
                <w:sz w:val="22"/>
                <w:szCs w:val="22"/>
                <w:lang w:eastAsia="en-IN"/>
              </w:rPr>
              <w:t>ambalpur</w:t>
            </w:r>
          </w:p>
        </w:tc>
        <w:tc>
          <w:tcPr>
            <w:tcW w:w="1046" w:type="dxa"/>
            <w:shd w:val="clear" w:color="auto" w:fill="C6D9F1" w:themeFill="text2" w:themeFillTint="33"/>
            <w:vAlign w:val="center"/>
            <w:hideMark/>
          </w:tcPr>
          <w:p w14:paraId="337BA029" w14:textId="47BC4D0E" w:rsidR="008A10E5" w:rsidRPr="009F560B" w:rsidRDefault="008A10E5" w:rsidP="003911BE">
            <w:pPr>
              <w:jc w:val="both"/>
              <w:rPr>
                <w:rFonts w:asciiTheme="majorHAnsi" w:hAnsiTheme="majorHAnsi" w:cstheme="minorHAnsi"/>
                <w:b/>
                <w:bCs/>
                <w:color w:val="000000"/>
                <w:sz w:val="22"/>
                <w:szCs w:val="22"/>
                <w:lang w:eastAsia="en-IN"/>
              </w:rPr>
            </w:pPr>
            <w:r w:rsidRPr="009F560B">
              <w:rPr>
                <w:rFonts w:asciiTheme="majorHAnsi" w:hAnsiTheme="majorHAnsi" w:cstheme="minorHAnsi"/>
                <w:b/>
                <w:bCs/>
                <w:color w:val="000000"/>
                <w:sz w:val="22"/>
                <w:szCs w:val="22"/>
                <w:lang w:eastAsia="en-IN"/>
              </w:rPr>
              <w:t>B</w:t>
            </w:r>
            <w:r w:rsidR="00F024C4" w:rsidRPr="009F560B">
              <w:rPr>
                <w:rFonts w:asciiTheme="majorHAnsi" w:hAnsiTheme="majorHAnsi" w:cstheme="minorHAnsi"/>
                <w:b/>
                <w:bCs/>
                <w:color w:val="000000"/>
                <w:sz w:val="22"/>
                <w:szCs w:val="22"/>
                <w:lang w:eastAsia="en-IN"/>
              </w:rPr>
              <w:t>argarh</w:t>
            </w:r>
          </w:p>
        </w:tc>
        <w:tc>
          <w:tcPr>
            <w:tcW w:w="1090" w:type="dxa"/>
            <w:shd w:val="clear" w:color="auto" w:fill="C6D9F1" w:themeFill="text2" w:themeFillTint="33"/>
            <w:vAlign w:val="center"/>
            <w:hideMark/>
          </w:tcPr>
          <w:p w14:paraId="28BC1ED0" w14:textId="28A64CEB" w:rsidR="008A10E5" w:rsidRPr="009F560B" w:rsidRDefault="008A10E5" w:rsidP="003911BE">
            <w:pPr>
              <w:jc w:val="both"/>
              <w:rPr>
                <w:rFonts w:asciiTheme="majorHAnsi" w:hAnsiTheme="majorHAnsi" w:cstheme="minorHAnsi"/>
                <w:b/>
                <w:bCs/>
                <w:color w:val="000000"/>
                <w:sz w:val="22"/>
                <w:szCs w:val="22"/>
                <w:lang w:eastAsia="en-IN"/>
              </w:rPr>
            </w:pPr>
            <w:r w:rsidRPr="009F560B">
              <w:rPr>
                <w:rFonts w:asciiTheme="majorHAnsi" w:hAnsiTheme="majorHAnsi" w:cstheme="minorHAnsi"/>
                <w:b/>
                <w:bCs/>
                <w:color w:val="000000"/>
                <w:sz w:val="22"/>
                <w:szCs w:val="22"/>
                <w:lang w:eastAsia="en-IN"/>
              </w:rPr>
              <w:t>B</w:t>
            </w:r>
            <w:r w:rsidR="009E7094">
              <w:rPr>
                <w:rFonts w:asciiTheme="majorHAnsi" w:hAnsiTheme="majorHAnsi" w:cstheme="minorHAnsi"/>
                <w:b/>
                <w:bCs/>
                <w:color w:val="000000"/>
                <w:sz w:val="22"/>
                <w:szCs w:val="22"/>
                <w:lang w:eastAsia="en-IN"/>
              </w:rPr>
              <w:t>o</w:t>
            </w:r>
            <w:r w:rsidR="00F024C4" w:rsidRPr="009F560B">
              <w:rPr>
                <w:rFonts w:asciiTheme="majorHAnsi" w:hAnsiTheme="majorHAnsi" w:cstheme="minorHAnsi"/>
                <w:b/>
                <w:bCs/>
                <w:color w:val="000000"/>
                <w:sz w:val="22"/>
                <w:szCs w:val="22"/>
                <w:lang w:eastAsia="en-IN"/>
              </w:rPr>
              <w:t>langir</w:t>
            </w:r>
          </w:p>
        </w:tc>
        <w:tc>
          <w:tcPr>
            <w:tcW w:w="1254" w:type="dxa"/>
            <w:shd w:val="clear" w:color="auto" w:fill="C6D9F1" w:themeFill="text2" w:themeFillTint="33"/>
            <w:vAlign w:val="center"/>
            <w:hideMark/>
          </w:tcPr>
          <w:p w14:paraId="53F6DAD7" w14:textId="5345F43F" w:rsidR="008A10E5" w:rsidRPr="009F560B" w:rsidRDefault="008A10E5" w:rsidP="003911BE">
            <w:pPr>
              <w:jc w:val="both"/>
              <w:rPr>
                <w:rFonts w:asciiTheme="majorHAnsi" w:hAnsiTheme="majorHAnsi" w:cstheme="minorHAnsi"/>
                <w:b/>
                <w:bCs/>
                <w:color w:val="000000"/>
                <w:sz w:val="22"/>
                <w:szCs w:val="22"/>
                <w:lang w:eastAsia="en-IN"/>
              </w:rPr>
            </w:pPr>
            <w:r w:rsidRPr="009F560B">
              <w:rPr>
                <w:rFonts w:asciiTheme="majorHAnsi" w:hAnsiTheme="majorHAnsi" w:cstheme="minorHAnsi"/>
                <w:b/>
                <w:bCs/>
                <w:color w:val="000000"/>
                <w:sz w:val="22"/>
                <w:szCs w:val="22"/>
                <w:lang w:eastAsia="en-IN"/>
              </w:rPr>
              <w:t>K</w:t>
            </w:r>
            <w:r w:rsidR="00F024C4" w:rsidRPr="00F024C4">
              <w:rPr>
                <w:rFonts w:asciiTheme="majorHAnsi" w:hAnsiTheme="majorHAnsi" w:cstheme="minorHAnsi"/>
                <w:b/>
                <w:bCs/>
                <w:color w:val="000000"/>
                <w:sz w:val="22"/>
                <w:szCs w:val="22"/>
                <w:lang w:eastAsia="en-IN"/>
              </w:rPr>
              <w:t>alahandi</w:t>
            </w:r>
          </w:p>
        </w:tc>
      </w:tr>
      <w:tr w:rsidR="008D3D08" w:rsidRPr="009F560B" w14:paraId="50D68B5B" w14:textId="77777777" w:rsidTr="009E7094">
        <w:trPr>
          <w:trHeight w:val="290"/>
          <w:jc w:val="center"/>
        </w:trPr>
        <w:tc>
          <w:tcPr>
            <w:tcW w:w="849" w:type="dxa"/>
            <w:vAlign w:val="center"/>
          </w:tcPr>
          <w:p w14:paraId="237D81B3" w14:textId="77777777" w:rsidR="008D3D08" w:rsidRPr="009F560B" w:rsidRDefault="008D3D08" w:rsidP="008D3D08">
            <w:pPr>
              <w:jc w:val="center"/>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Total</w:t>
            </w:r>
          </w:p>
        </w:tc>
        <w:tc>
          <w:tcPr>
            <w:tcW w:w="1155" w:type="dxa"/>
            <w:vAlign w:val="center"/>
          </w:tcPr>
          <w:p w14:paraId="20E58466" w14:textId="2E91081B" w:rsidR="008D3D08" w:rsidRPr="009F560B" w:rsidRDefault="008D3D08" w:rsidP="008D3D08">
            <w:pPr>
              <w:jc w:val="center"/>
              <w:rPr>
                <w:rFonts w:asciiTheme="majorHAnsi" w:hAnsiTheme="majorHAnsi" w:cstheme="minorHAnsi"/>
                <w:color w:val="000000"/>
                <w:sz w:val="22"/>
                <w:szCs w:val="22"/>
                <w:lang w:eastAsia="en-IN"/>
              </w:rPr>
            </w:pPr>
            <w:r>
              <w:rPr>
                <w:rFonts w:asciiTheme="majorHAnsi" w:hAnsiTheme="majorHAnsi" w:cstheme="minorHAnsi"/>
                <w:color w:val="000000"/>
                <w:sz w:val="22"/>
                <w:szCs w:val="22"/>
                <w:lang w:eastAsia="en-IN"/>
              </w:rPr>
              <w:t>17042</w:t>
            </w:r>
          </w:p>
        </w:tc>
        <w:tc>
          <w:tcPr>
            <w:tcW w:w="1325" w:type="dxa"/>
            <w:vAlign w:val="center"/>
          </w:tcPr>
          <w:p w14:paraId="201504C3" w14:textId="0C33B4CF" w:rsidR="008D3D08" w:rsidRPr="009F560B" w:rsidRDefault="008D3D08" w:rsidP="008D3D08">
            <w:pPr>
              <w:jc w:val="center"/>
              <w:rPr>
                <w:rFonts w:asciiTheme="majorHAnsi" w:hAnsiTheme="majorHAnsi" w:cstheme="minorHAnsi"/>
                <w:color w:val="000000"/>
                <w:sz w:val="22"/>
                <w:szCs w:val="22"/>
                <w:lang w:eastAsia="en-IN"/>
              </w:rPr>
            </w:pPr>
            <w:r>
              <w:rPr>
                <w:rFonts w:asciiTheme="majorHAnsi" w:hAnsiTheme="majorHAnsi" w:cstheme="minorHAnsi"/>
                <w:color w:val="000000"/>
                <w:sz w:val="22"/>
                <w:szCs w:val="22"/>
                <w:lang w:eastAsia="en-IN"/>
              </w:rPr>
              <w:t>19333</w:t>
            </w:r>
          </w:p>
        </w:tc>
        <w:tc>
          <w:tcPr>
            <w:tcW w:w="1046" w:type="dxa"/>
            <w:vAlign w:val="center"/>
          </w:tcPr>
          <w:p w14:paraId="61648029" w14:textId="04B52070" w:rsidR="008D3D08" w:rsidRPr="009F560B" w:rsidRDefault="008D3D08" w:rsidP="008D3D08">
            <w:pPr>
              <w:jc w:val="center"/>
              <w:rPr>
                <w:rFonts w:asciiTheme="majorHAnsi" w:hAnsiTheme="majorHAnsi" w:cstheme="minorHAnsi"/>
                <w:color w:val="000000"/>
                <w:sz w:val="22"/>
                <w:szCs w:val="22"/>
                <w:lang w:eastAsia="en-IN"/>
              </w:rPr>
            </w:pPr>
            <w:r>
              <w:rPr>
                <w:rFonts w:asciiTheme="majorHAnsi" w:hAnsiTheme="majorHAnsi" w:cstheme="minorHAnsi"/>
                <w:color w:val="000000"/>
                <w:sz w:val="22"/>
                <w:szCs w:val="22"/>
                <w:lang w:eastAsia="en-IN"/>
              </w:rPr>
              <w:t>12980</w:t>
            </w:r>
          </w:p>
        </w:tc>
        <w:tc>
          <w:tcPr>
            <w:tcW w:w="1090" w:type="dxa"/>
            <w:vAlign w:val="center"/>
          </w:tcPr>
          <w:p w14:paraId="67957E22" w14:textId="1DC862CC" w:rsidR="008D3D08" w:rsidRPr="009F560B" w:rsidRDefault="008D3D08" w:rsidP="008D3D08">
            <w:pPr>
              <w:jc w:val="center"/>
              <w:rPr>
                <w:rFonts w:asciiTheme="majorHAnsi" w:hAnsiTheme="majorHAnsi" w:cstheme="minorHAnsi"/>
                <w:color w:val="000000"/>
                <w:sz w:val="22"/>
                <w:szCs w:val="22"/>
                <w:lang w:eastAsia="en-IN"/>
              </w:rPr>
            </w:pPr>
            <w:r>
              <w:rPr>
                <w:rFonts w:asciiTheme="majorHAnsi" w:hAnsiTheme="majorHAnsi" w:cstheme="minorHAnsi"/>
                <w:color w:val="000000"/>
                <w:sz w:val="22"/>
                <w:szCs w:val="22"/>
                <w:lang w:eastAsia="en-IN"/>
              </w:rPr>
              <w:t>18531</w:t>
            </w:r>
          </w:p>
        </w:tc>
        <w:tc>
          <w:tcPr>
            <w:tcW w:w="1254" w:type="dxa"/>
            <w:vAlign w:val="center"/>
          </w:tcPr>
          <w:p w14:paraId="6D14C500" w14:textId="597FEFDE" w:rsidR="008D3D08" w:rsidRPr="009F560B" w:rsidRDefault="008D3D08" w:rsidP="008D3D08">
            <w:pPr>
              <w:jc w:val="center"/>
              <w:rPr>
                <w:rFonts w:asciiTheme="majorHAnsi" w:hAnsiTheme="majorHAnsi" w:cstheme="minorHAnsi"/>
                <w:color w:val="000000"/>
                <w:sz w:val="22"/>
                <w:szCs w:val="22"/>
                <w:lang w:eastAsia="en-IN"/>
              </w:rPr>
            </w:pPr>
            <w:r>
              <w:rPr>
                <w:rFonts w:asciiTheme="majorHAnsi" w:hAnsiTheme="majorHAnsi" w:cstheme="minorHAnsi"/>
                <w:color w:val="000000"/>
                <w:sz w:val="22"/>
                <w:szCs w:val="22"/>
                <w:lang w:eastAsia="en-IN"/>
              </w:rPr>
              <w:t>16656</w:t>
            </w:r>
          </w:p>
        </w:tc>
      </w:tr>
    </w:tbl>
    <w:p w14:paraId="51AD13B9" w14:textId="77777777" w:rsidR="008A10E5" w:rsidRPr="009F560B" w:rsidRDefault="008A10E5" w:rsidP="008A10E5">
      <w:pPr>
        <w:jc w:val="both"/>
        <w:rPr>
          <w:rFonts w:asciiTheme="majorHAnsi" w:hAnsiTheme="majorHAnsi" w:cstheme="minorHAnsi"/>
        </w:rPr>
      </w:pPr>
    </w:p>
    <w:p w14:paraId="77DA8F19" w14:textId="46AA997D" w:rsidR="008A10E5" w:rsidRPr="009E7094" w:rsidRDefault="008A10E5" w:rsidP="001972DE">
      <w:pPr>
        <w:pStyle w:val="ListParagraph"/>
        <w:numPr>
          <w:ilvl w:val="0"/>
          <w:numId w:val="8"/>
        </w:numPr>
        <w:spacing w:after="160" w:line="259" w:lineRule="auto"/>
        <w:ind w:left="1560"/>
        <w:jc w:val="both"/>
        <w:rPr>
          <w:rFonts w:asciiTheme="majorHAnsi" w:hAnsiTheme="majorHAnsi" w:cstheme="minorHAnsi"/>
          <w:b/>
          <w:bCs/>
          <w:sz w:val="24"/>
          <w:szCs w:val="24"/>
        </w:rPr>
      </w:pPr>
      <w:r w:rsidRPr="009E7094">
        <w:rPr>
          <w:rFonts w:asciiTheme="majorHAnsi" w:hAnsiTheme="majorHAnsi" w:cstheme="minorHAnsi"/>
          <w:sz w:val="24"/>
          <w:szCs w:val="24"/>
        </w:rPr>
        <w:t>Below</w:t>
      </w:r>
      <w:r w:rsidRPr="009E7094">
        <w:rPr>
          <w:rFonts w:asciiTheme="majorHAnsi" w:hAnsiTheme="majorHAnsi" w:cstheme="minorHAnsi"/>
          <w:b/>
          <w:bCs/>
          <w:sz w:val="24"/>
          <w:szCs w:val="24"/>
        </w:rPr>
        <w:t xml:space="preserve"> </w:t>
      </w:r>
      <w:r w:rsidR="007E0C3E" w:rsidRPr="009E7094">
        <w:rPr>
          <w:rFonts w:asciiTheme="majorHAnsi" w:hAnsiTheme="majorHAnsi" w:cstheme="minorHAnsi"/>
          <w:sz w:val="24"/>
          <w:szCs w:val="24"/>
        </w:rPr>
        <w:t>d</w:t>
      </w:r>
      <w:r w:rsidRPr="009E7094">
        <w:rPr>
          <w:rFonts w:asciiTheme="majorHAnsi" w:hAnsiTheme="majorHAnsi" w:cstheme="minorHAnsi"/>
          <w:sz w:val="24"/>
          <w:szCs w:val="24"/>
        </w:rPr>
        <w:t xml:space="preserve">etails </w:t>
      </w:r>
      <w:r w:rsidR="007E2A83" w:rsidRPr="009E7094">
        <w:rPr>
          <w:rFonts w:asciiTheme="majorHAnsi" w:hAnsiTheme="majorHAnsi" w:cstheme="minorHAnsi"/>
          <w:sz w:val="24"/>
          <w:szCs w:val="24"/>
        </w:rPr>
        <w:t>show</w:t>
      </w:r>
      <w:r w:rsidRPr="009E7094">
        <w:rPr>
          <w:rFonts w:asciiTheme="majorHAnsi" w:hAnsiTheme="majorHAnsi" w:cstheme="minorHAnsi"/>
          <w:sz w:val="24"/>
          <w:szCs w:val="24"/>
        </w:rPr>
        <w:t xml:space="preserve"> Capacity Wise DTs installed in TPWODL.</w:t>
      </w:r>
    </w:p>
    <w:tbl>
      <w:tblPr>
        <w:tblW w:w="8647" w:type="dxa"/>
        <w:tblInd w:w="562" w:type="dxa"/>
        <w:tblLook w:val="04A0" w:firstRow="1" w:lastRow="0" w:firstColumn="1" w:lastColumn="0" w:noHBand="0" w:noVBand="1"/>
      </w:tblPr>
      <w:tblGrid>
        <w:gridCol w:w="1547"/>
        <w:gridCol w:w="2989"/>
        <w:gridCol w:w="4111"/>
      </w:tblGrid>
      <w:tr w:rsidR="009E3386" w:rsidRPr="009F560B" w14:paraId="79894109" w14:textId="77777777" w:rsidTr="000F221E">
        <w:trPr>
          <w:trHeight w:val="276"/>
          <w:tblHeader/>
        </w:trPr>
        <w:tc>
          <w:tcPr>
            <w:tcW w:w="15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E1BB7A3" w14:textId="77777777" w:rsidR="009E3386" w:rsidRPr="009F560B" w:rsidRDefault="009E3386" w:rsidP="000F221E">
            <w:pPr>
              <w:contextualSpacing/>
              <w:jc w:val="center"/>
              <w:rPr>
                <w:rFonts w:asciiTheme="majorHAnsi" w:hAnsiTheme="majorHAnsi" w:cstheme="minorHAnsi"/>
                <w:b/>
                <w:bCs/>
                <w:color w:val="FFFFFF"/>
                <w:sz w:val="22"/>
                <w:szCs w:val="22"/>
                <w:lang w:eastAsia="en-IN"/>
              </w:rPr>
            </w:pPr>
            <w:r w:rsidRPr="009F560B">
              <w:rPr>
                <w:rFonts w:asciiTheme="majorHAnsi" w:hAnsiTheme="majorHAnsi" w:cstheme="minorHAnsi"/>
                <w:b/>
                <w:bCs/>
                <w:color w:val="000000" w:themeColor="text1"/>
                <w:sz w:val="22"/>
                <w:szCs w:val="22"/>
                <w:lang w:eastAsia="en-IN"/>
              </w:rPr>
              <w:t>Circle Name</w:t>
            </w:r>
          </w:p>
        </w:tc>
        <w:tc>
          <w:tcPr>
            <w:tcW w:w="298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860BFE2" w14:textId="77777777" w:rsidR="009E3386" w:rsidRPr="009F560B" w:rsidRDefault="009E3386" w:rsidP="000F221E">
            <w:pPr>
              <w:contextualSpacing/>
              <w:jc w:val="center"/>
              <w:rPr>
                <w:rFonts w:asciiTheme="majorHAnsi" w:hAnsiTheme="majorHAnsi" w:cstheme="minorHAnsi"/>
                <w:b/>
                <w:bCs/>
                <w:color w:val="FFFFFF"/>
                <w:sz w:val="22"/>
                <w:szCs w:val="22"/>
                <w:lang w:eastAsia="en-IN"/>
              </w:rPr>
            </w:pPr>
            <w:r w:rsidRPr="009F560B">
              <w:rPr>
                <w:rFonts w:asciiTheme="majorHAnsi" w:hAnsiTheme="majorHAnsi" w:cstheme="minorHAnsi"/>
                <w:b/>
                <w:bCs/>
                <w:color w:val="000000" w:themeColor="text1"/>
                <w:sz w:val="22"/>
                <w:szCs w:val="22"/>
                <w:lang w:eastAsia="en-IN"/>
              </w:rPr>
              <w:t>Capacity</w:t>
            </w:r>
          </w:p>
        </w:tc>
        <w:tc>
          <w:tcPr>
            <w:tcW w:w="411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2AE0882" w14:textId="77777777" w:rsidR="009E3386" w:rsidRPr="009F560B" w:rsidRDefault="009E3386" w:rsidP="000F221E">
            <w:pPr>
              <w:contextualSpacing/>
              <w:jc w:val="center"/>
              <w:rPr>
                <w:rFonts w:asciiTheme="majorHAnsi" w:hAnsiTheme="majorHAnsi" w:cstheme="minorHAnsi"/>
                <w:b/>
                <w:bCs/>
                <w:color w:val="FFFFFF"/>
                <w:sz w:val="22"/>
                <w:szCs w:val="22"/>
                <w:lang w:eastAsia="en-IN"/>
              </w:rPr>
            </w:pPr>
            <w:r w:rsidRPr="009F560B">
              <w:rPr>
                <w:rFonts w:asciiTheme="majorHAnsi" w:hAnsiTheme="majorHAnsi" w:cstheme="minorHAnsi"/>
                <w:b/>
                <w:bCs/>
                <w:color w:val="000000" w:themeColor="text1"/>
                <w:sz w:val="22"/>
                <w:szCs w:val="22"/>
                <w:lang w:eastAsia="en-IN"/>
              </w:rPr>
              <w:t>Total DTs installed in our system</w:t>
            </w:r>
          </w:p>
        </w:tc>
      </w:tr>
      <w:tr w:rsidR="009E3386" w:rsidRPr="009F560B" w14:paraId="21240107" w14:textId="77777777" w:rsidTr="000F221E">
        <w:trPr>
          <w:trHeight w:val="288"/>
        </w:trPr>
        <w:tc>
          <w:tcPr>
            <w:tcW w:w="1547" w:type="dxa"/>
            <w:vMerge w:val="restart"/>
            <w:tcBorders>
              <w:top w:val="nil"/>
              <w:left w:val="single" w:sz="4" w:space="0" w:color="auto"/>
              <w:bottom w:val="single" w:sz="4" w:space="0" w:color="auto"/>
              <w:right w:val="single" w:sz="4" w:space="0" w:color="auto"/>
            </w:tcBorders>
            <w:vAlign w:val="center"/>
            <w:hideMark/>
          </w:tcPr>
          <w:p w14:paraId="2190DFFF" w14:textId="77777777"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Rourkela</w:t>
            </w:r>
          </w:p>
        </w:tc>
        <w:tc>
          <w:tcPr>
            <w:tcW w:w="2989" w:type="dxa"/>
            <w:tcBorders>
              <w:top w:val="nil"/>
              <w:left w:val="nil"/>
              <w:bottom w:val="single" w:sz="4" w:space="0" w:color="auto"/>
              <w:right w:val="single" w:sz="4" w:space="0" w:color="auto"/>
            </w:tcBorders>
            <w:vAlign w:val="center"/>
            <w:hideMark/>
          </w:tcPr>
          <w:p w14:paraId="4DEDF880" w14:textId="77777777"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10</w:t>
            </w:r>
            <w:r>
              <w:rPr>
                <w:rFonts w:asciiTheme="majorHAnsi" w:hAnsiTheme="majorHAnsi" w:cstheme="minorHAnsi"/>
                <w:color w:val="000000"/>
                <w:sz w:val="22"/>
                <w:szCs w:val="22"/>
                <w:lang w:eastAsia="en-IN"/>
              </w:rPr>
              <w:t xml:space="preserve"> kVA</w:t>
            </w:r>
            <w:r w:rsidRPr="009F560B">
              <w:rPr>
                <w:rFonts w:asciiTheme="majorHAnsi" w:hAnsiTheme="majorHAnsi" w:cstheme="minorHAnsi"/>
                <w:color w:val="000000"/>
                <w:sz w:val="22"/>
                <w:szCs w:val="22"/>
                <w:lang w:eastAsia="en-IN"/>
              </w:rPr>
              <w:t xml:space="preserve"> TO 63</w:t>
            </w:r>
            <w:r>
              <w:rPr>
                <w:rFonts w:asciiTheme="majorHAnsi" w:hAnsiTheme="majorHAnsi" w:cstheme="minorHAnsi"/>
                <w:color w:val="000000"/>
                <w:sz w:val="22"/>
                <w:szCs w:val="22"/>
                <w:lang w:eastAsia="en-IN"/>
              </w:rPr>
              <w:t xml:space="preserve"> kVA</w:t>
            </w:r>
            <w:r w:rsidRPr="009F560B">
              <w:rPr>
                <w:rFonts w:asciiTheme="majorHAnsi" w:hAnsiTheme="majorHAnsi" w:cstheme="minorHAnsi"/>
                <w:color w:val="000000"/>
                <w:sz w:val="22"/>
                <w:szCs w:val="22"/>
                <w:lang w:eastAsia="en-IN"/>
              </w:rPr>
              <w:t xml:space="preserve"> </w:t>
            </w:r>
          </w:p>
        </w:tc>
        <w:tc>
          <w:tcPr>
            <w:tcW w:w="4111" w:type="dxa"/>
            <w:tcBorders>
              <w:top w:val="nil"/>
              <w:left w:val="nil"/>
              <w:bottom w:val="single" w:sz="4" w:space="0" w:color="auto"/>
              <w:right w:val="single" w:sz="4" w:space="0" w:color="auto"/>
            </w:tcBorders>
            <w:noWrap/>
            <w:vAlign w:val="center"/>
            <w:hideMark/>
          </w:tcPr>
          <w:p w14:paraId="3D632F8D" w14:textId="77777777" w:rsidR="009E3386" w:rsidRPr="009F560B" w:rsidRDefault="009E3386" w:rsidP="000F221E">
            <w:pPr>
              <w:contextualSpacing/>
              <w:jc w:val="center"/>
              <w:rPr>
                <w:rFonts w:asciiTheme="majorHAnsi" w:hAnsiTheme="majorHAnsi" w:cstheme="minorHAnsi"/>
                <w:color w:val="000000"/>
                <w:sz w:val="22"/>
                <w:szCs w:val="22"/>
                <w:lang w:eastAsia="en-IN"/>
              </w:rPr>
            </w:pPr>
            <w:r>
              <w:rPr>
                <w:rFonts w:asciiTheme="majorHAnsi" w:hAnsiTheme="majorHAnsi" w:cstheme="minorHAnsi"/>
                <w:color w:val="000000"/>
                <w:sz w:val="22"/>
                <w:szCs w:val="22"/>
                <w:lang w:eastAsia="en-IN"/>
              </w:rPr>
              <w:t>14501</w:t>
            </w:r>
          </w:p>
        </w:tc>
      </w:tr>
      <w:tr w:rsidR="009E3386" w:rsidRPr="009F560B" w14:paraId="791CB76C" w14:textId="77777777" w:rsidTr="000F221E">
        <w:trPr>
          <w:trHeight w:val="288"/>
        </w:trPr>
        <w:tc>
          <w:tcPr>
            <w:tcW w:w="1547" w:type="dxa"/>
            <w:vMerge/>
            <w:tcBorders>
              <w:top w:val="nil"/>
              <w:left w:val="single" w:sz="4" w:space="0" w:color="auto"/>
              <w:bottom w:val="single" w:sz="4" w:space="0" w:color="auto"/>
              <w:right w:val="single" w:sz="4" w:space="0" w:color="auto"/>
            </w:tcBorders>
            <w:vAlign w:val="center"/>
            <w:hideMark/>
          </w:tcPr>
          <w:p w14:paraId="7D4823FC" w14:textId="77777777" w:rsidR="009E3386" w:rsidRPr="009F560B" w:rsidRDefault="009E3386" w:rsidP="000F221E">
            <w:pPr>
              <w:contextualSpacing/>
              <w:jc w:val="both"/>
              <w:rPr>
                <w:rFonts w:asciiTheme="majorHAnsi" w:hAnsiTheme="majorHAnsi" w:cstheme="minorHAnsi"/>
                <w:color w:val="000000"/>
                <w:sz w:val="22"/>
                <w:szCs w:val="22"/>
                <w:lang w:eastAsia="en-IN"/>
              </w:rPr>
            </w:pPr>
          </w:p>
        </w:tc>
        <w:tc>
          <w:tcPr>
            <w:tcW w:w="2989" w:type="dxa"/>
            <w:tcBorders>
              <w:top w:val="nil"/>
              <w:left w:val="nil"/>
              <w:bottom w:val="single" w:sz="4" w:space="0" w:color="auto"/>
              <w:right w:val="single" w:sz="4" w:space="0" w:color="auto"/>
            </w:tcBorders>
            <w:vAlign w:val="center"/>
            <w:hideMark/>
          </w:tcPr>
          <w:p w14:paraId="53996E76" w14:textId="77777777"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 xml:space="preserve">100 </w:t>
            </w:r>
            <w:r>
              <w:rPr>
                <w:rFonts w:asciiTheme="majorHAnsi" w:hAnsiTheme="majorHAnsi" w:cstheme="minorHAnsi"/>
                <w:color w:val="000000"/>
                <w:sz w:val="22"/>
                <w:szCs w:val="22"/>
                <w:lang w:eastAsia="en-IN"/>
              </w:rPr>
              <w:t>kVA</w:t>
            </w:r>
            <w:r w:rsidRPr="009F560B">
              <w:rPr>
                <w:rFonts w:asciiTheme="majorHAnsi" w:hAnsiTheme="majorHAnsi" w:cstheme="minorHAnsi"/>
                <w:color w:val="000000"/>
                <w:sz w:val="22"/>
                <w:szCs w:val="22"/>
                <w:lang w:eastAsia="en-IN"/>
              </w:rPr>
              <w:t xml:space="preserve"> TO 200</w:t>
            </w:r>
            <w:r>
              <w:rPr>
                <w:rFonts w:asciiTheme="majorHAnsi" w:hAnsiTheme="majorHAnsi" w:cstheme="minorHAnsi"/>
                <w:color w:val="000000"/>
                <w:sz w:val="22"/>
                <w:szCs w:val="22"/>
                <w:lang w:eastAsia="en-IN"/>
              </w:rPr>
              <w:t xml:space="preserve"> kVA</w:t>
            </w:r>
          </w:p>
        </w:tc>
        <w:tc>
          <w:tcPr>
            <w:tcW w:w="4111" w:type="dxa"/>
            <w:tcBorders>
              <w:top w:val="nil"/>
              <w:left w:val="nil"/>
              <w:bottom w:val="single" w:sz="4" w:space="0" w:color="auto"/>
              <w:right w:val="single" w:sz="4" w:space="0" w:color="auto"/>
            </w:tcBorders>
            <w:noWrap/>
            <w:vAlign w:val="center"/>
            <w:hideMark/>
          </w:tcPr>
          <w:p w14:paraId="402F7EB5" w14:textId="77777777" w:rsidR="009E3386" w:rsidRPr="009F560B" w:rsidRDefault="009E3386" w:rsidP="000F221E">
            <w:pPr>
              <w:contextualSpacing/>
              <w:jc w:val="center"/>
              <w:rPr>
                <w:rFonts w:asciiTheme="majorHAnsi" w:hAnsiTheme="majorHAnsi" w:cstheme="minorHAnsi"/>
                <w:color w:val="000000"/>
                <w:sz w:val="22"/>
                <w:szCs w:val="22"/>
                <w:lang w:eastAsia="en-IN"/>
              </w:rPr>
            </w:pPr>
            <w:r>
              <w:rPr>
                <w:rFonts w:asciiTheme="majorHAnsi" w:hAnsiTheme="majorHAnsi" w:cstheme="minorHAnsi"/>
                <w:color w:val="000000"/>
                <w:sz w:val="22"/>
                <w:szCs w:val="22"/>
                <w:lang w:eastAsia="en-IN"/>
              </w:rPr>
              <w:t>1765</w:t>
            </w:r>
          </w:p>
        </w:tc>
      </w:tr>
      <w:tr w:rsidR="009E3386" w:rsidRPr="009F560B" w14:paraId="2CAD9877" w14:textId="77777777" w:rsidTr="000F221E">
        <w:trPr>
          <w:trHeight w:val="288"/>
        </w:trPr>
        <w:tc>
          <w:tcPr>
            <w:tcW w:w="1547" w:type="dxa"/>
            <w:vMerge/>
            <w:tcBorders>
              <w:top w:val="nil"/>
              <w:left w:val="single" w:sz="4" w:space="0" w:color="auto"/>
              <w:bottom w:val="single" w:sz="4" w:space="0" w:color="auto"/>
              <w:right w:val="single" w:sz="4" w:space="0" w:color="auto"/>
            </w:tcBorders>
            <w:vAlign w:val="center"/>
            <w:hideMark/>
          </w:tcPr>
          <w:p w14:paraId="5DB5A9FC" w14:textId="77777777" w:rsidR="009E3386" w:rsidRPr="009F560B" w:rsidRDefault="009E3386" w:rsidP="000F221E">
            <w:pPr>
              <w:contextualSpacing/>
              <w:jc w:val="both"/>
              <w:rPr>
                <w:rFonts w:asciiTheme="majorHAnsi" w:hAnsiTheme="majorHAnsi" w:cstheme="minorHAnsi"/>
                <w:color w:val="000000"/>
                <w:sz w:val="22"/>
                <w:szCs w:val="22"/>
                <w:lang w:eastAsia="en-IN"/>
              </w:rPr>
            </w:pPr>
          </w:p>
        </w:tc>
        <w:tc>
          <w:tcPr>
            <w:tcW w:w="2989" w:type="dxa"/>
            <w:tcBorders>
              <w:top w:val="nil"/>
              <w:left w:val="nil"/>
              <w:bottom w:val="single" w:sz="4" w:space="0" w:color="auto"/>
              <w:right w:val="single" w:sz="4" w:space="0" w:color="auto"/>
            </w:tcBorders>
            <w:vAlign w:val="center"/>
            <w:hideMark/>
          </w:tcPr>
          <w:p w14:paraId="1D471D36" w14:textId="77777777"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 xml:space="preserve"> 250</w:t>
            </w:r>
            <w:r>
              <w:rPr>
                <w:rFonts w:asciiTheme="majorHAnsi" w:hAnsiTheme="majorHAnsi" w:cstheme="minorHAnsi"/>
                <w:color w:val="000000"/>
                <w:sz w:val="22"/>
                <w:szCs w:val="22"/>
                <w:lang w:eastAsia="en-IN"/>
              </w:rPr>
              <w:t xml:space="preserve"> kVA</w:t>
            </w:r>
            <w:r w:rsidRPr="009F560B">
              <w:rPr>
                <w:rFonts w:asciiTheme="majorHAnsi" w:hAnsiTheme="majorHAnsi" w:cstheme="minorHAnsi"/>
                <w:color w:val="000000"/>
                <w:sz w:val="22"/>
                <w:szCs w:val="22"/>
                <w:lang w:eastAsia="en-IN"/>
              </w:rPr>
              <w:t xml:space="preserve"> TO 500 </w:t>
            </w:r>
            <w:r>
              <w:rPr>
                <w:rFonts w:asciiTheme="majorHAnsi" w:hAnsiTheme="majorHAnsi" w:cstheme="minorHAnsi"/>
                <w:color w:val="000000"/>
                <w:sz w:val="22"/>
                <w:szCs w:val="22"/>
                <w:lang w:eastAsia="en-IN"/>
              </w:rPr>
              <w:t>kVA</w:t>
            </w:r>
            <w:r w:rsidRPr="009F560B">
              <w:rPr>
                <w:rFonts w:asciiTheme="majorHAnsi" w:hAnsiTheme="majorHAnsi" w:cstheme="minorHAnsi"/>
                <w:color w:val="000000"/>
                <w:sz w:val="22"/>
                <w:szCs w:val="22"/>
                <w:lang w:eastAsia="en-IN"/>
              </w:rPr>
              <w:t xml:space="preserve"> </w:t>
            </w:r>
          </w:p>
        </w:tc>
        <w:tc>
          <w:tcPr>
            <w:tcW w:w="4111" w:type="dxa"/>
            <w:tcBorders>
              <w:top w:val="nil"/>
              <w:left w:val="nil"/>
              <w:bottom w:val="single" w:sz="4" w:space="0" w:color="auto"/>
              <w:right w:val="single" w:sz="4" w:space="0" w:color="auto"/>
            </w:tcBorders>
            <w:noWrap/>
            <w:vAlign w:val="center"/>
            <w:hideMark/>
          </w:tcPr>
          <w:p w14:paraId="4C387356" w14:textId="77777777" w:rsidR="009E3386" w:rsidRPr="009F560B" w:rsidRDefault="009E3386" w:rsidP="000F221E">
            <w:pPr>
              <w:contextualSpacing/>
              <w:jc w:val="center"/>
              <w:rPr>
                <w:rFonts w:asciiTheme="majorHAnsi" w:hAnsiTheme="majorHAnsi" w:cstheme="minorHAnsi"/>
                <w:color w:val="000000"/>
                <w:sz w:val="22"/>
                <w:szCs w:val="22"/>
                <w:lang w:eastAsia="en-IN"/>
              </w:rPr>
            </w:pPr>
            <w:r>
              <w:rPr>
                <w:rFonts w:asciiTheme="majorHAnsi" w:hAnsiTheme="majorHAnsi" w:cstheme="minorHAnsi"/>
                <w:color w:val="000000"/>
                <w:sz w:val="22"/>
                <w:szCs w:val="22"/>
                <w:lang w:eastAsia="en-IN"/>
              </w:rPr>
              <w:t>747</w:t>
            </w:r>
          </w:p>
        </w:tc>
      </w:tr>
      <w:tr w:rsidR="009E3386" w:rsidRPr="009F560B" w14:paraId="7A266B35" w14:textId="77777777" w:rsidTr="000F221E">
        <w:trPr>
          <w:trHeight w:val="288"/>
        </w:trPr>
        <w:tc>
          <w:tcPr>
            <w:tcW w:w="1547" w:type="dxa"/>
            <w:vMerge/>
            <w:tcBorders>
              <w:top w:val="nil"/>
              <w:left w:val="single" w:sz="4" w:space="0" w:color="auto"/>
              <w:bottom w:val="single" w:sz="4" w:space="0" w:color="auto"/>
              <w:right w:val="single" w:sz="4" w:space="0" w:color="auto"/>
            </w:tcBorders>
            <w:vAlign w:val="center"/>
            <w:hideMark/>
          </w:tcPr>
          <w:p w14:paraId="1ABEC820" w14:textId="77777777" w:rsidR="009E3386" w:rsidRPr="009F560B" w:rsidRDefault="009E3386" w:rsidP="000F221E">
            <w:pPr>
              <w:contextualSpacing/>
              <w:jc w:val="both"/>
              <w:rPr>
                <w:rFonts w:asciiTheme="majorHAnsi" w:hAnsiTheme="majorHAnsi" w:cstheme="minorHAnsi"/>
                <w:color w:val="000000"/>
                <w:sz w:val="22"/>
                <w:szCs w:val="22"/>
                <w:lang w:eastAsia="en-IN"/>
              </w:rPr>
            </w:pPr>
          </w:p>
        </w:tc>
        <w:tc>
          <w:tcPr>
            <w:tcW w:w="2989" w:type="dxa"/>
            <w:tcBorders>
              <w:top w:val="nil"/>
              <w:left w:val="nil"/>
              <w:bottom w:val="single" w:sz="4" w:space="0" w:color="auto"/>
              <w:right w:val="single" w:sz="4" w:space="0" w:color="auto"/>
            </w:tcBorders>
            <w:vAlign w:val="center"/>
            <w:hideMark/>
          </w:tcPr>
          <w:p w14:paraId="241044A0" w14:textId="77777777"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 xml:space="preserve">630 </w:t>
            </w:r>
            <w:r>
              <w:rPr>
                <w:rFonts w:asciiTheme="majorHAnsi" w:hAnsiTheme="majorHAnsi" w:cstheme="minorHAnsi"/>
                <w:color w:val="000000"/>
                <w:sz w:val="22"/>
                <w:szCs w:val="22"/>
                <w:lang w:eastAsia="en-IN"/>
              </w:rPr>
              <w:t>kVA</w:t>
            </w:r>
            <w:r w:rsidRPr="009F560B">
              <w:rPr>
                <w:rFonts w:asciiTheme="majorHAnsi" w:hAnsiTheme="majorHAnsi" w:cstheme="minorHAnsi"/>
                <w:color w:val="000000"/>
                <w:sz w:val="22"/>
                <w:szCs w:val="22"/>
                <w:lang w:eastAsia="en-IN"/>
              </w:rPr>
              <w:t xml:space="preserve"> TO 1</w:t>
            </w:r>
            <w:r>
              <w:rPr>
                <w:rFonts w:asciiTheme="majorHAnsi" w:hAnsiTheme="majorHAnsi" w:cstheme="minorHAnsi"/>
                <w:color w:val="000000"/>
                <w:sz w:val="22"/>
                <w:szCs w:val="22"/>
                <w:lang w:eastAsia="en-IN"/>
              </w:rPr>
              <w:t>6</w:t>
            </w:r>
            <w:r w:rsidRPr="009F560B">
              <w:rPr>
                <w:rFonts w:asciiTheme="majorHAnsi" w:hAnsiTheme="majorHAnsi" w:cstheme="minorHAnsi"/>
                <w:color w:val="000000"/>
                <w:sz w:val="22"/>
                <w:szCs w:val="22"/>
                <w:lang w:eastAsia="en-IN"/>
              </w:rPr>
              <w:t>00</w:t>
            </w:r>
            <w:r>
              <w:rPr>
                <w:rFonts w:asciiTheme="majorHAnsi" w:hAnsiTheme="majorHAnsi" w:cstheme="minorHAnsi"/>
                <w:color w:val="000000"/>
                <w:sz w:val="22"/>
                <w:szCs w:val="22"/>
                <w:lang w:eastAsia="en-IN"/>
              </w:rPr>
              <w:t xml:space="preserve"> kVA</w:t>
            </w:r>
          </w:p>
        </w:tc>
        <w:tc>
          <w:tcPr>
            <w:tcW w:w="4111" w:type="dxa"/>
            <w:tcBorders>
              <w:top w:val="nil"/>
              <w:left w:val="nil"/>
              <w:bottom w:val="single" w:sz="4" w:space="0" w:color="auto"/>
              <w:right w:val="single" w:sz="4" w:space="0" w:color="auto"/>
            </w:tcBorders>
            <w:noWrap/>
            <w:vAlign w:val="center"/>
            <w:hideMark/>
          </w:tcPr>
          <w:p w14:paraId="1F256F2A" w14:textId="77777777" w:rsidR="009E3386" w:rsidRPr="009F560B" w:rsidRDefault="009E3386" w:rsidP="000F221E">
            <w:pPr>
              <w:contextualSpacing/>
              <w:jc w:val="center"/>
              <w:rPr>
                <w:rFonts w:asciiTheme="majorHAnsi" w:hAnsiTheme="majorHAnsi" w:cstheme="minorHAnsi"/>
                <w:color w:val="000000"/>
                <w:sz w:val="22"/>
                <w:szCs w:val="22"/>
                <w:lang w:eastAsia="en-IN"/>
              </w:rPr>
            </w:pPr>
            <w:r>
              <w:rPr>
                <w:rFonts w:asciiTheme="majorHAnsi" w:hAnsiTheme="majorHAnsi" w:cstheme="minorHAnsi"/>
                <w:color w:val="000000"/>
                <w:sz w:val="22"/>
                <w:szCs w:val="22"/>
                <w:lang w:eastAsia="en-IN"/>
              </w:rPr>
              <w:t>29</w:t>
            </w:r>
          </w:p>
        </w:tc>
      </w:tr>
      <w:tr w:rsidR="009E3386" w:rsidRPr="009F560B" w14:paraId="242A8A6D" w14:textId="77777777" w:rsidTr="000F221E">
        <w:trPr>
          <w:trHeight w:val="288"/>
        </w:trPr>
        <w:tc>
          <w:tcPr>
            <w:tcW w:w="1547" w:type="dxa"/>
            <w:vMerge w:val="restart"/>
            <w:tcBorders>
              <w:top w:val="nil"/>
              <w:left w:val="single" w:sz="4" w:space="0" w:color="auto"/>
              <w:bottom w:val="single" w:sz="4" w:space="0" w:color="auto"/>
              <w:right w:val="single" w:sz="4" w:space="0" w:color="auto"/>
            </w:tcBorders>
            <w:vAlign w:val="center"/>
            <w:hideMark/>
          </w:tcPr>
          <w:p w14:paraId="2EEBBF00" w14:textId="77777777"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Sambalpur</w:t>
            </w:r>
          </w:p>
        </w:tc>
        <w:tc>
          <w:tcPr>
            <w:tcW w:w="2989" w:type="dxa"/>
            <w:tcBorders>
              <w:top w:val="nil"/>
              <w:left w:val="nil"/>
              <w:bottom w:val="single" w:sz="4" w:space="0" w:color="auto"/>
              <w:right w:val="single" w:sz="4" w:space="0" w:color="auto"/>
            </w:tcBorders>
            <w:vAlign w:val="center"/>
            <w:hideMark/>
          </w:tcPr>
          <w:p w14:paraId="250B2876" w14:textId="77777777"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10</w:t>
            </w:r>
            <w:r>
              <w:rPr>
                <w:rFonts w:asciiTheme="majorHAnsi" w:hAnsiTheme="majorHAnsi" w:cstheme="minorHAnsi"/>
                <w:color w:val="000000"/>
                <w:sz w:val="22"/>
                <w:szCs w:val="22"/>
                <w:lang w:eastAsia="en-IN"/>
              </w:rPr>
              <w:t xml:space="preserve"> kVA</w:t>
            </w:r>
            <w:r w:rsidRPr="009F560B">
              <w:rPr>
                <w:rFonts w:asciiTheme="majorHAnsi" w:hAnsiTheme="majorHAnsi" w:cstheme="minorHAnsi"/>
                <w:color w:val="000000"/>
                <w:sz w:val="22"/>
                <w:szCs w:val="22"/>
                <w:lang w:eastAsia="en-IN"/>
              </w:rPr>
              <w:t xml:space="preserve"> TO 63</w:t>
            </w:r>
            <w:r>
              <w:rPr>
                <w:rFonts w:asciiTheme="majorHAnsi" w:hAnsiTheme="majorHAnsi" w:cstheme="minorHAnsi"/>
                <w:color w:val="000000"/>
                <w:sz w:val="22"/>
                <w:szCs w:val="22"/>
                <w:lang w:eastAsia="en-IN"/>
              </w:rPr>
              <w:t xml:space="preserve"> kVA</w:t>
            </w:r>
            <w:r w:rsidRPr="009F560B">
              <w:rPr>
                <w:rFonts w:asciiTheme="majorHAnsi" w:hAnsiTheme="majorHAnsi" w:cstheme="minorHAnsi"/>
                <w:color w:val="000000"/>
                <w:sz w:val="22"/>
                <w:szCs w:val="22"/>
                <w:lang w:eastAsia="en-IN"/>
              </w:rPr>
              <w:t xml:space="preserve"> </w:t>
            </w:r>
          </w:p>
        </w:tc>
        <w:tc>
          <w:tcPr>
            <w:tcW w:w="4111" w:type="dxa"/>
            <w:tcBorders>
              <w:top w:val="nil"/>
              <w:left w:val="nil"/>
              <w:bottom w:val="single" w:sz="4" w:space="0" w:color="auto"/>
              <w:right w:val="single" w:sz="4" w:space="0" w:color="auto"/>
            </w:tcBorders>
            <w:noWrap/>
            <w:vAlign w:val="center"/>
            <w:hideMark/>
          </w:tcPr>
          <w:p w14:paraId="381BF8F4" w14:textId="77777777" w:rsidR="009E3386" w:rsidRPr="009F560B" w:rsidRDefault="009E3386" w:rsidP="000F221E">
            <w:pPr>
              <w:contextualSpacing/>
              <w:jc w:val="center"/>
              <w:rPr>
                <w:rFonts w:asciiTheme="majorHAnsi" w:hAnsiTheme="majorHAnsi" w:cstheme="minorHAnsi"/>
                <w:color w:val="000000"/>
                <w:sz w:val="22"/>
                <w:szCs w:val="22"/>
                <w:lang w:eastAsia="en-IN"/>
              </w:rPr>
            </w:pPr>
            <w:r>
              <w:rPr>
                <w:rFonts w:asciiTheme="majorHAnsi" w:hAnsiTheme="majorHAnsi" w:cstheme="minorHAnsi"/>
                <w:color w:val="000000"/>
                <w:sz w:val="22"/>
                <w:szCs w:val="22"/>
                <w:lang w:eastAsia="en-IN"/>
              </w:rPr>
              <w:t>15788</w:t>
            </w:r>
          </w:p>
        </w:tc>
      </w:tr>
      <w:tr w:rsidR="009E3386" w:rsidRPr="009F560B" w14:paraId="15017F3B" w14:textId="77777777" w:rsidTr="000F221E">
        <w:trPr>
          <w:trHeight w:val="288"/>
        </w:trPr>
        <w:tc>
          <w:tcPr>
            <w:tcW w:w="1547" w:type="dxa"/>
            <w:vMerge/>
            <w:tcBorders>
              <w:top w:val="nil"/>
              <w:left w:val="single" w:sz="4" w:space="0" w:color="auto"/>
              <w:bottom w:val="single" w:sz="4" w:space="0" w:color="auto"/>
              <w:right w:val="single" w:sz="4" w:space="0" w:color="auto"/>
            </w:tcBorders>
            <w:vAlign w:val="center"/>
            <w:hideMark/>
          </w:tcPr>
          <w:p w14:paraId="0F0D2CA6" w14:textId="77777777" w:rsidR="009E3386" w:rsidRPr="009F560B" w:rsidRDefault="009E3386" w:rsidP="000F221E">
            <w:pPr>
              <w:contextualSpacing/>
              <w:jc w:val="both"/>
              <w:rPr>
                <w:rFonts w:asciiTheme="majorHAnsi" w:hAnsiTheme="majorHAnsi" w:cstheme="minorHAnsi"/>
                <w:color w:val="000000"/>
                <w:sz w:val="22"/>
                <w:szCs w:val="22"/>
                <w:lang w:eastAsia="en-IN"/>
              </w:rPr>
            </w:pPr>
          </w:p>
        </w:tc>
        <w:tc>
          <w:tcPr>
            <w:tcW w:w="2989" w:type="dxa"/>
            <w:tcBorders>
              <w:top w:val="nil"/>
              <w:left w:val="nil"/>
              <w:bottom w:val="single" w:sz="4" w:space="0" w:color="auto"/>
              <w:right w:val="single" w:sz="4" w:space="0" w:color="auto"/>
            </w:tcBorders>
            <w:vAlign w:val="center"/>
            <w:hideMark/>
          </w:tcPr>
          <w:p w14:paraId="0776A6DD" w14:textId="77777777"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 xml:space="preserve">100 </w:t>
            </w:r>
            <w:r>
              <w:rPr>
                <w:rFonts w:asciiTheme="majorHAnsi" w:hAnsiTheme="majorHAnsi" w:cstheme="minorHAnsi"/>
                <w:color w:val="000000"/>
                <w:sz w:val="22"/>
                <w:szCs w:val="22"/>
                <w:lang w:eastAsia="en-IN"/>
              </w:rPr>
              <w:t>kVA</w:t>
            </w:r>
            <w:r w:rsidRPr="009F560B">
              <w:rPr>
                <w:rFonts w:asciiTheme="majorHAnsi" w:hAnsiTheme="majorHAnsi" w:cstheme="minorHAnsi"/>
                <w:color w:val="000000"/>
                <w:sz w:val="22"/>
                <w:szCs w:val="22"/>
                <w:lang w:eastAsia="en-IN"/>
              </w:rPr>
              <w:t xml:space="preserve"> TO 200</w:t>
            </w:r>
            <w:r>
              <w:rPr>
                <w:rFonts w:asciiTheme="majorHAnsi" w:hAnsiTheme="majorHAnsi" w:cstheme="minorHAnsi"/>
                <w:color w:val="000000"/>
                <w:sz w:val="22"/>
                <w:szCs w:val="22"/>
                <w:lang w:eastAsia="en-IN"/>
              </w:rPr>
              <w:t xml:space="preserve"> kVA</w:t>
            </w:r>
          </w:p>
        </w:tc>
        <w:tc>
          <w:tcPr>
            <w:tcW w:w="4111" w:type="dxa"/>
            <w:tcBorders>
              <w:top w:val="nil"/>
              <w:left w:val="nil"/>
              <w:bottom w:val="single" w:sz="4" w:space="0" w:color="auto"/>
              <w:right w:val="single" w:sz="4" w:space="0" w:color="auto"/>
            </w:tcBorders>
            <w:noWrap/>
            <w:vAlign w:val="center"/>
            <w:hideMark/>
          </w:tcPr>
          <w:p w14:paraId="6DEC157E" w14:textId="77777777" w:rsidR="009E3386" w:rsidRPr="009F560B" w:rsidRDefault="009E3386" w:rsidP="000F221E">
            <w:pPr>
              <w:contextualSpacing/>
              <w:jc w:val="center"/>
              <w:rPr>
                <w:rFonts w:asciiTheme="majorHAnsi" w:hAnsiTheme="majorHAnsi" w:cstheme="minorHAnsi"/>
                <w:color w:val="000000"/>
                <w:sz w:val="22"/>
                <w:szCs w:val="22"/>
                <w:lang w:eastAsia="en-IN"/>
              </w:rPr>
            </w:pPr>
            <w:r>
              <w:rPr>
                <w:rFonts w:asciiTheme="majorHAnsi" w:hAnsiTheme="majorHAnsi" w:cstheme="minorHAnsi"/>
                <w:color w:val="000000"/>
                <w:sz w:val="22"/>
                <w:szCs w:val="22"/>
                <w:lang w:eastAsia="en-IN"/>
              </w:rPr>
              <w:t>2499</w:t>
            </w:r>
          </w:p>
        </w:tc>
      </w:tr>
      <w:tr w:rsidR="009E3386" w:rsidRPr="009F560B" w14:paraId="6665128D" w14:textId="77777777" w:rsidTr="000F221E">
        <w:trPr>
          <w:trHeight w:val="288"/>
        </w:trPr>
        <w:tc>
          <w:tcPr>
            <w:tcW w:w="1547" w:type="dxa"/>
            <w:vMerge/>
            <w:tcBorders>
              <w:top w:val="nil"/>
              <w:left w:val="single" w:sz="4" w:space="0" w:color="auto"/>
              <w:bottom w:val="single" w:sz="4" w:space="0" w:color="auto"/>
              <w:right w:val="single" w:sz="4" w:space="0" w:color="auto"/>
            </w:tcBorders>
            <w:vAlign w:val="center"/>
            <w:hideMark/>
          </w:tcPr>
          <w:p w14:paraId="757AC908" w14:textId="77777777" w:rsidR="009E3386" w:rsidRPr="009F560B" w:rsidRDefault="009E3386" w:rsidP="000F221E">
            <w:pPr>
              <w:contextualSpacing/>
              <w:jc w:val="both"/>
              <w:rPr>
                <w:rFonts w:asciiTheme="majorHAnsi" w:hAnsiTheme="majorHAnsi" w:cstheme="minorHAnsi"/>
                <w:color w:val="000000"/>
                <w:sz w:val="22"/>
                <w:szCs w:val="22"/>
                <w:lang w:eastAsia="en-IN"/>
              </w:rPr>
            </w:pPr>
          </w:p>
        </w:tc>
        <w:tc>
          <w:tcPr>
            <w:tcW w:w="2989" w:type="dxa"/>
            <w:tcBorders>
              <w:top w:val="nil"/>
              <w:left w:val="nil"/>
              <w:bottom w:val="single" w:sz="4" w:space="0" w:color="auto"/>
              <w:right w:val="single" w:sz="4" w:space="0" w:color="auto"/>
            </w:tcBorders>
            <w:vAlign w:val="center"/>
            <w:hideMark/>
          </w:tcPr>
          <w:p w14:paraId="027F2681" w14:textId="77777777"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 xml:space="preserve"> 250</w:t>
            </w:r>
            <w:r>
              <w:rPr>
                <w:rFonts w:asciiTheme="majorHAnsi" w:hAnsiTheme="majorHAnsi" w:cstheme="minorHAnsi"/>
                <w:color w:val="000000"/>
                <w:sz w:val="22"/>
                <w:szCs w:val="22"/>
                <w:lang w:eastAsia="en-IN"/>
              </w:rPr>
              <w:t xml:space="preserve"> kVA</w:t>
            </w:r>
            <w:r w:rsidRPr="009F560B">
              <w:rPr>
                <w:rFonts w:asciiTheme="majorHAnsi" w:hAnsiTheme="majorHAnsi" w:cstheme="minorHAnsi"/>
                <w:color w:val="000000"/>
                <w:sz w:val="22"/>
                <w:szCs w:val="22"/>
                <w:lang w:eastAsia="en-IN"/>
              </w:rPr>
              <w:t xml:space="preserve"> TO 500 </w:t>
            </w:r>
            <w:r>
              <w:rPr>
                <w:rFonts w:asciiTheme="majorHAnsi" w:hAnsiTheme="majorHAnsi" w:cstheme="minorHAnsi"/>
                <w:color w:val="000000"/>
                <w:sz w:val="22"/>
                <w:szCs w:val="22"/>
                <w:lang w:eastAsia="en-IN"/>
              </w:rPr>
              <w:t>kVA</w:t>
            </w:r>
            <w:r w:rsidRPr="009F560B">
              <w:rPr>
                <w:rFonts w:asciiTheme="majorHAnsi" w:hAnsiTheme="majorHAnsi" w:cstheme="minorHAnsi"/>
                <w:color w:val="000000"/>
                <w:sz w:val="22"/>
                <w:szCs w:val="22"/>
                <w:lang w:eastAsia="en-IN"/>
              </w:rPr>
              <w:t xml:space="preserve"> </w:t>
            </w:r>
          </w:p>
        </w:tc>
        <w:tc>
          <w:tcPr>
            <w:tcW w:w="4111" w:type="dxa"/>
            <w:tcBorders>
              <w:top w:val="nil"/>
              <w:left w:val="nil"/>
              <w:bottom w:val="single" w:sz="4" w:space="0" w:color="auto"/>
              <w:right w:val="single" w:sz="4" w:space="0" w:color="auto"/>
            </w:tcBorders>
            <w:noWrap/>
            <w:vAlign w:val="center"/>
            <w:hideMark/>
          </w:tcPr>
          <w:p w14:paraId="62F4DA3C" w14:textId="77777777" w:rsidR="009E3386" w:rsidRPr="009F560B" w:rsidRDefault="009E3386" w:rsidP="000F221E">
            <w:pPr>
              <w:contextualSpacing/>
              <w:jc w:val="center"/>
              <w:rPr>
                <w:rFonts w:asciiTheme="majorHAnsi" w:hAnsiTheme="majorHAnsi" w:cstheme="minorHAnsi"/>
                <w:color w:val="000000"/>
                <w:sz w:val="22"/>
                <w:szCs w:val="22"/>
                <w:lang w:eastAsia="en-IN"/>
              </w:rPr>
            </w:pPr>
            <w:r>
              <w:rPr>
                <w:rFonts w:asciiTheme="majorHAnsi" w:hAnsiTheme="majorHAnsi" w:cstheme="minorHAnsi"/>
                <w:color w:val="000000"/>
                <w:sz w:val="22"/>
                <w:szCs w:val="22"/>
                <w:lang w:eastAsia="en-IN"/>
              </w:rPr>
              <w:t>1005</w:t>
            </w:r>
          </w:p>
        </w:tc>
      </w:tr>
      <w:tr w:rsidR="009E3386" w:rsidRPr="009F560B" w14:paraId="36DA0D15" w14:textId="77777777" w:rsidTr="000F221E">
        <w:trPr>
          <w:trHeight w:val="288"/>
        </w:trPr>
        <w:tc>
          <w:tcPr>
            <w:tcW w:w="1547" w:type="dxa"/>
            <w:vMerge/>
            <w:tcBorders>
              <w:top w:val="nil"/>
              <w:left w:val="single" w:sz="4" w:space="0" w:color="auto"/>
              <w:bottom w:val="single" w:sz="4" w:space="0" w:color="auto"/>
              <w:right w:val="single" w:sz="4" w:space="0" w:color="auto"/>
            </w:tcBorders>
            <w:vAlign w:val="center"/>
            <w:hideMark/>
          </w:tcPr>
          <w:p w14:paraId="4E85AB80" w14:textId="77777777" w:rsidR="009E3386" w:rsidRPr="009F560B" w:rsidRDefault="009E3386" w:rsidP="000F221E">
            <w:pPr>
              <w:contextualSpacing/>
              <w:jc w:val="both"/>
              <w:rPr>
                <w:rFonts w:asciiTheme="majorHAnsi" w:hAnsiTheme="majorHAnsi" w:cstheme="minorHAnsi"/>
                <w:color w:val="000000"/>
                <w:sz w:val="22"/>
                <w:szCs w:val="22"/>
                <w:lang w:eastAsia="en-IN"/>
              </w:rPr>
            </w:pPr>
          </w:p>
        </w:tc>
        <w:tc>
          <w:tcPr>
            <w:tcW w:w="2989" w:type="dxa"/>
            <w:tcBorders>
              <w:top w:val="nil"/>
              <w:left w:val="nil"/>
              <w:bottom w:val="single" w:sz="4" w:space="0" w:color="auto"/>
              <w:right w:val="single" w:sz="4" w:space="0" w:color="auto"/>
            </w:tcBorders>
            <w:vAlign w:val="center"/>
            <w:hideMark/>
          </w:tcPr>
          <w:p w14:paraId="79112623" w14:textId="77777777"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 xml:space="preserve">630 </w:t>
            </w:r>
            <w:r>
              <w:rPr>
                <w:rFonts w:asciiTheme="majorHAnsi" w:hAnsiTheme="majorHAnsi" w:cstheme="minorHAnsi"/>
                <w:color w:val="000000"/>
                <w:sz w:val="22"/>
                <w:szCs w:val="22"/>
                <w:lang w:eastAsia="en-IN"/>
              </w:rPr>
              <w:t>kVA</w:t>
            </w:r>
            <w:r w:rsidRPr="009F560B">
              <w:rPr>
                <w:rFonts w:asciiTheme="majorHAnsi" w:hAnsiTheme="majorHAnsi" w:cstheme="minorHAnsi"/>
                <w:color w:val="000000"/>
                <w:sz w:val="22"/>
                <w:szCs w:val="22"/>
                <w:lang w:eastAsia="en-IN"/>
              </w:rPr>
              <w:t xml:space="preserve"> TO 1</w:t>
            </w:r>
            <w:r>
              <w:rPr>
                <w:rFonts w:asciiTheme="majorHAnsi" w:hAnsiTheme="majorHAnsi" w:cstheme="minorHAnsi"/>
                <w:color w:val="000000"/>
                <w:sz w:val="22"/>
                <w:szCs w:val="22"/>
                <w:lang w:eastAsia="en-IN"/>
              </w:rPr>
              <w:t>6</w:t>
            </w:r>
            <w:r w:rsidRPr="009F560B">
              <w:rPr>
                <w:rFonts w:asciiTheme="majorHAnsi" w:hAnsiTheme="majorHAnsi" w:cstheme="minorHAnsi"/>
                <w:color w:val="000000"/>
                <w:sz w:val="22"/>
                <w:szCs w:val="22"/>
                <w:lang w:eastAsia="en-IN"/>
              </w:rPr>
              <w:t>00</w:t>
            </w:r>
            <w:r>
              <w:rPr>
                <w:rFonts w:asciiTheme="majorHAnsi" w:hAnsiTheme="majorHAnsi" w:cstheme="minorHAnsi"/>
                <w:color w:val="000000"/>
                <w:sz w:val="22"/>
                <w:szCs w:val="22"/>
                <w:lang w:eastAsia="en-IN"/>
              </w:rPr>
              <w:t xml:space="preserve"> kVA</w:t>
            </w:r>
          </w:p>
        </w:tc>
        <w:tc>
          <w:tcPr>
            <w:tcW w:w="4111" w:type="dxa"/>
            <w:tcBorders>
              <w:top w:val="nil"/>
              <w:left w:val="nil"/>
              <w:bottom w:val="single" w:sz="4" w:space="0" w:color="auto"/>
              <w:right w:val="single" w:sz="4" w:space="0" w:color="auto"/>
            </w:tcBorders>
            <w:noWrap/>
            <w:vAlign w:val="center"/>
            <w:hideMark/>
          </w:tcPr>
          <w:p w14:paraId="21F10859" w14:textId="77777777" w:rsidR="009E3386" w:rsidRPr="009F560B" w:rsidRDefault="009E3386" w:rsidP="000F221E">
            <w:pPr>
              <w:contextualSpacing/>
              <w:jc w:val="center"/>
              <w:rPr>
                <w:rFonts w:asciiTheme="majorHAnsi" w:hAnsiTheme="majorHAnsi" w:cstheme="minorHAnsi"/>
                <w:color w:val="000000"/>
                <w:sz w:val="22"/>
                <w:szCs w:val="22"/>
                <w:lang w:eastAsia="en-IN"/>
              </w:rPr>
            </w:pPr>
            <w:r>
              <w:rPr>
                <w:rFonts w:asciiTheme="majorHAnsi" w:hAnsiTheme="majorHAnsi" w:cstheme="minorHAnsi"/>
                <w:color w:val="000000"/>
                <w:sz w:val="22"/>
                <w:szCs w:val="22"/>
                <w:lang w:eastAsia="en-IN"/>
              </w:rPr>
              <w:t>41</w:t>
            </w:r>
          </w:p>
        </w:tc>
      </w:tr>
      <w:tr w:rsidR="009E3386" w:rsidRPr="009F560B" w14:paraId="0E9F3C03" w14:textId="77777777" w:rsidTr="000F221E">
        <w:trPr>
          <w:trHeight w:val="288"/>
        </w:trPr>
        <w:tc>
          <w:tcPr>
            <w:tcW w:w="1547" w:type="dxa"/>
            <w:vMerge w:val="restart"/>
            <w:tcBorders>
              <w:top w:val="nil"/>
              <w:left w:val="single" w:sz="4" w:space="0" w:color="auto"/>
              <w:bottom w:val="single" w:sz="4" w:space="0" w:color="auto"/>
              <w:right w:val="single" w:sz="4" w:space="0" w:color="auto"/>
            </w:tcBorders>
            <w:vAlign w:val="center"/>
            <w:hideMark/>
          </w:tcPr>
          <w:p w14:paraId="6634B4CB" w14:textId="77777777"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Bargarh</w:t>
            </w:r>
          </w:p>
        </w:tc>
        <w:tc>
          <w:tcPr>
            <w:tcW w:w="2989" w:type="dxa"/>
            <w:tcBorders>
              <w:top w:val="nil"/>
              <w:left w:val="nil"/>
              <w:bottom w:val="single" w:sz="4" w:space="0" w:color="auto"/>
              <w:right w:val="single" w:sz="4" w:space="0" w:color="auto"/>
            </w:tcBorders>
            <w:vAlign w:val="center"/>
            <w:hideMark/>
          </w:tcPr>
          <w:p w14:paraId="0F08CB9B" w14:textId="77777777"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10</w:t>
            </w:r>
            <w:r>
              <w:rPr>
                <w:rFonts w:asciiTheme="majorHAnsi" w:hAnsiTheme="majorHAnsi" w:cstheme="minorHAnsi"/>
                <w:color w:val="000000"/>
                <w:sz w:val="22"/>
                <w:szCs w:val="22"/>
                <w:lang w:eastAsia="en-IN"/>
              </w:rPr>
              <w:t xml:space="preserve"> kVA</w:t>
            </w:r>
            <w:r w:rsidRPr="009F560B">
              <w:rPr>
                <w:rFonts w:asciiTheme="majorHAnsi" w:hAnsiTheme="majorHAnsi" w:cstheme="minorHAnsi"/>
                <w:color w:val="000000"/>
                <w:sz w:val="22"/>
                <w:szCs w:val="22"/>
                <w:lang w:eastAsia="en-IN"/>
              </w:rPr>
              <w:t xml:space="preserve"> TO 63</w:t>
            </w:r>
            <w:r>
              <w:rPr>
                <w:rFonts w:asciiTheme="majorHAnsi" w:hAnsiTheme="majorHAnsi" w:cstheme="minorHAnsi"/>
                <w:color w:val="000000"/>
                <w:sz w:val="22"/>
                <w:szCs w:val="22"/>
                <w:lang w:eastAsia="en-IN"/>
              </w:rPr>
              <w:t xml:space="preserve"> kVA</w:t>
            </w:r>
            <w:r w:rsidRPr="009F560B">
              <w:rPr>
                <w:rFonts w:asciiTheme="majorHAnsi" w:hAnsiTheme="majorHAnsi" w:cstheme="minorHAnsi"/>
                <w:color w:val="000000"/>
                <w:sz w:val="22"/>
                <w:szCs w:val="22"/>
                <w:lang w:eastAsia="en-IN"/>
              </w:rPr>
              <w:t xml:space="preserve"> </w:t>
            </w:r>
          </w:p>
        </w:tc>
        <w:tc>
          <w:tcPr>
            <w:tcW w:w="4111" w:type="dxa"/>
            <w:tcBorders>
              <w:top w:val="nil"/>
              <w:left w:val="nil"/>
              <w:bottom w:val="single" w:sz="4" w:space="0" w:color="auto"/>
              <w:right w:val="single" w:sz="4" w:space="0" w:color="auto"/>
            </w:tcBorders>
            <w:noWrap/>
            <w:vAlign w:val="center"/>
            <w:hideMark/>
          </w:tcPr>
          <w:p w14:paraId="5F77B673" w14:textId="77777777" w:rsidR="009E3386" w:rsidRPr="009F560B" w:rsidRDefault="009E3386" w:rsidP="000F221E">
            <w:pPr>
              <w:contextualSpacing/>
              <w:jc w:val="center"/>
              <w:rPr>
                <w:rFonts w:asciiTheme="majorHAnsi" w:hAnsiTheme="majorHAnsi" w:cstheme="minorHAnsi"/>
                <w:color w:val="000000"/>
                <w:sz w:val="22"/>
                <w:szCs w:val="22"/>
                <w:lang w:eastAsia="en-IN"/>
              </w:rPr>
            </w:pPr>
            <w:r>
              <w:rPr>
                <w:rFonts w:asciiTheme="majorHAnsi" w:hAnsiTheme="majorHAnsi" w:cstheme="minorHAnsi"/>
                <w:color w:val="000000"/>
                <w:sz w:val="22"/>
                <w:szCs w:val="22"/>
                <w:lang w:eastAsia="en-IN"/>
              </w:rPr>
              <w:t>10619</w:t>
            </w:r>
          </w:p>
        </w:tc>
      </w:tr>
      <w:tr w:rsidR="009E3386" w:rsidRPr="009F560B" w14:paraId="17303E05" w14:textId="77777777" w:rsidTr="000F221E">
        <w:trPr>
          <w:trHeight w:val="288"/>
        </w:trPr>
        <w:tc>
          <w:tcPr>
            <w:tcW w:w="1547" w:type="dxa"/>
            <w:vMerge/>
            <w:tcBorders>
              <w:top w:val="nil"/>
              <w:left w:val="single" w:sz="4" w:space="0" w:color="auto"/>
              <w:bottom w:val="single" w:sz="4" w:space="0" w:color="auto"/>
              <w:right w:val="single" w:sz="4" w:space="0" w:color="auto"/>
            </w:tcBorders>
            <w:vAlign w:val="center"/>
            <w:hideMark/>
          </w:tcPr>
          <w:p w14:paraId="0DCDF797" w14:textId="77777777" w:rsidR="009E3386" w:rsidRPr="009F560B" w:rsidRDefault="009E3386" w:rsidP="000F221E">
            <w:pPr>
              <w:contextualSpacing/>
              <w:jc w:val="both"/>
              <w:rPr>
                <w:rFonts w:asciiTheme="majorHAnsi" w:hAnsiTheme="majorHAnsi" w:cstheme="minorHAnsi"/>
                <w:color w:val="000000"/>
                <w:sz w:val="22"/>
                <w:szCs w:val="22"/>
                <w:lang w:eastAsia="en-IN"/>
              </w:rPr>
            </w:pPr>
          </w:p>
        </w:tc>
        <w:tc>
          <w:tcPr>
            <w:tcW w:w="2989" w:type="dxa"/>
            <w:tcBorders>
              <w:top w:val="nil"/>
              <w:left w:val="nil"/>
              <w:bottom w:val="single" w:sz="4" w:space="0" w:color="auto"/>
              <w:right w:val="single" w:sz="4" w:space="0" w:color="auto"/>
            </w:tcBorders>
            <w:vAlign w:val="center"/>
            <w:hideMark/>
          </w:tcPr>
          <w:p w14:paraId="31A00DAF" w14:textId="77777777"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 xml:space="preserve">100 </w:t>
            </w:r>
            <w:r>
              <w:rPr>
                <w:rFonts w:asciiTheme="majorHAnsi" w:hAnsiTheme="majorHAnsi" w:cstheme="minorHAnsi"/>
                <w:color w:val="000000"/>
                <w:sz w:val="22"/>
                <w:szCs w:val="22"/>
                <w:lang w:eastAsia="en-IN"/>
              </w:rPr>
              <w:t>kVA</w:t>
            </w:r>
            <w:r w:rsidRPr="009F560B">
              <w:rPr>
                <w:rFonts w:asciiTheme="majorHAnsi" w:hAnsiTheme="majorHAnsi" w:cstheme="minorHAnsi"/>
                <w:color w:val="000000"/>
                <w:sz w:val="22"/>
                <w:szCs w:val="22"/>
                <w:lang w:eastAsia="en-IN"/>
              </w:rPr>
              <w:t xml:space="preserve"> TO 200</w:t>
            </w:r>
            <w:r>
              <w:rPr>
                <w:rFonts w:asciiTheme="majorHAnsi" w:hAnsiTheme="majorHAnsi" w:cstheme="minorHAnsi"/>
                <w:color w:val="000000"/>
                <w:sz w:val="22"/>
                <w:szCs w:val="22"/>
                <w:lang w:eastAsia="en-IN"/>
              </w:rPr>
              <w:t xml:space="preserve"> kVA</w:t>
            </w:r>
          </w:p>
        </w:tc>
        <w:tc>
          <w:tcPr>
            <w:tcW w:w="4111" w:type="dxa"/>
            <w:tcBorders>
              <w:top w:val="nil"/>
              <w:left w:val="nil"/>
              <w:bottom w:val="single" w:sz="4" w:space="0" w:color="auto"/>
              <w:right w:val="single" w:sz="4" w:space="0" w:color="auto"/>
            </w:tcBorders>
            <w:noWrap/>
            <w:vAlign w:val="center"/>
            <w:hideMark/>
          </w:tcPr>
          <w:p w14:paraId="6439C465" w14:textId="77777777" w:rsidR="009E3386" w:rsidRPr="009F560B" w:rsidRDefault="009E3386" w:rsidP="000F221E">
            <w:pPr>
              <w:contextualSpacing/>
              <w:jc w:val="center"/>
              <w:rPr>
                <w:rFonts w:asciiTheme="majorHAnsi" w:hAnsiTheme="majorHAnsi" w:cstheme="minorHAnsi"/>
                <w:color w:val="000000"/>
                <w:sz w:val="22"/>
                <w:szCs w:val="22"/>
                <w:lang w:eastAsia="en-IN"/>
              </w:rPr>
            </w:pPr>
            <w:r>
              <w:rPr>
                <w:rFonts w:asciiTheme="majorHAnsi" w:hAnsiTheme="majorHAnsi" w:cstheme="minorHAnsi"/>
                <w:color w:val="000000"/>
                <w:sz w:val="22"/>
                <w:szCs w:val="22"/>
                <w:lang w:eastAsia="en-IN"/>
              </w:rPr>
              <w:t>1898</w:t>
            </w:r>
          </w:p>
        </w:tc>
      </w:tr>
      <w:tr w:rsidR="009E3386" w:rsidRPr="009F560B" w14:paraId="304A1426" w14:textId="77777777" w:rsidTr="000F221E">
        <w:trPr>
          <w:trHeight w:val="288"/>
        </w:trPr>
        <w:tc>
          <w:tcPr>
            <w:tcW w:w="1547" w:type="dxa"/>
            <w:vMerge/>
            <w:tcBorders>
              <w:top w:val="nil"/>
              <w:left w:val="single" w:sz="4" w:space="0" w:color="auto"/>
              <w:bottom w:val="single" w:sz="4" w:space="0" w:color="auto"/>
              <w:right w:val="single" w:sz="4" w:space="0" w:color="auto"/>
            </w:tcBorders>
            <w:vAlign w:val="center"/>
            <w:hideMark/>
          </w:tcPr>
          <w:p w14:paraId="30C80BCD" w14:textId="77777777" w:rsidR="009E3386" w:rsidRPr="009F560B" w:rsidRDefault="009E3386" w:rsidP="000F221E">
            <w:pPr>
              <w:contextualSpacing/>
              <w:jc w:val="both"/>
              <w:rPr>
                <w:rFonts w:asciiTheme="majorHAnsi" w:hAnsiTheme="majorHAnsi" w:cstheme="minorHAnsi"/>
                <w:color w:val="000000"/>
                <w:sz w:val="22"/>
                <w:szCs w:val="22"/>
                <w:lang w:eastAsia="en-IN"/>
              </w:rPr>
            </w:pPr>
          </w:p>
        </w:tc>
        <w:tc>
          <w:tcPr>
            <w:tcW w:w="2989" w:type="dxa"/>
            <w:tcBorders>
              <w:top w:val="nil"/>
              <w:left w:val="nil"/>
              <w:bottom w:val="single" w:sz="4" w:space="0" w:color="auto"/>
              <w:right w:val="single" w:sz="4" w:space="0" w:color="auto"/>
            </w:tcBorders>
            <w:vAlign w:val="center"/>
            <w:hideMark/>
          </w:tcPr>
          <w:p w14:paraId="057983FA" w14:textId="77777777"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 xml:space="preserve"> 250</w:t>
            </w:r>
            <w:r>
              <w:rPr>
                <w:rFonts w:asciiTheme="majorHAnsi" w:hAnsiTheme="majorHAnsi" w:cstheme="minorHAnsi"/>
                <w:color w:val="000000"/>
                <w:sz w:val="22"/>
                <w:szCs w:val="22"/>
                <w:lang w:eastAsia="en-IN"/>
              </w:rPr>
              <w:t xml:space="preserve"> kVA</w:t>
            </w:r>
            <w:r w:rsidRPr="009F560B">
              <w:rPr>
                <w:rFonts w:asciiTheme="majorHAnsi" w:hAnsiTheme="majorHAnsi" w:cstheme="minorHAnsi"/>
                <w:color w:val="000000"/>
                <w:sz w:val="22"/>
                <w:szCs w:val="22"/>
                <w:lang w:eastAsia="en-IN"/>
              </w:rPr>
              <w:t xml:space="preserve"> TO 500 </w:t>
            </w:r>
            <w:r>
              <w:rPr>
                <w:rFonts w:asciiTheme="majorHAnsi" w:hAnsiTheme="majorHAnsi" w:cstheme="minorHAnsi"/>
                <w:color w:val="000000"/>
                <w:sz w:val="22"/>
                <w:szCs w:val="22"/>
                <w:lang w:eastAsia="en-IN"/>
              </w:rPr>
              <w:t>kVA</w:t>
            </w:r>
            <w:r w:rsidRPr="009F560B">
              <w:rPr>
                <w:rFonts w:asciiTheme="majorHAnsi" w:hAnsiTheme="majorHAnsi" w:cstheme="minorHAnsi"/>
                <w:color w:val="000000"/>
                <w:sz w:val="22"/>
                <w:szCs w:val="22"/>
                <w:lang w:eastAsia="en-IN"/>
              </w:rPr>
              <w:t xml:space="preserve"> </w:t>
            </w:r>
          </w:p>
        </w:tc>
        <w:tc>
          <w:tcPr>
            <w:tcW w:w="4111" w:type="dxa"/>
            <w:tcBorders>
              <w:top w:val="nil"/>
              <w:left w:val="nil"/>
              <w:bottom w:val="single" w:sz="4" w:space="0" w:color="auto"/>
              <w:right w:val="single" w:sz="4" w:space="0" w:color="auto"/>
            </w:tcBorders>
            <w:noWrap/>
            <w:vAlign w:val="center"/>
            <w:hideMark/>
          </w:tcPr>
          <w:p w14:paraId="21C8D2C2" w14:textId="77777777" w:rsidR="009E3386" w:rsidRPr="009F560B" w:rsidRDefault="009E3386" w:rsidP="000F221E">
            <w:pPr>
              <w:contextualSpacing/>
              <w:jc w:val="center"/>
              <w:rPr>
                <w:rFonts w:asciiTheme="majorHAnsi" w:hAnsiTheme="majorHAnsi" w:cstheme="minorHAnsi"/>
                <w:color w:val="000000"/>
                <w:sz w:val="22"/>
                <w:szCs w:val="22"/>
                <w:lang w:eastAsia="en-IN"/>
              </w:rPr>
            </w:pPr>
            <w:r>
              <w:rPr>
                <w:rFonts w:asciiTheme="majorHAnsi" w:hAnsiTheme="majorHAnsi" w:cstheme="minorHAnsi"/>
                <w:color w:val="000000"/>
                <w:sz w:val="22"/>
                <w:szCs w:val="22"/>
                <w:lang w:eastAsia="en-IN"/>
              </w:rPr>
              <w:t>453</w:t>
            </w:r>
          </w:p>
        </w:tc>
      </w:tr>
      <w:tr w:rsidR="009E3386" w:rsidRPr="009F560B" w14:paraId="24E59D91" w14:textId="77777777" w:rsidTr="000F221E">
        <w:trPr>
          <w:trHeight w:val="288"/>
        </w:trPr>
        <w:tc>
          <w:tcPr>
            <w:tcW w:w="1547" w:type="dxa"/>
            <w:vMerge/>
            <w:tcBorders>
              <w:top w:val="nil"/>
              <w:left w:val="single" w:sz="4" w:space="0" w:color="auto"/>
              <w:bottom w:val="single" w:sz="4" w:space="0" w:color="auto"/>
              <w:right w:val="single" w:sz="4" w:space="0" w:color="auto"/>
            </w:tcBorders>
            <w:vAlign w:val="center"/>
            <w:hideMark/>
          </w:tcPr>
          <w:p w14:paraId="24F3CE12" w14:textId="77777777" w:rsidR="009E3386" w:rsidRPr="009F560B" w:rsidRDefault="009E3386" w:rsidP="000F221E">
            <w:pPr>
              <w:contextualSpacing/>
              <w:jc w:val="both"/>
              <w:rPr>
                <w:rFonts w:asciiTheme="majorHAnsi" w:hAnsiTheme="majorHAnsi" w:cstheme="minorHAnsi"/>
                <w:color w:val="000000"/>
                <w:sz w:val="22"/>
                <w:szCs w:val="22"/>
                <w:lang w:eastAsia="en-IN"/>
              </w:rPr>
            </w:pPr>
          </w:p>
        </w:tc>
        <w:tc>
          <w:tcPr>
            <w:tcW w:w="2989" w:type="dxa"/>
            <w:tcBorders>
              <w:top w:val="nil"/>
              <w:left w:val="nil"/>
              <w:bottom w:val="single" w:sz="4" w:space="0" w:color="auto"/>
              <w:right w:val="single" w:sz="4" w:space="0" w:color="auto"/>
            </w:tcBorders>
            <w:vAlign w:val="center"/>
            <w:hideMark/>
          </w:tcPr>
          <w:p w14:paraId="38356154" w14:textId="77777777"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 xml:space="preserve">630 </w:t>
            </w:r>
            <w:r>
              <w:rPr>
                <w:rFonts w:asciiTheme="majorHAnsi" w:hAnsiTheme="majorHAnsi" w:cstheme="minorHAnsi"/>
                <w:color w:val="000000"/>
                <w:sz w:val="22"/>
                <w:szCs w:val="22"/>
                <w:lang w:eastAsia="en-IN"/>
              </w:rPr>
              <w:t>kVA</w:t>
            </w:r>
            <w:r w:rsidRPr="009F560B">
              <w:rPr>
                <w:rFonts w:asciiTheme="majorHAnsi" w:hAnsiTheme="majorHAnsi" w:cstheme="minorHAnsi"/>
                <w:color w:val="000000"/>
                <w:sz w:val="22"/>
                <w:szCs w:val="22"/>
                <w:lang w:eastAsia="en-IN"/>
              </w:rPr>
              <w:t xml:space="preserve"> TO 1</w:t>
            </w:r>
            <w:r>
              <w:rPr>
                <w:rFonts w:asciiTheme="majorHAnsi" w:hAnsiTheme="majorHAnsi" w:cstheme="minorHAnsi"/>
                <w:color w:val="000000"/>
                <w:sz w:val="22"/>
                <w:szCs w:val="22"/>
                <w:lang w:eastAsia="en-IN"/>
              </w:rPr>
              <w:t>6</w:t>
            </w:r>
            <w:r w:rsidRPr="009F560B">
              <w:rPr>
                <w:rFonts w:asciiTheme="majorHAnsi" w:hAnsiTheme="majorHAnsi" w:cstheme="minorHAnsi"/>
                <w:color w:val="000000"/>
                <w:sz w:val="22"/>
                <w:szCs w:val="22"/>
                <w:lang w:eastAsia="en-IN"/>
              </w:rPr>
              <w:t>00</w:t>
            </w:r>
            <w:r>
              <w:rPr>
                <w:rFonts w:asciiTheme="majorHAnsi" w:hAnsiTheme="majorHAnsi" w:cstheme="minorHAnsi"/>
                <w:color w:val="000000"/>
                <w:sz w:val="22"/>
                <w:szCs w:val="22"/>
                <w:lang w:eastAsia="en-IN"/>
              </w:rPr>
              <w:t xml:space="preserve"> kVA</w:t>
            </w:r>
          </w:p>
        </w:tc>
        <w:tc>
          <w:tcPr>
            <w:tcW w:w="4111" w:type="dxa"/>
            <w:tcBorders>
              <w:top w:val="nil"/>
              <w:left w:val="nil"/>
              <w:bottom w:val="single" w:sz="4" w:space="0" w:color="auto"/>
              <w:right w:val="single" w:sz="4" w:space="0" w:color="auto"/>
            </w:tcBorders>
            <w:noWrap/>
            <w:vAlign w:val="center"/>
            <w:hideMark/>
          </w:tcPr>
          <w:p w14:paraId="72E3B6B8" w14:textId="77777777" w:rsidR="009E3386" w:rsidRPr="009F560B" w:rsidRDefault="009E3386" w:rsidP="000F221E">
            <w:pPr>
              <w:contextualSpacing/>
              <w:jc w:val="center"/>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10</w:t>
            </w:r>
          </w:p>
        </w:tc>
      </w:tr>
      <w:tr w:rsidR="009E3386" w:rsidRPr="009F560B" w14:paraId="398741C2" w14:textId="77777777" w:rsidTr="000F221E">
        <w:trPr>
          <w:trHeight w:val="288"/>
        </w:trPr>
        <w:tc>
          <w:tcPr>
            <w:tcW w:w="1547" w:type="dxa"/>
            <w:vMerge w:val="restart"/>
            <w:tcBorders>
              <w:top w:val="nil"/>
              <w:left w:val="single" w:sz="4" w:space="0" w:color="auto"/>
              <w:bottom w:val="single" w:sz="4" w:space="0" w:color="auto"/>
              <w:right w:val="single" w:sz="4" w:space="0" w:color="auto"/>
            </w:tcBorders>
            <w:vAlign w:val="center"/>
            <w:hideMark/>
          </w:tcPr>
          <w:p w14:paraId="17DA8CBC" w14:textId="77777777"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B</w:t>
            </w:r>
            <w:r>
              <w:rPr>
                <w:rFonts w:asciiTheme="majorHAnsi" w:hAnsiTheme="majorHAnsi" w:cstheme="minorHAnsi"/>
                <w:color w:val="000000"/>
                <w:sz w:val="22"/>
                <w:szCs w:val="22"/>
                <w:lang w:eastAsia="en-IN"/>
              </w:rPr>
              <w:t>o</w:t>
            </w:r>
            <w:r w:rsidRPr="009F560B">
              <w:rPr>
                <w:rFonts w:asciiTheme="majorHAnsi" w:hAnsiTheme="majorHAnsi" w:cstheme="minorHAnsi"/>
                <w:color w:val="000000"/>
                <w:sz w:val="22"/>
                <w:szCs w:val="22"/>
                <w:lang w:eastAsia="en-IN"/>
              </w:rPr>
              <w:t>langir</w:t>
            </w:r>
          </w:p>
        </w:tc>
        <w:tc>
          <w:tcPr>
            <w:tcW w:w="2989" w:type="dxa"/>
            <w:tcBorders>
              <w:top w:val="nil"/>
              <w:left w:val="nil"/>
              <w:bottom w:val="single" w:sz="4" w:space="0" w:color="auto"/>
              <w:right w:val="single" w:sz="4" w:space="0" w:color="auto"/>
            </w:tcBorders>
            <w:vAlign w:val="center"/>
            <w:hideMark/>
          </w:tcPr>
          <w:p w14:paraId="3655BF98" w14:textId="77777777"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10</w:t>
            </w:r>
            <w:r>
              <w:rPr>
                <w:rFonts w:asciiTheme="majorHAnsi" w:hAnsiTheme="majorHAnsi" w:cstheme="minorHAnsi"/>
                <w:color w:val="000000"/>
                <w:sz w:val="22"/>
                <w:szCs w:val="22"/>
                <w:lang w:eastAsia="en-IN"/>
              </w:rPr>
              <w:t xml:space="preserve"> kVA</w:t>
            </w:r>
            <w:r w:rsidRPr="009F560B">
              <w:rPr>
                <w:rFonts w:asciiTheme="majorHAnsi" w:hAnsiTheme="majorHAnsi" w:cstheme="minorHAnsi"/>
                <w:color w:val="000000"/>
                <w:sz w:val="22"/>
                <w:szCs w:val="22"/>
                <w:lang w:eastAsia="en-IN"/>
              </w:rPr>
              <w:t xml:space="preserve"> TO 63</w:t>
            </w:r>
            <w:r>
              <w:rPr>
                <w:rFonts w:asciiTheme="majorHAnsi" w:hAnsiTheme="majorHAnsi" w:cstheme="minorHAnsi"/>
                <w:color w:val="000000"/>
                <w:sz w:val="22"/>
                <w:szCs w:val="22"/>
                <w:lang w:eastAsia="en-IN"/>
              </w:rPr>
              <w:t xml:space="preserve"> kVA</w:t>
            </w:r>
            <w:r w:rsidRPr="009F560B">
              <w:rPr>
                <w:rFonts w:asciiTheme="majorHAnsi" w:hAnsiTheme="majorHAnsi" w:cstheme="minorHAnsi"/>
                <w:color w:val="000000"/>
                <w:sz w:val="22"/>
                <w:szCs w:val="22"/>
                <w:lang w:eastAsia="en-IN"/>
              </w:rPr>
              <w:t xml:space="preserve"> </w:t>
            </w:r>
          </w:p>
        </w:tc>
        <w:tc>
          <w:tcPr>
            <w:tcW w:w="4111" w:type="dxa"/>
            <w:tcBorders>
              <w:top w:val="nil"/>
              <w:left w:val="nil"/>
              <w:bottom w:val="single" w:sz="4" w:space="0" w:color="auto"/>
              <w:right w:val="single" w:sz="4" w:space="0" w:color="auto"/>
            </w:tcBorders>
            <w:noWrap/>
            <w:vAlign w:val="center"/>
            <w:hideMark/>
          </w:tcPr>
          <w:p w14:paraId="12A40602" w14:textId="77777777" w:rsidR="009E3386" w:rsidRPr="009F560B" w:rsidRDefault="009E3386" w:rsidP="000F221E">
            <w:pPr>
              <w:contextualSpacing/>
              <w:jc w:val="center"/>
              <w:rPr>
                <w:rFonts w:asciiTheme="majorHAnsi" w:hAnsiTheme="majorHAnsi" w:cstheme="minorHAnsi"/>
                <w:color w:val="000000"/>
                <w:sz w:val="22"/>
                <w:szCs w:val="22"/>
                <w:lang w:eastAsia="en-IN"/>
              </w:rPr>
            </w:pPr>
            <w:r>
              <w:rPr>
                <w:rFonts w:asciiTheme="majorHAnsi" w:hAnsiTheme="majorHAnsi" w:cstheme="minorHAnsi"/>
                <w:color w:val="000000"/>
                <w:sz w:val="22"/>
                <w:szCs w:val="22"/>
                <w:lang w:eastAsia="en-IN"/>
              </w:rPr>
              <w:t>15687</w:t>
            </w:r>
          </w:p>
        </w:tc>
      </w:tr>
      <w:tr w:rsidR="009E3386" w:rsidRPr="009F560B" w14:paraId="7DC38675" w14:textId="77777777" w:rsidTr="000F221E">
        <w:trPr>
          <w:trHeight w:val="288"/>
        </w:trPr>
        <w:tc>
          <w:tcPr>
            <w:tcW w:w="1547" w:type="dxa"/>
            <w:vMerge/>
            <w:tcBorders>
              <w:top w:val="nil"/>
              <w:left w:val="single" w:sz="4" w:space="0" w:color="auto"/>
              <w:bottom w:val="single" w:sz="4" w:space="0" w:color="auto"/>
              <w:right w:val="single" w:sz="4" w:space="0" w:color="auto"/>
            </w:tcBorders>
            <w:vAlign w:val="center"/>
            <w:hideMark/>
          </w:tcPr>
          <w:p w14:paraId="14F290D0" w14:textId="77777777" w:rsidR="009E3386" w:rsidRPr="009F560B" w:rsidRDefault="009E3386" w:rsidP="000F221E">
            <w:pPr>
              <w:contextualSpacing/>
              <w:jc w:val="both"/>
              <w:rPr>
                <w:rFonts w:asciiTheme="majorHAnsi" w:hAnsiTheme="majorHAnsi" w:cstheme="minorHAnsi"/>
                <w:color w:val="000000"/>
                <w:sz w:val="22"/>
                <w:szCs w:val="22"/>
                <w:lang w:eastAsia="en-IN"/>
              </w:rPr>
            </w:pPr>
          </w:p>
        </w:tc>
        <w:tc>
          <w:tcPr>
            <w:tcW w:w="2989" w:type="dxa"/>
            <w:tcBorders>
              <w:top w:val="nil"/>
              <w:left w:val="nil"/>
              <w:bottom w:val="single" w:sz="4" w:space="0" w:color="auto"/>
              <w:right w:val="single" w:sz="4" w:space="0" w:color="auto"/>
            </w:tcBorders>
            <w:vAlign w:val="center"/>
            <w:hideMark/>
          </w:tcPr>
          <w:p w14:paraId="38AA2D2A" w14:textId="11510D4D"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 xml:space="preserve">100 </w:t>
            </w:r>
            <w:r>
              <w:rPr>
                <w:rFonts w:asciiTheme="majorHAnsi" w:hAnsiTheme="majorHAnsi" w:cstheme="minorHAnsi"/>
                <w:color w:val="000000"/>
                <w:sz w:val="22"/>
                <w:szCs w:val="22"/>
                <w:lang w:eastAsia="en-IN"/>
              </w:rPr>
              <w:t>kVA</w:t>
            </w:r>
            <w:r w:rsidRPr="009F560B">
              <w:rPr>
                <w:rFonts w:asciiTheme="majorHAnsi" w:hAnsiTheme="majorHAnsi" w:cstheme="minorHAnsi"/>
                <w:color w:val="000000"/>
                <w:sz w:val="22"/>
                <w:szCs w:val="22"/>
                <w:lang w:eastAsia="en-IN"/>
              </w:rPr>
              <w:t xml:space="preserve"> TO 200</w:t>
            </w:r>
            <w:r>
              <w:rPr>
                <w:rFonts w:asciiTheme="majorHAnsi" w:hAnsiTheme="majorHAnsi" w:cstheme="minorHAnsi"/>
                <w:color w:val="000000"/>
                <w:sz w:val="22"/>
                <w:szCs w:val="22"/>
                <w:lang w:eastAsia="en-IN"/>
              </w:rPr>
              <w:t xml:space="preserve"> kVA</w:t>
            </w:r>
          </w:p>
        </w:tc>
        <w:tc>
          <w:tcPr>
            <w:tcW w:w="4111" w:type="dxa"/>
            <w:tcBorders>
              <w:top w:val="nil"/>
              <w:left w:val="nil"/>
              <w:bottom w:val="single" w:sz="4" w:space="0" w:color="auto"/>
              <w:right w:val="single" w:sz="4" w:space="0" w:color="auto"/>
            </w:tcBorders>
            <w:noWrap/>
            <w:vAlign w:val="center"/>
            <w:hideMark/>
          </w:tcPr>
          <w:p w14:paraId="73938789" w14:textId="77777777" w:rsidR="009E3386" w:rsidRPr="009F560B" w:rsidRDefault="009E3386" w:rsidP="000F221E">
            <w:pPr>
              <w:contextualSpacing/>
              <w:jc w:val="center"/>
              <w:rPr>
                <w:rFonts w:asciiTheme="majorHAnsi" w:hAnsiTheme="majorHAnsi" w:cstheme="minorHAnsi"/>
                <w:color w:val="000000"/>
                <w:sz w:val="22"/>
                <w:szCs w:val="22"/>
                <w:lang w:eastAsia="en-IN"/>
              </w:rPr>
            </w:pPr>
            <w:r>
              <w:rPr>
                <w:rFonts w:asciiTheme="majorHAnsi" w:hAnsiTheme="majorHAnsi" w:cstheme="minorHAnsi"/>
                <w:color w:val="000000"/>
                <w:sz w:val="22"/>
                <w:szCs w:val="22"/>
                <w:lang w:eastAsia="en-IN"/>
              </w:rPr>
              <w:t>2338</w:t>
            </w:r>
          </w:p>
        </w:tc>
      </w:tr>
      <w:tr w:rsidR="009E3386" w:rsidRPr="009F560B" w14:paraId="4C1B6640" w14:textId="77777777" w:rsidTr="000F221E">
        <w:trPr>
          <w:trHeight w:val="288"/>
        </w:trPr>
        <w:tc>
          <w:tcPr>
            <w:tcW w:w="1547" w:type="dxa"/>
            <w:vMerge/>
            <w:tcBorders>
              <w:top w:val="nil"/>
              <w:left w:val="single" w:sz="4" w:space="0" w:color="auto"/>
              <w:bottom w:val="single" w:sz="4" w:space="0" w:color="auto"/>
              <w:right w:val="single" w:sz="4" w:space="0" w:color="auto"/>
            </w:tcBorders>
            <w:vAlign w:val="center"/>
            <w:hideMark/>
          </w:tcPr>
          <w:p w14:paraId="510A21BA" w14:textId="77777777" w:rsidR="009E3386" w:rsidRPr="009F560B" w:rsidRDefault="009E3386" w:rsidP="000F221E">
            <w:pPr>
              <w:contextualSpacing/>
              <w:jc w:val="both"/>
              <w:rPr>
                <w:rFonts w:asciiTheme="majorHAnsi" w:hAnsiTheme="majorHAnsi" w:cstheme="minorHAnsi"/>
                <w:color w:val="000000"/>
                <w:sz w:val="22"/>
                <w:szCs w:val="22"/>
                <w:lang w:eastAsia="en-IN"/>
              </w:rPr>
            </w:pPr>
          </w:p>
        </w:tc>
        <w:tc>
          <w:tcPr>
            <w:tcW w:w="2989" w:type="dxa"/>
            <w:tcBorders>
              <w:top w:val="nil"/>
              <w:left w:val="nil"/>
              <w:bottom w:val="single" w:sz="4" w:space="0" w:color="auto"/>
              <w:right w:val="single" w:sz="4" w:space="0" w:color="auto"/>
            </w:tcBorders>
            <w:vAlign w:val="center"/>
            <w:hideMark/>
          </w:tcPr>
          <w:p w14:paraId="0CBCB3B7" w14:textId="6D78085B"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 xml:space="preserve"> 250</w:t>
            </w:r>
            <w:r>
              <w:rPr>
                <w:rFonts w:asciiTheme="majorHAnsi" w:hAnsiTheme="majorHAnsi" w:cstheme="minorHAnsi"/>
                <w:color w:val="000000"/>
                <w:sz w:val="22"/>
                <w:szCs w:val="22"/>
                <w:lang w:eastAsia="en-IN"/>
              </w:rPr>
              <w:t xml:space="preserve"> kVA</w:t>
            </w:r>
            <w:r w:rsidRPr="009F560B">
              <w:rPr>
                <w:rFonts w:asciiTheme="majorHAnsi" w:hAnsiTheme="majorHAnsi" w:cstheme="minorHAnsi"/>
                <w:color w:val="000000"/>
                <w:sz w:val="22"/>
                <w:szCs w:val="22"/>
                <w:lang w:eastAsia="en-IN"/>
              </w:rPr>
              <w:t xml:space="preserve"> TO 500 </w:t>
            </w:r>
            <w:r>
              <w:rPr>
                <w:rFonts w:asciiTheme="majorHAnsi" w:hAnsiTheme="majorHAnsi" w:cstheme="minorHAnsi"/>
                <w:color w:val="000000"/>
                <w:sz w:val="22"/>
                <w:szCs w:val="22"/>
                <w:lang w:eastAsia="en-IN"/>
              </w:rPr>
              <w:t>kVA</w:t>
            </w:r>
            <w:r w:rsidRPr="009F560B">
              <w:rPr>
                <w:rFonts w:asciiTheme="majorHAnsi" w:hAnsiTheme="majorHAnsi" w:cstheme="minorHAnsi"/>
                <w:color w:val="000000"/>
                <w:sz w:val="22"/>
                <w:szCs w:val="22"/>
                <w:lang w:eastAsia="en-IN"/>
              </w:rPr>
              <w:t xml:space="preserve"> </w:t>
            </w:r>
          </w:p>
        </w:tc>
        <w:tc>
          <w:tcPr>
            <w:tcW w:w="4111" w:type="dxa"/>
            <w:tcBorders>
              <w:top w:val="nil"/>
              <w:left w:val="nil"/>
              <w:bottom w:val="single" w:sz="4" w:space="0" w:color="auto"/>
              <w:right w:val="single" w:sz="4" w:space="0" w:color="auto"/>
            </w:tcBorders>
            <w:noWrap/>
            <w:vAlign w:val="center"/>
            <w:hideMark/>
          </w:tcPr>
          <w:p w14:paraId="3E473079" w14:textId="77777777" w:rsidR="009E3386" w:rsidRPr="009F560B" w:rsidRDefault="009E3386" w:rsidP="000F221E">
            <w:pPr>
              <w:contextualSpacing/>
              <w:jc w:val="center"/>
              <w:rPr>
                <w:rFonts w:asciiTheme="majorHAnsi" w:hAnsiTheme="majorHAnsi" w:cstheme="minorHAnsi"/>
                <w:color w:val="000000"/>
                <w:sz w:val="22"/>
                <w:szCs w:val="22"/>
                <w:lang w:eastAsia="en-IN"/>
              </w:rPr>
            </w:pPr>
            <w:r>
              <w:rPr>
                <w:rFonts w:asciiTheme="majorHAnsi" w:hAnsiTheme="majorHAnsi" w:cstheme="minorHAnsi"/>
                <w:color w:val="000000"/>
                <w:sz w:val="22"/>
                <w:szCs w:val="22"/>
                <w:lang w:eastAsia="en-IN"/>
              </w:rPr>
              <w:t>495</w:t>
            </w:r>
          </w:p>
        </w:tc>
      </w:tr>
      <w:tr w:rsidR="009E3386" w:rsidRPr="009F560B" w14:paraId="601822F0" w14:textId="77777777" w:rsidTr="000F221E">
        <w:trPr>
          <w:trHeight w:val="288"/>
        </w:trPr>
        <w:tc>
          <w:tcPr>
            <w:tcW w:w="1547" w:type="dxa"/>
            <w:vMerge/>
            <w:tcBorders>
              <w:top w:val="nil"/>
              <w:left w:val="single" w:sz="4" w:space="0" w:color="auto"/>
              <w:bottom w:val="single" w:sz="4" w:space="0" w:color="auto"/>
              <w:right w:val="single" w:sz="4" w:space="0" w:color="auto"/>
            </w:tcBorders>
            <w:vAlign w:val="center"/>
            <w:hideMark/>
          </w:tcPr>
          <w:p w14:paraId="522E8C5A" w14:textId="77777777" w:rsidR="009E3386" w:rsidRPr="009F560B" w:rsidRDefault="009E3386" w:rsidP="000F221E">
            <w:pPr>
              <w:contextualSpacing/>
              <w:jc w:val="both"/>
              <w:rPr>
                <w:rFonts w:asciiTheme="majorHAnsi" w:hAnsiTheme="majorHAnsi" w:cstheme="minorHAnsi"/>
                <w:color w:val="000000"/>
                <w:sz w:val="22"/>
                <w:szCs w:val="22"/>
                <w:lang w:eastAsia="en-IN"/>
              </w:rPr>
            </w:pPr>
          </w:p>
        </w:tc>
        <w:tc>
          <w:tcPr>
            <w:tcW w:w="2989" w:type="dxa"/>
            <w:tcBorders>
              <w:top w:val="nil"/>
              <w:left w:val="nil"/>
              <w:bottom w:val="single" w:sz="4" w:space="0" w:color="auto"/>
              <w:right w:val="single" w:sz="4" w:space="0" w:color="auto"/>
            </w:tcBorders>
            <w:vAlign w:val="center"/>
            <w:hideMark/>
          </w:tcPr>
          <w:p w14:paraId="5ECB3023" w14:textId="77777777"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 xml:space="preserve">630 </w:t>
            </w:r>
            <w:r>
              <w:rPr>
                <w:rFonts w:asciiTheme="majorHAnsi" w:hAnsiTheme="majorHAnsi" w:cstheme="minorHAnsi"/>
                <w:color w:val="000000"/>
                <w:sz w:val="22"/>
                <w:szCs w:val="22"/>
                <w:lang w:eastAsia="en-IN"/>
              </w:rPr>
              <w:t>kVA</w:t>
            </w:r>
            <w:r w:rsidRPr="009F560B">
              <w:rPr>
                <w:rFonts w:asciiTheme="majorHAnsi" w:hAnsiTheme="majorHAnsi" w:cstheme="minorHAnsi"/>
                <w:color w:val="000000"/>
                <w:sz w:val="22"/>
                <w:szCs w:val="22"/>
                <w:lang w:eastAsia="en-IN"/>
              </w:rPr>
              <w:t xml:space="preserve"> TO 1</w:t>
            </w:r>
            <w:r>
              <w:rPr>
                <w:rFonts w:asciiTheme="majorHAnsi" w:hAnsiTheme="majorHAnsi" w:cstheme="minorHAnsi"/>
                <w:color w:val="000000"/>
                <w:sz w:val="22"/>
                <w:szCs w:val="22"/>
                <w:lang w:eastAsia="en-IN"/>
              </w:rPr>
              <w:t>6</w:t>
            </w:r>
            <w:r w:rsidRPr="009F560B">
              <w:rPr>
                <w:rFonts w:asciiTheme="majorHAnsi" w:hAnsiTheme="majorHAnsi" w:cstheme="minorHAnsi"/>
                <w:color w:val="000000"/>
                <w:sz w:val="22"/>
                <w:szCs w:val="22"/>
                <w:lang w:eastAsia="en-IN"/>
              </w:rPr>
              <w:t>00</w:t>
            </w:r>
            <w:r>
              <w:rPr>
                <w:rFonts w:asciiTheme="majorHAnsi" w:hAnsiTheme="majorHAnsi" w:cstheme="minorHAnsi"/>
                <w:color w:val="000000"/>
                <w:sz w:val="22"/>
                <w:szCs w:val="22"/>
                <w:lang w:eastAsia="en-IN"/>
              </w:rPr>
              <w:t xml:space="preserve"> kVA</w:t>
            </w:r>
          </w:p>
        </w:tc>
        <w:tc>
          <w:tcPr>
            <w:tcW w:w="4111" w:type="dxa"/>
            <w:tcBorders>
              <w:top w:val="nil"/>
              <w:left w:val="nil"/>
              <w:bottom w:val="single" w:sz="4" w:space="0" w:color="auto"/>
              <w:right w:val="single" w:sz="4" w:space="0" w:color="auto"/>
            </w:tcBorders>
            <w:noWrap/>
            <w:vAlign w:val="center"/>
            <w:hideMark/>
          </w:tcPr>
          <w:p w14:paraId="34028795" w14:textId="77777777" w:rsidR="009E3386" w:rsidRPr="009F560B" w:rsidRDefault="009E3386" w:rsidP="000F221E">
            <w:pPr>
              <w:contextualSpacing/>
              <w:jc w:val="center"/>
              <w:rPr>
                <w:rFonts w:asciiTheme="majorHAnsi" w:hAnsiTheme="majorHAnsi" w:cstheme="minorHAnsi"/>
                <w:color w:val="000000"/>
                <w:sz w:val="22"/>
                <w:szCs w:val="22"/>
                <w:lang w:eastAsia="en-IN"/>
              </w:rPr>
            </w:pPr>
            <w:r>
              <w:rPr>
                <w:rFonts w:asciiTheme="majorHAnsi" w:hAnsiTheme="majorHAnsi" w:cstheme="minorHAnsi"/>
                <w:color w:val="000000"/>
                <w:sz w:val="22"/>
                <w:szCs w:val="22"/>
                <w:lang w:eastAsia="en-IN"/>
              </w:rPr>
              <w:t>11</w:t>
            </w:r>
          </w:p>
        </w:tc>
      </w:tr>
      <w:tr w:rsidR="009E3386" w:rsidRPr="009F560B" w14:paraId="114F42AF" w14:textId="77777777" w:rsidTr="000F221E">
        <w:trPr>
          <w:trHeight w:val="288"/>
        </w:trPr>
        <w:tc>
          <w:tcPr>
            <w:tcW w:w="1547" w:type="dxa"/>
            <w:vMerge w:val="restart"/>
            <w:tcBorders>
              <w:top w:val="nil"/>
              <w:left w:val="single" w:sz="4" w:space="0" w:color="auto"/>
              <w:bottom w:val="single" w:sz="4" w:space="0" w:color="auto"/>
              <w:right w:val="single" w:sz="4" w:space="0" w:color="auto"/>
            </w:tcBorders>
            <w:vAlign w:val="center"/>
            <w:hideMark/>
          </w:tcPr>
          <w:p w14:paraId="190139CA" w14:textId="77777777"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Kalahandi</w:t>
            </w:r>
          </w:p>
        </w:tc>
        <w:tc>
          <w:tcPr>
            <w:tcW w:w="2989" w:type="dxa"/>
            <w:tcBorders>
              <w:top w:val="nil"/>
              <w:left w:val="nil"/>
              <w:bottom w:val="single" w:sz="4" w:space="0" w:color="auto"/>
              <w:right w:val="single" w:sz="4" w:space="0" w:color="auto"/>
            </w:tcBorders>
            <w:vAlign w:val="center"/>
            <w:hideMark/>
          </w:tcPr>
          <w:p w14:paraId="5F12C3BC" w14:textId="77777777"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10</w:t>
            </w:r>
            <w:r>
              <w:rPr>
                <w:rFonts w:asciiTheme="majorHAnsi" w:hAnsiTheme="majorHAnsi" w:cstheme="minorHAnsi"/>
                <w:color w:val="000000"/>
                <w:sz w:val="22"/>
                <w:szCs w:val="22"/>
                <w:lang w:eastAsia="en-IN"/>
              </w:rPr>
              <w:t xml:space="preserve"> kVA</w:t>
            </w:r>
            <w:r w:rsidRPr="009F560B">
              <w:rPr>
                <w:rFonts w:asciiTheme="majorHAnsi" w:hAnsiTheme="majorHAnsi" w:cstheme="minorHAnsi"/>
                <w:color w:val="000000"/>
                <w:sz w:val="22"/>
                <w:szCs w:val="22"/>
                <w:lang w:eastAsia="en-IN"/>
              </w:rPr>
              <w:t xml:space="preserve"> TO 63</w:t>
            </w:r>
            <w:r>
              <w:rPr>
                <w:rFonts w:asciiTheme="majorHAnsi" w:hAnsiTheme="majorHAnsi" w:cstheme="minorHAnsi"/>
                <w:color w:val="000000"/>
                <w:sz w:val="22"/>
                <w:szCs w:val="22"/>
                <w:lang w:eastAsia="en-IN"/>
              </w:rPr>
              <w:t xml:space="preserve"> kVA</w:t>
            </w:r>
            <w:r w:rsidRPr="009F560B">
              <w:rPr>
                <w:rFonts w:asciiTheme="majorHAnsi" w:hAnsiTheme="majorHAnsi" w:cstheme="minorHAnsi"/>
                <w:color w:val="000000"/>
                <w:sz w:val="22"/>
                <w:szCs w:val="22"/>
                <w:lang w:eastAsia="en-IN"/>
              </w:rPr>
              <w:t xml:space="preserve"> </w:t>
            </w:r>
          </w:p>
        </w:tc>
        <w:tc>
          <w:tcPr>
            <w:tcW w:w="4111" w:type="dxa"/>
            <w:tcBorders>
              <w:top w:val="nil"/>
              <w:left w:val="nil"/>
              <w:bottom w:val="single" w:sz="4" w:space="0" w:color="auto"/>
              <w:right w:val="single" w:sz="4" w:space="0" w:color="auto"/>
            </w:tcBorders>
            <w:noWrap/>
            <w:vAlign w:val="center"/>
            <w:hideMark/>
          </w:tcPr>
          <w:p w14:paraId="6DEBFCD4" w14:textId="77777777" w:rsidR="009E3386" w:rsidRPr="009F560B" w:rsidRDefault="009E3386" w:rsidP="000F221E">
            <w:pPr>
              <w:contextualSpacing/>
              <w:jc w:val="center"/>
              <w:rPr>
                <w:rFonts w:asciiTheme="majorHAnsi" w:hAnsiTheme="majorHAnsi" w:cstheme="minorHAnsi"/>
                <w:color w:val="000000"/>
                <w:sz w:val="22"/>
                <w:szCs w:val="22"/>
                <w:lang w:eastAsia="en-IN"/>
              </w:rPr>
            </w:pPr>
            <w:r>
              <w:rPr>
                <w:rFonts w:asciiTheme="majorHAnsi" w:hAnsiTheme="majorHAnsi" w:cstheme="minorHAnsi"/>
                <w:color w:val="000000"/>
                <w:sz w:val="22"/>
                <w:szCs w:val="22"/>
                <w:lang w:eastAsia="en-IN"/>
              </w:rPr>
              <w:t>14500</w:t>
            </w:r>
          </w:p>
        </w:tc>
      </w:tr>
      <w:tr w:rsidR="009E3386" w:rsidRPr="009F560B" w14:paraId="2C2C4009" w14:textId="77777777" w:rsidTr="000F221E">
        <w:trPr>
          <w:trHeight w:val="288"/>
        </w:trPr>
        <w:tc>
          <w:tcPr>
            <w:tcW w:w="1547" w:type="dxa"/>
            <w:vMerge/>
            <w:tcBorders>
              <w:top w:val="nil"/>
              <w:left w:val="single" w:sz="4" w:space="0" w:color="auto"/>
              <w:bottom w:val="single" w:sz="4" w:space="0" w:color="auto"/>
              <w:right w:val="single" w:sz="4" w:space="0" w:color="auto"/>
            </w:tcBorders>
            <w:vAlign w:val="center"/>
            <w:hideMark/>
          </w:tcPr>
          <w:p w14:paraId="28BDFC2E" w14:textId="77777777" w:rsidR="009E3386" w:rsidRPr="009F560B" w:rsidRDefault="009E3386" w:rsidP="000F221E">
            <w:pPr>
              <w:contextualSpacing/>
              <w:jc w:val="both"/>
              <w:rPr>
                <w:rFonts w:asciiTheme="majorHAnsi" w:hAnsiTheme="majorHAnsi" w:cstheme="minorHAnsi"/>
                <w:color w:val="000000"/>
                <w:sz w:val="22"/>
                <w:szCs w:val="22"/>
                <w:lang w:eastAsia="en-IN"/>
              </w:rPr>
            </w:pPr>
          </w:p>
        </w:tc>
        <w:tc>
          <w:tcPr>
            <w:tcW w:w="2989" w:type="dxa"/>
            <w:tcBorders>
              <w:top w:val="nil"/>
              <w:left w:val="nil"/>
              <w:bottom w:val="single" w:sz="4" w:space="0" w:color="auto"/>
              <w:right w:val="single" w:sz="4" w:space="0" w:color="auto"/>
            </w:tcBorders>
            <w:vAlign w:val="center"/>
            <w:hideMark/>
          </w:tcPr>
          <w:p w14:paraId="1B804AED" w14:textId="77777777"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 xml:space="preserve">100 </w:t>
            </w:r>
            <w:r>
              <w:rPr>
                <w:rFonts w:asciiTheme="majorHAnsi" w:hAnsiTheme="majorHAnsi" w:cstheme="minorHAnsi"/>
                <w:color w:val="000000"/>
                <w:sz w:val="22"/>
                <w:szCs w:val="22"/>
                <w:lang w:eastAsia="en-IN"/>
              </w:rPr>
              <w:t>kVA</w:t>
            </w:r>
            <w:r w:rsidRPr="009F560B">
              <w:rPr>
                <w:rFonts w:asciiTheme="majorHAnsi" w:hAnsiTheme="majorHAnsi" w:cstheme="minorHAnsi"/>
                <w:color w:val="000000"/>
                <w:sz w:val="22"/>
                <w:szCs w:val="22"/>
                <w:lang w:eastAsia="en-IN"/>
              </w:rPr>
              <w:t xml:space="preserve"> TO 200</w:t>
            </w:r>
            <w:r>
              <w:rPr>
                <w:rFonts w:asciiTheme="majorHAnsi" w:hAnsiTheme="majorHAnsi" w:cstheme="minorHAnsi"/>
                <w:color w:val="000000"/>
                <w:sz w:val="22"/>
                <w:szCs w:val="22"/>
                <w:lang w:eastAsia="en-IN"/>
              </w:rPr>
              <w:t xml:space="preserve"> kVA</w:t>
            </w:r>
          </w:p>
        </w:tc>
        <w:tc>
          <w:tcPr>
            <w:tcW w:w="4111" w:type="dxa"/>
            <w:tcBorders>
              <w:top w:val="nil"/>
              <w:left w:val="nil"/>
              <w:bottom w:val="single" w:sz="4" w:space="0" w:color="auto"/>
              <w:right w:val="single" w:sz="4" w:space="0" w:color="auto"/>
            </w:tcBorders>
            <w:noWrap/>
            <w:vAlign w:val="center"/>
            <w:hideMark/>
          </w:tcPr>
          <w:p w14:paraId="23C73440" w14:textId="77777777" w:rsidR="009E3386" w:rsidRPr="009F560B" w:rsidRDefault="009E3386" w:rsidP="000F221E">
            <w:pPr>
              <w:contextualSpacing/>
              <w:jc w:val="center"/>
              <w:rPr>
                <w:rFonts w:asciiTheme="majorHAnsi" w:hAnsiTheme="majorHAnsi" w:cstheme="minorHAnsi"/>
                <w:color w:val="000000"/>
                <w:sz w:val="22"/>
                <w:szCs w:val="22"/>
                <w:lang w:eastAsia="en-IN"/>
              </w:rPr>
            </w:pPr>
            <w:r>
              <w:rPr>
                <w:rFonts w:asciiTheme="majorHAnsi" w:hAnsiTheme="majorHAnsi" w:cstheme="minorHAnsi"/>
                <w:color w:val="000000"/>
                <w:sz w:val="22"/>
                <w:szCs w:val="22"/>
                <w:lang w:eastAsia="en-IN"/>
              </w:rPr>
              <w:t>1835</w:t>
            </w:r>
          </w:p>
        </w:tc>
      </w:tr>
      <w:tr w:rsidR="009E3386" w:rsidRPr="009F560B" w14:paraId="1695A0CA" w14:textId="77777777" w:rsidTr="000F221E">
        <w:trPr>
          <w:trHeight w:val="288"/>
        </w:trPr>
        <w:tc>
          <w:tcPr>
            <w:tcW w:w="1547" w:type="dxa"/>
            <w:vMerge/>
            <w:tcBorders>
              <w:top w:val="nil"/>
              <w:left w:val="single" w:sz="4" w:space="0" w:color="auto"/>
              <w:bottom w:val="single" w:sz="4" w:space="0" w:color="auto"/>
              <w:right w:val="single" w:sz="4" w:space="0" w:color="auto"/>
            </w:tcBorders>
            <w:vAlign w:val="center"/>
            <w:hideMark/>
          </w:tcPr>
          <w:p w14:paraId="38A1695E" w14:textId="77777777" w:rsidR="009E3386" w:rsidRPr="009F560B" w:rsidRDefault="009E3386" w:rsidP="000F221E">
            <w:pPr>
              <w:contextualSpacing/>
              <w:jc w:val="both"/>
              <w:rPr>
                <w:rFonts w:asciiTheme="majorHAnsi" w:hAnsiTheme="majorHAnsi" w:cstheme="minorHAnsi"/>
                <w:color w:val="000000"/>
                <w:sz w:val="22"/>
                <w:szCs w:val="22"/>
                <w:lang w:eastAsia="en-IN"/>
              </w:rPr>
            </w:pPr>
          </w:p>
        </w:tc>
        <w:tc>
          <w:tcPr>
            <w:tcW w:w="2989" w:type="dxa"/>
            <w:tcBorders>
              <w:top w:val="nil"/>
              <w:left w:val="nil"/>
              <w:bottom w:val="single" w:sz="4" w:space="0" w:color="auto"/>
              <w:right w:val="single" w:sz="4" w:space="0" w:color="auto"/>
            </w:tcBorders>
            <w:vAlign w:val="center"/>
            <w:hideMark/>
          </w:tcPr>
          <w:p w14:paraId="23541BA8" w14:textId="30E56C8B"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 xml:space="preserve"> 250</w:t>
            </w:r>
            <w:r>
              <w:rPr>
                <w:rFonts w:asciiTheme="majorHAnsi" w:hAnsiTheme="majorHAnsi" w:cstheme="minorHAnsi"/>
                <w:color w:val="000000"/>
                <w:sz w:val="22"/>
                <w:szCs w:val="22"/>
                <w:lang w:eastAsia="en-IN"/>
              </w:rPr>
              <w:t xml:space="preserve"> kVA</w:t>
            </w:r>
            <w:r w:rsidRPr="009F560B">
              <w:rPr>
                <w:rFonts w:asciiTheme="majorHAnsi" w:hAnsiTheme="majorHAnsi" w:cstheme="minorHAnsi"/>
                <w:color w:val="000000"/>
                <w:sz w:val="22"/>
                <w:szCs w:val="22"/>
                <w:lang w:eastAsia="en-IN"/>
              </w:rPr>
              <w:t xml:space="preserve"> TO 500 </w:t>
            </w:r>
            <w:r>
              <w:rPr>
                <w:rFonts w:asciiTheme="majorHAnsi" w:hAnsiTheme="majorHAnsi" w:cstheme="minorHAnsi"/>
                <w:color w:val="000000"/>
                <w:sz w:val="22"/>
                <w:szCs w:val="22"/>
                <w:lang w:eastAsia="en-IN"/>
              </w:rPr>
              <w:t>kVA</w:t>
            </w:r>
            <w:r w:rsidRPr="009F560B">
              <w:rPr>
                <w:rFonts w:asciiTheme="majorHAnsi" w:hAnsiTheme="majorHAnsi" w:cstheme="minorHAnsi"/>
                <w:color w:val="000000"/>
                <w:sz w:val="22"/>
                <w:szCs w:val="22"/>
                <w:lang w:eastAsia="en-IN"/>
              </w:rPr>
              <w:t xml:space="preserve"> </w:t>
            </w:r>
          </w:p>
        </w:tc>
        <w:tc>
          <w:tcPr>
            <w:tcW w:w="4111" w:type="dxa"/>
            <w:tcBorders>
              <w:top w:val="nil"/>
              <w:left w:val="nil"/>
              <w:bottom w:val="single" w:sz="4" w:space="0" w:color="auto"/>
              <w:right w:val="single" w:sz="4" w:space="0" w:color="auto"/>
            </w:tcBorders>
            <w:noWrap/>
            <w:vAlign w:val="center"/>
            <w:hideMark/>
          </w:tcPr>
          <w:p w14:paraId="6CB5D412" w14:textId="77777777" w:rsidR="009E3386" w:rsidRPr="009F560B" w:rsidRDefault="009E3386" w:rsidP="000F221E">
            <w:pPr>
              <w:contextualSpacing/>
              <w:jc w:val="center"/>
              <w:rPr>
                <w:rFonts w:asciiTheme="majorHAnsi" w:hAnsiTheme="majorHAnsi" w:cstheme="minorHAnsi"/>
                <w:color w:val="000000"/>
                <w:sz w:val="22"/>
                <w:szCs w:val="22"/>
                <w:lang w:eastAsia="en-IN"/>
              </w:rPr>
            </w:pPr>
            <w:r>
              <w:rPr>
                <w:rFonts w:asciiTheme="majorHAnsi" w:hAnsiTheme="majorHAnsi" w:cstheme="minorHAnsi"/>
                <w:color w:val="000000"/>
                <w:sz w:val="22"/>
                <w:szCs w:val="22"/>
                <w:lang w:eastAsia="en-IN"/>
              </w:rPr>
              <w:t>316</w:t>
            </w:r>
          </w:p>
        </w:tc>
      </w:tr>
      <w:tr w:rsidR="009E3386" w:rsidRPr="009F560B" w14:paraId="4457132E" w14:textId="77777777" w:rsidTr="000F221E">
        <w:trPr>
          <w:trHeight w:val="288"/>
        </w:trPr>
        <w:tc>
          <w:tcPr>
            <w:tcW w:w="1547" w:type="dxa"/>
            <w:vMerge/>
            <w:tcBorders>
              <w:top w:val="nil"/>
              <w:left w:val="single" w:sz="4" w:space="0" w:color="auto"/>
              <w:bottom w:val="single" w:sz="4" w:space="0" w:color="auto"/>
              <w:right w:val="single" w:sz="4" w:space="0" w:color="auto"/>
            </w:tcBorders>
            <w:vAlign w:val="center"/>
            <w:hideMark/>
          </w:tcPr>
          <w:p w14:paraId="05462EBE" w14:textId="77777777" w:rsidR="009E3386" w:rsidRPr="009F560B" w:rsidRDefault="009E3386" w:rsidP="000F221E">
            <w:pPr>
              <w:contextualSpacing/>
              <w:jc w:val="both"/>
              <w:rPr>
                <w:rFonts w:asciiTheme="majorHAnsi" w:hAnsiTheme="majorHAnsi" w:cstheme="minorHAnsi"/>
                <w:color w:val="000000"/>
                <w:sz w:val="22"/>
                <w:szCs w:val="22"/>
                <w:lang w:eastAsia="en-IN"/>
              </w:rPr>
            </w:pPr>
          </w:p>
        </w:tc>
        <w:tc>
          <w:tcPr>
            <w:tcW w:w="2989" w:type="dxa"/>
            <w:tcBorders>
              <w:top w:val="nil"/>
              <w:left w:val="nil"/>
              <w:bottom w:val="single" w:sz="4" w:space="0" w:color="auto"/>
              <w:right w:val="single" w:sz="4" w:space="0" w:color="auto"/>
            </w:tcBorders>
            <w:vAlign w:val="center"/>
            <w:hideMark/>
          </w:tcPr>
          <w:p w14:paraId="707BDBD4" w14:textId="77777777" w:rsidR="009E3386" w:rsidRPr="009F560B" w:rsidRDefault="009E3386" w:rsidP="000F221E">
            <w:pPr>
              <w:contextualSpacing/>
              <w:jc w:val="both"/>
              <w:rPr>
                <w:rFonts w:asciiTheme="majorHAnsi" w:hAnsiTheme="majorHAnsi" w:cstheme="minorHAnsi"/>
                <w:color w:val="000000"/>
                <w:sz w:val="22"/>
                <w:szCs w:val="22"/>
                <w:lang w:eastAsia="en-IN"/>
              </w:rPr>
            </w:pPr>
            <w:r w:rsidRPr="009F560B">
              <w:rPr>
                <w:rFonts w:asciiTheme="majorHAnsi" w:hAnsiTheme="majorHAnsi" w:cstheme="minorHAnsi"/>
                <w:color w:val="000000"/>
                <w:sz w:val="22"/>
                <w:szCs w:val="22"/>
                <w:lang w:eastAsia="en-IN"/>
              </w:rPr>
              <w:t xml:space="preserve">630 </w:t>
            </w:r>
            <w:r>
              <w:rPr>
                <w:rFonts w:asciiTheme="majorHAnsi" w:hAnsiTheme="majorHAnsi" w:cstheme="minorHAnsi"/>
                <w:color w:val="000000"/>
                <w:sz w:val="22"/>
                <w:szCs w:val="22"/>
                <w:lang w:eastAsia="en-IN"/>
              </w:rPr>
              <w:t>kVA</w:t>
            </w:r>
            <w:r w:rsidRPr="009F560B">
              <w:rPr>
                <w:rFonts w:asciiTheme="majorHAnsi" w:hAnsiTheme="majorHAnsi" w:cstheme="minorHAnsi"/>
                <w:color w:val="000000"/>
                <w:sz w:val="22"/>
                <w:szCs w:val="22"/>
                <w:lang w:eastAsia="en-IN"/>
              </w:rPr>
              <w:t xml:space="preserve"> TO 1</w:t>
            </w:r>
            <w:r>
              <w:rPr>
                <w:rFonts w:asciiTheme="majorHAnsi" w:hAnsiTheme="majorHAnsi" w:cstheme="minorHAnsi"/>
                <w:color w:val="000000"/>
                <w:sz w:val="22"/>
                <w:szCs w:val="22"/>
                <w:lang w:eastAsia="en-IN"/>
              </w:rPr>
              <w:t>6</w:t>
            </w:r>
            <w:r w:rsidRPr="009F560B">
              <w:rPr>
                <w:rFonts w:asciiTheme="majorHAnsi" w:hAnsiTheme="majorHAnsi" w:cstheme="minorHAnsi"/>
                <w:color w:val="000000"/>
                <w:sz w:val="22"/>
                <w:szCs w:val="22"/>
                <w:lang w:eastAsia="en-IN"/>
              </w:rPr>
              <w:t>00</w:t>
            </w:r>
            <w:r>
              <w:rPr>
                <w:rFonts w:asciiTheme="majorHAnsi" w:hAnsiTheme="majorHAnsi" w:cstheme="minorHAnsi"/>
                <w:color w:val="000000"/>
                <w:sz w:val="22"/>
                <w:szCs w:val="22"/>
                <w:lang w:eastAsia="en-IN"/>
              </w:rPr>
              <w:t xml:space="preserve"> kVA</w:t>
            </w:r>
          </w:p>
        </w:tc>
        <w:tc>
          <w:tcPr>
            <w:tcW w:w="4111" w:type="dxa"/>
            <w:tcBorders>
              <w:top w:val="nil"/>
              <w:left w:val="nil"/>
              <w:bottom w:val="single" w:sz="4" w:space="0" w:color="auto"/>
              <w:right w:val="single" w:sz="4" w:space="0" w:color="auto"/>
            </w:tcBorders>
            <w:noWrap/>
            <w:vAlign w:val="center"/>
            <w:hideMark/>
          </w:tcPr>
          <w:p w14:paraId="5AAD45AE" w14:textId="77777777" w:rsidR="009E3386" w:rsidRPr="009F560B" w:rsidRDefault="009E3386" w:rsidP="000F221E">
            <w:pPr>
              <w:contextualSpacing/>
              <w:jc w:val="center"/>
              <w:rPr>
                <w:rFonts w:asciiTheme="majorHAnsi" w:hAnsiTheme="majorHAnsi" w:cstheme="minorHAnsi"/>
                <w:color w:val="000000"/>
                <w:sz w:val="22"/>
                <w:szCs w:val="22"/>
                <w:lang w:eastAsia="en-IN"/>
              </w:rPr>
            </w:pPr>
            <w:r>
              <w:rPr>
                <w:rFonts w:asciiTheme="majorHAnsi" w:hAnsiTheme="majorHAnsi" w:cstheme="minorHAnsi"/>
                <w:color w:val="000000"/>
                <w:sz w:val="22"/>
                <w:szCs w:val="22"/>
                <w:lang w:eastAsia="en-IN"/>
              </w:rPr>
              <w:t>5</w:t>
            </w:r>
          </w:p>
        </w:tc>
      </w:tr>
      <w:tr w:rsidR="009E3386" w:rsidRPr="009F560B" w14:paraId="4521B309" w14:textId="77777777" w:rsidTr="000F221E">
        <w:trPr>
          <w:trHeight w:val="288"/>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B87A5EC" w14:textId="77777777" w:rsidR="009E3386" w:rsidRPr="009F560B" w:rsidRDefault="009E3386" w:rsidP="000F221E">
            <w:pPr>
              <w:contextualSpacing/>
              <w:jc w:val="both"/>
              <w:rPr>
                <w:rFonts w:asciiTheme="majorHAnsi" w:hAnsiTheme="majorHAnsi" w:cstheme="minorHAnsi"/>
                <w:b/>
                <w:bCs/>
                <w:color w:val="000000"/>
                <w:sz w:val="22"/>
                <w:szCs w:val="22"/>
                <w:lang w:eastAsia="en-IN"/>
              </w:rPr>
            </w:pPr>
            <w:r w:rsidRPr="009F560B">
              <w:rPr>
                <w:rFonts w:asciiTheme="majorHAnsi" w:hAnsiTheme="majorHAnsi" w:cstheme="minorHAnsi"/>
                <w:b/>
                <w:bCs/>
                <w:color w:val="000000"/>
                <w:sz w:val="22"/>
                <w:szCs w:val="22"/>
                <w:lang w:eastAsia="en-IN"/>
              </w:rPr>
              <w:t>Total</w:t>
            </w:r>
          </w:p>
        </w:tc>
        <w:tc>
          <w:tcPr>
            <w:tcW w:w="4111" w:type="dxa"/>
            <w:tcBorders>
              <w:top w:val="single" w:sz="4" w:space="0" w:color="auto"/>
              <w:left w:val="nil"/>
              <w:bottom w:val="single" w:sz="4" w:space="0" w:color="auto"/>
              <w:right w:val="single" w:sz="4" w:space="0" w:color="auto"/>
            </w:tcBorders>
            <w:noWrap/>
            <w:vAlign w:val="center"/>
          </w:tcPr>
          <w:p w14:paraId="7DF5433F" w14:textId="77777777" w:rsidR="009E3386" w:rsidRPr="009F560B" w:rsidRDefault="009E3386" w:rsidP="000F221E">
            <w:pPr>
              <w:contextualSpacing/>
              <w:jc w:val="center"/>
              <w:rPr>
                <w:rFonts w:asciiTheme="majorHAnsi" w:hAnsiTheme="majorHAnsi" w:cstheme="minorHAnsi"/>
                <w:b/>
                <w:bCs/>
                <w:color w:val="000000"/>
                <w:sz w:val="22"/>
                <w:szCs w:val="22"/>
                <w:lang w:eastAsia="en-IN"/>
              </w:rPr>
            </w:pPr>
            <w:r>
              <w:rPr>
                <w:rFonts w:asciiTheme="majorHAnsi" w:hAnsiTheme="majorHAnsi" w:cstheme="minorHAnsi"/>
                <w:b/>
                <w:bCs/>
                <w:color w:val="000000"/>
                <w:sz w:val="22"/>
                <w:szCs w:val="22"/>
                <w:lang w:eastAsia="en-IN"/>
              </w:rPr>
              <w:t>84542</w:t>
            </w:r>
          </w:p>
        </w:tc>
      </w:tr>
    </w:tbl>
    <w:p w14:paraId="67F79B74" w14:textId="77777777" w:rsidR="008A10E5" w:rsidRDefault="008A10E5" w:rsidP="008A10E5">
      <w:pPr>
        <w:pStyle w:val="ListParagraph"/>
        <w:jc w:val="both"/>
        <w:rPr>
          <w:rFonts w:asciiTheme="majorHAnsi" w:hAnsiTheme="majorHAnsi" w:cstheme="minorHAnsi"/>
          <w:b/>
          <w:bCs/>
        </w:rPr>
      </w:pPr>
    </w:p>
    <w:p w14:paraId="3D5A7F99" w14:textId="4B19A42D" w:rsidR="008A10E5" w:rsidRDefault="00130BEC" w:rsidP="001972DE">
      <w:pPr>
        <w:pStyle w:val="ListParagraph"/>
        <w:numPr>
          <w:ilvl w:val="0"/>
          <w:numId w:val="27"/>
        </w:numPr>
        <w:ind w:left="1134"/>
        <w:jc w:val="both"/>
        <w:rPr>
          <w:rFonts w:asciiTheme="majorHAnsi" w:hAnsiTheme="majorHAnsi" w:cstheme="minorHAnsi"/>
          <w:b/>
          <w:bCs/>
          <w:sz w:val="24"/>
          <w:szCs w:val="24"/>
        </w:rPr>
      </w:pPr>
      <w:r w:rsidRPr="009F560B">
        <w:rPr>
          <w:rFonts w:asciiTheme="majorHAnsi" w:hAnsiTheme="majorHAnsi" w:cstheme="minorHAnsi"/>
          <w:b/>
          <w:bCs/>
          <w:sz w:val="24"/>
          <w:szCs w:val="24"/>
        </w:rPr>
        <w:t xml:space="preserve">Reason </w:t>
      </w:r>
      <w:r>
        <w:rPr>
          <w:rFonts w:asciiTheme="majorHAnsi" w:hAnsiTheme="majorHAnsi" w:cstheme="minorHAnsi"/>
          <w:b/>
          <w:bCs/>
          <w:sz w:val="24"/>
          <w:szCs w:val="24"/>
        </w:rPr>
        <w:t>for</w:t>
      </w:r>
      <w:r w:rsidRPr="009F560B">
        <w:rPr>
          <w:rFonts w:asciiTheme="majorHAnsi" w:hAnsiTheme="majorHAnsi" w:cstheme="minorHAnsi"/>
          <w:b/>
          <w:bCs/>
          <w:sz w:val="24"/>
          <w:szCs w:val="24"/>
        </w:rPr>
        <w:t xml:space="preserve"> </w:t>
      </w:r>
      <w:r w:rsidR="008A10E5" w:rsidRPr="009F560B">
        <w:rPr>
          <w:rFonts w:asciiTheme="majorHAnsi" w:hAnsiTheme="majorHAnsi" w:cstheme="minorHAnsi"/>
          <w:b/>
          <w:bCs/>
          <w:sz w:val="24"/>
          <w:szCs w:val="24"/>
        </w:rPr>
        <w:t>DT</w:t>
      </w:r>
      <w:r w:rsidR="00806C7E">
        <w:rPr>
          <w:rFonts w:asciiTheme="majorHAnsi" w:hAnsiTheme="majorHAnsi" w:cstheme="minorHAnsi"/>
          <w:b/>
          <w:bCs/>
          <w:sz w:val="24"/>
          <w:szCs w:val="24"/>
        </w:rPr>
        <w:t>R</w:t>
      </w:r>
      <w:r w:rsidR="008A10E5" w:rsidRPr="009F560B">
        <w:rPr>
          <w:rFonts w:asciiTheme="majorHAnsi" w:hAnsiTheme="majorHAnsi" w:cstheme="minorHAnsi"/>
          <w:b/>
          <w:bCs/>
          <w:sz w:val="24"/>
          <w:szCs w:val="24"/>
        </w:rPr>
        <w:t xml:space="preserve"> </w:t>
      </w:r>
      <w:r w:rsidRPr="009F560B">
        <w:rPr>
          <w:rFonts w:asciiTheme="majorHAnsi" w:hAnsiTheme="majorHAnsi" w:cstheme="minorHAnsi"/>
          <w:b/>
          <w:bCs/>
          <w:sz w:val="24"/>
          <w:szCs w:val="24"/>
        </w:rPr>
        <w:t>failure</w:t>
      </w:r>
      <w:r w:rsidR="000A2A52" w:rsidRPr="009F560B">
        <w:rPr>
          <w:rFonts w:asciiTheme="majorHAnsi" w:hAnsiTheme="majorHAnsi" w:cstheme="minorHAnsi"/>
          <w:b/>
          <w:bCs/>
          <w:sz w:val="24"/>
          <w:szCs w:val="24"/>
        </w:rPr>
        <w:t>:</w:t>
      </w:r>
    </w:p>
    <w:p w14:paraId="2D6A540C" w14:textId="77777777" w:rsidR="00130BEC" w:rsidRPr="009F560B" w:rsidRDefault="00130BEC" w:rsidP="00130BEC">
      <w:pPr>
        <w:pStyle w:val="ListParagraph"/>
        <w:ind w:left="1134"/>
        <w:jc w:val="both"/>
        <w:rPr>
          <w:rFonts w:asciiTheme="majorHAnsi" w:hAnsiTheme="majorHAnsi" w:cstheme="minorHAnsi"/>
          <w:b/>
          <w:bCs/>
          <w:sz w:val="24"/>
          <w:szCs w:val="24"/>
        </w:rPr>
      </w:pPr>
    </w:p>
    <w:p w14:paraId="345CABC7" w14:textId="1283CB03" w:rsidR="00605E65" w:rsidRPr="00874EA2" w:rsidRDefault="00D715F4" w:rsidP="001972DE">
      <w:pPr>
        <w:pStyle w:val="ListParagraph"/>
        <w:numPr>
          <w:ilvl w:val="0"/>
          <w:numId w:val="29"/>
        </w:numPr>
        <w:spacing w:line="360" w:lineRule="auto"/>
        <w:ind w:left="1418"/>
        <w:jc w:val="both"/>
        <w:rPr>
          <w:rFonts w:asciiTheme="majorHAnsi" w:hAnsiTheme="majorHAnsi" w:cstheme="minorHAnsi"/>
          <w:b/>
          <w:bCs/>
          <w:sz w:val="24"/>
          <w:szCs w:val="24"/>
        </w:rPr>
      </w:pPr>
      <w:r w:rsidRPr="009F560B">
        <w:rPr>
          <w:rFonts w:asciiTheme="majorHAnsi" w:hAnsiTheme="majorHAnsi" w:cstheme="minorHAnsi"/>
          <w:b/>
          <w:bCs/>
          <w:sz w:val="24"/>
          <w:szCs w:val="24"/>
        </w:rPr>
        <w:t>Over Loading:</w:t>
      </w:r>
      <w:r w:rsidR="00605E65" w:rsidRPr="009F560B">
        <w:rPr>
          <w:rFonts w:asciiTheme="majorHAnsi" w:hAnsiTheme="majorHAnsi" w:cstheme="minorHAnsi"/>
          <w:b/>
          <w:bCs/>
          <w:sz w:val="24"/>
          <w:szCs w:val="24"/>
        </w:rPr>
        <w:t xml:space="preserve"> </w:t>
      </w:r>
      <w:r w:rsidR="005622DA" w:rsidRPr="005622DA">
        <w:rPr>
          <w:rFonts w:asciiTheme="majorHAnsi" w:hAnsiTheme="majorHAnsi" w:cstheme="minorHAnsi"/>
          <w:sz w:val="24"/>
          <w:szCs w:val="24"/>
        </w:rPr>
        <w:t>During field verification &amp; system Reliability inspection it has been observed that many DTRs are overloaded above their capacity &amp; which is the main Cause of DTR failure in Summer Season. In SAUBHAGYA/DDUGY/RGGVY Many DTs (16kVA to 25 kVA) are installed with new connections adding load on already installed DTRs. Every Year 20000 new connections given to our new consumer in various TPWODL area in Existing Distribution Transformer.</w:t>
      </w:r>
    </w:p>
    <w:p w14:paraId="69637804" w14:textId="77777777" w:rsidR="00874EA2" w:rsidRPr="009F560B" w:rsidRDefault="00874EA2" w:rsidP="00874EA2">
      <w:pPr>
        <w:pStyle w:val="ListParagraph"/>
        <w:spacing w:line="360" w:lineRule="auto"/>
        <w:ind w:left="1418"/>
        <w:jc w:val="both"/>
        <w:rPr>
          <w:rFonts w:asciiTheme="majorHAnsi" w:hAnsiTheme="majorHAnsi" w:cstheme="minorHAnsi"/>
          <w:b/>
          <w:bCs/>
          <w:sz w:val="24"/>
          <w:szCs w:val="24"/>
        </w:rPr>
      </w:pPr>
    </w:p>
    <w:p w14:paraId="6236CAD5" w14:textId="357407EE" w:rsidR="00605E65" w:rsidRPr="009F560B" w:rsidRDefault="00605E65" w:rsidP="001972DE">
      <w:pPr>
        <w:pStyle w:val="ListParagraph"/>
        <w:numPr>
          <w:ilvl w:val="0"/>
          <w:numId w:val="29"/>
        </w:numPr>
        <w:spacing w:line="360" w:lineRule="auto"/>
        <w:ind w:left="1418"/>
        <w:jc w:val="both"/>
        <w:rPr>
          <w:rFonts w:asciiTheme="majorHAnsi" w:hAnsiTheme="majorHAnsi" w:cstheme="minorHAnsi"/>
          <w:sz w:val="24"/>
          <w:szCs w:val="24"/>
        </w:rPr>
      </w:pPr>
      <w:r w:rsidRPr="009F560B">
        <w:rPr>
          <w:rFonts w:asciiTheme="majorHAnsi" w:hAnsiTheme="majorHAnsi" w:cstheme="minorHAnsi"/>
          <w:b/>
          <w:bCs/>
          <w:sz w:val="24"/>
          <w:szCs w:val="24"/>
        </w:rPr>
        <w:t xml:space="preserve">AGEING: </w:t>
      </w:r>
      <w:r w:rsidR="00CB09F0" w:rsidRPr="00CB09F0">
        <w:rPr>
          <w:rFonts w:asciiTheme="majorHAnsi" w:hAnsiTheme="majorHAnsi" w:cstheme="minorHAnsi"/>
          <w:sz w:val="24"/>
          <w:szCs w:val="24"/>
        </w:rPr>
        <w:t xml:space="preserve">In TPWODL System Many Distribution Transformers are Installed in near about 15 to 20 years back. These Transformers are failing because of overage and frequent faults in the system. These Transformers are either Not repairable or if repairable but having high No Load losses. Also, the cost of </w:t>
      </w:r>
      <w:r w:rsidR="00BF0586" w:rsidRPr="00CB09F0">
        <w:rPr>
          <w:rFonts w:asciiTheme="majorHAnsi" w:hAnsiTheme="majorHAnsi" w:cstheme="minorHAnsi"/>
          <w:sz w:val="24"/>
          <w:szCs w:val="24"/>
        </w:rPr>
        <w:t>repairing</w:t>
      </w:r>
      <w:r w:rsidR="00CB09F0" w:rsidRPr="00CB09F0">
        <w:rPr>
          <w:rFonts w:asciiTheme="majorHAnsi" w:hAnsiTheme="majorHAnsi" w:cstheme="minorHAnsi"/>
          <w:sz w:val="24"/>
          <w:szCs w:val="24"/>
        </w:rPr>
        <w:t xml:space="preserve"> these transformers are comparatively high as compare to new Transformer. which is also causing reliability of power supply to the Consumers. Hence instead of repairing these </w:t>
      </w:r>
      <w:r w:rsidR="00BF0586" w:rsidRPr="00CB09F0">
        <w:rPr>
          <w:rFonts w:asciiTheme="majorHAnsi" w:hAnsiTheme="majorHAnsi" w:cstheme="minorHAnsi"/>
          <w:sz w:val="24"/>
          <w:szCs w:val="24"/>
        </w:rPr>
        <w:t>old-age</w:t>
      </w:r>
      <w:r w:rsidR="00CB09F0" w:rsidRPr="00CB09F0">
        <w:rPr>
          <w:rFonts w:asciiTheme="majorHAnsi" w:hAnsiTheme="majorHAnsi" w:cstheme="minorHAnsi"/>
          <w:sz w:val="24"/>
          <w:szCs w:val="24"/>
        </w:rPr>
        <w:t xml:space="preserve"> transformers it is better to replace with new one. Over aging is also impacting technical losses of the system.</w:t>
      </w:r>
      <w:r w:rsidRPr="009F560B">
        <w:rPr>
          <w:rFonts w:asciiTheme="majorHAnsi" w:hAnsiTheme="majorHAnsi" w:cstheme="minorHAnsi"/>
          <w:sz w:val="24"/>
          <w:szCs w:val="24"/>
        </w:rPr>
        <w:t xml:space="preserve"> </w:t>
      </w:r>
    </w:p>
    <w:p w14:paraId="0CA89566" w14:textId="0C918B64" w:rsidR="00056AAE" w:rsidRPr="00F024C4" w:rsidRDefault="00605E65" w:rsidP="001972DE">
      <w:pPr>
        <w:pStyle w:val="ListParagraph"/>
        <w:numPr>
          <w:ilvl w:val="0"/>
          <w:numId w:val="29"/>
        </w:numPr>
        <w:spacing w:line="360" w:lineRule="auto"/>
        <w:ind w:left="1418"/>
        <w:jc w:val="both"/>
        <w:rPr>
          <w:rFonts w:asciiTheme="majorHAnsi" w:hAnsiTheme="majorHAnsi" w:cstheme="minorHAnsi"/>
        </w:rPr>
      </w:pPr>
      <w:r w:rsidRPr="00F024C4">
        <w:rPr>
          <w:rFonts w:asciiTheme="majorHAnsi" w:hAnsiTheme="majorHAnsi" w:cstheme="minorHAnsi"/>
          <w:b/>
          <w:bCs/>
          <w:sz w:val="24"/>
          <w:szCs w:val="24"/>
        </w:rPr>
        <w:t xml:space="preserve">M/s </w:t>
      </w:r>
      <w:proofErr w:type="spellStart"/>
      <w:r w:rsidR="00640F07" w:rsidRPr="00F024C4">
        <w:rPr>
          <w:rFonts w:asciiTheme="majorHAnsi" w:hAnsiTheme="majorHAnsi" w:cstheme="minorHAnsi"/>
          <w:b/>
          <w:bCs/>
          <w:sz w:val="24"/>
          <w:szCs w:val="24"/>
        </w:rPr>
        <w:t>Vijai</w:t>
      </w:r>
      <w:proofErr w:type="spellEnd"/>
      <w:r w:rsidR="00640F07" w:rsidRPr="00F024C4">
        <w:rPr>
          <w:rFonts w:asciiTheme="majorHAnsi" w:hAnsiTheme="majorHAnsi" w:cstheme="minorHAnsi"/>
          <w:b/>
          <w:bCs/>
          <w:sz w:val="24"/>
          <w:szCs w:val="24"/>
        </w:rPr>
        <w:t xml:space="preserve"> Electrical Make</w:t>
      </w:r>
      <w:r w:rsidR="00640F07">
        <w:rPr>
          <w:rFonts w:asciiTheme="majorHAnsi" w:hAnsiTheme="majorHAnsi" w:cstheme="minorHAnsi"/>
          <w:b/>
          <w:bCs/>
          <w:sz w:val="24"/>
          <w:szCs w:val="24"/>
        </w:rPr>
        <w:t xml:space="preserve"> DTs</w:t>
      </w:r>
      <w:r w:rsidRPr="00F024C4">
        <w:rPr>
          <w:rFonts w:asciiTheme="majorHAnsi" w:hAnsiTheme="majorHAnsi" w:cstheme="minorHAnsi"/>
          <w:b/>
          <w:bCs/>
          <w:sz w:val="24"/>
          <w:szCs w:val="24"/>
        </w:rPr>
        <w:t xml:space="preserve">: </w:t>
      </w:r>
      <w:r w:rsidR="00640F07" w:rsidRPr="00640F07">
        <w:rPr>
          <w:rFonts w:asciiTheme="majorHAnsi" w:hAnsiTheme="majorHAnsi" w:cstheme="minorHAnsi"/>
          <w:sz w:val="24"/>
          <w:szCs w:val="24"/>
        </w:rPr>
        <w:t xml:space="preserve">M/s. </w:t>
      </w:r>
      <w:proofErr w:type="spellStart"/>
      <w:r w:rsidR="00640F07" w:rsidRPr="00640F07">
        <w:rPr>
          <w:rFonts w:asciiTheme="majorHAnsi" w:hAnsiTheme="majorHAnsi" w:cstheme="minorHAnsi"/>
          <w:sz w:val="24"/>
          <w:szCs w:val="24"/>
        </w:rPr>
        <w:t>Vijai</w:t>
      </w:r>
      <w:proofErr w:type="spellEnd"/>
      <w:r w:rsidR="00640F07" w:rsidRPr="00640F07">
        <w:rPr>
          <w:rFonts w:asciiTheme="majorHAnsi" w:hAnsiTheme="majorHAnsi" w:cstheme="minorHAnsi"/>
          <w:sz w:val="24"/>
          <w:szCs w:val="24"/>
        </w:rPr>
        <w:t xml:space="preserve"> make DTRs installed During Earlier time &amp; under DDUGJY/RGGVY, 12th plan are frequently failing since installation. These transformers are Also Having High losses and not repairable by Regular Vendors. Hence there is difficulty repairing these transformers due to complicated core arrangement and core design.</w:t>
      </w:r>
      <w:r w:rsidRPr="00F024C4">
        <w:rPr>
          <w:rFonts w:asciiTheme="majorHAnsi" w:hAnsiTheme="majorHAnsi" w:cstheme="minorHAnsi"/>
          <w:b/>
          <w:sz w:val="24"/>
          <w:szCs w:val="24"/>
        </w:rPr>
        <w:t xml:space="preserve"> </w:t>
      </w:r>
    </w:p>
    <w:p w14:paraId="76EED817" w14:textId="77777777" w:rsidR="00F024C4" w:rsidRPr="00806C7E" w:rsidRDefault="00F024C4" w:rsidP="00F024C4">
      <w:pPr>
        <w:pStyle w:val="ListParagraph"/>
        <w:spacing w:line="360" w:lineRule="auto"/>
        <w:ind w:left="1418"/>
        <w:jc w:val="both"/>
        <w:rPr>
          <w:rFonts w:asciiTheme="majorHAnsi" w:hAnsiTheme="majorHAnsi" w:cstheme="minorHAnsi"/>
          <w:sz w:val="12"/>
        </w:rPr>
      </w:pPr>
    </w:p>
    <w:p w14:paraId="665268D6" w14:textId="4E351881" w:rsidR="00B05362" w:rsidRPr="00FD5D5A" w:rsidRDefault="008A10E5" w:rsidP="001972DE">
      <w:pPr>
        <w:pStyle w:val="ListParagraph"/>
        <w:numPr>
          <w:ilvl w:val="0"/>
          <w:numId w:val="29"/>
        </w:numPr>
        <w:spacing w:line="360" w:lineRule="auto"/>
        <w:ind w:left="1418"/>
        <w:jc w:val="both"/>
        <w:rPr>
          <w:rFonts w:asciiTheme="majorHAnsi" w:hAnsiTheme="majorHAnsi" w:cstheme="minorHAnsi"/>
          <w:b/>
          <w:bCs/>
        </w:rPr>
      </w:pPr>
      <w:r w:rsidRPr="009F560B">
        <w:rPr>
          <w:rFonts w:asciiTheme="majorHAnsi" w:hAnsiTheme="majorHAnsi" w:cstheme="minorHAnsi"/>
          <w:b/>
          <w:bCs/>
        </w:rPr>
        <w:t xml:space="preserve">OTHER REASONS OF DTRs FAILURE- </w:t>
      </w:r>
      <w:r w:rsidR="00B05362" w:rsidRPr="00FD5D5A">
        <w:rPr>
          <w:rFonts w:asciiTheme="majorHAnsi" w:hAnsiTheme="majorHAnsi" w:cstheme="minorHAnsi"/>
        </w:rPr>
        <w:t xml:space="preserve">Apart from </w:t>
      </w:r>
      <w:r w:rsidR="005A2F6E" w:rsidRPr="00FD5D5A">
        <w:rPr>
          <w:rFonts w:asciiTheme="majorHAnsi" w:hAnsiTheme="majorHAnsi" w:cstheme="minorHAnsi"/>
        </w:rPr>
        <w:t>the above-</w:t>
      </w:r>
      <w:r w:rsidR="00B05362" w:rsidRPr="00FD5D5A">
        <w:rPr>
          <w:rFonts w:asciiTheme="majorHAnsi" w:hAnsiTheme="majorHAnsi" w:cstheme="minorHAnsi"/>
        </w:rPr>
        <w:t xml:space="preserve">mentioned reasons there are some other </w:t>
      </w:r>
      <w:r w:rsidR="005A2F6E" w:rsidRPr="00FD5D5A">
        <w:rPr>
          <w:rFonts w:asciiTheme="majorHAnsi" w:hAnsiTheme="majorHAnsi" w:cstheme="minorHAnsi"/>
        </w:rPr>
        <w:t>factors</w:t>
      </w:r>
      <w:r w:rsidR="00B05362" w:rsidRPr="00FD5D5A">
        <w:rPr>
          <w:rFonts w:asciiTheme="majorHAnsi" w:hAnsiTheme="majorHAnsi" w:cstheme="minorHAnsi"/>
        </w:rPr>
        <w:t xml:space="preserve"> which affecting failure of DTs.</w:t>
      </w:r>
    </w:p>
    <w:p w14:paraId="028CC2F2" w14:textId="0E674B24" w:rsidR="00B05362" w:rsidRPr="000952FF" w:rsidRDefault="00B05362" w:rsidP="001972DE">
      <w:pPr>
        <w:pStyle w:val="ListParagraph"/>
        <w:numPr>
          <w:ilvl w:val="0"/>
          <w:numId w:val="30"/>
        </w:numPr>
        <w:spacing w:line="360" w:lineRule="auto"/>
        <w:jc w:val="both"/>
        <w:rPr>
          <w:rFonts w:asciiTheme="majorHAnsi" w:hAnsiTheme="majorHAnsi" w:cstheme="minorHAnsi"/>
          <w:sz w:val="24"/>
        </w:rPr>
      </w:pPr>
      <w:r w:rsidRPr="000952FF">
        <w:rPr>
          <w:rFonts w:asciiTheme="majorHAnsi" w:hAnsiTheme="majorHAnsi" w:cstheme="minorHAnsi"/>
          <w:b/>
          <w:bCs/>
          <w:sz w:val="24"/>
        </w:rPr>
        <w:t>Heavy Lightening:</w:t>
      </w:r>
      <w:r w:rsidRPr="000952FF">
        <w:rPr>
          <w:rFonts w:asciiTheme="majorHAnsi" w:hAnsiTheme="majorHAnsi" w:cstheme="minorHAnsi"/>
          <w:sz w:val="24"/>
        </w:rPr>
        <w:t xml:space="preserve"> </w:t>
      </w:r>
      <w:r w:rsidR="00FA7A2D" w:rsidRPr="00FA7A2D">
        <w:rPr>
          <w:rFonts w:asciiTheme="majorHAnsi" w:hAnsiTheme="majorHAnsi" w:cstheme="minorHAnsi"/>
          <w:sz w:val="24"/>
        </w:rPr>
        <w:t xml:space="preserve">TPWODL is high lightening prone area. Lightening strokes are regularly observed during </w:t>
      </w:r>
      <w:proofErr w:type="spellStart"/>
      <w:r w:rsidR="00FA7A2D" w:rsidRPr="00FA7A2D">
        <w:rPr>
          <w:rFonts w:asciiTheme="majorHAnsi" w:hAnsiTheme="majorHAnsi" w:cstheme="minorHAnsi"/>
          <w:sz w:val="24"/>
        </w:rPr>
        <w:t>Kal-baisakhi</w:t>
      </w:r>
      <w:proofErr w:type="spellEnd"/>
      <w:r w:rsidR="00FA7A2D" w:rsidRPr="00FA7A2D">
        <w:rPr>
          <w:rFonts w:asciiTheme="majorHAnsi" w:hAnsiTheme="majorHAnsi" w:cstheme="minorHAnsi"/>
          <w:sz w:val="24"/>
        </w:rPr>
        <w:t xml:space="preserve"> and normal rainy season also.</w:t>
      </w:r>
    </w:p>
    <w:p w14:paraId="6D1F7249" w14:textId="5A019AD8" w:rsidR="00B05362" w:rsidRPr="000952FF" w:rsidRDefault="00B05362" w:rsidP="001972DE">
      <w:pPr>
        <w:pStyle w:val="ListParagraph"/>
        <w:numPr>
          <w:ilvl w:val="0"/>
          <w:numId w:val="30"/>
        </w:numPr>
        <w:spacing w:line="360" w:lineRule="auto"/>
        <w:jc w:val="both"/>
        <w:rPr>
          <w:rFonts w:asciiTheme="majorHAnsi" w:hAnsiTheme="majorHAnsi" w:cstheme="minorHAnsi"/>
          <w:sz w:val="24"/>
        </w:rPr>
      </w:pPr>
      <w:r w:rsidRPr="000952FF">
        <w:rPr>
          <w:rFonts w:asciiTheme="majorHAnsi" w:hAnsiTheme="majorHAnsi" w:cstheme="minorHAnsi"/>
          <w:b/>
          <w:bCs/>
          <w:sz w:val="24"/>
        </w:rPr>
        <w:t>Oil Level Low</w:t>
      </w:r>
      <w:r w:rsidR="00B61205" w:rsidRPr="000952FF">
        <w:rPr>
          <w:rFonts w:asciiTheme="majorHAnsi" w:hAnsiTheme="majorHAnsi" w:cstheme="minorHAnsi"/>
          <w:b/>
          <w:bCs/>
          <w:sz w:val="24"/>
        </w:rPr>
        <w:t>:</w:t>
      </w:r>
      <w:r w:rsidRPr="000952FF">
        <w:rPr>
          <w:rFonts w:asciiTheme="majorHAnsi" w:hAnsiTheme="majorHAnsi" w:cstheme="minorHAnsi"/>
          <w:sz w:val="24"/>
        </w:rPr>
        <w:t xml:space="preserve"> </w:t>
      </w:r>
      <w:r w:rsidR="00BC3797" w:rsidRPr="00BC3797">
        <w:rPr>
          <w:rFonts w:asciiTheme="majorHAnsi" w:hAnsiTheme="majorHAnsi" w:cstheme="minorHAnsi"/>
          <w:sz w:val="24"/>
        </w:rPr>
        <w:t>Many Old Transformers are also failing due to Oil contamination for prolonged use.</w:t>
      </w:r>
    </w:p>
    <w:p w14:paraId="7ADC60E7" w14:textId="13E73A97" w:rsidR="002C0370" w:rsidRPr="00A24934" w:rsidRDefault="00B05362" w:rsidP="001972DE">
      <w:pPr>
        <w:pStyle w:val="ListParagraph"/>
        <w:numPr>
          <w:ilvl w:val="0"/>
          <w:numId w:val="30"/>
        </w:numPr>
        <w:spacing w:line="360" w:lineRule="auto"/>
        <w:jc w:val="both"/>
        <w:rPr>
          <w:rFonts w:asciiTheme="majorHAnsi" w:hAnsiTheme="majorHAnsi" w:cstheme="minorHAnsi"/>
          <w:b/>
          <w:bCs/>
          <w:sz w:val="24"/>
        </w:rPr>
      </w:pPr>
      <w:r w:rsidRPr="000952FF">
        <w:rPr>
          <w:rFonts w:asciiTheme="majorHAnsi" w:hAnsiTheme="majorHAnsi" w:cstheme="minorHAnsi"/>
          <w:b/>
          <w:bCs/>
          <w:sz w:val="24"/>
        </w:rPr>
        <w:t>Improper Earthing</w:t>
      </w:r>
      <w:r w:rsidR="00B61205" w:rsidRPr="000952FF">
        <w:rPr>
          <w:rFonts w:asciiTheme="majorHAnsi" w:hAnsiTheme="majorHAnsi" w:cstheme="minorHAnsi"/>
          <w:b/>
          <w:bCs/>
          <w:sz w:val="24"/>
        </w:rPr>
        <w:t>:</w:t>
      </w:r>
      <w:r w:rsidRPr="000952FF">
        <w:rPr>
          <w:rFonts w:asciiTheme="majorHAnsi" w:hAnsiTheme="majorHAnsi" w:cstheme="minorHAnsi"/>
          <w:sz w:val="24"/>
        </w:rPr>
        <w:t xml:space="preserve"> </w:t>
      </w:r>
      <w:r w:rsidR="00A24934" w:rsidRPr="00A24934">
        <w:rPr>
          <w:rFonts w:asciiTheme="majorHAnsi" w:hAnsiTheme="majorHAnsi" w:cstheme="minorHAnsi"/>
          <w:sz w:val="24"/>
        </w:rPr>
        <w:t>Although earthing of DTRs is being carried out on a regular basis, due to large no of DTRs there still remains scope for further improvement to ensure proper and effective earthing.</w:t>
      </w:r>
    </w:p>
    <w:p w14:paraId="7EA5A5E3" w14:textId="2DE31665" w:rsidR="008A10E5" w:rsidRPr="009F560B" w:rsidRDefault="008A10E5" w:rsidP="001972DE">
      <w:pPr>
        <w:pStyle w:val="ListParagraph"/>
        <w:numPr>
          <w:ilvl w:val="0"/>
          <w:numId w:val="28"/>
        </w:numPr>
        <w:spacing w:after="160" w:line="360" w:lineRule="auto"/>
        <w:jc w:val="both"/>
        <w:rPr>
          <w:rFonts w:asciiTheme="majorHAnsi" w:hAnsiTheme="majorHAnsi" w:cstheme="minorHAnsi"/>
          <w:b/>
          <w:bCs/>
          <w:sz w:val="24"/>
          <w:szCs w:val="24"/>
          <w:u w:val="single"/>
        </w:rPr>
      </w:pPr>
      <w:r w:rsidRPr="009F560B">
        <w:rPr>
          <w:rFonts w:asciiTheme="majorHAnsi" w:hAnsiTheme="majorHAnsi" w:cstheme="minorHAnsi"/>
          <w:b/>
          <w:bCs/>
          <w:sz w:val="24"/>
          <w:szCs w:val="24"/>
          <w:u w:val="single"/>
        </w:rPr>
        <w:t xml:space="preserve">Spares for all repair and maintenance: </w:t>
      </w:r>
    </w:p>
    <w:p w14:paraId="33D9F19F" w14:textId="4AA3E587" w:rsidR="008A10E5" w:rsidRPr="009F560B" w:rsidRDefault="008A10E5" w:rsidP="00D466F6">
      <w:pPr>
        <w:tabs>
          <w:tab w:val="right" w:pos="10260"/>
        </w:tabs>
        <w:spacing w:after="160" w:line="259" w:lineRule="auto"/>
        <w:ind w:left="709" w:right="-900"/>
        <w:jc w:val="both"/>
        <w:rPr>
          <w:rFonts w:asciiTheme="majorHAnsi" w:hAnsiTheme="majorHAnsi" w:cstheme="minorHAnsi"/>
          <w:b/>
          <w:bCs/>
          <w:sz w:val="22"/>
          <w:szCs w:val="22"/>
        </w:rPr>
      </w:pPr>
      <w:r w:rsidRPr="009F560B">
        <w:rPr>
          <w:rFonts w:asciiTheme="majorHAnsi" w:hAnsiTheme="majorHAnsi"/>
          <w:b/>
          <w:szCs w:val="18"/>
        </w:rPr>
        <w:t>Requirement of spares (11</w:t>
      </w:r>
      <w:r w:rsidR="006019AD">
        <w:rPr>
          <w:rFonts w:asciiTheme="majorHAnsi" w:hAnsiTheme="majorHAnsi"/>
          <w:b/>
          <w:szCs w:val="18"/>
        </w:rPr>
        <w:t>kV</w:t>
      </w:r>
      <w:r w:rsidRPr="009F560B">
        <w:rPr>
          <w:rFonts w:asciiTheme="majorHAnsi" w:hAnsiTheme="majorHAnsi"/>
          <w:b/>
          <w:szCs w:val="18"/>
        </w:rPr>
        <w:t>,33</w:t>
      </w:r>
      <w:r w:rsidR="006019AD">
        <w:rPr>
          <w:rFonts w:asciiTheme="majorHAnsi" w:hAnsiTheme="majorHAnsi"/>
          <w:b/>
          <w:szCs w:val="18"/>
        </w:rPr>
        <w:t>kV</w:t>
      </w:r>
      <w:r w:rsidRPr="009F560B">
        <w:rPr>
          <w:rFonts w:asciiTheme="majorHAnsi" w:hAnsiTheme="majorHAnsi"/>
          <w:b/>
          <w:szCs w:val="18"/>
        </w:rPr>
        <w:t>, VCB Spares etc.</w:t>
      </w:r>
      <w:r w:rsidR="00F67B54">
        <w:rPr>
          <w:rFonts w:asciiTheme="majorHAnsi" w:hAnsiTheme="majorHAnsi"/>
          <w:b/>
          <w:szCs w:val="18"/>
        </w:rPr>
        <w:t>)</w:t>
      </w:r>
    </w:p>
    <w:p w14:paraId="4B1739DA" w14:textId="705C6826" w:rsidR="008A10E5" w:rsidRPr="009F560B" w:rsidRDefault="008A10E5" w:rsidP="00D466F6">
      <w:pPr>
        <w:spacing w:after="160" w:line="256" w:lineRule="auto"/>
        <w:ind w:left="709"/>
        <w:contextualSpacing/>
        <w:jc w:val="both"/>
        <w:rPr>
          <w:rFonts w:asciiTheme="majorHAnsi" w:hAnsiTheme="majorHAnsi"/>
          <w:b/>
          <w:szCs w:val="22"/>
        </w:rPr>
      </w:pPr>
      <w:r w:rsidRPr="009F560B">
        <w:rPr>
          <w:rFonts w:asciiTheme="majorHAnsi" w:hAnsiTheme="majorHAnsi"/>
          <w:b/>
          <w:szCs w:val="22"/>
        </w:rPr>
        <w:t>11</w:t>
      </w:r>
      <w:r w:rsidR="00F8250F">
        <w:rPr>
          <w:rFonts w:asciiTheme="majorHAnsi" w:hAnsiTheme="majorHAnsi"/>
          <w:b/>
          <w:szCs w:val="22"/>
        </w:rPr>
        <w:t xml:space="preserve"> k</w:t>
      </w:r>
      <w:r w:rsidR="006019AD">
        <w:rPr>
          <w:rFonts w:asciiTheme="majorHAnsi" w:hAnsiTheme="majorHAnsi"/>
          <w:b/>
          <w:szCs w:val="22"/>
        </w:rPr>
        <w:t>V</w:t>
      </w:r>
      <w:r w:rsidRPr="009F560B">
        <w:rPr>
          <w:rFonts w:asciiTheme="majorHAnsi" w:hAnsiTheme="majorHAnsi"/>
          <w:b/>
          <w:szCs w:val="22"/>
        </w:rPr>
        <w:t xml:space="preserve"> Spares</w:t>
      </w:r>
    </w:p>
    <w:p w14:paraId="551338E9" w14:textId="77777777" w:rsidR="008A10E5" w:rsidRPr="009F560B" w:rsidRDefault="008A10E5" w:rsidP="008A10E5">
      <w:pPr>
        <w:spacing w:after="160" w:line="256" w:lineRule="auto"/>
        <w:contextualSpacing/>
        <w:jc w:val="both"/>
        <w:rPr>
          <w:rFonts w:asciiTheme="majorHAnsi" w:hAnsiTheme="majorHAnsi"/>
        </w:rPr>
      </w:pPr>
    </w:p>
    <w:p w14:paraId="14DFF544" w14:textId="456C6F9F" w:rsidR="00615C87" w:rsidRDefault="00F249E7" w:rsidP="00F249E7">
      <w:pPr>
        <w:spacing w:after="160" w:line="360" w:lineRule="auto"/>
        <w:ind w:left="709"/>
        <w:contextualSpacing/>
        <w:jc w:val="both"/>
        <w:rPr>
          <w:rFonts w:asciiTheme="majorHAnsi" w:hAnsiTheme="majorHAnsi"/>
        </w:rPr>
      </w:pPr>
      <w:r w:rsidRPr="009F560B">
        <w:rPr>
          <w:rFonts w:asciiTheme="majorHAnsi" w:hAnsiTheme="majorHAnsi"/>
        </w:rPr>
        <w:t xml:space="preserve">TPWODL has around </w:t>
      </w:r>
      <w:r>
        <w:rPr>
          <w:rFonts w:asciiTheme="majorHAnsi" w:hAnsiTheme="majorHAnsi"/>
        </w:rPr>
        <w:t xml:space="preserve">84542 </w:t>
      </w:r>
      <w:r w:rsidRPr="009F560B">
        <w:rPr>
          <w:rFonts w:asciiTheme="majorHAnsi" w:hAnsiTheme="majorHAnsi"/>
        </w:rPr>
        <w:t>DTs installed in its network. Now, in order to maintain these DTs and AB switches, we require spare parts like Male-Female contacts, Handles, Copper strips, lugs, studs, gaskets, Channels, brackets etc. Such spares are very critical as most of these assets are installed in systems for more than 15-20 years and it is utmost important to ensure reliability of supply to our esteemed consumers.</w:t>
      </w:r>
    </w:p>
    <w:p w14:paraId="5A5D955E" w14:textId="77777777" w:rsidR="00806C7E" w:rsidRDefault="00806C7E" w:rsidP="00180B7E">
      <w:pPr>
        <w:spacing w:after="160" w:line="256" w:lineRule="auto"/>
        <w:ind w:left="709"/>
        <w:contextualSpacing/>
        <w:jc w:val="both"/>
        <w:rPr>
          <w:rFonts w:asciiTheme="majorHAnsi" w:hAnsiTheme="majorHAnsi"/>
          <w:b/>
          <w:szCs w:val="22"/>
        </w:rPr>
      </w:pPr>
    </w:p>
    <w:p w14:paraId="14D6B2BD" w14:textId="7186C5C2" w:rsidR="008A10E5" w:rsidRDefault="008A10E5" w:rsidP="00180B7E">
      <w:pPr>
        <w:spacing w:after="160" w:line="256" w:lineRule="auto"/>
        <w:ind w:left="709"/>
        <w:contextualSpacing/>
        <w:jc w:val="both"/>
        <w:rPr>
          <w:rFonts w:asciiTheme="majorHAnsi" w:hAnsiTheme="majorHAnsi"/>
          <w:b/>
          <w:szCs w:val="22"/>
        </w:rPr>
      </w:pPr>
      <w:r w:rsidRPr="009F560B">
        <w:rPr>
          <w:rFonts w:asciiTheme="majorHAnsi" w:hAnsiTheme="majorHAnsi"/>
          <w:b/>
          <w:szCs w:val="22"/>
        </w:rPr>
        <w:t>33</w:t>
      </w:r>
      <w:r w:rsidR="00F8250F">
        <w:rPr>
          <w:rFonts w:asciiTheme="majorHAnsi" w:hAnsiTheme="majorHAnsi"/>
          <w:b/>
          <w:szCs w:val="22"/>
        </w:rPr>
        <w:t>k</w:t>
      </w:r>
      <w:r w:rsidR="006019AD">
        <w:rPr>
          <w:rFonts w:asciiTheme="majorHAnsi" w:hAnsiTheme="majorHAnsi"/>
          <w:b/>
          <w:szCs w:val="22"/>
        </w:rPr>
        <w:t>V</w:t>
      </w:r>
      <w:r w:rsidRPr="009F560B">
        <w:rPr>
          <w:rFonts w:asciiTheme="majorHAnsi" w:hAnsiTheme="majorHAnsi"/>
          <w:b/>
          <w:szCs w:val="22"/>
        </w:rPr>
        <w:t xml:space="preserve"> Spares</w:t>
      </w:r>
    </w:p>
    <w:p w14:paraId="33093EF0" w14:textId="77777777" w:rsidR="00EE59F4" w:rsidRPr="009F560B" w:rsidRDefault="00EE59F4" w:rsidP="00180B7E">
      <w:pPr>
        <w:spacing w:after="160" w:line="256" w:lineRule="auto"/>
        <w:ind w:left="709"/>
        <w:contextualSpacing/>
        <w:jc w:val="both"/>
        <w:rPr>
          <w:rFonts w:asciiTheme="majorHAnsi" w:hAnsiTheme="majorHAnsi"/>
          <w:b/>
          <w:szCs w:val="22"/>
        </w:rPr>
      </w:pPr>
    </w:p>
    <w:p w14:paraId="33E8560F" w14:textId="53381495" w:rsidR="00F36A79" w:rsidRPr="009F560B" w:rsidRDefault="00EE59F4" w:rsidP="00F8250F">
      <w:pPr>
        <w:spacing w:after="160" w:line="360" w:lineRule="auto"/>
        <w:ind w:left="709"/>
        <w:contextualSpacing/>
        <w:jc w:val="both"/>
        <w:rPr>
          <w:rFonts w:asciiTheme="majorHAnsi" w:hAnsiTheme="majorHAnsi"/>
          <w:b/>
          <w:bCs/>
          <w:sz w:val="28"/>
          <w:szCs w:val="28"/>
        </w:rPr>
      </w:pPr>
      <w:r w:rsidRPr="009F560B">
        <w:rPr>
          <w:rFonts w:asciiTheme="majorHAnsi" w:hAnsiTheme="majorHAnsi"/>
        </w:rPr>
        <w:t>33</w:t>
      </w:r>
      <w:r>
        <w:rPr>
          <w:rFonts w:asciiTheme="majorHAnsi" w:hAnsiTheme="majorHAnsi"/>
        </w:rPr>
        <w:t>KV</w:t>
      </w:r>
      <w:r w:rsidRPr="009F560B">
        <w:rPr>
          <w:rFonts w:asciiTheme="majorHAnsi" w:hAnsiTheme="majorHAnsi"/>
        </w:rPr>
        <w:t xml:space="preserve"> Overhead Network comprising of </w:t>
      </w:r>
      <w:r>
        <w:rPr>
          <w:rFonts w:asciiTheme="majorHAnsi" w:hAnsiTheme="majorHAnsi"/>
        </w:rPr>
        <w:t>231</w:t>
      </w:r>
      <w:r w:rsidRPr="009F560B">
        <w:rPr>
          <w:rFonts w:asciiTheme="majorHAnsi" w:hAnsiTheme="majorHAnsi"/>
        </w:rPr>
        <w:t xml:space="preserve"> Nos 33</w:t>
      </w:r>
      <w:r>
        <w:rPr>
          <w:rFonts w:asciiTheme="majorHAnsi" w:hAnsiTheme="majorHAnsi"/>
        </w:rPr>
        <w:t>kV</w:t>
      </w:r>
      <w:r w:rsidRPr="009F560B">
        <w:rPr>
          <w:rFonts w:asciiTheme="majorHAnsi" w:hAnsiTheme="majorHAnsi"/>
        </w:rPr>
        <w:t xml:space="preserve"> Feeders having total length of </w:t>
      </w:r>
      <w:r>
        <w:rPr>
          <w:rFonts w:asciiTheme="majorHAnsi" w:hAnsiTheme="majorHAnsi"/>
        </w:rPr>
        <w:t>6308</w:t>
      </w:r>
      <w:r w:rsidRPr="009F560B">
        <w:rPr>
          <w:rFonts w:asciiTheme="majorHAnsi" w:hAnsiTheme="majorHAnsi"/>
        </w:rPr>
        <w:t xml:space="preserve"> </w:t>
      </w:r>
      <w:proofErr w:type="spellStart"/>
      <w:r w:rsidRPr="009F560B">
        <w:rPr>
          <w:rFonts w:asciiTheme="majorHAnsi" w:hAnsiTheme="majorHAnsi"/>
        </w:rPr>
        <w:t>Ckt</w:t>
      </w:r>
      <w:proofErr w:type="spellEnd"/>
      <w:r w:rsidR="00806C7E">
        <w:rPr>
          <w:rFonts w:asciiTheme="majorHAnsi" w:hAnsiTheme="majorHAnsi"/>
        </w:rPr>
        <w:t>.</w:t>
      </w:r>
      <w:r w:rsidRPr="009F560B">
        <w:rPr>
          <w:rFonts w:asciiTheme="majorHAnsi" w:hAnsiTheme="majorHAnsi"/>
        </w:rPr>
        <w:t xml:space="preserve"> Kms spread in Geographical area of 48373 Sq. Kms. Following spares are required to maintain the reliability &amp; availability of 33</w:t>
      </w:r>
      <w:r>
        <w:rPr>
          <w:rFonts w:asciiTheme="majorHAnsi" w:hAnsiTheme="majorHAnsi"/>
        </w:rPr>
        <w:t>kV</w:t>
      </w:r>
      <w:r w:rsidRPr="009F560B">
        <w:rPr>
          <w:rFonts w:asciiTheme="majorHAnsi" w:hAnsiTheme="majorHAnsi"/>
        </w:rPr>
        <w:t xml:space="preserve"> Feeders at various locations of TPWODL.</w:t>
      </w:r>
    </w:p>
    <w:p w14:paraId="5301954C" w14:textId="2C2C68EA" w:rsidR="008A10E5" w:rsidRPr="009F560B" w:rsidRDefault="008A10E5" w:rsidP="00386AA2">
      <w:pPr>
        <w:spacing w:after="160" w:line="360" w:lineRule="auto"/>
        <w:ind w:left="709"/>
        <w:jc w:val="both"/>
        <w:rPr>
          <w:rFonts w:asciiTheme="majorHAnsi" w:hAnsiTheme="majorHAnsi"/>
          <w:b/>
          <w:bCs/>
        </w:rPr>
      </w:pPr>
      <w:r w:rsidRPr="009F560B">
        <w:rPr>
          <w:rFonts w:asciiTheme="majorHAnsi" w:hAnsiTheme="majorHAnsi"/>
          <w:b/>
          <w:bCs/>
        </w:rPr>
        <w:t xml:space="preserve">VCB Spares </w:t>
      </w:r>
    </w:p>
    <w:p w14:paraId="48FD1339" w14:textId="286C7EDC" w:rsidR="00D27095" w:rsidRPr="009F560B" w:rsidRDefault="00F91094" w:rsidP="00386AA2">
      <w:pPr>
        <w:spacing w:after="160" w:line="360" w:lineRule="auto"/>
        <w:ind w:left="709"/>
        <w:jc w:val="both"/>
        <w:rPr>
          <w:rFonts w:asciiTheme="majorHAnsi" w:hAnsiTheme="majorHAnsi"/>
        </w:rPr>
      </w:pPr>
      <w:r w:rsidRPr="00F91094">
        <w:rPr>
          <w:rFonts w:asciiTheme="majorHAnsi" w:hAnsiTheme="majorHAnsi"/>
        </w:rPr>
        <w:t>For a healthy system, it is important for VCBs to operate successfully during fault conditions in order to isolate faulty network in minimum time. This saves the healthy equipment from abnormal conditions and also increases reliability of the overall system</w:t>
      </w:r>
      <w:r w:rsidR="00D27095" w:rsidRPr="009F560B">
        <w:rPr>
          <w:rFonts w:asciiTheme="majorHAnsi" w:hAnsiTheme="majorHAnsi"/>
        </w:rPr>
        <w:t xml:space="preserve">. </w:t>
      </w:r>
    </w:p>
    <w:p w14:paraId="2FD75151" w14:textId="21A6BBAF" w:rsidR="00D27095" w:rsidRPr="009F560B" w:rsidRDefault="00B57D84" w:rsidP="00D27095">
      <w:pPr>
        <w:spacing w:after="160" w:line="360" w:lineRule="auto"/>
        <w:ind w:left="709"/>
        <w:jc w:val="both"/>
        <w:rPr>
          <w:rFonts w:asciiTheme="majorHAnsi" w:hAnsiTheme="majorHAnsi"/>
        </w:rPr>
      </w:pPr>
      <w:r w:rsidRPr="00B57D84">
        <w:rPr>
          <w:rFonts w:asciiTheme="majorHAnsi" w:hAnsiTheme="majorHAnsi"/>
        </w:rPr>
        <w:t>Most of the VCBs are obsolete and have served their useful life. Multiple operation of these VCBs during long run have resulted in failure of parts in some cases. This are parts of VCBs like Pole assembly, Complete mechanism, closing coil &amp; tripping coil, Vacuum Interrupters which deteriorate in the long run and have tendency to malfunction</w:t>
      </w:r>
      <w:r w:rsidR="00D27095" w:rsidRPr="009F560B">
        <w:rPr>
          <w:rFonts w:asciiTheme="majorHAnsi" w:hAnsiTheme="majorHAnsi"/>
        </w:rPr>
        <w:t>.</w:t>
      </w:r>
    </w:p>
    <w:p w14:paraId="635764E2" w14:textId="5E399A19" w:rsidR="008A10E5" w:rsidRDefault="00CD0D6C" w:rsidP="00D27095">
      <w:pPr>
        <w:spacing w:after="160" w:line="360" w:lineRule="auto"/>
        <w:ind w:left="709"/>
        <w:jc w:val="both"/>
        <w:rPr>
          <w:rFonts w:asciiTheme="majorHAnsi" w:hAnsiTheme="majorHAnsi"/>
        </w:rPr>
      </w:pPr>
      <w:r w:rsidRPr="009F560B">
        <w:rPr>
          <w:rFonts w:asciiTheme="majorHAnsi" w:hAnsiTheme="majorHAnsi"/>
        </w:rPr>
        <w:t>It is recommended to maintain minimum stock of spares in store in order to rectify defective parts during preventive maintenance and also restore the system in minimum time during breakdown maintenance</w:t>
      </w:r>
      <w:r w:rsidR="008A10E5" w:rsidRPr="009F560B">
        <w:rPr>
          <w:rFonts w:asciiTheme="majorHAnsi" w:hAnsiTheme="majorHAnsi"/>
        </w:rPr>
        <w:t>.</w:t>
      </w:r>
    </w:p>
    <w:p w14:paraId="14568FF2" w14:textId="77777777" w:rsidR="00C44AAA" w:rsidRDefault="00C44AAA" w:rsidP="006D3C65">
      <w:pPr>
        <w:spacing w:after="120" w:line="360" w:lineRule="auto"/>
        <w:jc w:val="both"/>
        <w:rPr>
          <w:rFonts w:asciiTheme="majorHAnsi" w:hAnsiTheme="majorHAnsi" w:cstheme="minorHAnsi"/>
          <w:bCs/>
          <w:u w:val="single"/>
        </w:rPr>
      </w:pPr>
    </w:p>
    <w:p w14:paraId="5285DF93" w14:textId="77777777" w:rsidR="00C44AAA" w:rsidRDefault="00C44AAA" w:rsidP="006D3C65">
      <w:pPr>
        <w:spacing w:after="120" w:line="360" w:lineRule="auto"/>
        <w:jc w:val="both"/>
        <w:rPr>
          <w:rFonts w:asciiTheme="majorHAnsi" w:hAnsiTheme="majorHAnsi" w:cstheme="minorHAnsi"/>
          <w:bCs/>
          <w:u w:val="single"/>
        </w:rPr>
      </w:pPr>
    </w:p>
    <w:p w14:paraId="41213902" w14:textId="57DCF3E8" w:rsidR="000D2CE6" w:rsidRPr="00C44AAA" w:rsidRDefault="00D52779" w:rsidP="006D3C65">
      <w:pPr>
        <w:spacing w:after="120" w:line="360" w:lineRule="auto"/>
        <w:jc w:val="both"/>
        <w:rPr>
          <w:rFonts w:asciiTheme="majorHAnsi" w:hAnsiTheme="majorHAnsi" w:cstheme="minorHAnsi"/>
          <w:b/>
          <w:bCs/>
          <w:u w:val="single"/>
        </w:rPr>
      </w:pPr>
      <w:r w:rsidRPr="00C44AAA">
        <w:rPr>
          <w:rFonts w:asciiTheme="majorHAnsi" w:hAnsiTheme="majorHAnsi" w:cstheme="minorHAnsi"/>
          <w:b/>
          <w:bCs/>
          <w:u w:val="single"/>
        </w:rPr>
        <w:t xml:space="preserve">Additional Cost of </w:t>
      </w:r>
      <w:r w:rsidR="00EF7B17" w:rsidRPr="00C44AAA">
        <w:rPr>
          <w:rFonts w:asciiTheme="majorHAnsi" w:hAnsiTheme="majorHAnsi" w:cstheme="minorHAnsi"/>
          <w:b/>
          <w:bCs/>
          <w:u w:val="single"/>
        </w:rPr>
        <w:t xml:space="preserve">FCC </w:t>
      </w:r>
      <w:r w:rsidRPr="00C44AAA">
        <w:rPr>
          <w:rFonts w:asciiTheme="majorHAnsi" w:hAnsiTheme="majorHAnsi" w:cstheme="minorHAnsi"/>
          <w:b/>
          <w:bCs/>
          <w:u w:val="single"/>
        </w:rPr>
        <w:t>shift operators:</w:t>
      </w:r>
    </w:p>
    <w:p w14:paraId="4B7B5352" w14:textId="1B31CF42" w:rsidR="00391A1F" w:rsidRDefault="0086550E" w:rsidP="006D3C65">
      <w:pPr>
        <w:spacing w:after="120" w:line="360" w:lineRule="auto"/>
        <w:jc w:val="both"/>
        <w:rPr>
          <w:rFonts w:asciiTheme="majorHAnsi" w:hAnsiTheme="majorHAnsi" w:cstheme="minorHAnsi"/>
          <w:bCs/>
        </w:rPr>
      </w:pPr>
      <w:r w:rsidRPr="0086550E">
        <w:rPr>
          <w:rFonts w:asciiTheme="majorHAnsi" w:hAnsiTheme="majorHAnsi" w:cstheme="minorHAnsi"/>
          <w:bCs/>
        </w:rPr>
        <w:t>TPWODL respectfully submits that the disallowance of Special R&amp;M expenses for FY 2024-25 requires reconsideration by the Hon’ble Commission. As per the Annual Performance Review (APR) Order for FY 2022–23 dated 19.07.2023 and the decisions of the SAC Meeting held on 24.07.2023, the Licensee was directed to strengthen rural operational readiness by ensuring FCC manning in two shifts across rural areas to improve reliability, safety, and consumer service standards.</w:t>
      </w:r>
    </w:p>
    <w:p w14:paraId="659180BB" w14:textId="109D96C1" w:rsidR="0086550E" w:rsidRDefault="006005C3" w:rsidP="006D3C65">
      <w:pPr>
        <w:spacing w:after="120" w:line="360" w:lineRule="auto"/>
        <w:jc w:val="both"/>
        <w:rPr>
          <w:rFonts w:asciiTheme="majorHAnsi" w:hAnsiTheme="majorHAnsi" w:cstheme="minorHAnsi"/>
          <w:bCs/>
        </w:rPr>
      </w:pPr>
      <w:r>
        <w:rPr>
          <w:rFonts w:asciiTheme="majorHAnsi" w:hAnsiTheme="majorHAnsi" w:cstheme="minorHAnsi"/>
          <w:bCs/>
        </w:rPr>
        <w:t>O</w:t>
      </w:r>
      <w:r w:rsidRPr="006005C3">
        <w:rPr>
          <w:rFonts w:asciiTheme="majorHAnsi" w:hAnsiTheme="majorHAnsi" w:cstheme="minorHAnsi"/>
          <w:bCs/>
        </w:rPr>
        <w:t>ut of the total 425 FCC locations, 324 are situated in rural areas. At the time of awarding the original AMC contracts, only single-shift manning was considered for these rural FCCs. However, in order to comply with the above directions of the Hon’ble Commission, TPWODL enhanced the manning from one shift to two shifts for all rural FCCs. This additional deployment has significantly improved network response time, outage management, supply reliability, and consumer service in rural pockets aligning with the regulatory objective of strengthening rural outreach and resolving rural complaints efficiently, thereby providing efficient service delivery.</w:t>
      </w:r>
    </w:p>
    <w:p w14:paraId="7688622D" w14:textId="63BD8D79" w:rsidR="006005C3" w:rsidRDefault="005D47F3" w:rsidP="006D3C65">
      <w:pPr>
        <w:spacing w:after="120" w:line="360" w:lineRule="auto"/>
        <w:jc w:val="both"/>
        <w:rPr>
          <w:rFonts w:asciiTheme="majorHAnsi" w:hAnsiTheme="majorHAnsi" w:cstheme="minorHAnsi"/>
          <w:bCs/>
        </w:rPr>
      </w:pPr>
      <w:r w:rsidRPr="005D47F3">
        <w:rPr>
          <w:rFonts w:asciiTheme="majorHAnsi" w:hAnsiTheme="majorHAnsi" w:cstheme="minorHAnsi"/>
          <w:bCs/>
        </w:rPr>
        <w:t>This enhanced deployment has resulted in additional expenditure under R&amp;M</w:t>
      </w:r>
      <w:r>
        <w:rPr>
          <w:rFonts w:asciiTheme="majorHAnsi" w:hAnsiTheme="majorHAnsi" w:cstheme="minorHAnsi"/>
          <w:bCs/>
        </w:rPr>
        <w:t xml:space="preserve"> Head</w:t>
      </w:r>
      <w:r w:rsidRPr="005D47F3">
        <w:rPr>
          <w:rFonts w:asciiTheme="majorHAnsi" w:hAnsiTheme="majorHAnsi" w:cstheme="minorHAnsi"/>
          <w:bCs/>
        </w:rPr>
        <w:t xml:space="preserve">, which is unavoidable and directly linked to compliance with the Hon’ble Commission’s </w:t>
      </w:r>
      <w:r>
        <w:rPr>
          <w:rFonts w:asciiTheme="majorHAnsi" w:hAnsiTheme="majorHAnsi" w:cstheme="minorHAnsi"/>
          <w:bCs/>
        </w:rPr>
        <w:t>O</w:t>
      </w:r>
      <w:r w:rsidRPr="005D47F3">
        <w:rPr>
          <w:rFonts w:asciiTheme="majorHAnsi" w:hAnsiTheme="majorHAnsi" w:cstheme="minorHAnsi"/>
          <w:bCs/>
        </w:rPr>
        <w:t>rder. Based on the average wages applicable under the AMC work orders, the financial impact of this two-shift manning arrangement amounts to approximately Rs. 11.02 Cr.</w:t>
      </w:r>
      <w:r w:rsidR="00A54B43">
        <w:rPr>
          <w:rFonts w:asciiTheme="majorHAnsi" w:hAnsiTheme="majorHAnsi" w:cstheme="minorHAnsi"/>
          <w:bCs/>
        </w:rPr>
        <w:t xml:space="preserve"> for FY 24-25</w:t>
      </w:r>
      <w:r w:rsidRPr="005D47F3">
        <w:rPr>
          <w:rFonts w:asciiTheme="majorHAnsi" w:hAnsiTheme="majorHAnsi" w:cstheme="minorHAnsi"/>
          <w:bCs/>
        </w:rPr>
        <w:t>, as detailed in the computation below:</w:t>
      </w:r>
    </w:p>
    <w:p w14:paraId="07C2AC6D" w14:textId="31029FB2" w:rsidR="00A54B43" w:rsidRDefault="0045219D" w:rsidP="006D3C65">
      <w:pPr>
        <w:spacing w:after="120" w:line="360" w:lineRule="auto"/>
        <w:jc w:val="both"/>
        <w:rPr>
          <w:rFonts w:asciiTheme="majorHAnsi" w:hAnsiTheme="majorHAnsi" w:cstheme="minorHAnsi"/>
          <w:bCs/>
        </w:rPr>
      </w:pPr>
      <w:r w:rsidRPr="00E6485D">
        <w:rPr>
          <w:noProof/>
        </w:rPr>
        <w:drawing>
          <wp:inline distT="0" distB="0" distL="0" distR="0" wp14:anchorId="4CB52E14" wp14:editId="75BECB0B">
            <wp:extent cx="5731510" cy="1404620"/>
            <wp:effectExtent l="0" t="0" r="2540" b="5080"/>
            <wp:docPr id="1" name="Picture 1" descr="A table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table with numbers and text&#10;&#10;AI-generated content may be incorrect."/>
                    <pic:cNvPicPr/>
                  </pic:nvPicPr>
                  <pic:blipFill>
                    <a:blip r:embed="rId14"/>
                    <a:stretch>
                      <a:fillRect/>
                    </a:stretch>
                  </pic:blipFill>
                  <pic:spPr>
                    <a:xfrm>
                      <a:off x="0" y="0"/>
                      <a:ext cx="5731510" cy="1404620"/>
                    </a:xfrm>
                    <a:prstGeom prst="rect">
                      <a:avLst/>
                    </a:prstGeom>
                  </pic:spPr>
                </pic:pic>
              </a:graphicData>
            </a:graphic>
          </wp:inline>
        </w:drawing>
      </w:r>
    </w:p>
    <w:p w14:paraId="602A2219" w14:textId="3D1C6DF2" w:rsidR="0045219D" w:rsidRDefault="00C75CA4" w:rsidP="006D3C65">
      <w:pPr>
        <w:spacing w:after="120" w:line="360" w:lineRule="auto"/>
        <w:jc w:val="both"/>
        <w:rPr>
          <w:rFonts w:asciiTheme="majorHAnsi" w:hAnsiTheme="majorHAnsi" w:cstheme="minorHAnsi"/>
          <w:bCs/>
        </w:rPr>
      </w:pPr>
      <w:r w:rsidRPr="00C75CA4">
        <w:rPr>
          <w:rFonts w:asciiTheme="majorHAnsi" w:hAnsiTheme="majorHAnsi" w:cstheme="minorHAnsi"/>
          <w:bCs/>
        </w:rPr>
        <w:t xml:space="preserve">Since the expenditure has been incurred solely to meet and uplift timely resolution of consumer queries and is essential for maintaining system reliability and service quality in rural areas, TPWODL prays that the Hon’ble Commission may kindly approve the </w:t>
      </w:r>
      <w:r>
        <w:rPr>
          <w:rFonts w:asciiTheme="majorHAnsi" w:hAnsiTheme="majorHAnsi" w:cstheme="minorHAnsi"/>
          <w:bCs/>
        </w:rPr>
        <w:t xml:space="preserve">said costs under </w:t>
      </w:r>
      <w:r w:rsidRPr="00080B1E">
        <w:rPr>
          <w:rFonts w:asciiTheme="majorHAnsi" w:hAnsiTheme="majorHAnsi" w:cstheme="minorHAnsi"/>
          <w:b/>
        </w:rPr>
        <w:t xml:space="preserve">additional R&amp;M expenses and allow Rs. </w:t>
      </w:r>
      <w:r w:rsidR="00080B1E" w:rsidRPr="00080B1E">
        <w:rPr>
          <w:rFonts w:asciiTheme="majorHAnsi" w:hAnsiTheme="majorHAnsi" w:cstheme="minorHAnsi"/>
          <w:b/>
        </w:rPr>
        <w:t>12.62 Cr. for FY 26-27</w:t>
      </w:r>
      <w:r w:rsidR="00080B1E">
        <w:rPr>
          <w:rFonts w:asciiTheme="majorHAnsi" w:hAnsiTheme="majorHAnsi" w:cstheme="minorHAnsi"/>
          <w:bCs/>
        </w:rPr>
        <w:t>.</w:t>
      </w:r>
    </w:p>
    <w:p w14:paraId="122DCF5F" w14:textId="2753AE44" w:rsidR="00080B1E" w:rsidRDefault="00080B1E" w:rsidP="006D3C65">
      <w:pPr>
        <w:spacing w:after="120" w:line="360" w:lineRule="auto"/>
        <w:jc w:val="both"/>
        <w:rPr>
          <w:rFonts w:asciiTheme="majorHAnsi" w:hAnsiTheme="majorHAnsi" w:cstheme="minorHAnsi"/>
          <w:bCs/>
        </w:rPr>
      </w:pPr>
      <w:r>
        <w:rPr>
          <w:rFonts w:asciiTheme="majorHAnsi" w:hAnsiTheme="majorHAnsi" w:cstheme="minorHAnsi"/>
          <w:bCs/>
        </w:rPr>
        <w:t xml:space="preserve">The Licensee had also </w:t>
      </w:r>
      <w:r w:rsidR="0018684F">
        <w:rPr>
          <w:rFonts w:asciiTheme="majorHAnsi" w:hAnsiTheme="majorHAnsi" w:cstheme="minorHAnsi"/>
          <w:bCs/>
        </w:rPr>
        <w:t>informed the Hon’ble Commission about the possibility of additional cost on account of 3</w:t>
      </w:r>
      <w:r w:rsidR="0018684F" w:rsidRPr="0018684F">
        <w:rPr>
          <w:rFonts w:asciiTheme="majorHAnsi" w:hAnsiTheme="majorHAnsi" w:cstheme="minorHAnsi"/>
          <w:bCs/>
          <w:vertAlign w:val="superscript"/>
        </w:rPr>
        <w:t>rd</w:t>
      </w:r>
      <w:r w:rsidR="0018684F">
        <w:rPr>
          <w:rFonts w:asciiTheme="majorHAnsi" w:hAnsiTheme="majorHAnsi" w:cstheme="minorHAnsi"/>
          <w:bCs/>
        </w:rPr>
        <w:t xml:space="preserve"> shift FCC operators in FY 26-27 (over &amp; above the normative expenses) </w:t>
      </w:r>
      <w:r w:rsidR="004E050E">
        <w:rPr>
          <w:rFonts w:asciiTheme="majorHAnsi" w:hAnsiTheme="majorHAnsi" w:cstheme="minorHAnsi"/>
          <w:bCs/>
        </w:rPr>
        <w:t>which may be allowed</w:t>
      </w:r>
      <w:r w:rsidR="00B148E4">
        <w:rPr>
          <w:rFonts w:asciiTheme="majorHAnsi" w:hAnsiTheme="majorHAnsi" w:cstheme="minorHAnsi"/>
          <w:bCs/>
        </w:rPr>
        <w:t>. Additionally,</w:t>
      </w:r>
      <w:r w:rsidR="002D3AB8">
        <w:rPr>
          <w:rFonts w:asciiTheme="majorHAnsi" w:hAnsiTheme="majorHAnsi" w:cstheme="minorHAnsi"/>
          <w:bCs/>
        </w:rPr>
        <w:t xml:space="preserve"> </w:t>
      </w:r>
      <w:r w:rsidR="002D3AB8" w:rsidRPr="002D3AB8">
        <w:rPr>
          <w:rFonts w:asciiTheme="majorHAnsi" w:hAnsiTheme="majorHAnsi" w:cstheme="minorHAnsi"/>
          <w:bCs/>
        </w:rPr>
        <w:t>regular joint patrolling with the Forest Department is being carried out across major elephant-prone zones within its command area of the Licensee which includes Sambalpur (</w:t>
      </w:r>
      <w:proofErr w:type="spellStart"/>
      <w:r w:rsidR="002D3AB8" w:rsidRPr="002D3AB8">
        <w:rPr>
          <w:rFonts w:asciiTheme="majorHAnsi" w:hAnsiTheme="majorHAnsi" w:cstheme="minorHAnsi"/>
          <w:bCs/>
        </w:rPr>
        <w:t>Rairakhol</w:t>
      </w:r>
      <w:proofErr w:type="spellEnd"/>
      <w:r w:rsidR="002D3AB8" w:rsidRPr="002D3AB8">
        <w:rPr>
          <w:rFonts w:asciiTheme="majorHAnsi" w:hAnsiTheme="majorHAnsi" w:cstheme="minorHAnsi"/>
          <w:bCs/>
        </w:rPr>
        <w:t xml:space="preserve">, </w:t>
      </w:r>
      <w:proofErr w:type="spellStart"/>
      <w:r w:rsidR="002D3AB8" w:rsidRPr="002D3AB8">
        <w:rPr>
          <w:rFonts w:asciiTheme="majorHAnsi" w:hAnsiTheme="majorHAnsi" w:cstheme="minorHAnsi"/>
          <w:bCs/>
        </w:rPr>
        <w:t>Naktideul</w:t>
      </w:r>
      <w:proofErr w:type="spellEnd"/>
      <w:r w:rsidR="002D3AB8" w:rsidRPr="002D3AB8">
        <w:rPr>
          <w:rFonts w:asciiTheme="majorHAnsi" w:hAnsiTheme="majorHAnsi" w:cstheme="minorHAnsi"/>
          <w:bCs/>
        </w:rPr>
        <w:t>), Bargarh West (</w:t>
      </w:r>
      <w:proofErr w:type="spellStart"/>
      <w:r w:rsidR="002D3AB8" w:rsidRPr="002D3AB8">
        <w:rPr>
          <w:rFonts w:asciiTheme="majorHAnsi" w:hAnsiTheme="majorHAnsi" w:cstheme="minorHAnsi"/>
          <w:bCs/>
        </w:rPr>
        <w:t>Paikamal</w:t>
      </w:r>
      <w:proofErr w:type="spellEnd"/>
      <w:r w:rsidR="002D3AB8" w:rsidRPr="002D3AB8">
        <w:rPr>
          <w:rFonts w:asciiTheme="majorHAnsi" w:hAnsiTheme="majorHAnsi" w:cstheme="minorHAnsi"/>
          <w:bCs/>
        </w:rPr>
        <w:t xml:space="preserve">, </w:t>
      </w:r>
      <w:proofErr w:type="spellStart"/>
      <w:r w:rsidR="002D3AB8" w:rsidRPr="002D3AB8">
        <w:rPr>
          <w:rFonts w:asciiTheme="majorHAnsi" w:hAnsiTheme="majorHAnsi" w:cstheme="minorHAnsi"/>
          <w:bCs/>
        </w:rPr>
        <w:t>Melchamunda</w:t>
      </w:r>
      <w:proofErr w:type="spellEnd"/>
      <w:r w:rsidR="002D3AB8" w:rsidRPr="002D3AB8">
        <w:rPr>
          <w:rFonts w:asciiTheme="majorHAnsi" w:hAnsiTheme="majorHAnsi" w:cstheme="minorHAnsi"/>
          <w:bCs/>
        </w:rPr>
        <w:t xml:space="preserve">), </w:t>
      </w:r>
      <w:proofErr w:type="spellStart"/>
      <w:r w:rsidR="002D3AB8" w:rsidRPr="002D3AB8">
        <w:rPr>
          <w:rFonts w:asciiTheme="majorHAnsi" w:hAnsiTheme="majorHAnsi" w:cstheme="minorHAnsi"/>
          <w:bCs/>
        </w:rPr>
        <w:t>Sonepur</w:t>
      </w:r>
      <w:proofErr w:type="spellEnd"/>
      <w:r w:rsidR="002D3AB8" w:rsidRPr="002D3AB8">
        <w:rPr>
          <w:rFonts w:asciiTheme="majorHAnsi" w:hAnsiTheme="majorHAnsi" w:cstheme="minorHAnsi"/>
          <w:bCs/>
        </w:rPr>
        <w:t xml:space="preserve"> and Kalahandi (</w:t>
      </w:r>
      <w:proofErr w:type="spellStart"/>
      <w:r w:rsidR="002D3AB8" w:rsidRPr="002D3AB8">
        <w:rPr>
          <w:rFonts w:asciiTheme="majorHAnsi" w:hAnsiTheme="majorHAnsi" w:cstheme="minorHAnsi"/>
          <w:bCs/>
        </w:rPr>
        <w:t>Narla</w:t>
      </w:r>
      <w:proofErr w:type="spellEnd"/>
      <w:r w:rsidR="002D3AB8" w:rsidRPr="002D3AB8">
        <w:rPr>
          <w:rFonts w:asciiTheme="majorHAnsi" w:hAnsiTheme="majorHAnsi" w:cstheme="minorHAnsi"/>
          <w:bCs/>
        </w:rPr>
        <w:t xml:space="preserve">, </w:t>
      </w:r>
      <w:proofErr w:type="spellStart"/>
      <w:r w:rsidR="002D3AB8" w:rsidRPr="002D3AB8">
        <w:rPr>
          <w:rFonts w:asciiTheme="majorHAnsi" w:hAnsiTheme="majorHAnsi" w:cstheme="minorHAnsi"/>
          <w:bCs/>
        </w:rPr>
        <w:t>Komna</w:t>
      </w:r>
      <w:proofErr w:type="spellEnd"/>
      <w:r w:rsidR="002D3AB8" w:rsidRPr="002D3AB8">
        <w:rPr>
          <w:rFonts w:asciiTheme="majorHAnsi" w:hAnsiTheme="majorHAnsi" w:cstheme="minorHAnsi"/>
          <w:bCs/>
        </w:rPr>
        <w:t xml:space="preserve">, </w:t>
      </w:r>
      <w:proofErr w:type="spellStart"/>
      <w:r w:rsidR="002D3AB8" w:rsidRPr="002D3AB8">
        <w:rPr>
          <w:rFonts w:asciiTheme="majorHAnsi" w:hAnsiTheme="majorHAnsi" w:cstheme="minorHAnsi"/>
          <w:bCs/>
        </w:rPr>
        <w:t>Biswanathpur</w:t>
      </w:r>
      <w:proofErr w:type="spellEnd"/>
      <w:r w:rsidR="002D3AB8" w:rsidRPr="002D3AB8">
        <w:rPr>
          <w:rFonts w:asciiTheme="majorHAnsi" w:hAnsiTheme="majorHAnsi" w:cstheme="minorHAnsi"/>
          <w:bCs/>
        </w:rPr>
        <w:t xml:space="preserve">, </w:t>
      </w:r>
      <w:proofErr w:type="spellStart"/>
      <w:r w:rsidR="002D3AB8" w:rsidRPr="002D3AB8">
        <w:rPr>
          <w:rFonts w:asciiTheme="majorHAnsi" w:hAnsiTheme="majorHAnsi" w:cstheme="minorHAnsi"/>
          <w:bCs/>
        </w:rPr>
        <w:t>Mahadevpali</w:t>
      </w:r>
      <w:proofErr w:type="spellEnd"/>
      <w:r w:rsidR="002D3AB8" w:rsidRPr="002D3AB8">
        <w:rPr>
          <w:rFonts w:asciiTheme="majorHAnsi" w:hAnsiTheme="majorHAnsi" w:cstheme="minorHAnsi"/>
          <w:bCs/>
        </w:rPr>
        <w:t xml:space="preserve">). These regions experience frequent elephant movement, particularly during harvesting and farming seasons, as the Licensee’s area of operation largely consists of agricultural belts in Western Odisha such as Bargarh, Bolangir, </w:t>
      </w:r>
      <w:proofErr w:type="spellStart"/>
      <w:r w:rsidR="002D3AB8" w:rsidRPr="002D3AB8">
        <w:rPr>
          <w:rFonts w:asciiTheme="majorHAnsi" w:hAnsiTheme="majorHAnsi" w:cstheme="minorHAnsi"/>
          <w:bCs/>
        </w:rPr>
        <w:t>Sonepur</w:t>
      </w:r>
      <w:proofErr w:type="spellEnd"/>
      <w:r w:rsidR="002D3AB8" w:rsidRPr="002D3AB8">
        <w:rPr>
          <w:rFonts w:asciiTheme="majorHAnsi" w:hAnsiTheme="majorHAnsi" w:cstheme="minorHAnsi"/>
          <w:bCs/>
        </w:rPr>
        <w:t xml:space="preserve"> and Kalahandi. In addition to scheduled joint patrolling, the Forest Department regularly intimates the Licensee regarding real-time wildlife movement to ensure preventive action and avoid any untoward incidents.</w:t>
      </w:r>
    </w:p>
    <w:p w14:paraId="39BD93B8" w14:textId="77777777" w:rsidR="00773C19" w:rsidRPr="00773C19" w:rsidRDefault="00773C19" w:rsidP="00773C19">
      <w:pPr>
        <w:spacing w:after="120" w:line="360" w:lineRule="auto"/>
        <w:jc w:val="both"/>
        <w:rPr>
          <w:rFonts w:asciiTheme="majorHAnsi" w:hAnsiTheme="majorHAnsi" w:cstheme="minorHAnsi"/>
          <w:bCs/>
        </w:rPr>
      </w:pPr>
      <w:r w:rsidRPr="00773C19">
        <w:rPr>
          <w:rFonts w:asciiTheme="majorHAnsi" w:hAnsiTheme="majorHAnsi" w:cstheme="minorHAnsi"/>
          <w:bCs/>
        </w:rPr>
        <w:t>To safeguard both the wildlife and electrical infrastructure, the Licensee is required to deploy additional manpower, vehicles, and resources for increased patrolling and monitoring during such peak movement periods. These activities are essential for ensuring safety, reliability, and uninterrupted power supply but involve extraordinary expenditure over and above the normal network maintenance costs.</w:t>
      </w:r>
    </w:p>
    <w:p w14:paraId="712D53E1" w14:textId="0089101C" w:rsidR="002D3AB8" w:rsidRDefault="00773C19" w:rsidP="00773C19">
      <w:pPr>
        <w:spacing w:after="120" w:line="360" w:lineRule="auto"/>
        <w:jc w:val="both"/>
        <w:rPr>
          <w:rFonts w:asciiTheme="majorHAnsi" w:hAnsiTheme="majorHAnsi" w:cstheme="minorHAnsi"/>
          <w:bCs/>
        </w:rPr>
      </w:pPr>
      <w:r w:rsidRPr="00773C19">
        <w:rPr>
          <w:rFonts w:asciiTheme="majorHAnsi" w:hAnsiTheme="majorHAnsi" w:cstheme="minorHAnsi"/>
          <w:bCs/>
        </w:rPr>
        <w:t>In view of the mandatory nature of this work and the unique geographical and environmental challenges of the Licensee’s area, TPWODL humbly requests the Hon’ble Commission to allow the additional cost incurred towards elephant corridor patrolling under R&amp;M expenses.</w:t>
      </w:r>
    </w:p>
    <w:p w14:paraId="5592C300" w14:textId="77777777" w:rsidR="00D52779" w:rsidRDefault="00D52779" w:rsidP="00D52779">
      <w:pPr>
        <w:spacing w:after="120" w:line="360" w:lineRule="auto"/>
        <w:jc w:val="both"/>
        <w:rPr>
          <w:rFonts w:asciiTheme="majorHAnsi" w:hAnsiTheme="majorHAnsi"/>
          <w:bCs/>
        </w:rPr>
      </w:pPr>
      <w:r w:rsidRPr="00663D9C">
        <w:rPr>
          <w:rFonts w:asciiTheme="majorHAnsi" w:hAnsiTheme="majorHAnsi"/>
          <w:bCs/>
        </w:rPr>
        <w:t>Further, due to wage revision effective from 18</w:t>
      </w:r>
      <w:r w:rsidRPr="00663D9C">
        <w:rPr>
          <w:rFonts w:asciiTheme="majorHAnsi" w:hAnsiTheme="majorHAnsi"/>
          <w:bCs/>
          <w:vertAlign w:val="superscript"/>
        </w:rPr>
        <w:t>th</w:t>
      </w:r>
      <w:r w:rsidRPr="00663D9C">
        <w:rPr>
          <w:rFonts w:asciiTheme="majorHAnsi" w:hAnsiTheme="majorHAnsi"/>
          <w:bCs/>
        </w:rPr>
        <w:t xml:space="preserve"> July 2024 </w:t>
      </w:r>
      <w:r>
        <w:rPr>
          <w:rFonts w:asciiTheme="majorHAnsi" w:hAnsiTheme="majorHAnsi"/>
          <w:bCs/>
        </w:rPr>
        <w:t>to</w:t>
      </w:r>
      <w:r w:rsidRPr="00663D9C">
        <w:rPr>
          <w:rFonts w:asciiTheme="majorHAnsi" w:hAnsiTheme="majorHAnsi"/>
          <w:bCs/>
        </w:rPr>
        <w:t xml:space="preserve"> the tune of 28% the minimum wages </w:t>
      </w:r>
      <w:r>
        <w:rPr>
          <w:rFonts w:asciiTheme="majorHAnsi" w:hAnsiTheme="majorHAnsi"/>
          <w:bCs/>
        </w:rPr>
        <w:t xml:space="preserve">has increased </w:t>
      </w:r>
      <w:r w:rsidRPr="00663D9C">
        <w:rPr>
          <w:rFonts w:asciiTheme="majorHAnsi" w:hAnsiTheme="majorHAnsi"/>
          <w:bCs/>
        </w:rPr>
        <w:t xml:space="preserve">abnormally </w:t>
      </w:r>
      <w:r>
        <w:rPr>
          <w:rFonts w:asciiTheme="majorHAnsi" w:hAnsiTheme="majorHAnsi"/>
          <w:bCs/>
        </w:rPr>
        <w:t>thereby impacting the R&amp;M expenses of the Licensee</w:t>
      </w:r>
      <w:r w:rsidRPr="00663D9C">
        <w:rPr>
          <w:rFonts w:asciiTheme="majorHAnsi" w:hAnsiTheme="majorHAnsi"/>
          <w:bCs/>
        </w:rPr>
        <w:t xml:space="preserve"> </w:t>
      </w:r>
      <w:r>
        <w:rPr>
          <w:rFonts w:asciiTheme="majorHAnsi" w:hAnsiTheme="majorHAnsi"/>
          <w:bCs/>
        </w:rPr>
        <w:t>h</w:t>
      </w:r>
      <w:r w:rsidRPr="00663D9C">
        <w:rPr>
          <w:rFonts w:asciiTheme="majorHAnsi" w:hAnsiTheme="majorHAnsi"/>
          <w:bCs/>
        </w:rPr>
        <w:t>ence</w:t>
      </w:r>
      <w:r>
        <w:rPr>
          <w:rFonts w:asciiTheme="majorHAnsi" w:hAnsiTheme="majorHAnsi"/>
          <w:bCs/>
        </w:rPr>
        <w:t xml:space="preserve"> </w:t>
      </w:r>
      <w:r w:rsidRPr="00663D9C">
        <w:rPr>
          <w:rFonts w:asciiTheme="majorHAnsi" w:hAnsiTheme="majorHAnsi"/>
          <w:bCs/>
        </w:rPr>
        <w:t>need</w:t>
      </w:r>
      <w:r>
        <w:rPr>
          <w:rFonts w:asciiTheme="majorHAnsi" w:hAnsiTheme="majorHAnsi"/>
          <w:bCs/>
        </w:rPr>
        <w:t>s</w:t>
      </w:r>
      <w:r w:rsidRPr="00663D9C">
        <w:rPr>
          <w:rFonts w:asciiTheme="majorHAnsi" w:hAnsiTheme="majorHAnsi"/>
          <w:bCs/>
        </w:rPr>
        <w:t xml:space="preserve"> to be considered</w:t>
      </w:r>
      <w:r>
        <w:rPr>
          <w:rFonts w:asciiTheme="majorHAnsi" w:hAnsiTheme="majorHAnsi"/>
          <w:bCs/>
        </w:rPr>
        <w:t xml:space="preserve"> </w:t>
      </w:r>
      <w:r w:rsidRPr="00663D9C">
        <w:rPr>
          <w:rFonts w:asciiTheme="majorHAnsi" w:hAnsiTheme="majorHAnsi"/>
          <w:bCs/>
        </w:rPr>
        <w:t>separately</w:t>
      </w:r>
      <w:r>
        <w:rPr>
          <w:rFonts w:asciiTheme="majorHAnsi" w:hAnsiTheme="majorHAnsi"/>
          <w:bCs/>
        </w:rPr>
        <w:t xml:space="preserve"> while allowing R&amp;M Expenses for FY 26-27. </w:t>
      </w:r>
    </w:p>
    <w:p w14:paraId="37F1DFDA" w14:textId="2A5FB94F" w:rsidR="006701FA" w:rsidRDefault="00E74B62" w:rsidP="005E7571">
      <w:pPr>
        <w:pStyle w:val="BodyText2"/>
        <w:spacing w:line="360" w:lineRule="auto"/>
        <w:jc w:val="both"/>
        <w:rPr>
          <w:rFonts w:asciiTheme="majorHAnsi" w:hAnsiTheme="majorHAnsi" w:cs="Arial"/>
          <w:sz w:val="24"/>
          <w:szCs w:val="24"/>
        </w:rPr>
      </w:pPr>
      <w:r>
        <w:rPr>
          <w:rFonts w:asciiTheme="majorHAnsi" w:hAnsiTheme="majorHAnsi" w:cs="Arial"/>
          <w:sz w:val="24"/>
          <w:szCs w:val="24"/>
        </w:rPr>
        <w:t>It is also submitted that</w:t>
      </w:r>
      <w:r w:rsidR="005E7571" w:rsidRPr="009F560B">
        <w:rPr>
          <w:rFonts w:asciiTheme="majorHAnsi" w:hAnsiTheme="majorHAnsi" w:cs="Arial"/>
          <w:sz w:val="24"/>
          <w:szCs w:val="24"/>
        </w:rPr>
        <w:t xml:space="preserve"> under </w:t>
      </w:r>
      <w:r w:rsidR="00806C7E" w:rsidRPr="009F560B">
        <w:rPr>
          <w:rFonts w:asciiTheme="majorHAnsi" w:hAnsiTheme="majorHAnsi" w:cs="Arial"/>
          <w:sz w:val="24"/>
          <w:szCs w:val="24"/>
        </w:rPr>
        <w:t>Mega lift</w:t>
      </w:r>
      <w:r w:rsidR="005E7571" w:rsidRPr="009F560B">
        <w:rPr>
          <w:rFonts w:asciiTheme="majorHAnsi" w:hAnsiTheme="majorHAnsi" w:cs="Arial"/>
          <w:sz w:val="24"/>
          <w:szCs w:val="24"/>
        </w:rPr>
        <w:t xml:space="preserve"> scheme, Govt of Odisha has created substantial electrical assets to promote water for all. These assets are also far away from the PSS with longer span of connectivity and communication to maintain such assets more or same as like of Elephant Corridor.  Apart from </w:t>
      </w:r>
      <w:r w:rsidR="007C4F99" w:rsidRPr="009F560B">
        <w:rPr>
          <w:rFonts w:asciiTheme="majorHAnsi" w:hAnsiTheme="majorHAnsi" w:cs="Arial"/>
          <w:sz w:val="24"/>
          <w:szCs w:val="24"/>
        </w:rPr>
        <w:t>this</w:t>
      </w:r>
      <w:r w:rsidR="005E7571" w:rsidRPr="009F560B">
        <w:rPr>
          <w:rFonts w:asciiTheme="majorHAnsi" w:hAnsiTheme="majorHAnsi" w:cs="Arial"/>
          <w:sz w:val="24"/>
          <w:szCs w:val="24"/>
        </w:rPr>
        <w:t>, TPWODL area of operation constituting most of the hilly r</w:t>
      </w:r>
      <w:r w:rsidR="005E7571">
        <w:rPr>
          <w:rFonts w:asciiTheme="majorHAnsi" w:hAnsiTheme="majorHAnsi" w:cs="Arial"/>
          <w:sz w:val="24"/>
          <w:szCs w:val="24"/>
        </w:rPr>
        <w:t>egion</w:t>
      </w:r>
      <w:r w:rsidR="005E7571" w:rsidRPr="009F560B">
        <w:rPr>
          <w:rFonts w:asciiTheme="majorHAnsi" w:hAnsiTheme="majorHAnsi" w:cs="Arial"/>
          <w:sz w:val="24"/>
          <w:szCs w:val="24"/>
        </w:rPr>
        <w:t xml:space="preserve"> wherein electrical consumers are not to be deprived from their essential need like electricity. To maintain assets under hilly </w:t>
      </w:r>
      <w:r w:rsidR="007C4F99" w:rsidRPr="009F560B">
        <w:rPr>
          <w:rFonts w:asciiTheme="majorHAnsi" w:hAnsiTheme="majorHAnsi" w:cs="Arial"/>
          <w:sz w:val="24"/>
          <w:szCs w:val="24"/>
        </w:rPr>
        <w:t>areas</w:t>
      </w:r>
      <w:r w:rsidR="005E7571" w:rsidRPr="009F560B">
        <w:rPr>
          <w:rFonts w:asciiTheme="majorHAnsi" w:hAnsiTheme="majorHAnsi" w:cs="Arial"/>
          <w:sz w:val="24"/>
          <w:szCs w:val="24"/>
        </w:rPr>
        <w:t xml:space="preserve"> can’t be treated under equal footing as </w:t>
      </w:r>
      <w:r w:rsidR="00473F2C" w:rsidRPr="009F560B">
        <w:rPr>
          <w:rFonts w:asciiTheme="majorHAnsi" w:hAnsiTheme="majorHAnsi" w:cs="Arial"/>
          <w:sz w:val="24"/>
          <w:szCs w:val="24"/>
        </w:rPr>
        <w:t>like</w:t>
      </w:r>
      <w:r w:rsidR="005E7571" w:rsidRPr="009F560B">
        <w:rPr>
          <w:rFonts w:asciiTheme="majorHAnsi" w:hAnsiTheme="majorHAnsi" w:cs="Arial"/>
          <w:sz w:val="24"/>
          <w:szCs w:val="24"/>
        </w:rPr>
        <w:t xml:space="preserve"> urban.</w:t>
      </w:r>
      <w:r w:rsidR="006018C8">
        <w:rPr>
          <w:rFonts w:asciiTheme="majorHAnsi" w:hAnsiTheme="majorHAnsi" w:cs="Arial"/>
          <w:sz w:val="24"/>
          <w:szCs w:val="24"/>
        </w:rPr>
        <w:t xml:space="preserve"> </w:t>
      </w:r>
      <w:r w:rsidR="005E7571">
        <w:rPr>
          <w:rFonts w:asciiTheme="majorHAnsi" w:hAnsiTheme="majorHAnsi" w:cs="Arial"/>
          <w:sz w:val="24"/>
          <w:szCs w:val="24"/>
        </w:rPr>
        <w:t xml:space="preserve">Therefore, considering the above justification for R&amp;M Expenses, the Licensee requests the Hon’ble Commission to approve </w:t>
      </w:r>
      <w:r w:rsidR="005E7571" w:rsidRPr="006701FA">
        <w:rPr>
          <w:rFonts w:asciiTheme="majorHAnsi" w:hAnsiTheme="majorHAnsi" w:cs="Arial"/>
          <w:b/>
          <w:sz w:val="24"/>
          <w:szCs w:val="24"/>
        </w:rPr>
        <w:t>Rs. 3</w:t>
      </w:r>
      <w:r w:rsidR="005E7571">
        <w:rPr>
          <w:rFonts w:asciiTheme="majorHAnsi" w:hAnsiTheme="majorHAnsi" w:cs="Arial"/>
          <w:b/>
          <w:sz w:val="24"/>
          <w:szCs w:val="24"/>
        </w:rPr>
        <w:t>4</w:t>
      </w:r>
      <w:r w:rsidR="00040F47">
        <w:rPr>
          <w:rFonts w:asciiTheme="majorHAnsi" w:hAnsiTheme="majorHAnsi" w:cs="Arial"/>
          <w:b/>
          <w:sz w:val="24"/>
          <w:szCs w:val="24"/>
        </w:rPr>
        <w:t>8</w:t>
      </w:r>
      <w:r w:rsidR="005E7571" w:rsidRPr="006701FA">
        <w:rPr>
          <w:rFonts w:asciiTheme="majorHAnsi" w:hAnsiTheme="majorHAnsi" w:cs="Arial"/>
          <w:b/>
          <w:sz w:val="24"/>
          <w:szCs w:val="24"/>
        </w:rPr>
        <w:t>.</w:t>
      </w:r>
      <w:r w:rsidR="005E7571">
        <w:rPr>
          <w:rFonts w:asciiTheme="majorHAnsi" w:hAnsiTheme="majorHAnsi" w:cs="Arial"/>
          <w:b/>
          <w:sz w:val="24"/>
          <w:szCs w:val="24"/>
        </w:rPr>
        <w:t>62</w:t>
      </w:r>
      <w:r w:rsidR="005E7571" w:rsidRPr="006701FA">
        <w:rPr>
          <w:rFonts w:asciiTheme="majorHAnsi" w:hAnsiTheme="majorHAnsi" w:cs="Arial"/>
          <w:b/>
          <w:sz w:val="24"/>
          <w:szCs w:val="24"/>
        </w:rPr>
        <w:t xml:space="preserve"> Cr</w:t>
      </w:r>
      <w:r w:rsidR="005E7571">
        <w:rPr>
          <w:rFonts w:asciiTheme="majorHAnsi" w:hAnsiTheme="majorHAnsi" w:cs="Arial"/>
          <w:sz w:val="24"/>
          <w:szCs w:val="24"/>
        </w:rPr>
        <w:t xml:space="preserve"> for FY 26-27</w:t>
      </w:r>
      <w:r w:rsidR="006F5784">
        <w:rPr>
          <w:rFonts w:asciiTheme="majorHAnsi" w:hAnsiTheme="majorHAnsi" w:cs="Arial"/>
          <w:sz w:val="24"/>
          <w:szCs w:val="24"/>
        </w:rPr>
        <w:t>.</w:t>
      </w:r>
    </w:p>
    <w:p w14:paraId="18E88F3A" w14:textId="7358AA8D" w:rsidR="004276A0" w:rsidRPr="00FC57BA" w:rsidRDefault="004276A0" w:rsidP="00FC57BA">
      <w:pPr>
        <w:pStyle w:val="Heading2"/>
        <w:numPr>
          <w:ilvl w:val="1"/>
          <w:numId w:val="1"/>
        </w:numPr>
        <w:shd w:val="clear" w:color="auto" w:fill="002060"/>
        <w:tabs>
          <w:tab w:val="clear" w:pos="432"/>
          <w:tab w:val="num" w:pos="426"/>
        </w:tabs>
        <w:ind w:hanging="574"/>
        <w:rPr>
          <w:rFonts w:asciiTheme="majorHAnsi" w:hAnsiTheme="majorHAnsi"/>
          <w:i w:val="0"/>
          <w:iCs w:val="0"/>
          <w:sz w:val="24"/>
          <w:szCs w:val="24"/>
        </w:rPr>
      </w:pPr>
      <w:bookmarkStart w:id="53" w:name="_Toc152180099"/>
      <w:bookmarkStart w:id="54" w:name="_Toc183204711"/>
      <w:bookmarkStart w:id="55" w:name="_Toc215250619"/>
      <w:r w:rsidRPr="00FC57BA">
        <w:rPr>
          <w:rFonts w:asciiTheme="majorHAnsi" w:hAnsiTheme="majorHAnsi"/>
          <w:i w:val="0"/>
          <w:iCs w:val="0"/>
          <w:sz w:val="24"/>
          <w:szCs w:val="24"/>
        </w:rPr>
        <w:t>Provision for Bad and Doubtful Debts</w:t>
      </w:r>
      <w:bookmarkEnd w:id="53"/>
      <w:bookmarkEnd w:id="54"/>
      <w:bookmarkEnd w:id="55"/>
    </w:p>
    <w:p w14:paraId="44534A62" w14:textId="77777777" w:rsidR="006701FA" w:rsidRPr="006701FA" w:rsidRDefault="006701FA" w:rsidP="006701FA"/>
    <w:p w14:paraId="34E271BB" w14:textId="0213DC02" w:rsidR="00053748" w:rsidRDefault="004276A0" w:rsidP="00BD090B">
      <w:pPr>
        <w:spacing w:after="120" w:line="360" w:lineRule="auto"/>
        <w:jc w:val="both"/>
        <w:rPr>
          <w:rFonts w:ascii="Cambria" w:hAnsi="Cambria" w:cs="Arial"/>
        </w:rPr>
      </w:pPr>
      <w:r w:rsidRPr="00FE50F7">
        <w:rPr>
          <w:rFonts w:asciiTheme="majorHAnsi" w:hAnsiTheme="majorHAnsi" w:cs="Arial"/>
        </w:rPr>
        <w:t xml:space="preserve">The </w:t>
      </w:r>
      <w:r w:rsidR="00B67E68" w:rsidRPr="00FE50F7">
        <w:rPr>
          <w:rFonts w:asciiTheme="majorHAnsi" w:hAnsiTheme="majorHAnsi" w:cs="Arial"/>
        </w:rPr>
        <w:t>Licensee</w:t>
      </w:r>
      <w:r w:rsidRPr="00FE50F7">
        <w:rPr>
          <w:rFonts w:asciiTheme="majorHAnsi" w:hAnsiTheme="majorHAnsi" w:cs="Arial"/>
        </w:rPr>
        <w:t xml:space="preserve"> while estimating the ARR for FY </w:t>
      </w:r>
      <w:r w:rsidR="009A0E63">
        <w:rPr>
          <w:rFonts w:asciiTheme="majorHAnsi" w:hAnsiTheme="majorHAnsi" w:cs="Arial"/>
        </w:rPr>
        <w:t>2026-27</w:t>
      </w:r>
      <w:r w:rsidRPr="00FE50F7">
        <w:rPr>
          <w:rFonts w:asciiTheme="majorHAnsi" w:hAnsiTheme="majorHAnsi" w:cs="Arial"/>
        </w:rPr>
        <w:t xml:space="preserve"> has considered the revenue from sale of power on accrual basis in line with the Commission’s Order on ARR and Tariff Petitions. Considering the</w:t>
      </w:r>
      <w:r w:rsidR="0014573F" w:rsidRPr="00FE50F7">
        <w:rPr>
          <w:rFonts w:asciiTheme="majorHAnsi" w:hAnsiTheme="majorHAnsi" w:cs="Arial"/>
        </w:rPr>
        <w:t xml:space="preserve"> ground </w:t>
      </w:r>
      <w:r w:rsidR="0039379E" w:rsidRPr="00FE50F7">
        <w:rPr>
          <w:rFonts w:asciiTheme="majorHAnsi" w:hAnsiTheme="majorHAnsi" w:cs="Arial"/>
        </w:rPr>
        <w:t>reality,</w:t>
      </w:r>
      <w:r w:rsidR="0014573F" w:rsidRPr="00FE50F7">
        <w:rPr>
          <w:rFonts w:asciiTheme="majorHAnsi" w:hAnsiTheme="majorHAnsi" w:cs="Arial"/>
        </w:rPr>
        <w:t xml:space="preserve"> </w:t>
      </w:r>
      <w:r w:rsidR="00015092" w:rsidRPr="00FE50F7">
        <w:rPr>
          <w:rFonts w:asciiTheme="majorHAnsi" w:hAnsiTheme="majorHAnsi" w:cs="Arial"/>
        </w:rPr>
        <w:t xml:space="preserve">improvement of collection efficiency to the extent of desirable level </w:t>
      </w:r>
      <w:r w:rsidR="00E565B0" w:rsidRPr="00FE50F7">
        <w:rPr>
          <w:rFonts w:asciiTheme="majorHAnsi" w:hAnsiTheme="majorHAnsi" w:cs="Arial"/>
        </w:rPr>
        <w:t>i.e.,</w:t>
      </w:r>
      <w:r w:rsidR="00015092" w:rsidRPr="00FE50F7">
        <w:rPr>
          <w:rFonts w:asciiTheme="majorHAnsi" w:hAnsiTheme="majorHAnsi" w:cs="Arial"/>
        </w:rPr>
        <w:t xml:space="preserve"> 99%</w:t>
      </w:r>
      <w:r w:rsidR="004B61F8" w:rsidRPr="00FE50F7">
        <w:rPr>
          <w:rFonts w:asciiTheme="majorHAnsi" w:hAnsiTheme="majorHAnsi" w:cs="Arial"/>
        </w:rPr>
        <w:t xml:space="preserve"> </w:t>
      </w:r>
      <w:r w:rsidR="00015092" w:rsidRPr="00FE50F7">
        <w:rPr>
          <w:rFonts w:asciiTheme="majorHAnsi" w:hAnsiTheme="majorHAnsi" w:cs="Arial"/>
        </w:rPr>
        <w:t>is not possible</w:t>
      </w:r>
      <w:r w:rsidR="006924BA" w:rsidRPr="00FE50F7">
        <w:rPr>
          <w:rFonts w:asciiTheme="majorHAnsi" w:hAnsiTheme="majorHAnsi" w:cs="Arial"/>
        </w:rPr>
        <w:t xml:space="preserve">. However, the licensee is putting its best efforts </w:t>
      </w:r>
      <w:r w:rsidR="008C2DEF" w:rsidRPr="00FE50F7">
        <w:rPr>
          <w:rFonts w:asciiTheme="majorHAnsi" w:hAnsiTheme="majorHAnsi" w:cs="Arial"/>
        </w:rPr>
        <w:t xml:space="preserve">for </w:t>
      </w:r>
      <w:r w:rsidR="0039379E" w:rsidRPr="00FE50F7">
        <w:rPr>
          <w:rFonts w:asciiTheme="majorHAnsi" w:hAnsiTheme="majorHAnsi" w:cs="Arial"/>
        </w:rPr>
        <w:t>improving</w:t>
      </w:r>
      <w:r w:rsidR="008C2DEF" w:rsidRPr="00FE50F7">
        <w:rPr>
          <w:rFonts w:asciiTheme="majorHAnsi" w:hAnsiTheme="majorHAnsi" w:cs="Arial"/>
        </w:rPr>
        <w:t xml:space="preserve"> the same. </w:t>
      </w:r>
      <w:r w:rsidR="005947A2">
        <w:rPr>
          <w:rFonts w:asciiTheme="majorHAnsi" w:hAnsiTheme="majorHAnsi" w:cs="Arial"/>
        </w:rPr>
        <w:t>Accordingly, f</w:t>
      </w:r>
      <w:r w:rsidR="008C2DEF" w:rsidRPr="00FE50F7">
        <w:rPr>
          <w:rFonts w:asciiTheme="majorHAnsi" w:hAnsiTheme="majorHAnsi" w:cs="Arial"/>
        </w:rPr>
        <w:t xml:space="preserve">or the ensuing year </w:t>
      </w:r>
      <w:r w:rsidR="003A6C60" w:rsidRPr="00FE50F7">
        <w:rPr>
          <w:rFonts w:asciiTheme="majorHAnsi" w:hAnsiTheme="majorHAnsi" w:cs="Arial"/>
        </w:rPr>
        <w:t xml:space="preserve">the </w:t>
      </w:r>
      <w:r w:rsidRPr="00FE50F7">
        <w:rPr>
          <w:rFonts w:asciiTheme="majorHAnsi" w:hAnsiTheme="majorHAnsi" w:cs="Arial"/>
        </w:rPr>
        <w:t xml:space="preserve">proposed collection </w:t>
      </w:r>
      <w:r w:rsidR="00380FF2" w:rsidRPr="00FE50F7">
        <w:rPr>
          <w:rFonts w:asciiTheme="majorHAnsi" w:hAnsiTheme="majorHAnsi" w:cs="Arial"/>
        </w:rPr>
        <w:t xml:space="preserve">efficiency </w:t>
      </w:r>
      <w:r w:rsidR="00701705">
        <w:rPr>
          <w:rFonts w:asciiTheme="majorHAnsi" w:hAnsiTheme="majorHAnsi" w:cs="Arial"/>
        </w:rPr>
        <w:t xml:space="preserve">considered as </w:t>
      </w:r>
      <w:r w:rsidR="003A6C60" w:rsidRPr="00FE50F7">
        <w:rPr>
          <w:rFonts w:asciiTheme="majorHAnsi" w:hAnsiTheme="majorHAnsi" w:cs="Arial"/>
        </w:rPr>
        <w:t>9</w:t>
      </w:r>
      <w:r w:rsidR="005947A2">
        <w:rPr>
          <w:rFonts w:asciiTheme="majorHAnsi" w:hAnsiTheme="majorHAnsi" w:cs="Arial"/>
        </w:rPr>
        <w:t>9</w:t>
      </w:r>
      <w:r w:rsidR="003A6C60" w:rsidRPr="00FE50F7">
        <w:rPr>
          <w:rFonts w:asciiTheme="majorHAnsi" w:hAnsiTheme="majorHAnsi" w:cs="Arial"/>
        </w:rPr>
        <w:t xml:space="preserve">%, which is also a </w:t>
      </w:r>
      <w:r w:rsidR="00380FF2" w:rsidRPr="00FE50F7">
        <w:rPr>
          <w:rFonts w:asciiTheme="majorHAnsi" w:hAnsiTheme="majorHAnsi" w:cs="Arial"/>
        </w:rPr>
        <w:t>challenging target.</w:t>
      </w:r>
      <w:r w:rsidR="00672180">
        <w:rPr>
          <w:rFonts w:ascii="Cambria" w:hAnsi="Cambria" w:cs="Arial"/>
        </w:rPr>
        <w:t xml:space="preserve"> </w:t>
      </w:r>
    </w:p>
    <w:p w14:paraId="09FE5B6E" w14:textId="4F24CDF7" w:rsidR="00053748" w:rsidRDefault="00053748" w:rsidP="00BD090B">
      <w:pPr>
        <w:spacing w:after="120" w:line="360" w:lineRule="auto"/>
        <w:jc w:val="both"/>
        <w:rPr>
          <w:rFonts w:ascii="Cambria" w:hAnsi="Cambria" w:cs="Arial"/>
        </w:rPr>
      </w:pPr>
      <w:r>
        <w:rPr>
          <w:rFonts w:ascii="Cambria" w:hAnsi="Cambria" w:cs="Arial"/>
        </w:rPr>
        <w:t xml:space="preserve">Regulation 5.8.1 of the </w:t>
      </w:r>
      <w:r w:rsidR="00301601">
        <w:rPr>
          <w:rFonts w:ascii="Cambria" w:hAnsi="Cambria" w:cs="Arial"/>
        </w:rPr>
        <w:t>Tariff</w:t>
      </w:r>
      <w:r>
        <w:rPr>
          <w:rFonts w:ascii="Cambria" w:hAnsi="Cambria" w:cs="Arial"/>
        </w:rPr>
        <w:t xml:space="preserve"> Regulations, 2022 provides as under:</w:t>
      </w:r>
    </w:p>
    <w:p w14:paraId="6CBBCA8D" w14:textId="77777777" w:rsidR="0082654B" w:rsidRDefault="00053748" w:rsidP="0082654B">
      <w:pPr>
        <w:spacing w:after="120" w:line="360" w:lineRule="auto"/>
        <w:ind w:left="720"/>
        <w:jc w:val="both"/>
        <w:rPr>
          <w:rFonts w:ascii="Cambria" w:hAnsi="Cambria" w:cs="Arial"/>
          <w:i/>
          <w:iCs/>
        </w:rPr>
      </w:pPr>
      <w:r w:rsidRPr="00015F5C">
        <w:rPr>
          <w:rFonts w:ascii="Cambria" w:hAnsi="Cambria" w:cs="Arial"/>
          <w:i/>
          <w:iCs/>
          <w:sz w:val="22"/>
          <w:szCs w:val="22"/>
        </w:rPr>
        <w:t xml:space="preserve">“5.8.1 The Commission shall allow provisioning for bad debts as a pass through in the Aggregate Revenue Requirement, as a prudent commercial practice in the revenue requirement of the licensee. The Bad and Doubtful debt during this control period shall be allowed on normative basis of </w:t>
      </w:r>
      <w:r w:rsidRPr="00015F5C">
        <w:rPr>
          <w:rFonts w:ascii="Cambria" w:hAnsi="Cambria" w:cs="Arial"/>
          <w:b/>
          <w:bCs/>
          <w:i/>
          <w:iCs/>
          <w:sz w:val="22"/>
          <w:szCs w:val="22"/>
        </w:rPr>
        <w:t>1% of the total annual revenue billed for sale of electricity</w:t>
      </w:r>
      <w:r w:rsidRPr="00015F5C">
        <w:rPr>
          <w:rFonts w:ascii="Cambria" w:hAnsi="Cambria" w:cs="Arial"/>
          <w:i/>
          <w:iCs/>
          <w:sz w:val="22"/>
          <w:szCs w:val="22"/>
        </w:rPr>
        <w:t>.”</w:t>
      </w:r>
    </w:p>
    <w:p w14:paraId="4BB3F1DF" w14:textId="4219A42B" w:rsidR="00AF7D8F" w:rsidRPr="0082654B" w:rsidRDefault="00053748" w:rsidP="0082654B">
      <w:pPr>
        <w:spacing w:beforeLines="100" w:before="240" w:afterLines="100" w:after="240" w:line="360" w:lineRule="auto"/>
        <w:jc w:val="both"/>
        <w:rPr>
          <w:rFonts w:ascii="Cambria" w:hAnsi="Cambria" w:cs="Arial"/>
          <w:i/>
          <w:iCs/>
        </w:rPr>
      </w:pPr>
      <w:r>
        <w:rPr>
          <w:rFonts w:ascii="Cambria" w:hAnsi="Cambria" w:cs="Arial"/>
        </w:rPr>
        <w:t xml:space="preserve">In terms of the above, </w:t>
      </w:r>
      <w:r w:rsidR="00672180">
        <w:rPr>
          <w:rFonts w:ascii="Cambria" w:hAnsi="Cambria" w:cs="Arial"/>
        </w:rPr>
        <w:t xml:space="preserve">the </w:t>
      </w:r>
      <w:r w:rsidR="00E565B0">
        <w:rPr>
          <w:rFonts w:ascii="Cambria" w:hAnsi="Cambria" w:cs="Arial"/>
        </w:rPr>
        <w:t>license</w:t>
      </w:r>
      <w:r w:rsidR="00B07BA6">
        <w:rPr>
          <w:rFonts w:ascii="Cambria" w:hAnsi="Cambria" w:cs="Arial"/>
        </w:rPr>
        <w:t xml:space="preserve">e </w:t>
      </w:r>
      <w:r w:rsidR="00672180">
        <w:rPr>
          <w:rFonts w:ascii="Cambria" w:hAnsi="Cambria" w:cs="Arial"/>
        </w:rPr>
        <w:t xml:space="preserve">has proposed </w:t>
      </w:r>
      <w:r w:rsidR="00E36EBE">
        <w:rPr>
          <w:rFonts w:ascii="Cambria" w:hAnsi="Cambria" w:cs="Arial"/>
        </w:rPr>
        <w:t>the same</w:t>
      </w:r>
      <w:r w:rsidR="00B11CB6">
        <w:rPr>
          <w:rFonts w:ascii="Cambria" w:hAnsi="Cambria" w:cs="Arial"/>
        </w:rPr>
        <w:t xml:space="preserve"> as </w:t>
      </w:r>
      <w:r w:rsidR="00331D79">
        <w:rPr>
          <w:rFonts w:ascii="Cambria" w:hAnsi="Cambria" w:cs="Arial"/>
        </w:rPr>
        <w:t xml:space="preserve">provisions for </w:t>
      </w:r>
      <w:r w:rsidR="004276A0" w:rsidRPr="00BF0E9D">
        <w:rPr>
          <w:rFonts w:ascii="Cambria" w:hAnsi="Cambria" w:cs="Arial"/>
        </w:rPr>
        <w:t xml:space="preserve">bad </w:t>
      </w:r>
      <w:r w:rsidR="00331D79">
        <w:rPr>
          <w:rFonts w:ascii="Cambria" w:hAnsi="Cambria" w:cs="Arial"/>
        </w:rPr>
        <w:t xml:space="preserve">and doubtful </w:t>
      </w:r>
      <w:r w:rsidR="004276A0" w:rsidRPr="00BF0E9D">
        <w:rPr>
          <w:rFonts w:ascii="Cambria" w:hAnsi="Cambria" w:cs="Arial"/>
        </w:rPr>
        <w:t xml:space="preserve">debts </w:t>
      </w:r>
      <w:r w:rsidR="00AF7D8F">
        <w:rPr>
          <w:rFonts w:ascii="Cambria" w:hAnsi="Cambria" w:cs="Arial"/>
        </w:rPr>
        <w:t>as tabulated below:</w:t>
      </w:r>
    </w:p>
    <w:tbl>
      <w:tblPr>
        <w:tblStyle w:val="TableGrid"/>
        <w:tblW w:w="0" w:type="auto"/>
        <w:jc w:val="center"/>
        <w:tblLook w:val="04A0" w:firstRow="1" w:lastRow="0" w:firstColumn="1" w:lastColumn="0" w:noHBand="0" w:noVBand="1"/>
      </w:tblPr>
      <w:tblGrid>
        <w:gridCol w:w="846"/>
        <w:gridCol w:w="2135"/>
        <w:gridCol w:w="2268"/>
      </w:tblGrid>
      <w:tr w:rsidR="00AF7D8F" w:rsidRPr="0022547D" w14:paraId="0043CA35" w14:textId="77777777" w:rsidTr="0022547D">
        <w:trPr>
          <w:jc w:val="center"/>
        </w:trPr>
        <w:tc>
          <w:tcPr>
            <w:tcW w:w="846" w:type="dxa"/>
            <w:shd w:val="clear" w:color="auto" w:fill="C6D9F1" w:themeFill="text2" w:themeFillTint="33"/>
            <w:vAlign w:val="center"/>
          </w:tcPr>
          <w:p w14:paraId="00893036" w14:textId="19B1C976" w:rsidR="00AF7D8F" w:rsidRPr="0022547D" w:rsidRDefault="00AF7D8F" w:rsidP="00015F5C">
            <w:pPr>
              <w:jc w:val="center"/>
              <w:rPr>
                <w:rFonts w:ascii="Cambria" w:hAnsi="Cambria" w:cs="Arial"/>
                <w:b/>
                <w:bCs/>
                <w:sz w:val="22"/>
                <w:szCs w:val="22"/>
              </w:rPr>
            </w:pPr>
            <w:r w:rsidRPr="0022547D">
              <w:rPr>
                <w:rFonts w:ascii="Cambria" w:hAnsi="Cambria" w:cs="Arial"/>
                <w:b/>
                <w:bCs/>
                <w:sz w:val="22"/>
                <w:szCs w:val="22"/>
              </w:rPr>
              <w:t>S</w:t>
            </w:r>
            <w:r w:rsidR="0022547D">
              <w:rPr>
                <w:rFonts w:ascii="Cambria" w:hAnsi="Cambria" w:cs="Arial"/>
                <w:b/>
                <w:bCs/>
                <w:sz w:val="22"/>
                <w:szCs w:val="22"/>
              </w:rPr>
              <w:t>l</w:t>
            </w:r>
            <w:r w:rsidRPr="0022547D">
              <w:rPr>
                <w:rFonts w:ascii="Cambria" w:hAnsi="Cambria" w:cs="Arial"/>
                <w:b/>
                <w:bCs/>
                <w:sz w:val="22"/>
                <w:szCs w:val="22"/>
              </w:rPr>
              <w:t>. No.</w:t>
            </w:r>
          </w:p>
        </w:tc>
        <w:tc>
          <w:tcPr>
            <w:tcW w:w="2135" w:type="dxa"/>
            <w:shd w:val="clear" w:color="auto" w:fill="C6D9F1" w:themeFill="text2" w:themeFillTint="33"/>
            <w:vAlign w:val="center"/>
          </w:tcPr>
          <w:p w14:paraId="2A0B4AFB" w14:textId="5D8EC34E" w:rsidR="00AF7D8F" w:rsidRPr="0022547D" w:rsidRDefault="00AF7D8F" w:rsidP="00015F5C">
            <w:pPr>
              <w:rPr>
                <w:rFonts w:ascii="Cambria" w:hAnsi="Cambria" w:cs="Arial"/>
                <w:b/>
                <w:bCs/>
                <w:sz w:val="22"/>
                <w:szCs w:val="22"/>
              </w:rPr>
            </w:pPr>
            <w:r w:rsidRPr="0022547D">
              <w:rPr>
                <w:rFonts w:ascii="Cambria" w:hAnsi="Cambria" w:cs="Arial"/>
                <w:b/>
                <w:bCs/>
                <w:sz w:val="22"/>
                <w:szCs w:val="22"/>
              </w:rPr>
              <w:t>Particulars</w:t>
            </w:r>
          </w:p>
        </w:tc>
        <w:tc>
          <w:tcPr>
            <w:tcW w:w="2268" w:type="dxa"/>
            <w:shd w:val="clear" w:color="auto" w:fill="C6D9F1" w:themeFill="text2" w:themeFillTint="33"/>
            <w:vAlign w:val="center"/>
          </w:tcPr>
          <w:p w14:paraId="0E483DFA" w14:textId="1B6AEDCF" w:rsidR="00AF7D8F" w:rsidRPr="0022547D" w:rsidRDefault="00AF7D8F" w:rsidP="0022547D">
            <w:pPr>
              <w:jc w:val="center"/>
              <w:rPr>
                <w:rFonts w:ascii="Cambria" w:hAnsi="Cambria" w:cs="Arial"/>
                <w:b/>
                <w:bCs/>
                <w:sz w:val="22"/>
                <w:szCs w:val="22"/>
              </w:rPr>
            </w:pPr>
            <w:r w:rsidRPr="0022547D">
              <w:rPr>
                <w:rFonts w:ascii="Cambria" w:hAnsi="Cambria" w:cs="Arial"/>
                <w:b/>
                <w:bCs/>
                <w:sz w:val="22"/>
                <w:szCs w:val="22"/>
              </w:rPr>
              <w:t xml:space="preserve">FY </w:t>
            </w:r>
            <w:r w:rsidR="009A0E63">
              <w:rPr>
                <w:rFonts w:ascii="Cambria" w:hAnsi="Cambria" w:cs="Arial"/>
                <w:b/>
                <w:bCs/>
                <w:sz w:val="22"/>
                <w:szCs w:val="22"/>
              </w:rPr>
              <w:t>26-27</w:t>
            </w:r>
            <w:r w:rsidR="0022547D">
              <w:rPr>
                <w:rFonts w:ascii="Cambria" w:hAnsi="Cambria" w:cs="Arial"/>
                <w:b/>
                <w:bCs/>
                <w:sz w:val="22"/>
                <w:szCs w:val="22"/>
              </w:rPr>
              <w:t xml:space="preserve"> (</w:t>
            </w:r>
            <w:r w:rsidRPr="0022547D">
              <w:rPr>
                <w:rFonts w:ascii="Cambria" w:hAnsi="Cambria" w:cs="Arial"/>
                <w:b/>
                <w:bCs/>
                <w:sz w:val="22"/>
                <w:szCs w:val="22"/>
              </w:rPr>
              <w:t>Rs. Cr.)</w:t>
            </w:r>
          </w:p>
        </w:tc>
      </w:tr>
      <w:tr w:rsidR="00AF7D8F" w:rsidRPr="0022547D" w14:paraId="43E0A92C" w14:textId="77777777" w:rsidTr="0022547D">
        <w:trPr>
          <w:jc w:val="center"/>
        </w:trPr>
        <w:tc>
          <w:tcPr>
            <w:tcW w:w="846" w:type="dxa"/>
            <w:vAlign w:val="center"/>
          </w:tcPr>
          <w:p w14:paraId="43B10DBC" w14:textId="5047C823" w:rsidR="00AF7D8F" w:rsidRPr="0022547D" w:rsidRDefault="00D0627E" w:rsidP="00015F5C">
            <w:pPr>
              <w:jc w:val="center"/>
              <w:rPr>
                <w:rFonts w:ascii="Cambria" w:hAnsi="Cambria" w:cs="Arial"/>
                <w:sz w:val="22"/>
                <w:szCs w:val="22"/>
              </w:rPr>
            </w:pPr>
            <w:r w:rsidRPr="0022547D">
              <w:rPr>
                <w:rFonts w:ascii="Cambria" w:hAnsi="Cambria" w:cs="Arial"/>
                <w:sz w:val="22"/>
                <w:szCs w:val="22"/>
              </w:rPr>
              <w:t>A</w:t>
            </w:r>
          </w:p>
        </w:tc>
        <w:tc>
          <w:tcPr>
            <w:tcW w:w="2135" w:type="dxa"/>
            <w:vAlign w:val="center"/>
          </w:tcPr>
          <w:p w14:paraId="7A68C983" w14:textId="565B19FF" w:rsidR="00AF7D8F" w:rsidRPr="0022547D" w:rsidRDefault="00AF7D8F" w:rsidP="00015F5C">
            <w:pPr>
              <w:rPr>
                <w:rFonts w:ascii="Cambria" w:hAnsi="Cambria" w:cs="Arial"/>
                <w:sz w:val="22"/>
                <w:szCs w:val="22"/>
              </w:rPr>
            </w:pPr>
            <w:r w:rsidRPr="0022547D">
              <w:rPr>
                <w:rFonts w:ascii="Cambria" w:hAnsi="Cambria" w:cs="Arial"/>
                <w:sz w:val="22"/>
                <w:szCs w:val="22"/>
              </w:rPr>
              <w:t>Total Revenue</w:t>
            </w:r>
          </w:p>
        </w:tc>
        <w:tc>
          <w:tcPr>
            <w:tcW w:w="2268" w:type="dxa"/>
            <w:vAlign w:val="center"/>
          </w:tcPr>
          <w:p w14:paraId="21079FD3" w14:textId="1F07C598" w:rsidR="00AF7D8F" w:rsidRPr="00604086" w:rsidRDefault="00516344" w:rsidP="00015F5C">
            <w:pPr>
              <w:jc w:val="center"/>
              <w:rPr>
                <w:rFonts w:ascii="Cambria" w:hAnsi="Cambria" w:cs="Arial"/>
                <w:sz w:val="22"/>
                <w:szCs w:val="22"/>
              </w:rPr>
            </w:pPr>
            <w:r w:rsidRPr="00604086">
              <w:rPr>
                <w:rFonts w:ascii="Cambria" w:hAnsi="Cambria" w:cs="Arial"/>
                <w:sz w:val="22"/>
                <w:szCs w:val="22"/>
              </w:rPr>
              <w:t>62</w:t>
            </w:r>
            <w:r w:rsidR="002E7B3E">
              <w:rPr>
                <w:rFonts w:ascii="Cambria" w:hAnsi="Cambria" w:cs="Arial"/>
                <w:sz w:val="22"/>
                <w:szCs w:val="22"/>
              </w:rPr>
              <w:t>84.29</w:t>
            </w:r>
          </w:p>
        </w:tc>
      </w:tr>
      <w:tr w:rsidR="00AF7D8F" w:rsidRPr="0022547D" w14:paraId="4855C70F" w14:textId="77777777" w:rsidTr="0022547D">
        <w:trPr>
          <w:jc w:val="center"/>
        </w:trPr>
        <w:tc>
          <w:tcPr>
            <w:tcW w:w="846" w:type="dxa"/>
            <w:vAlign w:val="center"/>
          </w:tcPr>
          <w:p w14:paraId="47DAA236" w14:textId="62E66F9D" w:rsidR="00AF7D8F" w:rsidRPr="0022547D" w:rsidRDefault="00D0627E" w:rsidP="00015F5C">
            <w:pPr>
              <w:jc w:val="center"/>
              <w:rPr>
                <w:rFonts w:ascii="Cambria" w:hAnsi="Cambria" w:cs="Arial"/>
                <w:sz w:val="22"/>
                <w:szCs w:val="22"/>
              </w:rPr>
            </w:pPr>
            <w:r w:rsidRPr="0022547D">
              <w:rPr>
                <w:rFonts w:ascii="Cambria" w:hAnsi="Cambria" w:cs="Arial"/>
                <w:sz w:val="22"/>
                <w:szCs w:val="22"/>
              </w:rPr>
              <w:t>B</w:t>
            </w:r>
          </w:p>
        </w:tc>
        <w:tc>
          <w:tcPr>
            <w:tcW w:w="2135" w:type="dxa"/>
            <w:vAlign w:val="center"/>
          </w:tcPr>
          <w:p w14:paraId="298DDB0B" w14:textId="7B08C7CA" w:rsidR="00AF7D8F" w:rsidRPr="0022547D" w:rsidRDefault="00D0627E" w:rsidP="00015F5C">
            <w:pPr>
              <w:rPr>
                <w:rFonts w:ascii="Cambria" w:hAnsi="Cambria" w:cs="Arial"/>
                <w:sz w:val="22"/>
                <w:szCs w:val="22"/>
              </w:rPr>
            </w:pPr>
            <w:r w:rsidRPr="0022547D">
              <w:rPr>
                <w:rFonts w:ascii="Cambria" w:hAnsi="Cambria" w:cs="Arial"/>
                <w:sz w:val="22"/>
                <w:szCs w:val="22"/>
              </w:rPr>
              <w:t>Bad Debt (1% of A)</w:t>
            </w:r>
          </w:p>
        </w:tc>
        <w:tc>
          <w:tcPr>
            <w:tcW w:w="2268" w:type="dxa"/>
            <w:vAlign w:val="center"/>
          </w:tcPr>
          <w:p w14:paraId="4218FE47" w14:textId="49672F76" w:rsidR="00AF7D8F" w:rsidRPr="00604086" w:rsidRDefault="00516344" w:rsidP="00015F5C">
            <w:pPr>
              <w:jc w:val="center"/>
              <w:rPr>
                <w:rFonts w:ascii="Cambria" w:hAnsi="Cambria" w:cs="Arial"/>
                <w:b/>
                <w:bCs/>
                <w:sz w:val="22"/>
                <w:szCs w:val="22"/>
              </w:rPr>
            </w:pPr>
            <w:r w:rsidRPr="00604086">
              <w:rPr>
                <w:rFonts w:ascii="Cambria" w:hAnsi="Cambria" w:cs="Arial"/>
                <w:b/>
                <w:bCs/>
                <w:sz w:val="22"/>
                <w:szCs w:val="22"/>
              </w:rPr>
              <w:t>62.</w:t>
            </w:r>
            <w:r w:rsidR="002E7B3E">
              <w:rPr>
                <w:rFonts w:ascii="Cambria" w:hAnsi="Cambria" w:cs="Arial"/>
                <w:b/>
                <w:bCs/>
                <w:sz w:val="22"/>
                <w:szCs w:val="22"/>
              </w:rPr>
              <w:t>84</w:t>
            </w:r>
          </w:p>
        </w:tc>
      </w:tr>
    </w:tbl>
    <w:p w14:paraId="2089FF7A" w14:textId="77777777" w:rsidR="0022547D" w:rsidRDefault="0022547D" w:rsidP="004276A0">
      <w:pPr>
        <w:spacing w:line="360" w:lineRule="auto"/>
        <w:jc w:val="both"/>
        <w:rPr>
          <w:rFonts w:ascii="Cambria" w:hAnsi="Cambria" w:cs="Arial"/>
        </w:rPr>
      </w:pPr>
    </w:p>
    <w:p w14:paraId="0F8B8BCD" w14:textId="6B253A3E" w:rsidR="004276A0" w:rsidRDefault="004C3702" w:rsidP="004276A0">
      <w:pPr>
        <w:spacing w:line="360" w:lineRule="auto"/>
        <w:jc w:val="both"/>
        <w:rPr>
          <w:rFonts w:ascii="Cambria" w:hAnsi="Cambria" w:cs="Arial"/>
        </w:rPr>
      </w:pPr>
      <w:r>
        <w:rPr>
          <w:rFonts w:ascii="Cambria" w:hAnsi="Cambria" w:cs="Arial"/>
        </w:rPr>
        <w:t xml:space="preserve"> </w:t>
      </w:r>
      <w:r w:rsidR="004276A0" w:rsidRPr="00BF0E9D">
        <w:rPr>
          <w:rFonts w:ascii="Cambria" w:hAnsi="Cambria" w:cs="Arial"/>
        </w:rPr>
        <w:t xml:space="preserve">The Petitioner humbly requests the </w:t>
      </w:r>
      <w:r w:rsidR="00331D79">
        <w:rPr>
          <w:rFonts w:ascii="Cambria" w:hAnsi="Cambria" w:cs="Arial"/>
        </w:rPr>
        <w:t xml:space="preserve">Hon’ble </w:t>
      </w:r>
      <w:r w:rsidR="004276A0" w:rsidRPr="00BF0E9D">
        <w:rPr>
          <w:rFonts w:ascii="Cambria" w:hAnsi="Cambria" w:cs="Arial"/>
        </w:rPr>
        <w:t>Commission to consider</w:t>
      </w:r>
      <w:r w:rsidR="00361EBF">
        <w:rPr>
          <w:rFonts w:ascii="Cambria" w:hAnsi="Cambria" w:cs="Arial"/>
        </w:rPr>
        <w:t xml:space="preserve"> </w:t>
      </w:r>
      <w:r w:rsidR="00361EBF" w:rsidRPr="00361EBF">
        <w:rPr>
          <w:rFonts w:ascii="Cambria" w:hAnsi="Cambria" w:cs="Arial"/>
          <w:b/>
        </w:rPr>
        <w:t>Rs. 62.</w:t>
      </w:r>
      <w:r w:rsidR="002E7B3E">
        <w:rPr>
          <w:rFonts w:ascii="Cambria" w:hAnsi="Cambria" w:cs="Arial"/>
          <w:b/>
        </w:rPr>
        <w:t>84</w:t>
      </w:r>
      <w:r w:rsidR="00361EBF" w:rsidRPr="00361EBF">
        <w:rPr>
          <w:rFonts w:ascii="Cambria" w:hAnsi="Cambria" w:cs="Arial"/>
          <w:b/>
        </w:rPr>
        <w:t xml:space="preserve"> Cr</w:t>
      </w:r>
      <w:r w:rsidR="00361EBF">
        <w:rPr>
          <w:rFonts w:ascii="Cambria" w:hAnsi="Cambria" w:cs="Arial"/>
        </w:rPr>
        <w:t>. towards provision for bad and doubtful debts</w:t>
      </w:r>
      <w:r w:rsidR="00E565B0">
        <w:rPr>
          <w:rFonts w:ascii="Cambria" w:hAnsi="Cambria" w:cs="Arial"/>
        </w:rPr>
        <w:t>.</w:t>
      </w:r>
    </w:p>
    <w:p w14:paraId="5E18FAA4" w14:textId="691AB366" w:rsidR="004276A0" w:rsidRDefault="004276A0" w:rsidP="00FC57BA">
      <w:pPr>
        <w:pStyle w:val="Heading2"/>
        <w:numPr>
          <w:ilvl w:val="1"/>
          <w:numId w:val="1"/>
        </w:numPr>
        <w:shd w:val="clear" w:color="auto" w:fill="002060"/>
        <w:tabs>
          <w:tab w:val="clear" w:pos="432"/>
          <w:tab w:val="num" w:pos="426"/>
        </w:tabs>
        <w:ind w:hanging="574"/>
        <w:rPr>
          <w:rFonts w:asciiTheme="majorHAnsi" w:hAnsiTheme="majorHAnsi"/>
          <w:i w:val="0"/>
          <w:iCs w:val="0"/>
          <w:sz w:val="24"/>
          <w:szCs w:val="24"/>
        </w:rPr>
      </w:pPr>
      <w:bookmarkStart w:id="56" w:name="_Toc152180100"/>
      <w:bookmarkStart w:id="57" w:name="_Toc183204712"/>
      <w:bookmarkStart w:id="58" w:name="_Toc215250620"/>
      <w:r w:rsidRPr="00904B4F">
        <w:rPr>
          <w:rFonts w:asciiTheme="majorHAnsi" w:hAnsiTheme="majorHAnsi"/>
          <w:i w:val="0"/>
          <w:iCs w:val="0"/>
          <w:sz w:val="24"/>
          <w:szCs w:val="24"/>
        </w:rPr>
        <w:t>Depreciation</w:t>
      </w:r>
      <w:bookmarkEnd w:id="56"/>
      <w:bookmarkEnd w:id="57"/>
      <w:bookmarkEnd w:id="58"/>
    </w:p>
    <w:p w14:paraId="0097181B" w14:textId="42E685E5" w:rsidR="0066420E" w:rsidRDefault="003769EE" w:rsidP="000E1100">
      <w:pPr>
        <w:spacing w:beforeLines="100" w:before="240" w:afterLines="100" w:after="240" w:line="360" w:lineRule="auto"/>
        <w:jc w:val="both"/>
        <w:rPr>
          <w:rFonts w:ascii="CIDFont+F1" w:eastAsia="CIDFont+F1" w:cs="CIDFont+F1"/>
          <w:sz w:val="22"/>
          <w:szCs w:val="22"/>
          <w:lang w:val="en-IN" w:eastAsia="en-IN"/>
        </w:rPr>
      </w:pPr>
      <w:r>
        <w:rPr>
          <w:rFonts w:ascii="Cambria" w:hAnsi="Cambria" w:cs="Arial"/>
        </w:rPr>
        <w:t>As per para 39 (</w:t>
      </w:r>
      <w:r w:rsidR="0066420E">
        <w:rPr>
          <w:rFonts w:ascii="Cambria" w:hAnsi="Cambria" w:cs="Arial"/>
        </w:rPr>
        <w:t>h</w:t>
      </w:r>
      <w:r>
        <w:rPr>
          <w:rFonts w:ascii="Cambria" w:hAnsi="Cambria" w:cs="Arial"/>
        </w:rPr>
        <w:t>)</w:t>
      </w:r>
      <w:r w:rsidR="00701705">
        <w:rPr>
          <w:rFonts w:ascii="Cambria" w:hAnsi="Cambria" w:cs="Arial"/>
        </w:rPr>
        <w:t xml:space="preserve"> of the vesting order</w:t>
      </w:r>
      <w:r>
        <w:rPr>
          <w:rFonts w:ascii="Cambria" w:hAnsi="Cambria" w:cs="Arial"/>
        </w:rPr>
        <w:t xml:space="preserve"> </w:t>
      </w:r>
      <w:r w:rsidR="00C75FE5" w:rsidRPr="0066420E">
        <w:rPr>
          <w:rFonts w:ascii="Cambria" w:hAnsi="Cambria" w:cs="Arial"/>
          <w:i/>
          <w:iCs/>
        </w:rPr>
        <w:t>the</w:t>
      </w:r>
      <w:r w:rsidR="0066420E" w:rsidRPr="0066420E">
        <w:rPr>
          <w:rFonts w:ascii="Cambria" w:hAnsi="Cambria" w:cs="Arial"/>
          <w:i/>
          <w:iCs/>
        </w:rPr>
        <w:t xml:space="preserve"> capital investments made by TPWODL shall be allowed recovery of</w:t>
      </w:r>
      <w:r w:rsidR="0066420E">
        <w:rPr>
          <w:rFonts w:ascii="Cambria" w:hAnsi="Cambria" w:cs="Arial"/>
          <w:i/>
          <w:iCs/>
        </w:rPr>
        <w:t xml:space="preserve"> </w:t>
      </w:r>
      <w:r w:rsidR="0066420E" w:rsidRPr="0066420E">
        <w:rPr>
          <w:rFonts w:ascii="Cambria" w:hAnsi="Cambria" w:cs="Arial"/>
          <w:i/>
          <w:iCs/>
        </w:rPr>
        <w:t>depreciation in line with the rates prescribed in Annexure-</w:t>
      </w:r>
      <w:r w:rsidR="00701705">
        <w:rPr>
          <w:rFonts w:ascii="Cambria" w:hAnsi="Cambria" w:cs="Arial"/>
          <w:i/>
          <w:iCs/>
        </w:rPr>
        <w:t>2</w:t>
      </w:r>
      <w:r w:rsidR="0066420E" w:rsidRPr="0066420E">
        <w:rPr>
          <w:rFonts w:ascii="Cambria" w:hAnsi="Cambria" w:cs="Arial"/>
          <w:i/>
          <w:iCs/>
        </w:rPr>
        <w:t xml:space="preserve"> till the time</w:t>
      </w:r>
      <w:r w:rsidR="0066420E">
        <w:rPr>
          <w:rFonts w:ascii="Cambria" w:hAnsi="Cambria" w:cs="Arial"/>
          <w:i/>
          <w:iCs/>
        </w:rPr>
        <w:t xml:space="preserve"> </w:t>
      </w:r>
      <w:r w:rsidR="0066420E" w:rsidRPr="0066420E">
        <w:rPr>
          <w:rFonts w:ascii="Cambria" w:hAnsi="Cambria" w:cs="Arial"/>
          <w:i/>
          <w:iCs/>
        </w:rPr>
        <w:t>applicable regulation is notified by the Commission. The depreciation rates</w:t>
      </w:r>
      <w:r w:rsidR="0066420E">
        <w:rPr>
          <w:rFonts w:ascii="Cambria" w:hAnsi="Cambria" w:cs="Arial"/>
          <w:i/>
          <w:iCs/>
        </w:rPr>
        <w:t xml:space="preserve"> </w:t>
      </w:r>
      <w:r w:rsidR="0066420E" w:rsidRPr="0066420E">
        <w:rPr>
          <w:rFonts w:ascii="Cambria" w:hAnsi="Cambria" w:cs="Arial"/>
          <w:i/>
          <w:iCs/>
        </w:rPr>
        <w:t>specified in regulations shall prevail over the rates specified in Annexure - 2 as and</w:t>
      </w:r>
      <w:r w:rsidR="0066420E">
        <w:rPr>
          <w:rFonts w:ascii="Cambria" w:hAnsi="Cambria" w:cs="Arial"/>
          <w:i/>
          <w:iCs/>
        </w:rPr>
        <w:t xml:space="preserve"> </w:t>
      </w:r>
      <w:r w:rsidR="0066420E" w:rsidRPr="0066420E">
        <w:rPr>
          <w:rFonts w:ascii="Cambria" w:hAnsi="Cambria" w:cs="Arial"/>
          <w:i/>
          <w:iCs/>
        </w:rPr>
        <w:t>when applicable regulation is notified by the Commission</w:t>
      </w:r>
      <w:r w:rsidR="0066420E">
        <w:rPr>
          <w:rFonts w:ascii="CIDFont+F1" w:eastAsia="CIDFont+F1" w:cs="CIDFont+F1"/>
          <w:sz w:val="22"/>
          <w:szCs w:val="22"/>
          <w:lang w:val="en-IN" w:eastAsia="en-IN"/>
        </w:rPr>
        <w:t>.</w:t>
      </w:r>
    </w:p>
    <w:p w14:paraId="22CBF8C0" w14:textId="4BE283E9" w:rsidR="0066420E" w:rsidRPr="006701FA" w:rsidRDefault="0066420E" w:rsidP="000E1100">
      <w:pPr>
        <w:spacing w:beforeLines="100" w:before="240" w:afterLines="100" w:after="240" w:line="360" w:lineRule="auto"/>
        <w:jc w:val="both"/>
        <w:rPr>
          <w:rFonts w:asciiTheme="majorHAnsi" w:hAnsiTheme="majorHAnsi" w:cs="Arial"/>
          <w:i/>
          <w:iCs/>
        </w:rPr>
      </w:pPr>
      <w:r w:rsidRPr="0066420E">
        <w:rPr>
          <w:rFonts w:ascii="Cambria" w:eastAsia="CIDFont+F1" w:hAnsi="Cambria" w:cs="CIDFont+F1"/>
          <w:lang w:val="en-IN" w:eastAsia="en-IN"/>
        </w:rPr>
        <w:t>Similarly</w:t>
      </w:r>
      <w:r>
        <w:rPr>
          <w:rFonts w:ascii="Cambria" w:eastAsia="CIDFont+F1" w:hAnsi="Cambria" w:cs="CIDFont+F1"/>
          <w:lang w:val="en-IN" w:eastAsia="en-IN"/>
        </w:rPr>
        <w:t>,</w:t>
      </w:r>
      <w:r w:rsidRPr="0066420E">
        <w:rPr>
          <w:rFonts w:ascii="Cambria" w:eastAsia="CIDFont+F1" w:hAnsi="Cambria" w:cs="CIDFont+F1"/>
          <w:lang w:val="en-IN" w:eastAsia="en-IN"/>
        </w:rPr>
        <w:t xml:space="preserve"> for assets transferred under transfer scheme shall continue to earn depreciation as per existing norm</w:t>
      </w:r>
      <w:r>
        <w:rPr>
          <w:rFonts w:ascii="Cambria" w:eastAsia="CIDFont+F1" w:hAnsi="Cambria" w:cs="CIDFont+F1"/>
          <w:lang w:val="en-IN" w:eastAsia="en-IN"/>
        </w:rPr>
        <w:t xml:space="preserve">s </w:t>
      </w:r>
      <w:r w:rsidRPr="0066420E">
        <w:rPr>
          <w:rFonts w:ascii="Cambria" w:eastAsia="CIDFont+F1" w:hAnsi="Cambria" w:cs="CIDFont+F1"/>
          <w:lang w:val="en-IN" w:eastAsia="en-IN"/>
        </w:rPr>
        <w:t xml:space="preserve">approved </w:t>
      </w:r>
      <w:r w:rsidR="00701705">
        <w:rPr>
          <w:rFonts w:ascii="Cambria" w:eastAsia="CIDFont+F1" w:hAnsi="Cambria" w:cs="CIDFont+F1"/>
          <w:lang w:val="en-IN" w:eastAsia="en-IN"/>
        </w:rPr>
        <w:t xml:space="preserve">by </w:t>
      </w:r>
      <w:r w:rsidR="00FE12D8">
        <w:rPr>
          <w:rFonts w:ascii="Cambria" w:eastAsia="CIDFont+F1" w:hAnsi="Cambria" w:cs="CIDFont+F1"/>
          <w:lang w:val="en-IN" w:eastAsia="en-IN"/>
        </w:rPr>
        <w:t xml:space="preserve">the </w:t>
      </w:r>
      <w:r w:rsidRPr="0066420E">
        <w:rPr>
          <w:rFonts w:ascii="Cambria" w:eastAsia="CIDFont+F1" w:hAnsi="Cambria" w:cs="CIDFont+F1"/>
          <w:lang w:val="en-IN" w:eastAsia="en-IN"/>
        </w:rPr>
        <w:t>Hon’ble Commission</w:t>
      </w:r>
      <w:r>
        <w:rPr>
          <w:rFonts w:ascii="CIDFont+F1" w:eastAsia="CIDFont+F1" w:cs="CIDFont+F1"/>
          <w:sz w:val="22"/>
          <w:szCs w:val="22"/>
          <w:lang w:val="en-IN" w:eastAsia="en-IN"/>
        </w:rPr>
        <w:t xml:space="preserve">. </w:t>
      </w:r>
      <w:r w:rsidRPr="006701FA">
        <w:rPr>
          <w:rFonts w:asciiTheme="majorHAnsi" w:eastAsia="CIDFont+F1" w:hAnsiTheme="majorHAnsi" w:cs="CIDFont+F1"/>
          <w:lang w:val="en-IN" w:eastAsia="en-IN"/>
        </w:rPr>
        <w:t>It has been directed in the vesting order vide para 39</w:t>
      </w:r>
      <w:r w:rsidR="00EE6C91" w:rsidRPr="006701FA">
        <w:rPr>
          <w:rFonts w:asciiTheme="majorHAnsi" w:eastAsia="CIDFont+F1" w:hAnsiTheme="majorHAnsi" w:cs="CIDFont+F1"/>
          <w:lang w:val="en-IN" w:eastAsia="en-IN"/>
        </w:rPr>
        <w:t xml:space="preserve"> (</w:t>
      </w:r>
      <w:proofErr w:type="spellStart"/>
      <w:r w:rsidR="00EE6C91" w:rsidRPr="006701FA">
        <w:rPr>
          <w:rFonts w:asciiTheme="majorHAnsi" w:eastAsia="CIDFont+F1" w:hAnsiTheme="majorHAnsi" w:cs="CIDFont+F1"/>
          <w:lang w:val="en-IN" w:eastAsia="en-IN"/>
        </w:rPr>
        <w:t>i</w:t>
      </w:r>
      <w:proofErr w:type="spellEnd"/>
      <w:r w:rsidR="00EE6C91" w:rsidRPr="006701FA">
        <w:rPr>
          <w:rFonts w:asciiTheme="majorHAnsi" w:eastAsia="CIDFont+F1" w:hAnsiTheme="majorHAnsi" w:cs="CIDFont+F1"/>
          <w:lang w:val="en-IN" w:eastAsia="en-IN"/>
        </w:rPr>
        <w:t xml:space="preserve">) </w:t>
      </w:r>
      <w:r w:rsidR="00A055CE">
        <w:rPr>
          <w:rFonts w:asciiTheme="majorHAnsi" w:eastAsia="CIDFont+F1" w:hAnsiTheme="majorHAnsi" w:cs="CIDFont+F1"/>
          <w:lang w:val="en-IN" w:eastAsia="en-IN"/>
        </w:rPr>
        <w:t>“</w:t>
      </w:r>
      <w:r w:rsidR="00EE6C91" w:rsidRPr="006701FA">
        <w:rPr>
          <w:rFonts w:asciiTheme="majorHAnsi" w:hAnsiTheme="majorHAnsi" w:cs="Arial"/>
          <w:i/>
          <w:iCs/>
        </w:rPr>
        <w:t>Depreciation on all existing assets transferred to TPWODL shall be determined</w:t>
      </w:r>
      <w:r w:rsidR="006701FA">
        <w:rPr>
          <w:rFonts w:asciiTheme="majorHAnsi" w:hAnsiTheme="majorHAnsi" w:cs="Arial"/>
          <w:i/>
          <w:iCs/>
        </w:rPr>
        <w:t xml:space="preserve"> </w:t>
      </w:r>
      <w:r w:rsidR="00EE6C91" w:rsidRPr="006701FA">
        <w:rPr>
          <w:rFonts w:asciiTheme="majorHAnsi" w:hAnsiTheme="majorHAnsi" w:cs="Arial"/>
          <w:i/>
          <w:iCs/>
        </w:rPr>
        <w:t>based on the existing methodology being followed by the Commission.</w:t>
      </w:r>
      <w:r w:rsidR="00A055CE">
        <w:rPr>
          <w:rFonts w:asciiTheme="majorHAnsi" w:hAnsiTheme="majorHAnsi" w:cs="Arial"/>
          <w:i/>
          <w:iCs/>
        </w:rPr>
        <w:t>”</w:t>
      </w:r>
    </w:p>
    <w:p w14:paraId="671D4175" w14:textId="34D7B113" w:rsidR="00D266D9" w:rsidRDefault="00701705" w:rsidP="000E1100">
      <w:pPr>
        <w:pStyle w:val="BodyText2"/>
        <w:spacing w:beforeLines="100" w:before="240" w:afterLines="100" w:after="240" w:line="360" w:lineRule="auto"/>
        <w:jc w:val="both"/>
        <w:rPr>
          <w:rFonts w:ascii="Cambria" w:eastAsia="CIDFont+F1" w:hAnsi="Cambria" w:cs="CIDFont+F1"/>
          <w:sz w:val="24"/>
          <w:szCs w:val="24"/>
          <w:lang w:val="en-IN" w:eastAsia="en-IN"/>
        </w:rPr>
      </w:pPr>
      <w:r>
        <w:rPr>
          <w:rFonts w:ascii="Cambria" w:eastAsia="CIDFont+F1" w:hAnsi="Cambria" w:cs="CIDFont+F1"/>
          <w:sz w:val="24"/>
          <w:szCs w:val="24"/>
          <w:lang w:val="en-IN" w:eastAsia="en-IN"/>
        </w:rPr>
        <w:t xml:space="preserve">Now as per </w:t>
      </w:r>
      <w:r w:rsidR="002776EE">
        <w:rPr>
          <w:rFonts w:ascii="Cambria" w:eastAsia="CIDFont+F1" w:hAnsi="Cambria" w:cs="CIDFont+F1"/>
          <w:sz w:val="24"/>
          <w:szCs w:val="24"/>
          <w:lang w:val="en-IN" w:eastAsia="en-IN"/>
        </w:rPr>
        <w:t xml:space="preserve">Tariff </w:t>
      </w:r>
      <w:r w:rsidR="00D266D9">
        <w:rPr>
          <w:rFonts w:ascii="Cambria" w:eastAsia="CIDFont+F1" w:hAnsi="Cambria" w:cs="CIDFont+F1"/>
          <w:sz w:val="24"/>
          <w:szCs w:val="24"/>
          <w:lang w:val="en-IN" w:eastAsia="en-IN"/>
        </w:rPr>
        <w:t>Regulation</w:t>
      </w:r>
      <w:r w:rsidR="002776EE">
        <w:rPr>
          <w:rFonts w:ascii="Cambria" w:eastAsia="CIDFont+F1" w:hAnsi="Cambria" w:cs="CIDFont+F1"/>
          <w:sz w:val="24"/>
          <w:szCs w:val="24"/>
          <w:lang w:val="en-IN" w:eastAsia="en-IN"/>
        </w:rPr>
        <w:t>s, 2022</w:t>
      </w:r>
      <w:r w:rsidR="00D266D9">
        <w:rPr>
          <w:rFonts w:ascii="Cambria" w:eastAsia="CIDFont+F1" w:hAnsi="Cambria" w:cs="CIDFont+F1"/>
          <w:sz w:val="24"/>
          <w:szCs w:val="24"/>
          <w:lang w:val="en-IN" w:eastAsia="en-IN"/>
        </w:rPr>
        <w:t xml:space="preserve"> </w:t>
      </w:r>
      <w:r>
        <w:rPr>
          <w:rFonts w:ascii="Cambria" w:eastAsia="CIDFont+F1" w:hAnsi="Cambria" w:cs="CIDFont+F1"/>
          <w:sz w:val="24"/>
          <w:szCs w:val="24"/>
          <w:lang w:val="en-IN" w:eastAsia="en-IN"/>
        </w:rPr>
        <w:t xml:space="preserve">vide clause </w:t>
      </w:r>
      <w:r w:rsidR="00D266D9">
        <w:rPr>
          <w:rFonts w:ascii="Cambria" w:eastAsia="CIDFont+F1" w:hAnsi="Cambria" w:cs="CIDFont+F1"/>
          <w:sz w:val="24"/>
          <w:szCs w:val="24"/>
          <w:lang w:val="en-IN" w:eastAsia="en-IN"/>
        </w:rPr>
        <w:t>3.8</w:t>
      </w:r>
      <w:r w:rsidR="002776EE">
        <w:rPr>
          <w:rFonts w:ascii="Cambria" w:eastAsia="CIDFont+F1" w:hAnsi="Cambria" w:cs="CIDFont+F1"/>
          <w:sz w:val="24"/>
          <w:szCs w:val="24"/>
          <w:lang w:val="en-IN" w:eastAsia="en-IN"/>
        </w:rPr>
        <w:t>,</w:t>
      </w:r>
      <w:r w:rsidR="00D266D9">
        <w:rPr>
          <w:rFonts w:ascii="Cambria" w:eastAsia="CIDFont+F1" w:hAnsi="Cambria" w:cs="CIDFont+F1"/>
          <w:sz w:val="24"/>
          <w:szCs w:val="24"/>
          <w:lang w:val="en-IN" w:eastAsia="en-IN"/>
        </w:rPr>
        <w:t xml:space="preserve"> </w:t>
      </w:r>
      <w:r w:rsidR="002776EE">
        <w:rPr>
          <w:rFonts w:ascii="Cambria" w:eastAsia="CIDFont+F1" w:hAnsi="Cambria" w:cs="CIDFont+F1"/>
          <w:sz w:val="24"/>
          <w:szCs w:val="24"/>
          <w:lang w:val="en-IN" w:eastAsia="en-IN"/>
        </w:rPr>
        <w:t>the L</w:t>
      </w:r>
      <w:r>
        <w:rPr>
          <w:rFonts w:ascii="Cambria" w:eastAsia="CIDFont+F1" w:hAnsi="Cambria" w:cs="CIDFont+F1"/>
          <w:sz w:val="24"/>
          <w:szCs w:val="24"/>
          <w:lang w:val="en-IN" w:eastAsia="en-IN"/>
        </w:rPr>
        <w:t xml:space="preserve">icensee’s entitlement of depreciation has been enunciated </w:t>
      </w:r>
      <w:r w:rsidR="00D266D9">
        <w:rPr>
          <w:rFonts w:ascii="Cambria" w:eastAsia="CIDFont+F1" w:hAnsi="Cambria" w:cs="CIDFont+F1"/>
          <w:sz w:val="24"/>
          <w:szCs w:val="24"/>
          <w:lang w:val="en-IN" w:eastAsia="en-IN"/>
        </w:rPr>
        <w:t>as under:</w:t>
      </w:r>
    </w:p>
    <w:p w14:paraId="588FEA23" w14:textId="77777777" w:rsidR="00384D90" w:rsidRDefault="00D266D9" w:rsidP="001972DE">
      <w:pPr>
        <w:pStyle w:val="BodyText2"/>
        <w:numPr>
          <w:ilvl w:val="0"/>
          <w:numId w:val="15"/>
        </w:numPr>
        <w:spacing w:line="360" w:lineRule="auto"/>
        <w:jc w:val="both"/>
        <w:rPr>
          <w:rFonts w:ascii="Cambria" w:eastAsia="CIDFont+F1" w:hAnsi="Cambria" w:cs="CIDFont+F1"/>
          <w:sz w:val="24"/>
          <w:szCs w:val="24"/>
          <w:lang w:val="en-IN" w:eastAsia="en-IN"/>
        </w:rPr>
      </w:pPr>
      <w:r w:rsidRPr="00384D90">
        <w:rPr>
          <w:rFonts w:ascii="Cambria" w:eastAsia="CIDFont+F1" w:hAnsi="Cambria" w:cs="CIDFont+F1"/>
          <w:sz w:val="24"/>
          <w:szCs w:val="24"/>
          <w:lang w:val="en-IN" w:eastAsia="en-IN"/>
        </w:rPr>
        <w:t>For the assets of erstwhile DISCOMs transferred to the new DISCOMs through the Vesting Orders, depreciation shall be calculated on the pre-up valued cost of assets at pre-1992 rate on the asset base approved by the Commission.</w:t>
      </w:r>
    </w:p>
    <w:p w14:paraId="7E0512EA" w14:textId="14259A4A" w:rsidR="00D266D9" w:rsidRPr="00384D90" w:rsidRDefault="00384D90" w:rsidP="001972DE">
      <w:pPr>
        <w:pStyle w:val="BodyText2"/>
        <w:numPr>
          <w:ilvl w:val="0"/>
          <w:numId w:val="15"/>
        </w:numPr>
        <w:spacing w:line="360" w:lineRule="auto"/>
        <w:jc w:val="both"/>
        <w:rPr>
          <w:rFonts w:ascii="Cambria" w:eastAsia="CIDFont+F1" w:hAnsi="Cambria" w:cs="CIDFont+F1"/>
          <w:sz w:val="24"/>
          <w:szCs w:val="24"/>
          <w:lang w:val="en-IN" w:eastAsia="en-IN"/>
        </w:rPr>
      </w:pPr>
      <w:r w:rsidRPr="00384D90">
        <w:rPr>
          <w:rFonts w:ascii="Cambria" w:eastAsia="CIDFont+F1" w:hAnsi="Cambria" w:cs="CIDFont+F1"/>
          <w:sz w:val="24"/>
          <w:szCs w:val="24"/>
          <w:lang w:val="en-IN" w:eastAsia="en-IN"/>
        </w:rPr>
        <w:t>For assets achieving date of commercial operation (COD) in the control period, depreciation shall be computed annually based on the straight-line method at the rates specified in the Annexure II to the</w:t>
      </w:r>
      <w:r>
        <w:rPr>
          <w:rFonts w:ascii="Cambria" w:eastAsia="CIDFont+F1" w:hAnsi="Cambria" w:cs="CIDFont+F1"/>
          <w:sz w:val="24"/>
          <w:szCs w:val="24"/>
          <w:lang w:val="en-IN" w:eastAsia="en-IN"/>
        </w:rPr>
        <w:t xml:space="preserve"> New</w:t>
      </w:r>
      <w:r w:rsidRPr="00384D90">
        <w:rPr>
          <w:rFonts w:ascii="Cambria" w:eastAsia="CIDFont+F1" w:hAnsi="Cambria" w:cs="CIDFont+F1"/>
          <w:sz w:val="24"/>
          <w:szCs w:val="24"/>
          <w:lang w:val="en-IN" w:eastAsia="en-IN"/>
        </w:rPr>
        <w:t xml:space="preserve"> Regulations</w:t>
      </w:r>
      <w:r>
        <w:rPr>
          <w:rFonts w:ascii="Cambria" w:eastAsia="CIDFont+F1" w:hAnsi="Cambria" w:cs="CIDFont+F1"/>
          <w:sz w:val="24"/>
          <w:szCs w:val="24"/>
          <w:lang w:val="en-IN" w:eastAsia="en-IN"/>
        </w:rPr>
        <w:t>, 2022.</w:t>
      </w:r>
    </w:p>
    <w:p w14:paraId="4D880D06" w14:textId="69D393E9" w:rsidR="0022547D" w:rsidRDefault="00BF7F52" w:rsidP="0022547D">
      <w:pPr>
        <w:pStyle w:val="BodyText2"/>
        <w:spacing w:line="360" w:lineRule="auto"/>
        <w:jc w:val="both"/>
        <w:rPr>
          <w:rFonts w:ascii="Cambria" w:hAnsi="Cambria" w:cs="Arial"/>
          <w:sz w:val="24"/>
          <w:szCs w:val="24"/>
        </w:rPr>
      </w:pPr>
      <w:r w:rsidRPr="00EE6C91">
        <w:rPr>
          <w:rFonts w:ascii="Cambria" w:eastAsia="CIDFont+F1" w:hAnsi="Cambria" w:cs="CIDFont+F1"/>
          <w:sz w:val="24"/>
          <w:szCs w:val="24"/>
          <w:lang w:val="en-IN" w:eastAsia="en-IN"/>
        </w:rPr>
        <w:t>Accordingly, depreciation on assets transferred under segregation order has been calculated i</w:t>
      </w:r>
      <w:r>
        <w:rPr>
          <w:rFonts w:ascii="Cambria" w:eastAsia="CIDFont+F1" w:hAnsi="Cambria" w:cs="CIDFont+F1"/>
          <w:sz w:val="24"/>
          <w:szCs w:val="24"/>
          <w:lang w:val="en-IN" w:eastAsia="en-IN"/>
        </w:rPr>
        <w:t>n</w:t>
      </w:r>
      <w:r w:rsidRPr="00BF0E9D">
        <w:rPr>
          <w:rFonts w:ascii="Cambria" w:hAnsi="Cambria" w:cs="Arial"/>
          <w:sz w:val="24"/>
          <w:szCs w:val="24"/>
        </w:rPr>
        <w:t xml:space="preserve"> Straight Line Method (SLM) at pre-92 rates</w:t>
      </w:r>
      <w:r>
        <w:rPr>
          <w:rFonts w:ascii="Cambria" w:hAnsi="Cambria" w:cs="Arial"/>
          <w:sz w:val="24"/>
          <w:szCs w:val="24"/>
        </w:rPr>
        <w:t xml:space="preserve"> and for</w:t>
      </w:r>
      <w:r w:rsidR="00EE6C91">
        <w:rPr>
          <w:rFonts w:ascii="Cambria" w:hAnsi="Cambria" w:cs="Arial"/>
          <w:sz w:val="24"/>
          <w:szCs w:val="24"/>
        </w:rPr>
        <w:t xml:space="preserve"> assets created by the licensee has been calculated @ rates prescribed in the </w:t>
      </w:r>
      <w:r w:rsidR="00235D20">
        <w:rPr>
          <w:rFonts w:ascii="Cambria" w:hAnsi="Cambria" w:cs="Arial"/>
          <w:sz w:val="24"/>
          <w:szCs w:val="24"/>
        </w:rPr>
        <w:t>A</w:t>
      </w:r>
      <w:r w:rsidR="00EE6C91">
        <w:rPr>
          <w:rFonts w:ascii="Cambria" w:hAnsi="Cambria" w:cs="Arial"/>
          <w:sz w:val="24"/>
          <w:szCs w:val="24"/>
        </w:rPr>
        <w:t xml:space="preserve">nnexure-2 of </w:t>
      </w:r>
      <w:r w:rsidR="005265C4">
        <w:rPr>
          <w:rFonts w:ascii="Cambria" w:hAnsi="Cambria" w:cs="Arial"/>
          <w:sz w:val="24"/>
          <w:szCs w:val="24"/>
        </w:rPr>
        <w:t>New Regulations, 2022</w:t>
      </w:r>
      <w:r w:rsidR="0022547D">
        <w:rPr>
          <w:rFonts w:ascii="Cambria" w:hAnsi="Cambria" w:cs="Arial"/>
          <w:sz w:val="24"/>
          <w:szCs w:val="24"/>
        </w:rPr>
        <w:t>.</w:t>
      </w:r>
    </w:p>
    <w:tbl>
      <w:tblPr>
        <w:tblStyle w:val="TableGrid"/>
        <w:tblpPr w:leftFromText="180" w:rightFromText="180" w:vertAnchor="text" w:horzAnchor="margin" w:tblpX="704" w:tblpY="400"/>
        <w:tblW w:w="7933" w:type="dxa"/>
        <w:tblLook w:val="04A0" w:firstRow="1" w:lastRow="0" w:firstColumn="1" w:lastColumn="0" w:noHBand="0" w:noVBand="1"/>
      </w:tblPr>
      <w:tblGrid>
        <w:gridCol w:w="2405"/>
        <w:gridCol w:w="2268"/>
        <w:gridCol w:w="3260"/>
      </w:tblGrid>
      <w:tr w:rsidR="00F62F4C" w:rsidRPr="0005769E" w14:paraId="4D1543E2" w14:textId="01BEAD8F" w:rsidTr="0022547D">
        <w:trPr>
          <w:trHeight w:val="227"/>
          <w:tblHeader/>
        </w:trPr>
        <w:tc>
          <w:tcPr>
            <w:tcW w:w="2405" w:type="dxa"/>
            <w:shd w:val="clear" w:color="auto" w:fill="C6D9F1" w:themeFill="text2" w:themeFillTint="33"/>
            <w:vAlign w:val="center"/>
          </w:tcPr>
          <w:p w14:paraId="0E630395" w14:textId="77777777" w:rsidR="00F62F4C" w:rsidRPr="0005769E" w:rsidRDefault="00F62F4C" w:rsidP="002845CD">
            <w:pPr>
              <w:pStyle w:val="BodyText2"/>
              <w:spacing w:before="0" w:after="0"/>
              <w:rPr>
                <w:rFonts w:ascii="Cambria" w:hAnsi="Cambria" w:cs="Arial"/>
                <w:b/>
                <w:bCs/>
                <w:sz w:val="22"/>
                <w:szCs w:val="22"/>
              </w:rPr>
            </w:pPr>
            <w:r w:rsidRPr="0005769E">
              <w:rPr>
                <w:rFonts w:ascii="Cambria" w:hAnsi="Cambria" w:cs="Arial"/>
                <w:b/>
                <w:bCs/>
                <w:sz w:val="22"/>
                <w:szCs w:val="22"/>
              </w:rPr>
              <w:t>Type of Assets</w:t>
            </w:r>
          </w:p>
        </w:tc>
        <w:tc>
          <w:tcPr>
            <w:tcW w:w="2268" w:type="dxa"/>
            <w:shd w:val="clear" w:color="auto" w:fill="C6D9F1" w:themeFill="text2" w:themeFillTint="33"/>
            <w:vAlign w:val="center"/>
          </w:tcPr>
          <w:p w14:paraId="078D26C7" w14:textId="46F7285A" w:rsidR="00F62F4C" w:rsidRPr="0005769E" w:rsidRDefault="00F62F4C" w:rsidP="002845CD">
            <w:pPr>
              <w:pStyle w:val="BodyText2"/>
              <w:spacing w:before="0" w:after="0"/>
              <w:rPr>
                <w:rFonts w:ascii="Cambria" w:hAnsi="Cambria" w:cs="Arial"/>
                <w:b/>
                <w:bCs/>
                <w:sz w:val="22"/>
                <w:szCs w:val="22"/>
              </w:rPr>
            </w:pPr>
            <w:r w:rsidRPr="0005769E">
              <w:rPr>
                <w:rFonts w:ascii="Cambria" w:hAnsi="Cambria" w:cs="Arial"/>
                <w:b/>
                <w:bCs/>
                <w:sz w:val="22"/>
                <w:szCs w:val="22"/>
              </w:rPr>
              <w:t>Dep rate applicable to transferred assets with-Pre 92</w:t>
            </w:r>
          </w:p>
        </w:tc>
        <w:tc>
          <w:tcPr>
            <w:tcW w:w="3260" w:type="dxa"/>
            <w:shd w:val="clear" w:color="auto" w:fill="C6D9F1" w:themeFill="text2" w:themeFillTint="33"/>
            <w:vAlign w:val="center"/>
          </w:tcPr>
          <w:p w14:paraId="0B150A9D" w14:textId="07A9F841" w:rsidR="00F62F4C" w:rsidRPr="0005769E" w:rsidRDefault="00F62F4C" w:rsidP="002845CD">
            <w:pPr>
              <w:pStyle w:val="BodyText2"/>
              <w:spacing w:before="0" w:after="0"/>
              <w:rPr>
                <w:rFonts w:ascii="Cambria" w:hAnsi="Cambria" w:cs="Arial"/>
                <w:b/>
                <w:bCs/>
                <w:sz w:val="22"/>
                <w:szCs w:val="22"/>
              </w:rPr>
            </w:pPr>
            <w:r w:rsidRPr="0005769E">
              <w:rPr>
                <w:rFonts w:ascii="Cambria" w:hAnsi="Cambria" w:cs="Arial"/>
                <w:b/>
                <w:bCs/>
                <w:sz w:val="22"/>
                <w:szCs w:val="22"/>
              </w:rPr>
              <w:t>Dep rate applicable for TPWODL created assets as per New Regulations, 2022</w:t>
            </w:r>
          </w:p>
        </w:tc>
      </w:tr>
      <w:tr w:rsidR="00F62F4C" w:rsidRPr="0005769E" w14:paraId="0D365B77" w14:textId="4144DD56" w:rsidTr="002845CD">
        <w:trPr>
          <w:trHeight w:val="227"/>
        </w:trPr>
        <w:tc>
          <w:tcPr>
            <w:tcW w:w="2405" w:type="dxa"/>
          </w:tcPr>
          <w:p w14:paraId="43DA19A8" w14:textId="77777777" w:rsidR="00F62F4C" w:rsidRPr="0005769E" w:rsidRDefault="00F62F4C" w:rsidP="002845CD">
            <w:pPr>
              <w:pStyle w:val="BodyText2"/>
              <w:spacing w:before="0" w:after="0"/>
              <w:jc w:val="both"/>
              <w:rPr>
                <w:rFonts w:ascii="Cambria" w:hAnsi="Cambria" w:cs="Arial"/>
                <w:sz w:val="22"/>
                <w:szCs w:val="22"/>
              </w:rPr>
            </w:pPr>
            <w:r w:rsidRPr="0005769E">
              <w:rPr>
                <w:rFonts w:ascii="Cambria" w:hAnsi="Cambria" w:cs="Arial"/>
                <w:sz w:val="22"/>
                <w:szCs w:val="22"/>
              </w:rPr>
              <w:t>Land</w:t>
            </w:r>
          </w:p>
        </w:tc>
        <w:tc>
          <w:tcPr>
            <w:tcW w:w="2268" w:type="dxa"/>
          </w:tcPr>
          <w:p w14:paraId="211712BB" w14:textId="77777777" w:rsidR="00F62F4C" w:rsidRPr="0005769E" w:rsidRDefault="00F62F4C" w:rsidP="002845CD">
            <w:pPr>
              <w:pStyle w:val="BodyText2"/>
              <w:spacing w:before="0" w:after="0"/>
              <w:jc w:val="center"/>
              <w:rPr>
                <w:rFonts w:ascii="Cambria" w:hAnsi="Cambria" w:cs="Arial"/>
                <w:sz w:val="22"/>
                <w:szCs w:val="22"/>
              </w:rPr>
            </w:pPr>
            <w:r w:rsidRPr="0005769E">
              <w:rPr>
                <w:rFonts w:ascii="Cambria" w:hAnsi="Cambria" w:cs="Arial"/>
                <w:sz w:val="22"/>
                <w:szCs w:val="22"/>
              </w:rPr>
              <w:t>0%</w:t>
            </w:r>
          </w:p>
        </w:tc>
        <w:tc>
          <w:tcPr>
            <w:tcW w:w="3260" w:type="dxa"/>
          </w:tcPr>
          <w:p w14:paraId="09EC14D6" w14:textId="6F307E3F" w:rsidR="00F62F4C" w:rsidRPr="0005769E" w:rsidRDefault="0005769E" w:rsidP="002845CD">
            <w:pPr>
              <w:pStyle w:val="BodyText2"/>
              <w:spacing w:before="0" w:after="0"/>
              <w:jc w:val="center"/>
              <w:rPr>
                <w:rFonts w:ascii="Cambria" w:hAnsi="Cambria" w:cs="Arial"/>
                <w:sz w:val="22"/>
                <w:szCs w:val="22"/>
              </w:rPr>
            </w:pPr>
            <w:r>
              <w:rPr>
                <w:rFonts w:ascii="Cambria" w:hAnsi="Cambria" w:cs="Arial"/>
                <w:sz w:val="22"/>
                <w:szCs w:val="22"/>
              </w:rPr>
              <w:t>0</w:t>
            </w:r>
            <w:r w:rsidR="00F62F4C" w:rsidRPr="0005769E">
              <w:rPr>
                <w:rFonts w:ascii="Cambria" w:hAnsi="Cambria" w:cs="Arial"/>
                <w:sz w:val="22"/>
                <w:szCs w:val="22"/>
              </w:rPr>
              <w:t>%</w:t>
            </w:r>
          </w:p>
        </w:tc>
      </w:tr>
      <w:tr w:rsidR="00F62F4C" w:rsidRPr="0005769E" w14:paraId="1B2225E4" w14:textId="40E80FD0" w:rsidTr="002845CD">
        <w:trPr>
          <w:trHeight w:val="227"/>
        </w:trPr>
        <w:tc>
          <w:tcPr>
            <w:tcW w:w="2405" w:type="dxa"/>
          </w:tcPr>
          <w:p w14:paraId="795F9B4D" w14:textId="77777777" w:rsidR="00F62F4C" w:rsidRPr="0005769E" w:rsidRDefault="00F62F4C" w:rsidP="002845CD">
            <w:pPr>
              <w:pStyle w:val="BodyText2"/>
              <w:spacing w:before="0" w:after="0"/>
              <w:jc w:val="both"/>
              <w:rPr>
                <w:rFonts w:ascii="Cambria" w:hAnsi="Cambria" w:cs="Arial"/>
                <w:sz w:val="22"/>
                <w:szCs w:val="22"/>
              </w:rPr>
            </w:pPr>
            <w:r w:rsidRPr="0005769E">
              <w:rPr>
                <w:rFonts w:ascii="Cambria" w:hAnsi="Cambria" w:cs="Arial"/>
                <w:sz w:val="22"/>
                <w:szCs w:val="22"/>
              </w:rPr>
              <w:t>Building</w:t>
            </w:r>
          </w:p>
        </w:tc>
        <w:tc>
          <w:tcPr>
            <w:tcW w:w="2268" w:type="dxa"/>
          </w:tcPr>
          <w:p w14:paraId="63D5C637" w14:textId="77777777" w:rsidR="00F62F4C" w:rsidRPr="0005769E" w:rsidRDefault="00F62F4C" w:rsidP="002845CD">
            <w:pPr>
              <w:pStyle w:val="BodyText2"/>
              <w:spacing w:before="0" w:after="0"/>
              <w:jc w:val="center"/>
              <w:rPr>
                <w:rFonts w:ascii="Cambria" w:hAnsi="Cambria" w:cs="Arial"/>
                <w:sz w:val="22"/>
                <w:szCs w:val="22"/>
              </w:rPr>
            </w:pPr>
            <w:r w:rsidRPr="0005769E">
              <w:rPr>
                <w:rFonts w:ascii="Cambria" w:hAnsi="Cambria" w:cs="Arial"/>
                <w:sz w:val="22"/>
                <w:szCs w:val="22"/>
              </w:rPr>
              <w:t>1.80%</w:t>
            </w:r>
          </w:p>
        </w:tc>
        <w:tc>
          <w:tcPr>
            <w:tcW w:w="3260" w:type="dxa"/>
          </w:tcPr>
          <w:p w14:paraId="21B36FA3" w14:textId="040FE849" w:rsidR="00F62F4C" w:rsidRPr="0005769E" w:rsidRDefault="00F62F4C" w:rsidP="002845CD">
            <w:pPr>
              <w:pStyle w:val="BodyText2"/>
              <w:spacing w:before="0" w:after="0"/>
              <w:jc w:val="center"/>
              <w:rPr>
                <w:rFonts w:ascii="Cambria" w:hAnsi="Cambria" w:cs="Arial"/>
                <w:sz w:val="22"/>
                <w:szCs w:val="22"/>
              </w:rPr>
            </w:pPr>
            <w:r w:rsidRPr="0005769E">
              <w:rPr>
                <w:rFonts w:ascii="Cambria" w:hAnsi="Cambria" w:cs="Arial"/>
                <w:sz w:val="22"/>
                <w:szCs w:val="22"/>
              </w:rPr>
              <w:t>3.34%</w:t>
            </w:r>
          </w:p>
        </w:tc>
      </w:tr>
      <w:tr w:rsidR="00F62F4C" w:rsidRPr="0005769E" w14:paraId="7A1A822B" w14:textId="7BCE8838" w:rsidTr="002845CD">
        <w:trPr>
          <w:trHeight w:val="227"/>
        </w:trPr>
        <w:tc>
          <w:tcPr>
            <w:tcW w:w="2405" w:type="dxa"/>
          </w:tcPr>
          <w:p w14:paraId="41E05B28" w14:textId="62C419A4" w:rsidR="00F62F4C" w:rsidRPr="0005769E" w:rsidRDefault="00F62F4C" w:rsidP="002845CD">
            <w:pPr>
              <w:pStyle w:val="BodyText2"/>
              <w:spacing w:before="0" w:after="0"/>
              <w:jc w:val="both"/>
              <w:rPr>
                <w:rFonts w:ascii="Cambria" w:hAnsi="Cambria" w:cs="Arial"/>
                <w:sz w:val="22"/>
                <w:szCs w:val="22"/>
              </w:rPr>
            </w:pPr>
            <w:r w:rsidRPr="0005769E">
              <w:rPr>
                <w:rFonts w:ascii="Cambria" w:hAnsi="Cambria" w:cs="Arial"/>
                <w:sz w:val="22"/>
                <w:szCs w:val="22"/>
              </w:rPr>
              <w:t>Network Assets</w:t>
            </w:r>
          </w:p>
        </w:tc>
        <w:tc>
          <w:tcPr>
            <w:tcW w:w="2268" w:type="dxa"/>
          </w:tcPr>
          <w:p w14:paraId="5715EDBD" w14:textId="18189647" w:rsidR="00F62F4C" w:rsidRPr="0005769E" w:rsidRDefault="00F62F4C" w:rsidP="002845CD">
            <w:pPr>
              <w:pStyle w:val="BodyText2"/>
              <w:spacing w:before="0" w:after="0"/>
              <w:jc w:val="center"/>
              <w:rPr>
                <w:rFonts w:ascii="Cambria" w:hAnsi="Cambria" w:cs="Arial"/>
                <w:sz w:val="22"/>
                <w:szCs w:val="22"/>
              </w:rPr>
            </w:pPr>
            <w:r w:rsidRPr="0005769E">
              <w:rPr>
                <w:rFonts w:ascii="Cambria" w:hAnsi="Cambria" w:cs="Arial"/>
                <w:sz w:val="22"/>
                <w:szCs w:val="22"/>
              </w:rPr>
              <w:t>3.80%</w:t>
            </w:r>
          </w:p>
        </w:tc>
        <w:tc>
          <w:tcPr>
            <w:tcW w:w="3260" w:type="dxa"/>
          </w:tcPr>
          <w:p w14:paraId="3D4CBB8A" w14:textId="37266672" w:rsidR="00F62F4C" w:rsidRPr="0005769E" w:rsidRDefault="00F62F4C" w:rsidP="002845CD">
            <w:pPr>
              <w:pStyle w:val="BodyText2"/>
              <w:spacing w:before="0" w:after="0"/>
              <w:jc w:val="center"/>
              <w:rPr>
                <w:rFonts w:ascii="Cambria" w:hAnsi="Cambria" w:cs="Arial"/>
                <w:sz w:val="22"/>
                <w:szCs w:val="22"/>
              </w:rPr>
            </w:pPr>
            <w:r w:rsidRPr="0005769E">
              <w:rPr>
                <w:rFonts w:ascii="Cambria" w:hAnsi="Cambria" w:cs="Arial"/>
                <w:sz w:val="22"/>
                <w:szCs w:val="22"/>
              </w:rPr>
              <w:t>4.67%</w:t>
            </w:r>
          </w:p>
        </w:tc>
      </w:tr>
      <w:tr w:rsidR="00F62F4C" w:rsidRPr="0005769E" w14:paraId="1A0F7F7D" w14:textId="43C365E3" w:rsidTr="002845CD">
        <w:trPr>
          <w:trHeight w:val="227"/>
        </w:trPr>
        <w:tc>
          <w:tcPr>
            <w:tcW w:w="2405" w:type="dxa"/>
          </w:tcPr>
          <w:p w14:paraId="0814639D" w14:textId="0B3E3697" w:rsidR="00F62F4C" w:rsidRPr="0005769E" w:rsidRDefault="00F62F4C" w:rsidP="002845CD">
            <w:pPr>
              <w:pStyle w:val="BodyText2"/>
              <w:spacing w:before="0" w:after="0"/>
              <w:jc w:val="both"/>
              <w:rPr>
                <w:rFonts w:ascii="Cambria" w:hAnsi="Cambria" w:cs="Arial"/>
                <w:sz w:val="22"/>
                <w:szCs w:val="22"/>
              </w:rPr>
            </w:pPr>
            <w:r w:rsidRPr="0005769E">
              <w:rPr>
                <w:rFonts w:ascii="Cambria" w:hAnsi="Cambria" w:cs="Arial"/>
                <w:sz w:val="22"/>
                <w:szCs w:val="22"/>
              </w:rPr>
              <w:t>Overhead Lines</w:t>
            </w:r>
          </w:p>
        </w:tc>
        <w:tc>
          <w:tcPr>
            <w:tcW w:w="2268" w:type="dxa"/>
          </w:tcPr>
          <w:p w14:paraId="113E31F7" w14:textId="77777777" w:rsidR="00F62F4C" w:rsidRPr="0005769E" w:rsidRDefault="00F62F4C" w:rsidP="002845CD">
            <w:pPr>
              <w:pStyle w:val="BodyText2"/>
              <w:spacing w:before="0" w:after="0"/>
              <w:jc w:val="center"/>
              <w:rPr>
                <w:rFonts w:ascii="Cambria" w:hAnsi="Cambria" w:cs="Arial"/>
                <w:sz w:val="22"/>
                <w:szCs w:val="22"/>
              </w:rPr>
            </w:pPr>
            <w:r w:rsidRPr="0005769E">
              <w:rPr>
                <w:rFonts w:ascii="Cambria" w:hAnsi="Cambria" w:cs="Arial"/>
                <w:sz w:val="22"/>
                <w:szCs w:val="22"/>
              </w:rPr>
              <w:t>3.80%</w:t>
            </w:r>
          </w:p>
        </w:tc>
        <w:tc>
          <w:tcPr>
            <w:tcW w:w="3260" w:type="dxa"/>
          </w:tcPr>
          <w:p w14:paraId="3A289D9E" w14:textId="0EAEA9EE" w:rsidR="00F62F4C" w:rsidRPr="0005769E" w:rsidRDefault="00F62F4C" w:rsidP="002845CD">
            <w:pPr>
              <w:pStyle w:val="BodyText2"/>
              <w:spacing w:before="0" w:after="0"/>
              <w:jc w:val="center"/>
              <w:rPr>
                <w:rFonts w:ascii="Cambria" w:hAnsi="Cambria" w:cs="Arial"/>
                <w:sz w:val="22"/>
                <w:szCs w:val="22"/>
              </w:rPr>
            </w:pPr>
            <w:r w:rsidRPr="0005769E">
              <w:rPr>
                <w:rFonts w:ascii="Cambria" w:hAnsi="Cambria" w:cs="Arial"/>
                <w:sz w:val="22"/>
                <w:szCs w:val="22"/>
              </w:rPr>
              <w:t>4.67%</w:t>
            </w:r>
          </w:p>
        </w:tc>
      </w:tr>
      <w:tr w:rsidR="00F62F4C" w:rsidRPr="0005769E" w14:paraId="1BAB7BDD" w14:textId="43337C4F" w:rsidTr="002845CD">
        <w:trPr>
          <w:trHeight w:val="227"/>
        </w:trPr>
        <w:tc>
          <w:tcPr>
            <w:tcW w:w="2405" w:type="dxa"/>
          </w:tcPr>
          <w:p w14:paraId="5F9A9F12" w14:textId="1BF1A850" w:rsidR="00F62F4C" w:rsidRPr="0005769E" w:rsidRDefault="00F62F4C" w:rsidP="002845CD">
            <w:pPr>
              <w:pStyle w:val="BodyText2"/>
              <w:spacing w:before="0" w:after="0"/>
              <w:jc w:val="both"/>
              <w:rPr>
                <w:rFonts w:ascii="Cambria" w:hAnsi="Cambria" w:cs="Arial"/>
                <w:sz w:val="22"/>
                <w:szCs w:val="22"/>
              </w:rPr>
            </w:pPr>
            <w:r w:rsidRPr="0005769E">
              <w:rPr>
                <w:rFonts w:ascii="Cambria" w:hAnsi="Cambria" w:cs="Arial"/>
                <w:sz w:val="22"/>
                <w:szCs w:val="22"/>
              </w:rPr>
              <w:t>Furniture’s &amp; Fixtures</w:t>
            </w:r>
          </w:p>
        </w:tc>
        <w:tc>
          <w:tcPr>
            <w:tcW w:w="2268" w:type="dxa"/>
          </w:tcPr>
          <w:p w14:paraId="49D56C60" w14:textId="0C81EFF6" w:rsidR="00F62F4C" w:rsidRPr="0005769E" w:rsidRDefault="00F62F4C" w:rsidP="002845CD">
            <w:pPr>
              <w:pStyle w:val="BodyText2"/>
              <w:spacing w:before="0" w:after="0"/>
              <w:jc w:val="center"/>
              <w:rPr>
                <w:rFonts w:ascii="Cambria" w:hAnsi="Cambria" w:cs="Arial"/>
                <w:sz w:val="22"/>
                <w:szCs w:val="22"/>
              </w:rPr>
            </w:pPr>
            <w:r w:rsidRPr="0005769E">
              <w:rPr>
                <w:rFonts w:ascii="Cambria" w:hAnsi="Cambria" w:cs="Arial"/>
                <w:sz w:val="22"/>
                <w:szCs w:val="22"/>
              </w:rPr>
              <w:t>4.55%</w:t>
            </w:r>
          </w:p>
        </w:tc>
        <w:tc>
          <w:tcPr>
            <w:tcW w:w="3260" w:type="dxa"/>
          </w:tcPr>
          <w:p w14:paraId="2934A83C" w14:textId="45ACB360" w:rsidR="00F62F4C" w:rsidRPr="0005769E" w:rsidRDefault="00F62F4C" w:rsidP="002845CD">
            <w:pPr>
              <w:pStyle w:val="BodyText2"/>
              <w:spacing w:before="0" w:after="0"/>
              <w:jc w:val="center"/>
              <w:rPr>
                <w:rFonts w:ascii="Cambria" w:hAnsi="Cambria" w:cs="Arial"/>
                <w:sz w:val="22"/>
                <w:szCs w:val="22"/>
              </w:rPr>
            </w:pPr>
            <w:r w:rsidRPr="0005769E">
              <w:rPr>
                <w:rFonts w:ascii="Cambria" w:hAnsi="Cambria" w:cs="Arial"/>
                <w:sz w:val="22"/>
                <w:szCs w:val="22"/>
              </w:rPr>
              <w:t>6.33%</w:t>
            </w:r>
          </w:p>
        </w:tc>
      </w:tr>
      <w:tr w:rsidR="00F62F4C" w:rsidRPr="0005769E" w14:paraId="742FB7B0" w14:textId="6426CEDA" w:rsidTr="002845CD">
        <w:trPr>
          <w:trHeight w:val="227"/>
        </w:trPr>
        <w:tc>
          <w:tcPr>
            <w:tcW w:w="2405" w:type="dxa"/>
          </w:tcPr>
          <w:p w14:paraId="1CBB90B9" w14:textId="5B842327" w:rsidR="00F62F4C" w:rsidRPr="0005769E" w:rsidRDefault="00F62F4C" w:rsidP="002845CD">
            <w:pPr>
              <w:pStyle w:val="BodyText2"/>
              <w:spacing w:before="0" w:after="0"/>
              <w:jc w:val="both"/>
              <w:rPr>
                <w:rFonts w:ascii="Cambria" w:hAnsi="Cambria" w:cs="Arial"/>
                <w:sz w:val="22"/>
                <w:szCs w:val="22"/>
              </w:rPr>
            </w:pPr>
            <w:r w:rsidRPr="0005769E">
              <w:rPr>
                <w:rFonts w:ascii="Cambria" w:hAnsi="Cambria" w:cs="Arial"/>
                <w:sz w:val="22"/>
                <w:szCs w:val="22"/>
              </w:rPr>
              <w:t>Vehicles</w:t>
            </w:r>
          </w:p>
        </w:tc>
        <w:tc>
          <w:tcPr>
            <w:tcW w:w="2268" w:type="dxa"/>
          </w:tcPr>
          <w:p w14:paraId="62ABCEF7" w14:textId="0F39900F" w:rsidR="00F62F4C" w:rsidRPr="0005769E" w:rsidRDefault="00F62F4C" w:rsidP="002845CD">
            <w:pPr>
              <w:pStyle w:val="BodyText2"/>
              <w:spacing w:before="0" w:after="0"/>
              <w:jc w:val="center"/>
              <w:rPr>
                <w:rFonts w:ascii="Cambria" w:hAnsi="Cambria" w:cs="Arial"/>
                <w:sz w:val="22"/>
                <w:szCs w:val="22"/>
              </w:rPr>
            </w:pPr>
            <w:r w:rsidRPr="0005769E">
              <w:rPr>
                <w:rFonts w:ascii="Cambria" w:hAnsi="Cambria" w:cs="Arial"/>
                <w:sz w:val="22"/>
                <w:szCs w:val="22"/>
              </w:rPr>
              <w:t>12.86%</w:t>
            </w:r>
          </w:p>
        </w:tc>
        <w:tc>
          <w:tcPr>
            <w:tcW w:w="3260" w:type="dxa"/>
          </w:tcPr>
          <w:p w14:paraId="3FDA5EDB" w14:textId="09989CD1" w:rsidR="00F62F4C" w:rsidRPr="0005769E" w:rsidRDefault="00F62F4C" w:rsidP="002845CD">
            <w:pPr>
              <w:pStyle w:val="BodyText2"/>
              <w:spacing w:before="0" w:after="0"/>
              <w:jc w:val="center"/>
              <w:rPr>
                <w:rFonts w:ascii="Cambria" w:hAnsi="Cambria" w:cs="Arial"/>
                <w:sz w:val="22"/>
                <w:szCs w:val="22"/>
              </w:rPr>
            </w:pPr>
            <w:r w:rsidRPr="0005769E">
              <w:rPr>
                <w:rFonts w:ascii="Cambria" w:hAnsi="Cambria" w:cs="Arial"/>
                <w:sz w:val="22"/>
                <w:szCs w:val="22"/>
              </w:rPr>
              <w:t>9.50%</w:t>
            </w:r>
          </w:p>
        </w:tc>
      </w:tr>
      <w:tr w:rsidR="00F62F4C" w:rsidRPr="0005769E" w14:paraId="6E23E879" w14:textId="3775D359" w:rsidTr="002845CD">
        <w:trPr>
          <w:trHeight w:val="227"/>
        </w:trPr>
        <w:tc>
          <w:tcPr>
            <w:tcW w:w="2405" w:type="dxa"/>
          </w:tcPr>
          <w:p w14:paraId="65A6D299" w14:textId="77777777" w:rsidR="00F62F4C" w:rsidRPr="0005769E" w:rsidRDefault="00F62F4C" w:rsidP="002845CD">
            <w:pPr>
              <w:pStyle w:val="BodyText2"/>
              <w:spacing w:before="0" w:after="0"/>
              <w:jc w:val="both"/>
              <w:rPr>
                <w:rFonts w:ascii="Cambria" w:hAnsi="Cambria" w:cs="Arial"/>
                <w:sz w:val="22"/>
                <w:szCs w:val="22"/>
              </w:rPr>
            </w:pPr>
            <w:r w:rsidRPr="0005769E">
              <w:rPr>
                <w:rFonts w:ascii="Cambria" w:hAnsi="Cambria" w:cs="Arial"/>
                <w:sz w:val="22"/>
                <w:szCs w:val="22"/>
              </w:rPr>
              <w:t>Office Equipment</w:t>
            </w:r>
          </w:p>
        </w:tc>
        <w:tc>
          <w:tcPr>
            <w:tcW w:w="2268" w:type="dxa"/>
          </w:tcPr>
          <w:p w14:paraId="4BEA1491" w14:textId="77777777" w:rsidR="00F62F4C" w:rsidRPr="0005769E" w:rsidRDefault="00F62F4C" w:rsidP="002845CD">
            <w:pPr>
              <w:pStyle w:val="BodyText2"/>
              <w:spacing w:before="0" w:after="0"/>
              <w:jc w:val="center"/>
              <w:rPr>
                <w:rFonts w:ascii="Cambria" w:hAnsi="Cambria" w:cs="Arial"/>
                <w:sz w:val="22"/>
                <w:szCs w:val="22"/>
              </w:rPr>
            </w:pPr>
            <w:r w:rsidRPr="0005769E">
              <w:rPr>
                <w:rFonts w:ascii="Cambria" w:hAnsi="Cambria" w:cs="Arial"/>
                <w:sz w:val="22"/>
                <w:szCs w:val="22"/>
              </w:rPr>
              <w:t>9%</w:t>
            </w:r>
          </w:p>
        </w:tc>
        <w:tc>
          <w:tcPr>
            <w:tcW w:w="3260" w:type="dxa"/>
          </w:tcPr>
          <w:p w14:paraId="3E39C45D" w14:textId="07DBEF05" w:rsidR="00F62F4C" w:rsidRPr="0005769E" w:rsidRDefault="00F62F4C" w:rsidP="002845CD">
            <w:pPr>
              <w:pStyle w:val="BodyText2"/>
              <w:spacing w:before="0" w:after="0"/>
              <w:jc w:val="center"/>
              <w:rPr>
                <w:rFonts w:ascii="Cambria" w:hAnsi="Cambria" w:cs="Arial"/>
                <w:sz w:val="22"/>
                <w:szCs w:val="22"/>
              </w:rPr>
            </w:pPr>
            <w:r w:rsidRPr="0005769E">
              <w:rPr>
                <w:rFonts w:ascii="Cambria" w:hAnsi="Cambria" w:cs="Arial"/>
                <w:sz w:val="22"/>
                <w:szCs w:val="22"/>
              </w:rPr>
              <w:t>6.33%</w:t>
            </w:r>
          </w:p>
        </w:tc>
      </w:tr>
      <w:tr w:rsidR="00F62F4C" w:rsidRPr="0005769E" w14:paraId="116F90C9" w14:textId="492F051E" w:rsidTr="002845CD">
        <w:trPr>
          <w:trHeight w:val="227"/>
        </w:trPr>
        <w:tc>
          <w:tcPr>
            <w:tcW w:w="2405" w:type="dxa"/>
          </w:tcPr>
          <w:p w14:paraId="18DFC453" w14:textId="3B96522D" w:rsidR="00F62F4C" w:rsidRPr="0005769E" w:rsidRDefault="00F62F4C" w:rsidP="002845CD">
            <w:pPr>
              <w:pStyle w:val="BodyText2"/>
              <w:spacing w:before="0" w:after="0"/>
              <w:jc w:val="both"/>
              <w:rPr>
                <w:rFonts w:ascii="Cambria" w:hAnsi="Cambria" w:cs="Arial"/>
                <w:sz w:val="22"/>
                <w:szCs w:val="22"/>
              </w:rPr>
            </w:pPr>
            <w:r w:rsidRPr="0005769E">
              <w:rPr>
                <w:rFonts w:ascii="Cambria" w:hAnsi="Cambria" w:cs="Arial"/>
                <w:sz w:val="22"/>
                <w:szCs w:val="22"/>
              </w:rPr>
              <w:t>IT Equipment’s</w:t>
            </w:r>
          </w:p>
        </w:tc>
        <w:tc>
          <w:tcPr>
            <w:tcW w:w="2268" w:type="dxa"/>
          </w:tcPr>
          <w:p w14:paraId="5B7B761F" w14:textId="7A92FF61" w:rsidR="00F62F4C" w:rsidRPr="0005769E" w:rsidRDefault="00F62F4C" w:rsidP="002845CD">
            <w:pPr>
              <w:pStyle w:val="BodyText2"/>
              <w:spacing w:before="0" w:after="0"/>
              <w:jc w:val="center"/>
              <w:rPr>
                <w:rFonts w:ascii="Cambria" w:hAnsi="Cambria" w:cs="Arial"/>
                <w:sz w:val="22"/>
                <w:szCs w:val="22"/>
              </w:rPr>
            </w:pPr>
            <w:r w:rsidRPr="0005769E">
              <w:rPr>
                <w:rFonts w:ascii="Cambria" w:hAnsi="Cambria" w:cs="Arial"/>
                <w:sz w:val="22"/>
                <w:szCs w:val="22"/>
              </w:rPr>
              <w:t>9%</w:t>
            </w:r>
          </w:p>
        </w:tc>
        <w:tc>
          <w:tcPr>
            <w:tcW w:w="3260" w:type="dxa"/>
          </w:tcPr>
          <w:p w14:paraId="2BE427DE" w14:textId="11BED3E1" w:rsidR="00F62F4C" w:rsidRPr="0005769E" w:rsidRDefault="00F62F4C" w:rsidP="002845CD">
            <w:pPr>
              <w:pStyle w:val="BodyText2"/>
              <w:spacing w:before="0" w:after="0"/>
              <w:jc w:val="center"/>
              <w:rPr>
                <w:rFonts w:ascii="Cambria" w:hAnsi="Cambria" w:cs="Arial"/>
                <w:sz w:val="22"/>
                <w:szCs w:val="22"/>
              </w:rPr>
            </w:pPr>
            <w:r w:rsidRPr="0005769E">
              <w:rPr>
                <w:rFonts w:ascii="Cambria" w:hAnsi="Cambria" w:cs="Arial"/>
                <w:sz w:val="22"/>
                <w:szCs w:val="22"/>
              </w:rPr>
              <w:t>15%</w:t>
            </w:r>
          </w:p>
        </w:tc>
      </w:tr>
      <w:tr w:rsidR="00F62F4C" w:rsidRPr="0005769E" w14:paraId="046200EE" w14:textId="77777777" w:rsidTr="002845CD">
        <w:trPr>
          <w:trHeight w:val="227"/>
        </w:trPr>
        <w:tc>
          <w:tcPr>
            <w:tcW w:w="2405" w:type="dxa"/>
          </w:tcPr>
          <w:p w14:paraId="1D31FE2D" w14:textId="61BBA150" w:rsidR="00F62F4C" w:rsidRPr="0005769E" w:rsidRDefault="00F62F4C" w:rsidP="002845CD">
            <w:pPr>
              <w:pStyle w:val="BodyText2"/>
              <w:spacing w:before="0" w:after="0"/>
              <w:jc w:val="both"/>
              <w:rPr>
                <w:rFonts w:ascii="Cambria" w:hAnsi="Cambria" w:cs="Arial"/>
                <w:sz w:val="22"/>
                <w:szCs w:val="22"/>
              </w:rPr>
            </w:pPr>
            <w:r w:rsidRPr="0005769E">
              <w:rPr>
                <w:rFonts w:ascii="Cambria" w:hAnsi="Cambria" w:cs="Arial"/>
                <w:sz w:val="22"/>
                <w:szCs w:val="22"/>
              </w:rPr>
              <w:t>Software</w:t>
            </w:r>
          </w:p>
        </w:tc>
        <w:tc>
          <w:tcPr>
            <w:tcW w:w="2268" w:type="dxa"/>
          </w:tcPr>
          <w:p w14:paraId="21F0C803" w14:textId="77777777" w:rsidR="00F62F4C" w:rsidRPr="0005769E" w:rsidRDefault="00F62F4C" w:rsidP="002845CD">
            <w:pPr>
              <w:pStyle w:val="BodyText2"/>
              <w:spacing w:before="0" w:after="0"/>
              <w:jc w:val="center"/>
              <w:rPr>
                <w:rFonts w:ascii="Cambria" w:hAnsi="Cambria" w:cs="Arial"/>
                <w:sz w:val="22"/>
                <w:szCs w:val="22"/>
              </w:rPr>
            </w:pPr>
          </w:p>
        </w:tc>
        <w:tc>
          <w:tcPr>
            <w:tcW w:w="3260" w:type="dxa"/>
          </w:tcPr>
          <w:p w14:paraId="2D35CF64" w14:textId="5C881BDB" w:rsidR="00F62F4C" w:rsidRPr="0005769E" w:rsidRDefault="00F62F4C" w:rsidP="002845CD">
            <w:pPr>
              <w:pStyle w:val="BodyText2"/>
              <w:spacing w:before="0" w:after="0"/>
              <w:jc w:val="center"/>
              <w:rPr>
                <w:rFonts w:ascii="Cambria" w:hAnsi="Cambria" w:cs="Arial"/>
                <w:sz w:val="22"/>
                <w:szCs w:val="22"/>
              </w:rPr>
            </w:pPr>
            <w:r w:rsidRPr="0005769E">
              <w:rPr>
                <w:rFonts w:ascii="Cambria" w:hAnsi="Cambria" w:cs="Arial"/>
                <w:sz w:val="22"/>
                <w:szCs w:val="22"/>
              </w:rPr>
              <w:t>30%</w:t>
            </w:r>
          </w:p>
        </w:tc>
      </w:tr>
    </w:tbl>
    <w:p w14:paraId="3ADE186F" w14:textId="77777777" w:rsidR="0005769E" w:rsidRDefault="0005769E" w:rsidP="00685817">
      <w:pPr>
        <w:spacing w:line="360" w:lineRule="auto"/>
        <w:jc w:val="both"/>
        <w:rPr>
          <w:rFonts w:ascii="Cambria" w:hAnsi="Cambria" w:cs="Arial"/>
        </w:rPr>
      </w:pPr>
    </w:p>
    <w:p w14:paraId="6D3BA193" w14:textId="77777777" w:rsidR="0005769E" w:rsidRDefault="0005769E" w:rsidP="00685817">
      <w:pPr>
        <w:spacing w:line="360" w:lineRule="auto"/>
        <w:jc w:val="both"/>
        <w:rPr>
          <w:rFonts w:ascii="Cambria" w:hAnsi="Cambria" w:cs="Arial"/>
        </w:rPr>
      </w:pPr>
    </w:p>
    <w:p w14:paraId="0FDE5F5B" w14:textId="77777777" w:rsidR="0005769E" w:rsidRDefault="0005769E" w:rsidP="00685817">
      <w:pPr>
        <w:spacing w:line="360" w:lineRule="auto"/>
        <w:jc w:val="both"/>
        <w:rPr>
          <w:rFonts w:ascii="Cambria" w:hAnsi="Cambria" w:cs="Arial"/>
        </w:rPr>
      </w:pPr>
    </w:p>
    <w:p w14:paraId="60268372" w14:textId="77777777" w:rsidR="0005769E" w:rsidRDefault="0005769E" w:rsidP="00685817">
      <w:pPr>
        <w:spacing w:line="360" w:lineRule="auto"/>
        <w:jc w:val="both"/>
        <w:rPr>
          <w:rFonts w:ascii="Cambria" w:hAnsi="Cambria" w:cs="Arial"/>
        </w:rPr>
      </w:pPr>
    </w:p>
    <w:p w14:paraId="10786CC8" w14:textId="77777777" w:rsidR="00032715" w:rsidRDefault="00032715" w:rsidP="00685817">
      <w:pPr>
        <w:spacing w:line="360" w:lineRule="auto"/>
        <w:jc w:val="both"/>
        <w:rPr>
          <w:rFonts w:ascii="Cambria" w:hAnsi="Cambria" w:cs="Arial"/>
        </w:rPr>
      </w:pPr>
    </w:p>
    <w:p w14:paraId="387A5C80" w14:textId="77777777" w:rsidR="00032715" w:rsidRDefault="00032715" w:rsidP="00685817">
      <w:pPr>
        <w:spacing w:line="360" w:lineRule="auto"/>
        <w:jc w:val="both"/>
        <w:rPr>
          <w:rFonts w:ascii="Cambria" w:hAnsi="Cambria" w:cs="Arial"/>
        </w:rPr>
      </w:pPr>
    </w:p>
    <w:p w14:paraId="7FBDB20D" w14:textId="77777777" w:rsidR="0022547D" w:rsidRDefault="0022547D" w:rsidP="00685817">
      <w:pPr>
        <w:spacing w:line="360" w:lineRule="auto"/>
        <w:jc w:val="both"/>
        <w:rPr>
          <w:rFonts w:ascii="Cambria" w:hAnsi="Cambria" w:cs="Arial"/>
        </w:rPr>
      </w:pPr>
    </w:p>
    <w:p w14:paraId="4DFC00CF" w14:textId="77777777" w:rsidR="0022547D" w:rsidRDefault="0022547D" w:rsidP="00685817">
      <w:pPr>
        <w:spacing w:line="360" w:lineRule="auto"/>
        <w:jc w:val="both"/>
        <w:rPr>
          <w:rFonts w:ascii="Cambria" w:hAnsi="Cambria" w:cs="Arial"/>
        </w:rPr>
      </w:pPr>
    </w:p>
    <w:p w14:paraId="4C9EA453" w14:textId="2B649D87" w:rsidR="00685817" w:rsidRPr="003769EE" w:rsidRDefault="00685817" w:rsidP="000E1100">
      <w:pPr>
        <w:spacing w:beforeLines="100" w:before="240" w:afterLines="100" w:after="240" w:line="360" w:lineRule="auto"/>
        <w:jc w:val="both"/>
        <w:rPr>
          <w:rFonts w:ascii="Cambria" w:hAnsi="Cambria" w:cs="Arial"/>
          <w:i/>
          <w:iCs/>
        </w:rPr>
      </w:pPr>
      <w:r>
        <w:rPr>
          <w:rFonts w:ascii="Cambria" w:hAnsi="Cambria" w:cs="Arial"/>
        </w:rPr>
        <w:t>Further a</w:t>
      </w:r>
      <w:r w:rsidRPr="003769EE">
        <w:rPr>
          <w:rFonts w:ascii="Cambria" w:hAnsi="Cambria" w:cs="Arial"/>
        </w:rPr>
        <w:t xml:space="preserve">s per vesting order para no. 44 a(iii) </w:t>
      </w:r>
      <w:r w:rsidRPr="00DD0680">
        <w:rPr>
          <w:rFonts w:ascii="Cambria" w:hAnsi="Cambria" w:cs="Arial"/>
          <w:i/>
          <w:iCs/>
          <w:sz w:val="22"/>
          <w:szCs w:val="22"/>
        </w:rPr>
        <w:t xml:space="preserve">“No depreciation shall be allowed to be recovered on assets created out of Government grants/capital subsidy/capital contribution from consumers irrespective of whether the corresponding grant is transferred to TPWODL or not.” </w:t>
      </w:r>
    </w:p>
    <w:p w14:paraId="6B29906D" w14:textId="750CD4AB" w:rsidR="005265C4" w:rsidRDefault="00E060C7" w:rsidP="000E1100">
      <w:pPr>
        <w:pStyle w:val="BodyText2"/>
        <w:spacing w:beforeLines="100" w:before="240" w:afterLines="100" w:after="240" w:line="360" w:lineRule="auto"/>
        <w:jc w:val="both"/>
        <w:rPr>
          <w:rFonts w:ascii="Cambria" w:hAnsi="Cambria" w:cs="Arial"/>
          <w:sz w:val="24"/>
          <w:szCs w:val="24"/>
        </w:rPr>
      </w:pPr>
      <w:r>
        <w:rPr>
          <w:rFonts w:ascii="Cambria" w:hAnsi="Cambria" w:cs="Arial"/>
          <w:sz w:val="24"/>
          <w:szCs w:val="24"/>
        </w:rPr>
        <w:t>Accordingly</w:t>
      </w:r>
      <w:r w:rsidR="005265C4">
        <w:rPr>
          <w:rFonts w:ascii="Cambria" w:hAnsi="Cambria" w:cs="Arial"/>
          <w:sz w:val="24"/>
          <w:szCs w:val="24"/>
        </w:rPr>
        <w:t xml:space="preserve">, the </w:t>
      </w:r>
      <w:r w:rsidR="002845CD">
        <w:rPr>
          <w:rFonts w:ascii="Cambria" w:hAnsi="Cambria" w:cs="Arial"/>
          <w:sz w:val="24"/>
          <w:szCs w:val="24"/>
        </w:rPr>
        <w:t>L</w:t>
      </w:r>
      <w:r w:rsidR="005265C4">
        <w:rPr>
          <w:rFonts w:ascii="Cambria" w:hAnsi="Cambria" w:cs="Arial"/>
          <w:sz w:val="24"/>
          <w:szCs w:val="24"/>
        </w:rPr>
        <w:t xml:space="preserve">icensee has computed depreciation for the ensuing year FY </w:t>
      </w:r>
      <w:r w:rsidR="009A0E63">
        <w:rPr>
          <w:rFonts w:ascii="Cambria" w:hAnsi="Cambria" w:cs="Arial"/>
          <w:sz w:val="24"/>
          <w:szCs w:val="24"/>
        </w:rPr>
        <w:t>2026-27</w:t>
      </w:r>
      <w:r w:rsidR="005265C4">
        <w:rPr>
          <w:rFonts w:ascii="Cambria" w:hAnsi="Cambria" w:cs="Arial"/>
          <w:sz w:val="24"/>
          <w:szCs w:val="24"/>
        </w:rPr>
        <w:t xml:space="preserve"> based on </w:t>
      </w:r>
      <w:r w:rsidR="005265C4" w:rsidRPr="005265C4">
        <w:rPr>
          <w:rFonts w:ascii="Cambria" w:hAnsi="Cambria" w:cs="Arial"/>
          <w:sz w:val="24"/>
          <w:szCs w:val="24"/>
        </w:rPr>
        <w:t xml:space="preserve">depreciation rate applicable for TPWODL created assets as per </w:t>
      </w:r>
      <w:r w:rsidR="002845CD">
        <w:rPr>
          <w:rFonts w:ascii="Cambria" w:hAnsi="Cambria" w:cs="Arial"/>
          <w:sz w:val="24"/>
          <w:szCs w:val="24"/>
        </w:rPr>
        <w:t>Tariff</w:t>
      </w:r>
      <w:r w:rsidR="005265C4">
        <w:rPr>
          <w:rFonts w:ascii="Cambria" w:hAnsi="Cambria" w:cs="Arial"/>
          <w:sz w:val="24"/>
          <w:szCs w:val="24"/>
        </w:rPr>
        <w:t xml:space="preserve"> Regulations, 2022</w:t>
      </w:r>
      <w:r w:rsidR="005265C4" w:rsidRPr="005265C4">
        <w:rPr>
          <w:rFonts w:ascii="Cambria" w:hAnsi="Cambria" w:cs="Arial"/>
          <w:sz w:val="24"/>
          <w:szCs w:val="24"/>
        </w:rPr>
        <w:t xml:space="preserve"> as under:</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985"/>
        <w:gridCol w:w="2268"/>
        <w:gridCol w:w="2126"/>
      </w:tblGrid>
      <w:tr w:rsidR="003E6C5B" w:rsidRPr="0059581B" w14:paraId="7164C701" w14:textId="77777777" w:rsidTr="0022547D">
        <w:trPr>
          <w:trHeight w:val="260"/>
          <w:tblHeader/>
        </w:trPr>
        <w:tc>
          <w:tcPr>
            <w:tcW w:w="2835" w:type="dxa"/>
            <w:shd w:val="clear" w:color="auto" w:fill="C6D9F1" w:themeFill="text2" w:themeFillTint="33"/>
            <w:noWrap/>
            <w:vAlign w:val="center"/>
            <w:hideMark/>
          </w:tcPr>
          <w:p w14:paraId="7A615AC4" w14:textId="0B7F2563" w:rsidR="003E6C5B" w:rsidRPr="0059581B" w:rsidRDefault="002845CD" w:rsidP="002845CD">
            <w:pPr>
              <w:rPr>
                <w:rFonts w:asciiTheme="majorHAnsi" w:hAnsiTheme="majorHAnsi"/>
                <w:b/>
                <w:bCs/>
                <w:sz w:val="22"/>
                <w:szCs w:val="22"/>
              </w:rPr>
            </w:pPr>
            <w:r w:rsidRPr="0059581B">
              <w:rPr>
                <w:rFonts w:asciiTheme="majorHAnsi" w:hAnsiTheme="majorHAnsi"/>
                <w:b/>
                <w:bCs/>
                <w:sz w:val="22"/>
                <w:szCs w:val="22"/>
              </w:rPr>
              <w:t>Particulars</w:t>
            </w:r>
          </w:p>
        </w:tc>
        <w:tc>
          <w:tcPr>
            <w:tcW w:w="1985" w:type="dxa"/>
            <w:shd w:val="clear" w:color="auto" w:fill="C6D9F1" w:themeFill="text2" w:themeFillTint="33"/>
            <w:noWrap/>
            <w:vAlign w:val="center"/>
            <w:hideMark/>
          </w:tcPr>
          <w:p w14:paraId="7D836847" w14:textId="098EE0B1" w:rsidR="003E6C5B" w:rsidRPr="0059581B" w:rsidRDefault="003E6C5B" w:rsidP="002845CD">
            <w:pPr>
              <w:jc w:val="center"/>
              <w:rPr>
                <w:rFonts w:asciiTheme="majorHAnsi" w:hAnsiTheme="majorHAnsi" w:cs="Arial"/>
                <w:b/>
                <w:bCs/>
                <w:sz w:val="22"/>
                <w:szCs w:val="22"/>
              </w:rPr>
            </w:pPr>
            <w:r w:rsidRPr="0059581B">
              <w:rPr>
                <w:rFonts w:asciiTheme="majorHAnsi" w:hAnsiTheme="majorHAnsi" w:cs="Arial"/>
                <w:b/>
                <w:bCs/>
                <w:sz w:val="22"/>
                <w:szCs w:val="22"/>
              </w:rPr>
              <w:t>Dep on old assets</w:t>
            </w:r>
            <w:r w:rsidR="009F447E" w:rsidRPr="0059581B">
              <w:rPr>
                <w:rFonts w:asciiTheme="majorHAnsi" w:hAnsiTheme="majorHAnsi" w:cs="Arial"/>
                <w:b/>
                <w:bCs/>
                <w:sz w:val="22"/>
                <w:szCs w:val="22"/>
              </w:rPr>
              <w:t xml:space="preserve"> (@ pre-92 rates)</w:t>
            </w:r>
          </w:p>
        </w:tc>
        <w:tc>
          <w:tcPr>
            <w:tcW w:w="2268" w:type="dxa"/>
            <w:shd w:val="clear" w:color="auto" w:fill="C6D9F1" w:themeFill="text2" w:themeFillTint="33"/>
            <w:noWrap/>
            <w:vAlign w:val="center"/>
            <w:hideMark/>
          </w:tcPr>
          <w:p w14:paraId="35447836" w14:textId="00D21444" w:rsidR="003E6C5B" w:rsidRPr="0059581B" w:rsidRDefault="003E6C5B" w:rsidP="002845CD">
            <w:pPr>
              <w:jc w:val="center"/>
              <w:rPr>
                <w:rFonts w:asciiTheme="majorHAnsi" w:hAnsiTheme="majorHAnsi" w:cs="Arial"/>
                <w:b/>
                <w:bCs/>
                <w:sz w:val="22"/>
                <w:szCs w:val="22"/>
              </w:rPr>
            </w:pPr>
            <w:r w:rsidRPr="0059581B">
              <w:rPr>
                <w:rFonts w:asciiTheme="majorHAnsi" w:hAnsiTheme="majorHAnsi" w:cs="Arial"/>
                <w:b/>
                <w:bCs/>
                <w:sz w:val="22"/>
                <w:szCs w:val="22"/>
              </w:rPr>
              <w:t>TPWODL assets</w:t>
            </w:r>
            <w:r w:rsidR="009F447E" w:rsidRPr="0059581B">
              <w:rPr>
                <w:rFonts w:asciiTheme="majorHAnsi" w:hAnsiTheme="majorHAnsi" w:cs="Arial"/>
                <w:b/>
                <w:bCs/>
                <w:sz w:val="22"/>
                <w:szCs w:val="22"/>
              </w:rPr>
              <w:t xml:space="preserve"> (@ new regulation)</w:t>
            </w:r>
          </w:p>
        </w:tc>
        <w:tc>
          <w:tcPr>
            <w:tcW w:w="2126" w:type="dxa"/>
            <w:shd w:val="clear" w:color="auto" w:fill="C6D9F1" w:themeFill="text2" w:themeFillTint="33"/>
            <w:vAlign w:val="center"/>
          </w:tcPr>
          <w:p w14:paraId="58249D20" w14:textId="71F389DA" w:rsidR="003E6C5B" w:rsidRPr="0059581B" w:rsidRDefault="003E6C5B" w:rsidP="002845CD">
            <w:pPr>
              <w:jc w:val="center"/>
              <w:rPr>
                <w:rFonts w:asciiTheme="majorHAnsi" w:hAnsiTheme="majorHAnsi" w:cs="Arial"/>
                <w:b/>
                <w:bCs/>
                <w:sz w:val="22"/>
                <w:szCs w:val="22"/>
              </w:rPr>
            </w:pPr>
            <w:r w:rsidRPr="0059581B">
              <w:rPr>
                <w:rFonts w:asciiTheme="majorHAnsi" w:hAnsiTheme="majorHAnsi" w:cs="Arial"/>
                <w:b/>
                <w:bCs/>
                <w:sz w:val="22"/>
                <w:szCs w:val="22"/>
              </w:rPr>
              <w:t xml:space="preserve">Total for FY </w:t>
            </w:r>
            <w:r w:rsidR="007507C7" w:rsidRPr="0059581B">
              <w:rPr>
                <w:rFonts w:asciiTheme="majorHAnsi" w:hAnsiTheme="majorHAnsi" w:cs="Arial"/>
                <w:b/>
                <w:bCs/>
                <w:sz w:val="22"/>
                <w:szCs w:val="22"/>
              </w:rPr>
              <w:t>26-27</w:t>
            </w:r>
          </w:p>
          <w:p w14:paraId="1EC47261" w14:textId="4E498288" w:rsidR="0022547D" w:rsidRPr="0059581B" w:rsidRDefault="0022547D" w:rsidP="002845CD">
            <w:pPr>
              <w:jc w:val="center"/>
              <w:rPr>
                <w:rFonts w:asciiTheme="majorHAnsi" w:hAnsiTheme="majorHAnsi" w:cs="Arial"/>
                <w:b/>
                <w:bCs/>
                <w:sz w:val="22"/>
                <w:szCs w:val="22"/>
              </w:rPr>
            </w:pPr>
            <w:r w:rsidRPr="0059581B">
              <w:rPr>
                <w:rFonts w:asciiTheme="majorHAnsi" w:hAnsiTheme="majorHAnsi" w:cs="Arial"/>
                <w:b/>
                <w:bCs/>
                <w:sz w:val="22"/>
                <w:szCs w:val="22"/>
              </w:rPr>
              <w:t>(Rs. Cr.)</w:t>
            </w:r>
          </w:p>
        </w:tc>
      </w:tr>
      <w:tr w:rsidR="003E6C5B" w:rsidRPr="0059581B" w14:paraId="208E1E47" w14:textId="77777777" w:rsidTr="0022547D">
        <w:trPr>
          <w:trHeight w:val="250"/>
        </w:trPr>
        <w:tc>
          <w:tcPr>
            <w:tcW w:w="2835" w:type="dxa"/>
            <w:noWrap/>
            <w:vAlign w:val="center"/>
            <w:hideMark/>
          </w:tcPr>
          <w:p w14:paraId="70D1A54C" w14:textId="77777777" w:rsidR="003E6C5B" w:rsidRPr="0059581B" w:rsidRDefault="003E6C5B" w:rsidP="002845CD">
            <w:pPr>
              <w:rPr>
                <w:rFonts w:asciiTheme="majorHAnsi" w:hAnsiTheme="majorHAnsi"/>
                <w:sz w:val="22"/>
                <w:szCs w:val="22"/>
              </w:rPr>
            </w:pPr>
            <w:r w:rsidRPr="0059581B">
              <w:rPr>
                <w:rFonts w:asciiTheme="majorHAnsi" w:hAnsiTheme="majorHAnsi"/>
                <w:sz w:val="22"/>
                <w:szCs w:val="22"/>
              </w:rPr>
              <w:t>Land</w:t>
            </w:r>
          </w:p>
        </w:tc>
        <w:tc>
          <w:tcPr>
            <w:tcW w:w="1985" w:type="dxa"/>
            <w:noWrap/>
            <w:vAlign w:val="center"/>
            <w:hideMark/>
          </w:tcPr>
          <w:p w14:paraId="59C0BBBF" w14:textId="0A1A9788" w:rsidR="003E6C5B" w:rsidRPr="0059581B" w:rsidRDefault="00B039D4" w:rsidP="002845CD">
            <w:pPr>
              <w:jc w:val="center"/>
              <w:rPr>
                <w:rFonts w:asciiTheme="majorHAnsi" w:hAnsiTheme="majorHAnsi"/>
                <w:sz w:val="22"/>
                <w:szCs w:val="22"/>
              </w:rPr>
            </w:pPr>
            <w:r>
              <w:rPr>
                <w:rFonts w:asciiTheme="majorHAnsi" w:hAnsiTheme="majorHAnsi"/>
                <w:sz w:val="22"/>
                <w:szCs w:val="22"/>
              </w:rPr>
              <w:t>-</w:t>
            </w:r>
          </w:p>
        </w:tc>
        <w:tc>
          <w:tcPr>
            <w:tcW w:w="2268" w:type="dxa"/>
            <w:noWrap/>
            <w:vAlign w:val="center"/>
            <w:hideMark/>
          </w:tcPr>
          <w:p w14:paraId="51EF708B" w14:textId="586839B1" w:rsidR="003E6C5B" w:rsidRPr="0059581B" w:rsidRDefault="00D3412B" w:rsidP="002845CD">
            <w:pPr>
              <w:jc w:val="center"/>
              <w:rPr>
                <w:rFonts w:asciiTheme="majorHAnsi" w:hAnsiTheme="majorHAnsi"/>
                <w:sz w:val="22"/>
                <w:szCs w:val="22"/>
              </w:rPr>
            </w:pPr>
            <w:r>
              <w:rPr>
                <w:rFonts w:asciiTheme="majorHAnsi" w:hAnsiTheme="majorHAnsi"/>
                <w:sz w:val="22"/>
                <w:szCs w:val="22"/>
              </w:rPr>
              <w:t>-</w:t>
            </w:r>
          </w:p>
        </w:tc>
        <w:tc>
          <w:tcPr>
            <w:tcW w:w="2126" w:type="dxa"/>
            <w:vAlign w:val="center"/>
          </w:tcPr>
          <w:p w14:paraId="69BD5C62" w14:textId="60F834CD" w:rsidR="003E6C5B" w:rsidRPr="0059581B" w:rsidRDefault="007D6067" w:rsidP="002845CD">
            <w:pPr>
              <w:jc w:val="center"/>
              <w:rPr>
                <w:rFonts w:asciiTheme="majorHAnsi" w:hAnsiTheme="majorHAnsi"/>
                <w:sz w:val="22"/>
                <w:szCs w:val="22"/>
              </w:rPr>
            </w:pPr>
            <w:r>
              <w:rPr>
                <w:rFonts w:asciiTheme="majorHAnsi" w:hAnsiTheme="majorHAnsi"/>
                <w:sz w:val="22"/>
                <w:szCs w:val="22"/>
              </w:rPr>
              <w:t>-</w:t>
            </w:r>
          </w:p>
        </w:tc>
      </w:tr>
      <w:tr w:rsidR="009F447E" w:rsidRPr="0059581B" w14:paraId="7DBE1A32" w14:textId="77777777" w:rsidTr="0022547D">
        <w:trPr>
          <w:trHeight w:val="250"/>
        </w:trPr>
        <w:tc>
          <w:tcPr>
            <w:tcW w:w="2835" w:type="dxa"/>
            <w:noWrap/>
            <w:vAlign w:val="center"/>
            <w:hideMark/>
          </w:tcPr>
          <w:p w14:paraId="072C5B3E" w14:textId="77777777" w:rsidR="009F447E" w:rsidRPr="0059581B" w:rsidRDefault="009F447E" w:rsidP="002845CD">
            <w:pPr>
              <w:rPr>
                <w:rFonts w:asciiTheme="majorHAnsi" w:hAnsiTheme="majorHAnsi" w:cs="Arial"/>
                <w:sz w:val="22"/>
                <w:szCs w:val="22"/>
              </w:rPr>
            </w:pPr>
            <w:r w:rsidRPr="0059581B">
              <w:rPr>
                <w:rFonts w:asciiTheme="majorHAnsi" w:hAnsiTheme="majorHAnsi" w:cs="Arial"/>
                <w:sz w:val="22"/>
                <w:szCs w:val="22"/>
              </w:rPr>
              <w:t>Buildings</w:t>
            </w:r>
          </w:p>
        </w:tc>
        <w:tc>
          <w:tcPr>
            <w:tcW w:w="1985" w:type="dxa"/>
            <w:noWrap/>
            <w:vAlign w:val="center"/>
            <w:hideMark/>
          </w:tcPr>
          <w:p w14:paraId="66899AA0" w14:textId="274EE0BB" w:rsidR="009F447E" w:rsidRPr="0059581B" w:rsidRDefault="0022547D" w:rsidP="002845CD">
            <w:pPr>
              <w:jc w:val="center"/>
              <w:rPr>
                <w:rFonts w:asciiTheme="majorHAnsi" w:hAnsiTheme="majorHAnsi" w:cs="Arial"/>
                <w:sz w:val="22"/>
                <w:szCs w:val="22"/>
              </w:rPr>
            </w:pPr>
            <w:r w:rsidRPr="0059581B">
              <w:rPr>
                <w:rFonts w:asciiTheme="majorHAnsi" w:hAnsiTheme="majorHAnsi" w:cs="Arial"/>
                <w:sz w:val="22"/>
                <w:szCs w:val="22"/>
              </w:rPr>
              <w:t>0.29</w:t>
            </w:r>
          </w:p>
        </w:tc>
        <w:tc>
          <w:tcPr>
            <w:tcW w:w="2268" w:type="dxa"/>
            <w:noWrap/>
            <w:vAlign w:val="center"/>
            <w:hideMark/>
          </w:tcPr>
          <w:p w14:paraId="47FDE489" w14:textId="5F52801B" w:rsidR="009F447E" w:rsidRPr="0059581B" w:rsidRDefault="007D6067" w:rsidP="002845CD">
            <w:pPr>
              <w:jc w:val="center"/>
              <w:rPr>
                <w:rFonts w:asciiTheme="majorHAnsi" w:hAnsiTheme="majorHAnsi"/>
                <w:sz w:val="22"/>
                <w:szCs w:val="22"/>
              </w:rPr>
            </w:pPr>
            <w:r>
              <w:rPr>
                <w:rFonts w:asciiTheme="majorHAnsi" w:hAnsiTheme="majorHAnsi"/>
                <w:sz w:val="22"/>
                <w:szCs w:val="22"/>
              </w:rPr>
              <w:t>11.43</w:t>
            </w:r>
          </w:p>
        </w:tc>
        <w:tc>
          <w:tcPr>
            <w:tcW w:w="2126" w:type="dxa"/>
            <w:vAlign w:val="center"/>
          </w:tcPr>
          <w:p w14:paraId="723531A2" w14:textId="3CD8A5B6" w:rsidR="009F447E" w:rsidRPr="0059581B" w:rsidRDefault="00CB7365" w:rsidP="002845CD">
            <w:pPr>
              <w:jc w:val="center"/>
              <w:rPr>
                <w:rFonts w:asciiTheme="majorHAnsi" w:hAnsiTheme="majorHAnsi"/>
                <w:sz w:val="22"/>
                <w:szCs w:val="22"/>
              </w:rPr>
            </w:pPr>
            <w:r>
              <w:rPr>
                <w:rFonts w:asciiTheme="majorHAnsi" w:hAnsiTheme="majorHAnsi"/>
                <w:sz w:val="22"/>
                <w:szCs w:val="22"/>
              </w:rPr>
              <w:t>11.72</w:t>
            </w:r>
          </w:p>
        </w:tc>
      </w:tr>
      <w:tr w:rsidR="009F447E" w:rsidRPr="0059581B" w14:paraId="225318C2" w14:textId="77777777" w:rsidTr="0022547D">
        <w:trPr>
          <w:trHeight w:val="250"/>
        </w:trPr>
        <w:tc>
          <w:tcPr>
            <w:tcW w:w="2835" w:type="dxa"/>
            <w:noWrap/>
            <w:vAlign w:val="center"/>
            <w:hideMark/>
          </w:tcPr>
          <w:p w14:paraId="00FFE43B" w14:textId="77777777" w:rsidR="009F447E" w:rsidRPr="0059581B" w:rsidRDefault="009F447E" w:rsidP="002845CD">
            <w:pPr>
              <w:rPr>
                <w:rFonts w:asciiTheme="majorHAnsi" w:hAnsiTheme="majorHAnsi" w:cs="Arial"/>
                <w:sz w:val="22"/>
                <w:szCs w:val="22"/>
              </w:rPr>
            </w:pPr>
            <w:r w:rsidRPr="0059581B">
              <w:rPr>
                <w:rFonts w:asciiTheme="majorHAnsi" w:hAnsiTheme="majorHAnsi" w:cs="Arial"/>
                <w:sz w:val="22"/>
                <w:szCs w:val="22"/>
              </w:rPr>
              <w:t>Network assets</w:t>
            </w:r>
          </w:p>
        </w:tc>
        <w:tc>
          <w:tcPr>
            <w:tcW w:w="1985" w:type="dxa"/>
            <w:noWrap/>
            <w:vAlign w:val="center"/>
            <w:hideMark/>
          </w:tcPr>
          <w:p w14:paraId="48FC1006" w14:textId="6C3F52D8" w:rsidR="009F447E" w:rsidRPr="0059581B" w:rsidRDefault="00B039D4" w:rsidP="002845CD">
            <w:pPr>
              <w:jc w:val="center"/>
              <w:rPr>
                <w:rFonts w:asciiTheme="majorHAnsi" w:hAnsiTheme="majorHAnsi" w:cs="Arial"/>
                <w:sz w:val="22"/>
                <w:szCs w:val="22"/>
              </w:rPr>
            </w:pPr>
            <w:r>
              <w:rPr>
                <w:rFonts w:asciiTheme="majorHAnsi" w:hAnsiTheme="majorHAnsi" w:cs="Arial"/>
                <w:sz w:val="22"/>
                <w:szCs w:val="22"/>
              </w:rPr>
              <w:t>13.30</w:t>
            </w:r>
          </w:p>
        </w:tc>
        <w:tc>
          <w:tcPr>
            <w:tcW w:w="2268" w:type="dxa"/>
            <w:noWrap/>
            <w:vAlign w:val="center"/>
            <w:hideMark/>
          </w:tcPr>
          <w:p w14:paraId="08FF9797" w14:textId="79F99567" w:rsidR="009F447E" w:rsidRPr="0059581B" w:rsidRDefault="00A055CE" w:rsidP="002845CD">
            <w:pPr>
              <w:jc w:val="center"/>
              <w:rPr>
                <w:rFonts w:asciiTheme="majorHAnsi" w:hAnsiTheme="majorHAnsi"/>
                <w:sz w:val="22"/>
                <w:szCs w:val="22"/>
              </w:rPr>
            </w:pPr>
            <w:r w:rsidRPr="0059581B">
              <w:rPr>
                <w:rFonts w:asciiTheme="majorHAnsi" w:hAnsiTheme="majorHAnsi"/>
                <w:sz w:val="22"/>
                <w:szCs w:val="22"/>
              </w:rPr>
              <w:t>10</w:t>
            </w:r>
            <w:r w:rsidR="007D6067">
              <w:rPr>
                <w:rFonts w:asciiTheme="majorHAnsi" w:hAnsiTheme="majorHAnsi"/>
                <w:sz w:val="22"/>
                <w:szCs w:val="22"/>
              </w:rPr>
              <w:t>6.59</w:t>
            </w:r>
          </w:p>
        </w:tc>
        <w:tc>
          <w:tcPr>
            <w:tcW w:w="2126" w:type="dxa"/>
            <w:vAlign w:val="center"/>
          </w:tcPr>
          <w:p w14:paraId="5067346D" w14:textId="4F235878" w:rsidR="009F447E" w:rsidRPr="0059581B" w:rsidRDefault="008F1CC5" w:rsidP="002845CD">
            <w:pPr>
              <w:jc w:val="center"/>
              <w:rPr>
                <w:rFonts w:asciiTheme="majorHAnsi" w:hAnsiTheme="majorHAnsi"/>
                <w:sz w:val="22"/>
                <w:szCs w:val="22"/>
              </w:rPr>
            </w:pPr>
            <w:r w:rsidRPr="0059581B">
              <w:rPr>
                <w:rFonts w:asciiTheme="majorHAnsi" w:hAnsiTheme="majorHAnsi"/>
                <w:sz w:val="22"/>
                <w:szCs w:val="22"/>
              </w:rPr>
              <w:t>1</w:t>
            </w:r>
            <w:r w:rsidR="00CB7365">
              <w:rPr>
                <w:rFonts w:asciiTheme="majorHAnsi" w:hAnsiTheme="majorHAnsi"/>
                <w:sz w:val="22"/>
                <w:szCs w:val="22"/>
              </w:rPr>
              <w:t>19.89</w:t>
            </w:r>
          </w:p>
        </w:tc>
      </w:tr>
      <w:tr w:rsidR="009F447E" w:rsidRPr="0059581B" w14:paraId="30643983" w14:textId="77777777" w:rsidTr="0022547D">
        <w:trPr>
          <w:trHeight w:val="250"/>
        </w:trPr>
        <w:tc>
          <w:tcPr>
            <w:tcW w:w="2835" w:type="dxa"/>
            <w:noWrap/>
            <w:vAlign w:val="center"/>
            <w:hideMark/>
          </w:tcPr>
          <w:p w14:paraId="68E9982D" w14:textId="77777777" w:rsidR="009F447E" w:rsidRPr="0059581B" w:rsidRDefault="009F447E" w:rsidP="002845CD">
            <w:pPr>
              <w:rPr>
                <w:rFonts w:asciiTheme="majorHAnsi" w:hAnsiTheme="majorHAnsi" w:cs="Arial"/>
                <w:sz w:val="22"/>
                <w:szCs w:val="22"/>
              </w:rPr>
            </w:pPr>
            <w:r w:rsidRPr="0059581B">
              <w:rPr>
                <w:rFonts w:asciiTheme="majorHAnsi" w:hAnsiTheme="majorHAnsi" w:cs="Arial"/>
                <w:sz w:val="22"/>
                <w:szCs w:val="22"/>
              </w:rPr>
              <w:t>Overhead lines</w:t>
            </w:r>
          </w:p>
        </w:tc>
        <w:tc>
          <w:tcPr>
            <w:tcW w:w="1985" w:type="dxa"/>
            <w:noWrap/>
            <w:vAlign w:val="center"/>
            <w:hideMark/>
          </w:tcPr>
          <w:p w14:paraId="6107C20C" w14:textId="7AA5B2E3" w:rsidR="009F447E" w:rsidRPr="0059581B" w:rsidRDefault="00B039D4" w:rsidP="002845CD">
            <w:pPr>
              <w:jc w:val="center"/>
              <w:rPr>
                <w:rFonts w:asciiTheme="majorHAnsi" w:hAnsiTheme="majorHAnsi" w:cs="Arial"/>
                <w:sz w:val="22"/>
                <w:szCs w:val="22"/>
              </w:rPr>
            </w:pPr>
            <w:r>
              <w:rPr>
                <w:rFonts w:asciiTheme="majorHAnsi" w:hAnsiTheme="majorHAnsi" w:cs="Arial"/>
                <w:sz w:val="22"/>
                <w:szCs w:val="22"/>
              </w:rPr>
              <w:t>24.70</w:t>
            </w:r>
          </w:p>
        </w:tc>
        <w:tc>
          <w:tcPr>
            <w:tcW w:w="2268" w:type="dxa"/>
            <w:noWrap/>
            <w:vAlign w:val="center"/>
            <w:hideMark/>
          </w:tcPr>
          <w:p w14:paraId="01AC3927" w14:textId="31007E54" w:rsidR="009F447E" w:rsidRPr="0059581B" w:rsidRDefault="007D6067" w:rsidP="002845CD">
            <w:pPr>
              <w:jc w:val="center"/>
              <w:rPr>
                <w:rFonts w:asciiTheme="majorHAnsi" w:hAnsiTheme="majorHAnsi"/>
                <w:sz w:val="22"/>
                <w:szCs w:val="22"/>
              </w:rPr>
            </w:pPr>
            <w:r>
              <w:rPr>
                <w:rFonts w:asciiTheme="majorHAnsi" w:hAnsiTheme="majorHAnsi"/>
                <w:sz w:val="22"/>
                <w:szCs w:val="22"/>
              </w:rPr>
              <w:t>197.95</w:t>
            </w:r>
          </w:p>
        </w:tc>
        <w:tc>
          <w:tcPr>
            <w:tcW w:w="2126" w:type="dxa"/>
            <w:vAlign w:val="center"/>
          </w:tcPr>
          <w:p w14:paraId="47194B22" w14:textId="42917717" w:rsidR="009F447E" w:rsidRPr="0059581B" w:rsidRDefault="00CB7365" w:rsidP="002845CD">
            <w:pPr>
              <w:jc w:val="center"/>
              <w:rPr>
                <w:rFonts w:asciiTheme="majorHAnsi" w:hAnsiTheme="majorHAnsi"/>
                <w:sz w:val="22"/>
                <w:szCs w:val="22"/>
              </w:rPr>
            </w:pPr>
            <w:r>
              <w:rPr>
                <w:rFonts w:asciiTheme="majorHAnsi" w:hAnsiTheme="majorHAnsi"/>
                <w:sz w:val="22"/>
                <w:szCs w:val="22"/>
              </w:rPr>
              <w:t>222.65</w:t>
            </w:r>
          </w:p>
        </w:tc>
      </w:tr>
      <w:tr w:rsidR="009F447E" w:rsidRPr="0059581B" w14:paraId="03AEEF11" w14:textId="77777777" w:rsidTr="0022547D">
        <w:trPr>
          <w:trHeight w:val="250"/>
        </w:trPr>
        <w:tc>
          <w:tcPr>
            <w:tcW w:w="2835" w:type="dxa"/>
            <w:noWrap/>
            <w:vAlign w:val="center"/>
            <w:hideMark/>
          </w:tcPr>
          <w:p w14:paraId="0FFF1F20" w14:textId="77777777" w:rsidR="009F447E" w:rsidRPr="0059581B" w:rsidRDefault="009F447E" w:rsidP="002845CD">
            <w:pPr>
              <w:rPr>
                <w:rFonts w:asciiTheme="majorHAnsi" w:hAnsiTheme="majorHAnsi" w:cs="Arial"/>
                <w:sz w:val="22"/>
                <w:szCs w:val="22"/>
              </w:rPr>
            </w:pPr>
            <w:r w:rsidRPr="0059581B">
              <w:rPr>
                <w:rFonts w:asciiTheme="majorHAnsi" w:hAnsiTheme="majorHAnsi" w:cs="Arial"/>
                <w:sz w:val="22"/>
                <w:szCs w:val="22"/>
              </w:rPr>
              <w:t>F&amp;F</w:t>
            </w:r>
          </w:p>
        </w:tc>
        <w:tc>
          <w:tcPr>
            <w:tcW w:w="1985" w:type="dxa"/>
            <w:noWrap/>
            <w:vAlign w:val="center"/>
            <w:hideMark/>
          </w:tcPr>
          <w:p w14:paraId="75C4C443" w14:textId="2E01D35B" w:rsidR="009F447E" w:rsidRPr="0059581B" w:rsidRDefault="00B039D4" w:rsidP="002845CD">
            <w:pPr>
              <w:jc w:val="center"/>
              <w:rPr>
                <w:rFonts w:asciiTheme="majorHAnsi" w:hAnsiTheme="majorHAnsi" w:cs="Arial"/>
                <w:sz w:val="22"/>
                <w:szCs w:val="22"/>
              </w:rPr>
            </w:pPr>
            <w:r>
              <w:rPr>
                <w:rFonts w:asciiTheme="majorHAnsi" w:hAnsiTheme="majorHAnsi" w:cs="Arial"/>
                <w:sz w:val="22"/>
                <w:szCs w:val="22"/>
              </w:rPr>
              <w:t>0.02</w:t>
            </w:r>
          </w:p>
        </w:tc>
        <w:tc>
          <w:tcPr>
            <w:tcW w:w="2268" w:type="dxa"/>
            <w:noWrap/>
            <w:vAlign w:val="center"/>
            <w:hideMark/>
          </w:tcPr>
          <w:p w14:paraId="18AA3375" w14:textId="0A25BB61" w:rsidR="009F447E" w:rsidRPr="0059581B" w:rsidRDefault="008F1CC5" w:rsidP="002845CD">
            <w:pPr>
              <w:jc w:val="center"/>
              <w:rPr>
                <w:rFonts w:asciiTheme="majorHAnsi" w:hAnsiTheme="majorHAnsi"/>
                <w:sz w:val="22"/>
                <w:szCs w:val="22"/>
              </w:rPr>
            </w:pPr>
            <w:r w:rsidRPr="0059581B">
              <w:rPr>
                <w:rFonts w:asciiTheme="majorHAnsi" w:hAnsiTheme="majorHAnsi"/>
                <w:sz w:val="22"/>
                <w:szCs w:val="22"/>
              </w:rPr>
              <w:t>2.</w:t>
            </w:r>
            <w:r w:rsidR="007D6067">
              <w:rPr>
                <w:rFonts w:asciiTheme="majorHAnsi" w:hAnsiTheme="majorHAnsi"/>
                <w:sz w:val="22"/>
                <w:szCs w:val="22"/>
              </w:rPr>
              <w:t>11</w:t>
            </w:r>
          </w:p>
        </w:tc>
        <w:tc>
          <w:tcPr>
            <w:tcW w:w="2126" w:type="dxa"/>
            <w:vAlign w:val="center"/>
          </w:tcPr>
          <w:p w14:paraId="5484BF62" w14:textId="05B7FFCD" w:rsidR="009F447E" w:rsidRPr="0059581B" w:rsidRDefault="008F1CC5" w:rsidP="002845CD">
            <w:pPr>
              <w:jc w:val="center"/>
              <w:rPr>
                <w:rFonts w:asciiTheme="majorHAnsi" w:hAnsiTheme="majorHAnsi"/>
                <w:sz w:val="22"/>
                <w:szCs w:val="22"/>
              </w:rPr>
            </w:pPr>
            <w:r w:rsidRPr="0059581B">
              <w:rPr>
                <w:rFonts w:asciiTheme="majorHAnsi" w:hAnsiTheme="majorHAnsi"/>
                <w:sz w:val="22"/>
                <w:szCs w:val="22"/>
              </w:rPr>
              <w:t>2.</w:t>
            </w:r>
            <w:r w:rsidR="00CB7365">
              <w:rPr>
                <w:rFonts w:asciiTheme="majorHAnsi" w:hAnsiTheme="majorHAnsi"/>
                <w:sz w:val="22"/>
                <w:szCs w:val="22"/>
              </w:rPr>
              <w:t>13</w:t>
            </w:r>
          </w:p>
        </w:tc>
      </w:tr>
      <w:tr w:rsidR="009F447E" w:rsidRPr="0059581B" w14:paraId="0D893A6B" w14:textId="77777777" w:rsidTr="0022547D">
        <w:trPr>
          <w:trHeight w:val="250"/>
        </w:trPr>
        <w:tc>
          <w:tcPr>
            <w:tcW w:w="2835" w:type="dxa"/>
            <w:noWrap/>
            <w:vAlign w:val="center"/>
            <w:hideMark/>
          </w:tcPr>
          <w:p w14:paraId="69161832" w14:textId="77777777" w:rsidR="009F447E" w:rsidRPr="0059581B" w:rsidRDefault="009F447E" w:rsidP="002845CD">
            <w:pPr>
              <w:rPr>
                <w:rFonts w:asciiTheme="majorHAnsi" w:hAnsiTheme="majorHAnsi" w:cs="Arial"/>
                <w:sz w:val="22"/>
                <w:szCs w:val="22"/>
              </w:rPr>
            </w:pPr>
            <w:r w:rsidRPr="0059581B">
              <w:rPr>
                <w:rFonts w:asciiTheme="majorHAnsi" w:hAnsiTheme="majorHAnsi" w:cs="Arial"/>
                <w:sz w:val="22"/>
                <w:szCs w:val="22"/>
              </w:rPr>
              <w:t>Vehicles</w:t>
            </w:r>
          </w:p>
        </w:tc>
        <w:tc>
          <w:tcPr>
            <w:tcW w:w="1985" w:type="dxa"/>
            <w:noWrap/>
            <w:vAlign w:val="center"/>
            <w:hideMark/>
          </w:tcPr>
          <w:p w14:paraId="07B8FB59" w14:textId="707A0ECB" w:rsidR="009F447E" w:rsidRPr="0059581B" w:rsidRDefault="00B039D4" w:rsidP="002845CD">
            <w:pPr>
              <w:jc w:val="center"/>
              <w:rPr>
                <w:rFonts w:asciiTheme="majorHAnsi" w:hAnsiTheme="majorHAnsi" w:cs="Arial"/>
                <w:sz w:val="22"/>
                <w:szCs w:val="22"/>
              </w:rPr>
            </w:pPr>
            <w:r>
              <w:rPr>
                <w:rFonts w:asciiTheme="majorHAnsi" w:hAnsiTheme="majorHAnsi" w:cs="Arial"/>
                <w:sz w:val="22"/>
                <w:szCs w:val="22"/>
              </w:rPr>
              <w:t>-</w:t>
            </w:r>
          </w:p>
        </w:tc>
        <w:tc>
          <w:tcPr>
            <w:tcW w:w="2268" w:type="dxa"/>
            <w:noWrap/>
            <w:vAlign w:val="center"/>
            <w:hideMark/>
          </w:tcPr>
          <w:p w14:paraId="5E8F34AF" w14:textId="72C71644" w:rsidR="009F447E" w:rsidRPr="0059581B" w:rsidRDefault="007D6067" w:rsidP="002845CD">
            <w:pPr>
              <w:jc w:val="center"/>
              <w:rPr>
                <w:rFonts w:asciiTheme="majorHAnsi" w:hAnsiTheme="majorHAnsi"/>
                <w:sz w:val="22"/>
                <w:szCs w:val="22"/>
              </w:rPr>
            </w:pPr>
            <w:r>
              <w:rPr>
                <w:rFonts w:asciiTheme="majorHAnsi" w:hAnsiTheme="majorHAnsi"/>
                <w:sz w:val="22"/>
                <w:szCs w:val="22"/>
              </w:rPr>
              <w:t>1.53</w:t>
            </w:r>
          </w:p>
        </w:tc>
        <w:tc>
          <w:tcPr>
            <w:tcW w:w="2126" w:type="dxa"/>
            <w:vAlign w:val="center"/>
          </w:tcPr>
          <w:p w14:paraId="36E515FC" w14:textId="22997C1A" w:rsidR="009F447E" w:rsidRPr="0059581B" w:rsidRDefault="008F1CC5" w:rsidP="002845CD">
            <w:pPr>
              <w:jc w:val="center"/>
              <w:rPr>
                <w:rFonts w:asciiTheme="majorHAnsi" w:hAnsiTheme="majorHAnsi"/>
                <w:sz w:val="22"/>
                <w:szCs w:val="22"/>
              </w:rPr>
            </w:pPr>
            <w:r w:rsidRPr="0059581B">
              <w:rPr>
                <w:rFonts w:asciiTheme="majorHAnsi" w:hAnsiTheme="majorHAnsi"/>
                <w:sz w:val="22"/>
                <w:szCs w:val="22"/>
              </w:rPr>
              <w:t>1.</w:t>
            </w:r>
            <w:r w:rsidR="00CB7365">
              <w:rPr>
                <w:rFonts w:asciiTheme="majorHAnsi" w:hAnsiTheme="majorHAnsi"/>
                <w:sz w:val="22"/>
                <w:szCs w:val="22"/>
              </w:rPr>
              <w:t>53</w:t>
            </w:r>
          </w:p>
        </w:tc>
      </w:tr>
      <w:tr w:rsidR="009F447E" w:rsidRPr="0059581B" w14:paraId="66CECCC5" w14:textId="77777777" w:rsidTr="0022547D">
        <w:trPr>
          <w:trHeight w:val="250"/>
        </w:trPr>
        <w:tc>
          <w:tcPr>
            <w:tcW w:w="2835" w:type="dxa"/>
            <w:noWrap/>
            <w:vAlign w:val="center"/>
            <w:hideMark/>
          </w:tcPr>
          <w:p w14:paraId="6492D47D" w14:textId="77777777" w:rsidR="009F447E" w:rsidRPr="0059581B" w:rsidRDefault="009F447E" w:rsidP="002845CD">
            <w:pPr>
              <w:rPr>
                <w:rFonts w:asciiTheme="majorHAnsi" w:hAnsiTheme="majorHAnsi" w:cs="Arial"/>
                <w:sz w:val="22"/>
                <w:szCs w:val="22"/>
              </w:rPr>
            </w:pPr>
            <w:r w:rsidRPr="0059581B">
              <w:rPr>
                <w:rFonts w:asciiTheme="majorHAnsi" w:hAnsiTheme="majorHAnsi" w:cs="Arial"/>
                <w:sz w:val="22"/>
                <w:szCs w:val="22"/>
              </w:rPr>
              <w:t>O/E</w:t>
            </w:r>
          </w:p>
        </w:tc>
        <w:tc>
          <w:tcPr>
            <w:tcW w:w="1985" w:type="dxa"/>
            <w:noWrap/>
            <w:vAlign w:val="center"/>
            <w:hideMark/>
          </w:tcPr>
          <w:p w14:paraId="3C5C707D" w14:textId="41467F20" w:rsidR="009F447E" w:rsidRPr="0059581B" w:rsidRDefault="0022547D" w:rsidP="002845CD">
            <w:pPr>
              <w:jc w:val="center"/>
              <w:rPr>
                <w:rFonts w:asciiTheme="majorHAnsi" w:hAnsiTheme="majorHAnsi" w:cs="Arial"/>
                <w:sz w:val="22"/>
                <w:szCs w:val="22"/>
              </w:rPr>
            </w:pPr>
            <w:r w:rsidRPr="0059581B">
              <w:rPr>
                <w:rFonts w:asciiTheme="majorHAnsi" w:hAnsiTheme="majorHAnsi" w:cs="Arial"/>
                <w:sz w:val="22"/>
                <w:szCs w:val="22"/>
              </w:rPr>
              <w:t>0.</w:t>
            </w:r>
            <w:r w:rsidR="00B039D4">
              <w:rPr>
                <w:rFonts w:asciiTheme="majorHAnsi" w:hAnsiTheme="majorHAnsi" w:cs="Arial"/>
                <w:sz w:val="22"/>
                <w:szCs w:val="22"/>
              </w:rPr>
              <w:t>05</w:t>
            </w:r>
          </w:p>
        </w:tc>
        <w:tc>
          <w:tcPr>
            <w:tcW w:w="2268" w:type="dxa"/>
            <w:noWrap/>
            <w:vAlign w:val="center"/>
            <w:hideMark/>
          </w:tcPr>
          <w:p w14:paraId="4154319E" w14:textId="7D74B383" w:rsidR="009F447E" w:rsidRPr="0059581B" w:rsidRDefault="007D6067" w:rsidP="002845CD">
            <w:pPr>
              <w:jc w:val="center"/>
              <w:rPr>
                <w:rFonts w:asciiTheme="majorHAnsi" w:hAnsiTheme="majorHAnsi"/>
                <w:sz w:val="22"/>
                <w:szCs w:val="22"/>
              </w:rPr>
            </w:pPr>
            <w:r>
              <w:rPr>
                <w:rFonts w:asciiTheme="majorHAnsi" w:hAnsiTheme="majorHAnsi"/>
                <w:sz w:val="22"/>
                <w:szCs w:val="22"/>
              </w:rPr>
              <w:t>1.21</w:t>
            </w:r>
          </w:p>
        </w:tc>
        <w:tc>
          <w:tcPr>
            <w:tcW w:w="2126" w:type="dxa"/>
            <w:vAlign w:val="center"/>
          </w:tcPr>
          <w:p w14:paraId="56005BCE" w14:textId="679313C0" w:rsidR="009F447E" w:rsidRPr="0059581B" w:rsidRDefault="00CB7365" w:rsidP="002845CD">
            <w:pPr>
              <w:jc w:val="center"/>
              <w:rPr>
                <w:rFonts w:asciiTheme="majorHAnsi" w:hAnsiTheme="majorHAnsi"/>
                <w:sz w:val="22"/>
                <w:szCs w:val="22"/>
              </w:rPr>
            </w:pPr>
            <w:r>
              <w:rPr>
                <w:rFonts w:asciiTheme="majorHAnsi" w:hAnsiTheme="majorHAnsi"/>
                <w:sz w:val="22"/>
                <w:szCs w:val="22"/>
              </w:rPr>
              <w:t>1.26</w:t>
            </w:r>
          </w:p>
        </w:tc>
      </w:tr>
      <w:tr w:rsidR="009F447E" w:rsidRPr="0059581B" w14:paraId="68AEAAAE" w14:textId="77777777" w:rsidTr="0022547D">
        <w:trPr>
          <w:trHeight w:val="250"/>
        </w:trPr>
        <w:tc>
          <w:tcPr>
            <w:tcW w:w="2835" w:type="dxa"/>
            <w:noWrap/>
            <w:vAlign w:val="center"/>
            <w:hideMark/>
          </w:tcPr>
          <w:p w14:paraId="269280BA" w14:textId="419EA31F" w:rsidR="009F447E" w:rsidRPr="0059581B" w:rsidRDefault="009F447E" w:rsidP="002845CD">
            <w:pPr>
              <w:rPr>
                <w:rFonts w:asciiTheme="majorHAnsi" w:hAnsiTheme="majorHAnsi" w:cs="Arial"/>
                <w:sz w:val="22"/>
                <w:szCs w:val="22"/>
              </w:rPr>
            </w:pPr>
            <w:r w:rsidRPr="0059581B">
              <w:rPr>
                <w:rFonts w:asciiTheme="majorHAnsi" w:hAnsiTheme="majorHAnsi" w:cs="Arial"/>
                <w:sz w:val="22"/>
                <w:szCs w:val="22"/>
              </w:rPr>
              <w:t>IT Equipment’s</w:t>
            </w:r>
          </w:p>
        </w:tc>
        <w:tc>
          <w:tcPr>
            <w:tcW w:w="1985" w:type="dxa"/>
            <w:noWrap/>
            <w:vAlign w:val="center"/>
            <w:hideMark/>
          </w:tcPr>
          <w:p w14:paraId="452DA1E1" w14:textId="48582BEE" w:rsidR="009F447E" w:rsidRPr="0059581B" w:rsidRDefault="0022547D" w:rsidP="002845CD">
            <w:pPr>
              <w:jc w:val="center"/>
              <w:rPr>
                <w:rFonts w:asciiTheme="majorHAnsi" w:hAnsiTheme="majorHAnsi" w:cs="Arial"/>
                <w:sz w:val="22"/>
                <w:szCs w:val="22"/>
              </w:rPr>
            </w:pPr>
            <w:r w:rsidRPr="0059581B">
              <w:rPr>
                <w:rFonts w:asciiTheme="majorHAnsi" w:hAnsiTheme="majorHAnsi" w:cs="Arial"/>
                <w:sz w:val="22"/>
                <w:szCs w:val="22"/>
              </w:rPr>
              <w:t>0</w:t>
            </w:r>
            <w:r w:rsidR="002B604A">
              <w:rPr>
                <w:rFonts w:asciiTheme="majorHAnsi" w:hAnsiTheme="majorHAnsi" w:cs="Arial"/>
                <w:sz w:val="22"/>
                <w:szCs w:val="22"/>
              </w:rPr>
              <w:t>.08</w:t>
            </w:r>
          </w:p>
        </w:tc>
        <w:tc>
          <w:tcPr>
            <w:tcW w:w="2268" w:type="dxa"/>
            <w:noWrap/>
            <w:vAlign w:val="center"/>
            <w:hideMark/>
          </w:tcPr>
          <w:p w14:paraId="02A80285" w14:textId="1E40B1A1" w:rsidR="009F447E" w:rsidRPr="0059581B" w:rsidRDefault="008F1CC5" w:rsidP="002845CD">
            <w:pPr>
              <w:jc w:val="center"/>
              <w:rPr>
                <w:rFonts w:asciiTheme="majorHAnsi" w:hAnsiTheme="majorHAnsi"/>
                <w:sz w:val="22"/>
                <w:szCs w:val="22"/>
              </w:rPr>
            </w:pPr>
            <w:r w:rsidRPr="0059581B">
              <w:rPr>
                <w:rFonts w:asciiTheme="majorHAnsi" w:hAnsiTheme="majorHAnsi"/>
                <w:sz w:val="22"/>
                <w:szCs w:val="22"/>
              </w:rPr>
              <w:t>1</w:t>
            </w:r>
            <w:r w:rsidR="007D6067">
              <w:rPr>
                <w:rFonts w:asciiTheme="majorHAnsi" w:hAnsiTheme="majorHAnsi"/>
                <w:sz w:val="22"/>
                <w:szCs w:val="22"/>
              </w:rPr>
              <w:t>9.65</w:t>
            </w:r>
          </w:p>
        </w:tc>
        <w:tc>
          <w:tcPr>
            <w:tcW w:w="2126" w:type="dxa"/>
            <w:vAlign w:val="center"/>
          </w:tcPr>
          <w:p w14:paraId="02754A43" w14:textId="755AC653" w:rsidR="009F447E" w:rsidRPr="0059581B" w:rsidRDefault="008F1CC5" w:rsidP="002845CD">
            <w:pPr>
              <w:jc w:val="center"/>
              <w:rPr>
                <w:rFonts w:asciiTheme="majorHAnsi" w:hAnsiTheme="majorHAnsi"/>
                <w:sz w:val="22"/>
                <w:szCs w:val="22"/>
              </w:rPr>
            </w:pPr>
            <w:r w:rsidRPr="0059581B">
              <w:rPr>
                <w:rFonts w:asciiTheme="majorHAnsi" w:hAnsiTheme="majorHAnsi"/>
                <w:sz w:val="22"/>
                <w:szCs w:val="22"/>
              </w:rPr>
              <w:t>19</w:t>
            </w:r>
            <w:r w:rsidR="00CB7365">
              <w:rPr>
                <w:rFonts w:asciiTheme="majorHAnsi" w:hAnsiTheme="majorHAnsi"/>
                <w:sz w:val="22"/>
                <w:szCs w:val="22"/>
              </w:rPr>
              <w:t>.73</w:t>
            </w:r>
          </w:p>
        </w:tc>
      </w:tr>
      <w:tr w:rsidR="009F447E" w:rsidRPr="0059581B" w14:paraId="4DBB6296" w14:textId="77777777" w:rsidTr="0022547D">
        <w:trPr>
          <w:trHeight w:val="250"/>
        </w:trPr>
        <w:tc>
          <w:tcPr>
            <w:tcW w:w="2835" w:type="dxa"/>
            <w:noWrap/>
            <w:vAlign w:val="center"/>
          </w:tcPr>
          <w:p w14:paraId="52C48DD5" w14:textId="17C86377" w:rsidR="009F447E" w:rsidRPr="0059581B" w:rsidRDefault="009F447E" w:rsidP="002845CD">
            <w:pPr>
              <w:rPr>
                <w:rFonts w:asciiTheme="majorHAnsi" w:hAnsiTheme="majorHAnsi" w:cs="Arial"/>
                <w:sz w:val="22"/>
                <w:szCs w:val="22"/>
              </w:rPr>
            </w:pPr>
            <w:r w:rsidRPr="0059581B">
              <w:rPr>
                <w:rFonts w:asciiTheme="majorHAnsi" w:hAnsiTheme="majorHAnsi" w:cs="Arial"/>
                <w:sz w:val="22"/>
                <w:szCs w:val="22"/>
              </w:rPr>
              <w:t xml:space="preserve">Software </w:t>
            </w:r>
          </w:p>
        </w:tc>
        <w:tc>
          <w:tcPr>
            <w:tcW w:w="1985" w:type="dxa"/>
            <w:noWrap/>
            <w:vAlign w:val="center"/>
          </w:tcPr>
          <w:p w14:paraId="59820410" w14:textId="799A2B64" w:rsidR="009F447E" w:rsidRPr="0059581B" w:rsidRDefault="002B604A" w:rsidP="002845CD">
            <w:pPr>
              <w:jc w:val="center"/>
              <w:rPr>
                <w:rFonts w:asciiTheme="majorHAnsi" w:hAnsiTheme="majorHAnsi" w:cs="Arial"/>
                <w:sz w:val="22"/>
                <w:szCs w:val="22"/>
              </w:rPr>
            </w:pPr>
            <w:r>
              <w:rPr>
                <w:rFonts w:asciiTheme="majorHAnsi" w:hAnsiTheme="majorHAnsi" w:cs="Arial"/>
                <w:sz w:val="22"/>
                <w:szCs w:val="22"/>
              </w:rPr>
              <w:t>-</w:t>
            </w:r>
          </w:p>
        </w:tc>
        <w:tc>
          <w:tcPr>
            <w:tcW w:w="2268" w:type="dxa"/>
            <w:noWrap/>
            <w:vAlign w:val="center"/>
          </w:tcPr>
          <w:p w14:paraId="6BE2B1ED" w14:textId="304E6238" w:rsidR="009F447E" w:rsidRPr="0059581B" w:rsidRDefault="007D6067" w:rsidP="002845CD">
            <w:pPr>
              <w:jc w:val="center"/>
              <w:rPr>
                <w:rFonts w:asciiTheme="majorHAnsi" w:hAnsiTheme="majorHAnsi"/>
                <w:sz w:val="22"/>
                <w:szCs w:val="22"/>
              </w:rPr>
            </w:pPr>
            <w:r>
              <w:rPr>
                <w:rFonts w:asciiTheme="majorHAnsi" w:hAnsiTheme="majorHAnsi"/>
                <w:sz w:val="22"/>
                <w:szCs w:val="22"/>
              </w:rPr>
              <w:t>27.90</w:t>
            </w:r>
          </w:p>
        </w:tc>
        <w:tc>
          <w:tcPr>
            <w:tcW w:w="2126" w:type="dxa"/>
            <w:vAlign w:val="center"/>
          </w:tcPr>
          <w:p w14:paraId="72D0C250" w14:textId="1EEEDB1E" w:rsidR="009F447E" w:rsidRPr="0059581B" w:rsidRDefault="00CB7365" w:rsidP="002845CD">
            <w:pPr>
              <w:jc w:val="center"/>
              <w:rPr>
                <w:rFonts w:asciiTheme="majorHAnsi" w:hAnsiTheme="majorHAnsi"/>
                <w:sz w:val="22"/>
                <w:szCs w:val="22"/>
              </w:rPr>
            </w:pPr>
            <w:r>
              <w:rPr>
                <w:rFonts w:asciiTheme="majorHAnsi" w:hAnsiTheme="majorHAnsi"/>
                <w:sz w:val="22"/>
                <w:szCs w:val="22"/>
              </w:rPr>
              <w:t>27.90</w:t>
            </w:r>
          </w:p>
        </w:tc>
      </w:tr>
      <w:tr w:rsidR="009F447E" w:rsidRPr="0059581B" w14:paraId="16044842" w14:textId="77777777" w:rsidTr="0022547D">
        <w:trPr>
          <w:trHeight w:val="270"/>
        </w:trPr>
        <w:tc>
          <w:tcPr>
            <w:tcW w:w="2835" w:type="dxa"/>
            <w:noWrap/>
            <w:vAlign w:val="center"/>
            <w:hideMark/>
          </w:tcPr>
          <w:p w14:paraId="0FD6CAD9" w14:textId="77777777" w:rsidR="009F447E" w:rsidRPr="0059581B" w:rsidRDefault="009F447E" w:rsidP="002845CD">
            <w:pPr>
              <w:jc w:val="center"/>
              <w:rPr>
                <w:rFonts w:asciiTheme="majorHAnsi" w:hAnsiTheme="majorHAnsi" w:cs="Arial"/>
                <w:b/>
                <w:bCs/>
                <w:sz w:val="22"/>
                <w:szCs w:val="22"/>
              </w:rPr>
            </w:pPr>
            <w:r w:rsidRPr="0059581B">
              <w:rPr>
                <w:rFonts w:asciiTheme="majorHAnsi" w:hAnsiTheme="majorHAnsi" w:cs="Arial"/>
                <w:b/>
                <w:bCs/>
                <w:sz w:val="22"/>
                <w:szCs w:val="22"/>
              </w:rPr>
              <w:t>Total</w:t>
            </w:r>
          </w:p>
        </w:tc>
        <w:tc>
          <w:tcPr>
            <w:tcW w:w="1985" w:type="dxa"/>
            <w:noWrap/>
            <w:vAlign w:val="center"/>
            <w:hideMark/>
          </w:tcPr>
          <w:p w14:paraId="413734B6" w14:textId="33FBC8F4" w:rsidR="009F447E" w:rsidRPr="0059581B" w:rsidRDefault="00FC097A" w:rsidP="002845CD">
            <w:pPr>
              <w:jc w:val="center"/>
              <w:rPr>
                <w:rFonts w:asciiTheme="majorHAnsi" w:hAnsiTheme="majorHAnsi" w:cs="Arial"/>
                <w:b/>
                <w:bCs/>
                <w:sz w:val="22"/>
                <w:szCs w:val="22"/>
              </w:rPr>
            </w:pPr>
            <w:r>
              <w:rPr>
                <w:rFonts w:asciiTheme="majorHAnsi" w:hAnsiTheme="majorHAnsi" w:cs="Arial"/>
                <w:b/>
                <w:bCs/>
                <w:sz w:val="22"/>
                <w:szCs w:val="22"/>
              </w:rPr>
              <w:t>38.44</w:t>
            </w:r>
          </w:p>
        </w:tc>
        <w:tc>
          <w:tcPr>
            <w:tcW w:w="2268" w:type="dxa"/>
            <w:noWrap/>
            <w:vAlign w:val="center"/>
            <w:hideMark/>
          </w:tcPr>
          <w:p w14:paraId="7DEDF9C3" w14:textId="65E0449E" w:rsidR="009F447E" w:rsidRPr="0059581B" w:rsidRDefault="007D6067" w:rsidP="002845CD">
            <w:pPr>
              <w:jc w:val="center"/>
              <w:rPr>
                <w:rFonts w:asciiTheme="majorHAnsi" w:hAnsiTheme="majorHAnsi"/>
                <w:b/>
                <w:bCs/>
                <w:sz w:val="22"/>
                <w:szCs w:val="22"/>
              </w:rPr>
            </w:pPr>
            <w:r>
              <w:rPr>
                <w:rFonts w:asciiTheme="majorHAnsi" w:hAnsiTheme="majorHAnsi"/>
                <w:b/>
                <w:bCs/>
                <w:sz w:val="22"/>
                <w:szCs w:val="22"/>
              </w:rPr>
              <w:t>368.36</w:t>
            </w:r>
          </w:p>
        </w:tc>
        <w:tc>
          <w:tcPr>
            <w:tcW w:w="2126" w:type="dxa"/>
            <w:vAlign w:val="center"/>
          </w:tcPr>
          <w:p w14:paraId="2D93B144" w14:textId="60E577D3" w:rsidR="009F447E" w:rsidRPr="0059581B" w:rsidRDefault="00CB7365" w:rsidP="002845CD">
            <w:pPr>
              <w:jc w:val="center"/>
              <w:rPr>
                <w:rFonts w:asciiTheme="majorHAnsi" w:hAnsiTheme="majorHAnsi"/>
                <w:b/>
                <w:bCs/>
                <w:sz w:val="22"/>
                <w:szCs w:val="22"/>
              </w:rPr>
            </w:pPr>
            <w:r>
              <w:rPr>
                <w:rFonts w:asciiTheme="majorHAnsi" w:hAnsiTheme="majorHAnsi"/>
                <w:b/>
                <w:bCs/>
                <w:sz w:val="22"/>
                <w:szCs w:val="22"/>
              </w:rPr>
              <w:t>406.80</w:t>
            </w:r>
          </w:p>
        </w:tc>
      </w:tr>
      <w:tr w:rsidR="003E6C5B" w:rsidRPr="0059581B" w14:paraId="49B82C2B" w14:textId="77777777" w:rsidTr="00FC097A">
        <w:trPr>
          <w:trHeight w:val="270"/>
        </w:trPr>
        <w:tc>
          <w:tcPr>
            <w:tcW w:w="2835" w:type="dxa"/>
            <w:noWrap/>
            <w:vAlign w:val="bottom"/>
          </w:tcPr>
          <w:p w14:paraId="2753650D" w14:textId="22EEDAF2" w:rsidR="003E6C5B" w:rsidRPr="0059581B" w:rsidRDefault="00FC097A" w:rsidP="003E6C5B">
            <w:pPr>
              <w:rPr>
                <w:rFonts w:asciiTheme="majorHAnsi" w:hAnsiTheme="majorHAnsi" w:cs="Arial"/>
                <w:sz w:val="22"/>
                <w:szCs w:val="22"/>
              </w:rPr>
            </w:pPr>
            <w:r>
              <w:rPr>
                <w:rFonts w:asciiTheme="majorHAnsi" w:hAnsiTheme="majorHAnsi" w:cs="Arial"/>
                <w:sz w:val="22"/>
                <w:szCs w:val="22"/>
              </w:rPr>
              <w:t xml:space="preserve">Less: </w:t>
            </w:r>
            <w:r w:rsidR="003E6C5B" w:rsidRPr="0059581B">
              <w:rPr>
                <w:rFonts w:asciiTheme="majorHAnsi" w:hAnsiTheme="majorHAnsi" w:cs="Arial"/>
                <w:sz w:val="22"/>
                <w:szCs w:val="22"/>
              </w:rPr>
              <w:t xml:space="preserve">Depreciation on Consumer contributed </w:t>
            </w:r>
            <w:r w:rsidR="002B0434">
              <w:rPr>
                <w:rFonts w:asciiTheme="majorHAnsi" w:hAnsiTheme="majorHAnsi" w:cs="Arial"/>
                <w:sz w:val="22"/>
                <w:szCs w:val="22"/>
              </w:rPr>
              <w:t xml:space="preserve">&amp; Grant </w:t>
            </w:r>
            <w:r w:rsidR="003E6C5B" w:rsidRPr="0059581B">
              <w:rPr>
                <w:rFonts w:asciiTheme="majorHAnsi" w:hAnsiTheme="majorHAnsi" w:cs="Arial"/>
                <w:sz w:val="22"/>
                <w:szCs w:val="22"/>
              </w:rPr>
              <w:t>assets</w:t>
            </w:r>
            <w:r w:rsidR="002B0434">
              <w:rPr>
                <w:rFonts w:asciiTheme="majorHAnsi" w:hAnsiTheme="majorHAnsi" w:cs="Arial"/>
                <w:sz w:val="22"/>
                <w:szCs w:val="22"/>
              </w:rPr>
              <w:t xml:space="preserve"> </w:t>
            </w:r>
          </w:p>
        </w:tc>
        <w:tc>
          <w:tcPr>
            <w:tcW w:w="1985" w:type="dxa"/>
            <w:noWrap/>
            <w:vAlign w:val="center"/>
          </w:tcPr>
          <w:p w14:paraId="455864AF" w14:textId="6C1C492C" w:rsidR="003E6C5B" w:rsidRPr="0059581B" w:rsidRDefault="00781DC5" w:rsidP="00FC097A">
            <w:pPr>
              <w:jc w:val="center"/>
              <w:rPr>
                <w:rFonts w:asciiTheme="majorHAnsi" w:hAnsiTheme="majorHAnsi" w:cs="Arial"/>
                <w:sz w:val="22"/>
                <w:szCs w:val="22"/>
              </w:rPr>
            </w:pPr>
            <w:r>
              <w:rPr>
                <w:rFonts w:asciiTheme="majorHAnsi" w:hAnsiTheme="majorHAnsi" w:cs="Arial"/>
                <w:sz w:val="22"/>
                <w:szCs w:val="22"/>
              </w:rPr>
              <w:t>26.96</w:t>
            </w:r>
          </w:p>
        </w:tc>
        <w:tc>
          <w:tcPr>
            <w:tcW w:w="2268" w:type="dxa"/>
            <w:noWrap/>
            <w:vAlign w:val="center"/>
          </w:tcPr>
          <w:p w14:paraId="6B1B79EB" w14:textId="130CE8B2" w:rsidR="003E6C5B" w:rsidRPr="0059581B" w:rsidRDefault="007D6067" w:rsidP="00FC097A">
            <w:pPr>
              <w:jc w:val="center"/>
              <w:rPr>
                <w:rFonts w:asciiTheme="majorHAnsi" w:hAnsiTheme="majorHAnsi" w:cs="Arial"/>
                <w:sz w:val="22"/>
                <w:szCs w:val="22"/>
              </w:rPr>
            </w:pPr>
            <w:r>
              <w:rPr>
                <w:rFonts w:asciiTheme="majorHAnsi" w:hAnsiTheme="majorHAnsi" w:cs="Arial"/>
                <w:sz w:val="22"/>
                <w:szCs w:val="22"/>
              </w:rPr>
              <w:t>133.53</w:t>
            </w:r>
          </w:p>
        </w:tc>
        <w:tc>
          <w:tcPr>
            <w:tcW w:w="2126" w:type="dxa"/>
            <w:vAlign w:val="center"/>
          </w:tcPr>
          <w:p w14:paraId="18211F3D" w14:textId="00B4E26D" w:rsidR="003E6C5B" w:rsidRPr="0059581B" w:rsidRDefault="008F1CC5" w:rsidP="00DD0680">
            <w:pPr>
              <w:jc w:val="center"/>
              <w:rPr>
                <w:rFonts w:asciiTheme="majorHAnsi" w:hAnsiTheme="majorHAnsi" w:cs="Arial"/>
                <w:sz w:val="22"/>
                <w:szCs w:val="22"/>
              </w:rPr>
            </w:pPr>
            <w:r w:rsidRPr="0059581B">
              <w:rPr>
                <w:rFonts w:asciiTheme="majorHAnsi" w:hAnsiTheme="majorHAnsi" w:cs="Arial"/>
                <w:sz w:val="22"/>
                <w:szCs w:val="22"/>
              </w:rPr>
              <w:t>1</w:t>
            </w:r>
            <w:r w:rsidR="00CB7365">
              <w:rPr>
                <w:rFonts w:asciiTheme="majorHAnsi" w:hAnsiTheme="majorHAnsi" w:cs="Arial"/>
                <w:sz w:val="22"/>
                <w:szCs w:val="22"/>
              </w:rPr>
              <w:t>60.50</w:t>
            </w:r>
          </w:p>
        </w:tc>
      </w:tr>
      <w:tr w:rsidR="00FC097A" w:rsidRPr="0059581B" w14:paraId="66D1F5EE" w14:textId="77777777" w:rsidTr="00FC097A">
        <w:trPr>
          <w:trHeight w:val="270"/>
        </w:trPr>
        <w:tc>
          <w:tcPr>
            <w:tcW w:w="2835" w:type="dxa"/>
            <w:noWrap/>
            <w:vAlign w:val="bottom"/>
          </w:tcPr>
          <w:p w14:paraId="170C1950" w14:textId="27B69787" w:rsidR="00FC097A" w:rsidRPr="0059581B" w:rsidRDefault="00FC097A" w:rsidP="003E6C5B">
            <w:pPr>
              <w:rPr>
                <w:rFonts w:asciiTheme="majorHAnsi" w:hAnsiTheme="majorHAnsi" w:cs="Arial"/>
                <w:sz w:val="22"/>
                <w:szCs w:val="22"/>
              </w:rPr>
            </w:pPr>
            <w:r>
              <w:rPr>
                <w:rFonts w:asciiTheme="majorHAnsi" w:hAnsiTheme="majorHAnsi" w:cs="Arial"/>
                <w:sz w:val="22"/>
                <w:szCs w:val="22"/>
              </w:rPr>
              <w:t>Less: Depreciation on own Meter</w:t>
            </w:r>
          </w:p>
        </w:tc>
        <w:tc>
          <w:tcPr>
            <w:tcW w:w="1985" w:type="dxa"/>
            <w:noWrap/>
            <w:vAlign w:val="center"/>
          </w:tcPr>
          <w:p w14:paraId="4633D6C6" w14:textId="77777777" w:rsidR="00FC097A" w:rsidRPr="0059581B" w:rsidRDefault="00FC097A" w:rsidP="00FC097A">
            <w:pPr>
              <w:jc w:val="center"/>
              <w:rPr>
                <w:rFonts w:asciiTheme="majorHAnsi" w:hAnsiTheme="majorHAnsi" w:cs="Arial"/>
                <w:sz w:val="22"/>
                <w:szCs w:val="22"/>
              </w:rPr>
            </w:pPr>
          </w:p>
        </w:tc>
        <w:tc>
          <w:tcPr>
            <w:tcW w:w="2268" w:type="dxa"/>
            <w:noWrap/>
            <w:vAlign w:val="center"/>
          </w:tcPr>
          <w:p w14:paraId="4DC3330F" w14:textId="5E4A34BB" w:rsidR="00FC097A" w:rsidRPr="0059581B" w:rsidRDefault="007D6067" w:rsidP="00FC097A">
            <w:pPr>
              <w:jc w:val="center"/>
              <w:rPr>
                <w:rFonts w:asciiTheme="majorHAnsi" w:hAnsiTheme="majorHAnsi" w:cs="Arial"/>
                <w:sz w:val="22"/>
                <w:szCs w:val="22"/>
              </w:rPr>
            </w:pPr>
            <w:r>
              <w:rPr>
                <w:rFonts w:asciiTheme="majorHAnsi" w:hAnsiTheme="majorHAnsi" w:cs="Arial"/>
                <w:sz w:val="22"/>
                <w:szCs w:val="22"/>
              </w:rPr>
              <w:t>54.63</w:t>
            </w:r>
          </w:p>
        </w:tc>
        <w:tc>
          <w:tcPr>
            <w:tcW w:w="2126" w:type="dxa"/>
            <w:vAlign w:val="center"/>
          </w:tcPr>
          <w:p w14:paraId="548AAB14" w14:textId="5332393F" w:rsidR="00FC097A" w:rsidRPr="0059581B" w:rsidRDefault="00CB7365" w:rsidP="00DD0680">
            <w:pPr>
              <w:jc w:val="center"/>
              <w:rPr>
                <w:rFonts w:asciiTheme="majorHAnsi" w:hAnsiTheme="majorHAnsi" w:cs="Arial"/>
                <w:sz w:val="22"/>
                <w:szCs w:val="22"/>
              </w:rPr>
            </w:pPr>
            <w:r>
              <w:rPr>
                <w:rFonts w:asciiTheme="majorHAnsi" w:hAnsiTheme="majorHAnsi" w:cs="Arial"/>
                <w:sz w:val="22"/>
                <w:szCs w:val="22"/>
              </w:rPr>
              <w:t>54.63</w:t>
            </w:r>
          </w:p>
        </w:tc>
      </w:tr>
      <w:tr w:rsidR="003E6C5B" w:rsidRPr="00343BD6" w14:paraId="0E378925" w14:textId="77777777" w:rsidTr="00FC097A">
        <w:trPr>
          <w:trHeight w:val="270"/>
        </w:trPr>
        <w:tc>
          <w:tcPr>
            <w:tcW w:w="2835" w:type="dxa"/>
            <w:noWrap/>
            <w:vAlign w:val="center"/>
          </w:tcPr>
          <w:p w14:paraId="3751747F" w14:textId="77777777" w:rsidR="003E6C5B" w:rsidRPr="0059581B" w:rsidRDefault="003E6C5B" w:rsidP="008E413A">
            <w:pPr>
              <w:jc w:val="center"/>
              <w:rPr>
                <w:rFonts w:asciiTheme="majorHAnsi" w:hAnsiTheme="majorHAnsi" w:cs="Arial"/>
                <w:b/>
                <w:bCs/>
                <w:sz w:val="22"/>
                <w:szCs w:val="22"/>
              </w:rPr>
            </w:pPr>
            <w:r w:rsidRPr="0059581B">
              <w:rPr>
                <w:rFonts w:asciiTheme="majorHAnsi" w:hAnsiTheme="majorHAnsi" w:cs="Arial"/>
                <w:b/>
                <w:bCs/>
                <w:sz w:val="22"/>
                <w:szCs w:val="22"/>
              </w:rPr>
              <w:t>Dep Considered</w:t>
            </w:r>
          </w:p>
        </w:tc>
        <w:tc>
          <w:tcPr>
            <w:tcW w:w="1985" w:type="dxa"/>
            <w:noWrap/>
            <w:vAlign w:val="center"/>
          </w:tcPr>
          <w:p w14:paraId="7B384EB7" w14:textId="3139EB0C" w:rsidR="003E6C5B" w:rsidRPr="0059581B" w:rsidRDefault="00D3412B" w:rsidP="00FC097A">
            <w:pPr>
              <w:jc w:val="center"/>
              <w:rPr>
                <w:rFonts w:asciiTheme="majorHAnsi" w:hAnsiTheme="majorHAnsi" w:cs="Arial"/>
                <w:b/>
                <w:bCs/>
                <w:sz w:val="22"/>
                <w:szCs w:val="22"/>
              </w:rPr>
            </w:pPr>
            <w:r>
              <w:rPr>
                <w:rFonts w:asciiTheme="majorHAnsi" w:hAnsiTheme="majorHAnsi" w:cs="Arial"/>
                <w:b/>
                <w:bCs/>
                <w:sz w:val="22"/>
                <w:szCs w:val="22"/>
              </w:rPr>
              <w:t>11.48</w:t>
            </w:r>
          </w:p>
        </w:tc>
        <w:tc>
          <w:tcPr>
            <w:tcW w:w="2268" w:type="dxa"/>
            <w:noWrap/>
            <w:vAlign w:val="center"/>
          </w:tcPr>
          <w:p w14:paraId="3A30B918" w14:textId="2A9DAFB7" w:rsidR="003E6C5B" w:rsidRPr="0059581B" w:rsidRDefault="007D6067" w:rsidP="00FC097A">
            <w:pPr>
              <w:jc w:val="center"/>
              <w:rPr>
                <w:rFonts w:asciiTheme="majorHAnsi" w:hAnsiTheme="majorHAnsi" w:cs="Arial"/>
                <w:b/>
                <w:bCs/>
                <w:sz w:val="22"/>
                <w:szCs w:val="22"/>
              </w:rPr>
            </w:pPr>
            <w:r>
              <w:rPr>
                <w:rFonts w:asciiTheme="majorHAnsi" w:hAnsiTheme="majorHAnsi" w:cs="Arial"/>
                <w:b/>
                <w:bCs/>
                <w:sz w:val="22"/>
                <w:szCs w:val="22"/>
              </w:rPr>
              <w:t>180.19</w:t>
            </w:r>
          </w:p>
        </w:tc>
        <w:tc>
          <w:tcPr>
            <w:tcW w:w="2126" w:type="dxa"/>
            <w:vAlign w:val="center"/>
          </w:tcPr>
          <w:p w14:paraId="7A3995DF" w14:textId="0A56D43E" w:rsidR="003E6C5B" w:rsidRPr="0059581B" w:rsidRDefault="003B4C86" w:rsidP="00DD0680">
            <w:pPr>
              <w:jc w:val="center"/>
              <w:rPr>
                <w:rFonts w:asciiTheme="majorHAnsi" w:hAnsiTheme="majorHAnsi" w:cs="Arial"/>
                <w:b/>
                <w:bCs/>
                <w:sz w:val="22"/>
                <w:szCs w:val="22"/>
              </w:rPr>
            </w:pPr>
            <w:r w:rsidRPr="0059581B">
              <w:rPr>
                <w:rFonts w:asciiTheme="majorHAnsi" w:hAnsiTheme="majorHAnsi" w:cs="Arial"/>
                <w:b/>
                <w:bCs/>
                <w:sz w:val="22"/>
                <w:szCs w:val="22"/>
              </w:rPr>
              <w:t>1</w:t>
            </w:r>
            <w:r w:rsidR="00CB7365">
              <w:rPr>
                <w:rFonts w:asciiTheme="majorHAnsi" w:hAnsiTheme="majorHAnsi" w:cs="Arial"/>
                <w:b/>
                <w:bCs/>
                <w:sz w:val="22"/>
                <w:szCs w:val="22"/>
              </w:rPr>
              <w:t>91.68</w:t>
            </w:r>
          </w:p>
        </w:tc>
      </w:tr>
    </w:tbl>
    <w:p w14:paraId="5BE475AB" w14:textId="1DE93B09" w:rsidR="00EE6C91" w:rsidRPr="00B07BA6" w:rsidRDefault="00A67DAB" w:rsidP="008B4336">
      <w:pPr>
        <w:pStyle w:val="BodyText2"/>
        <w:spacing w:line="360" w:lineRule="auto"/>
        <w:jc w:val="both"/>
        <w:rPr>
          <w:rFonts w:ascii="Cambria" w:hAnsi="Cambria" w:cs="Arial"/>
          <w:sz w:val="24"/>
          <w:szCs w:val="24"/>
        </w:rPr>
      </w:pPr>
      <w:r w:rsidRPr="00B07BA6">
        <w:rPr>
          <w:rFonts w:ascii="Cambria" w:hAnsi="Cambria" w:cs="Arial"/>
          <w:sz w:val="24"/>
          <w:szCs w:val="24"/>
        </w:rPr>
        <w:t xml:space="preserve">Further, in the </w:t>
      </w:r>
      <w:r w:rsidR="00DD0680" w:rsidRPr="00B07BA6">
        <w:rPr>
          <w:rFonts w:ascii="Cambria" w:hAnsi="Cambria" w:cs="Arial"/>
          <w:sz w:val="24"/>
          <w:szCs w:val="24"/>
        </w:rPr>
        <w:t>Tariff</w:t>
      </w:r>
      <w:r w:rsidR="007F3EE0" w:rsidRPr="00B07BA6">
        <w:rPr>
          <w:rFonts w:ascii="Cambria" w:hAnsi="Cambria" w:cs="Arial"/>
          <w:sz w:val="24"/>
          <w:szCs w:val="24"/>
        </w:rPr>
        <w:t xml:space="preserve"> R</w:t>
      </w:r>
      <w:r w:rsidRPr="00B07BA6">
        <w:rPr>
          <w:rFonts w:ascii="Cambria" w:hAnsi="Cambria" w:cs="Arial"/>
          <w:sz w:val="24"/>
          <w:szCs w:val="24"/>
        </w:rPr>
        <w:t>egulation</w:t>
      </w:r>
      <w:r w:rsidR="00DD0680" w:rsidRPr="00B07BA6">
        <w:rPr>
          <w:rFonts w:ascii="Cambria" w:hAnsi="Cambria" w:cs="Arial"/>
          <w:sz w:val="24"/>
          <w:szCs w:val="24"/>
        </w:rPr>
        <w:t>s</w:t>
      </w:r>
      <w:r w:rsidR="007F3EE0" w:rsidRPr="00B07BA6">
        <w:rPr>
          <w:rFonts w:ascii="Cambria" w:hAnsi="Cambria" w:cs="Arial"/>
          <w:sz w:val="24"/>
          <w:szCs w:val="24"/>
        </w:rPr>
        <w:t>, 2022</w:t>
      </w:r>
      <w:r w:rsidRPr="00B07BA6">
        <w:rPr>
          <w:rFonts w:ascii="Cambria" w:hAnsi="Cambria" w:cs="Arial"/>
          <w:sz w:val="24"/>
          <w:szCs w:val="24"/>
        </w:rPr>
        <w:t xml:space="preserve"> it has been mentioned that the </w:t>
      </w:r>
      <w:r w:rsidR="00DD0680" w:rsidRPr="00B07BA6">
        <w:rPr>
          <w:rFonts w:ascii="Cambria" w:hAnsi="Cambria" w:cs="Arial"/>
          <w:sz w:val="24"/>
          <w:szCs w:val="24"/>
        </w:rPr>
        <w:t>L</w:t>
      </w:r>
      <w:r w:rsidRPr="00B07BA6">
        <w:rPr>
          <w:rFonts w:ascii="Cambria" w:hAnsi="Cambria" w:cs="Arial"/>
          <w:sz w:val="24"/>
          <w:szCs w:val="24"/>
        </w:rPr>
        <w:t xml:space="preserve">icensee can calculate depreciation on the assets created during part of the year considering opening balance and </w:t>
      </w:r>
      <w:r w:rsidR="00951E24" w:rsidRPr="00B07BA6">
        <w:rPr>
          <w:rFonts w:ascii="Cambria" w:hAnsi="Cambria" w:cs="Arial"/>
          <w:sz w:val="24"/>
          <w:szCs w:val="24"/>
        </w:rPr>
        <w:t>closing balance average. In similar line depreciation on assets to be capitalized during the ensuing year has been calculated.</w:t>
      </w:r>
    </w:p>
    <w:p w14:paraId="12E92CDB" w14:textId="2BF2C21D" w:rsidR="00FB6825" w:rsidRDefault="007F3EE0" w:rsidP="00CB7365">
      <w:pPr>
        <w:pStyle w:val="BodyText2"/>
        <w:spacing w:line="360" w:lineRule="auto"/>
        <w:jc w:val="both"/>
        <w:rPr>
          <w:rFonts w:ascii="Cambria" w:hAnsi="Cambria" w:cs="Arial"/>
          <w:sz w:val="24"/>
          <w:szCs w:val="24"/>
        </w:rPr>
      </w:pPr>
      <w:r w:rsidRPr="00B07BA6">
        <w:rPr>
          <w:rFonts w:ascii="Cambria" w:hAnsi="Cambria" w:cs="Arial"/>
          <w:sz w:val="24"/>
          <w:szCs w:val="24"/>
        </w:rPr>
        <w:t xml:space="preserve">The </w:t>
      </w:r>
      <w:r w:rsidR="00FB6825" w:rsidRPr="00B07BA6">
        <w:rPr>
          <w:rFonts w:ascii="Cambria" w:hAnsi="Cambria" w:cs="Arial"/>
          <w:sz w:val="24"/>
          <w:szCs w:val="24"/>
        </w:rPr>
        <w:t xml:space="preserve">Hon’ble Commission is requested to kindly consider the </w:t>
      </w:r>
      <w:r w:rsidR="00FB6825" w:rsidRPr="00CB7365">
        <w:rPr>
          <w:rFonts w:ascii="Cambria" w:hAnsi="Cambria" w:cs="Arial"/>
          <w:sz w:val="24"/>
          <w:szCs w:val="24"/>
        </w:rPr>
        <w:t xml:space="preserve">depreciation of </w:t>
      </w:r>
      <w:r w:rsidR="00FB6825" w:rsidRPr="00CB7365">
        <w:rPr>
          <w:rFonts w:ascii="Cambria" w:hAnsi="Cambria" w:cs="Arial"/>
          <w:b/>
          <w:sz w:val="24"/>
          <w:szCs w:val="24"/>
        </w:rPr>
        <w:t>Rs.</w:t>
      </w:r>
      <w:r w:rsidR="00CB7365" w:rsidRPr="00CB7365">
        <w:rPr>
          <w:rFonts w:ascii="Cambria" w:hAnsi="Cambria" w:cs="Arial"/>
          <w:b/>
          <w:sz w:val="24"/>
          <w:szCs w:val="24"/>
        </w:rPr>
        <w:t>191.68</w:t>
      </w:r>
      <w:r w:rsidR="008F1CC5" w:rsidRPr="00CB7365">
        <w:rPr>
          <w:rFonts w:ascii="Cambria" w:hAnsi="Cambria" w:cs="Arial"/>
          <w:b/>
          <w:sz w:val="24"/>
          <w:szCs w:val="24"/>
        </w:rPr>
        <w:t xml:space="preserve"> </w:t>
      </w:r>
      <w:r w:rsidR="00DD0680" w:rsidRPr="00CB7365">
        <w:rPr>
          <w:rFonts w:ascii="Cambria" w:hAnsi="Cambria" w:cs="Arial"/>
          <w:b/>
          <w:sz w:val="24"/>
          <w:szCs w:val="24"/>
        </w:rPr>
        <w:t>C</w:t>
      </w:r>
      <w:r w:rsidR="00FB6825" w:rsidRPr="00CB7365">
        <w:rPr>
          <w:rFonts w:ascii="Cambria" w:hAnsi="Cambria" w:cs="Arial"/>
          <w:b/>
          <w:sz w:val="24"/>
          <w:szCs w:val="24"/>
        </w:rPr>
        <w:t>r</w:t>
      </w:r>
      <w:r w:rsidR="00DD0680" w:rsidRPr="00CB7365">
        <w:rPr>
          <w:rFonts w:ascii="Cambria" w:hAnsi="Cambria" w:cs="Arial"/>
          <w:sz w:val="24"/>
          <w:szCs w:val="24"/>
        </w:rPr>
        <w:t>.</w:t>
      </w:r>
      <w:r w:rsidR="00FB6825" w:rsidRPr="00CB7365">
        <w:rPr>
          <w:rFonts w:ascii="Cambria" w:hAnsi="Cambria" w:cs="Arial"/>
          <w:sz w:val="24"/>
          <w:szCs w:val="24"/>
        </w:rPr>
        <w:t xml:space="preserve"> for the ensuing years as calculated above, which may kindly be approved</w:t>
      </w:r>
      <w:r w:rsidRPr="00CB7365">
        <w:rPr>
          <w:rFonts w:ascii="Cambria" w:hAnsi="Cambria" w:cs="Arial"/>
          <w:sz w:val="24"/>
          <w:szCs w:val="24"/>
        </w:rPr>
        <w:t>.</w:t>
      </w:r>
    </w:p>
    <w:p w14:paraId="4EEF555F" w14:textId="06F15EC3" w:rsidR="004276A0" w:rsidRDefault="004276A0" w:rsidP="006A0962">
      <w:pPr>
        <w:pStyle w:val="Heading2"/>
        <w:numPr>
          <w:ilvl w:val="1"/>
          <w:numId w:val="1"/>
        </w:numPr>
        <w:shd w:val="clear" w:color="auto" w:fill="002060"/>
        <w:tabs>
          <w:tab w:val="clear" w:pos="432"/>
          <w:tab w:val="num" w:pos="426"/>
        </w:tabs>
        <w:ind w:hanging="574"/>
        <w:rPr>
          <w:rFonts w:asciiTheme="majorHAnsi" w:hAnsiTheme="majorHAnsi"/>
          <w:i w:val="0"/>
          <w:iCs w:val="0"/>
          <w:sz w:val="24"/>
          <w:szCs w:val="24"/>
        </w:rPr>
      </w:pPr>
      <w:bookmarkStart w:id="59" w:name="_Toc152180101"/>
      <w:bookmarkStart w:id="60" w:name="_Toc183204713"/>
      <w:bookmarkStart w:id="61" w:name="_Toc215250621"/>
      <w:r w:rsidRPr="00904B4F">
        <w:rPr>
          <w:rFonts w:asciiTheme="majorHAnsi" w:hAnsiTheme="majorHAnsi"/>
          <w:i w:val="0"/>
          <w:iCs w:val="0"/>
          <w:sz w:val="24"/>
          <w:szCs w:val="24"/>
        </w:rPr>
        <w:t>Interest Expenses</w:t>
      </w:r>
      <w:bookmarkEnd w:id="59"/>
      <w:bookmarkEnd w:id="60"/>
      <w:bookmarkEnd w:id="61"/>
      <w:r w:rsidRPr="00904B4F">
        <w:rPr>
          <w:rFonts w:asciiTheme="majorHAnsi" w:hAnsiTheme="majorHAnsi"/>
          <w:i w:val="0"/>
          <w:iCs w:val="0"/>
          <w:sz w:val="24"/>
          <w:szCs w:val="24"/>
        </w:rPr>
        <w:t xml:space="preserve"> </w:t>
      </w:r>
    </w:p>
    <w:p w14:paraId="3F526528" w14:textId="77777777" w:rsidR="00A055CE" w:rsidRPr="00A055CE" w:rsidRDefault="00A055CE" w:rsidP="00A055CE"/>
    <w:p w14:paraId="4EAAFF4B" w14:textId="71EF2009" w:rsidR="007067DA" w:rsidRDefault="004276A0" w:rsidP="004276A0">
      <w:pPr>
        <w:spacing w:line="360" w:lineRule="auto"/>
        <w:jc w:val="both"/>
        <w:rPr>
          <w:rFonts w:ascii="Cambria" w:hAnsi="Cambria" w:cs="Arial"/>
        </w:rPr>
      </w:pPr>
      <w:r w:rsidRPr="00BF0E9D">
        <w:rPr>
          <w:rFonts w:ascii="Cambria" w:hAnsi="Cambria" w:cs="Arial"/>
        </w:rPr>
        <w:t xml:space="preserve">The </w:t>
      </w:r>
      <w:r w:rsidR="00343BD6">
        <w:rPr>
          <w:rFonts w:ascii="Cambria" w:hAnsi="Cambria" w:cs="Arial"/>
        </w:rPr>
        <w:t>L</w:t>
      </w:r>
      <w:r w:rsidR="00EF12A2">
        <w:rPr>
          <w:rFonts w:ascii="Cambria" w:hAnsi="Cambria" w:cs="Arial"/>
        </w:rPr>
        <w:t>icensee</w:t>
      </w:r>
      <w:r w:rsidRPr="00BF0E9D">
        <w:rPr>
          <w:rFonts w:ascii="Cambria" w:hAnsi="Cambria" w:cs="Arial"/>
        </w:rPr>
        <w:t xml:space="preserve"> </w:t>
      </w:r>
      <w:r w:rsidR="006C43C5">
        <w:rPr>
          <w:rFonts w:ascii="Cambria" w:hAnsi="Cambria" w:cs="Arial"/>
        </w:rPr>
        <w:t>has calculated the interest on loan for capex works</w:t>
      </w:r>
      <w:r w:rsidR="00C4303A">
        <w:rPr>
          <w:rFonts w:ascii="Cambria" w:hAnsi="Cambria" w:cs="Arial"/>
        </w:rPr>
        <w:t>,</w:t>
      </w:r>
      <w:r w:rsidR="006C43C5">
        <w:rPr>
          <w:rFonts w:ascii="Cambria" w:hAnsi="Cambria" w:cs="Arial"/>
        </w:rPr>
        <w:t xml:space="preserve"> working capital</w:t>
      </w:r>
      <w:r w:rsidR="00C4303A">
        <w:rPr>
          <w:rFonts w:ascii="Cambria" w:hAnsi="Cambria" w:cs="Arial"/>
        </w:rPr>
        <w:t xml:space="preserve"> and on the Security Deposit as per details provided in the following section. </w:t>
      </w:r>
    </w:p>
    <w:p w14:paraId="7BCE94ED" w14:textId="26EE2C5D" w:rsidR="004276A0" w:rsidRDefault="00992647" w:rsidP="006A0962">
      <w:pPr>
        <w:pStyle w:val="Heading3"/>
        <w:numPr>
          <w:ilvl w:val="2"/>
          <w:numId w:val="5"/>
        </w:numPr>
        <w:shd w:val="clear" w:color="auto" w:fill="002060"/>
        <w:ind w:left="709"/>
        <w:rPr>
          <w:rFonts w:asciiTheme="majorHAnsi" w:hAnsiTheme="majorHAnsi"/>
          <w:sz w:val="24"/>
          <w:szCs w:val="24"/>
        </w:rPr>
      </w:pPr>
      <w:bookmarkStart w:id="62" w:name="_Toc152180102"/>
      <w:bookmarkStart w:id="63" w:name="_Toc183204714"/>
      <w:bookmarkStart w:id="64" w:name="_Toc215250622"/>
      <w:r w:rsidRPr="00904B4F">
        <w:rPr>
          <w:rFonts w:asciiTheme="majorHAnsi" w:hAnsiTheme="majorHAnsi"/>
          <w:sz w:val="24"/>
          <w:szCs w:val="24"/>
        </w:rPr>
        <w:t>Interest on Loan for Cap</w:t>
      </w:r>
      <w:r w:rsidR="0033577D" w:rsidRPr="00904B4F">
        <w:rPr>
          <w:rFonts w:asciiTheme="majorHAnsi" w:hAnsiTheme="majorHAnsi"/>
          <w:sz w:val="24"/>
          <w:szCs w:val="24"/>
        </w:rPr>
        <w:t>ex</w:t>
      </w:r>
      <w:bookmarkEnd w:id="64"/>
      <w:r w:rsidR="0033577D" w:rsidRPr="00904B4F">
        <w:rPr>
          <w:rFonts w:asciiTheme="majorHAnsi" w:hAnsiTheme="majorHAnsi"/>
          <w:sz w:val="24"/>
          <w:szCs w:val="24"/>
        </w:rPr>
        <w:t xml:space="preserve"> </w:t>
      </w:r>
      <w:bookmarkEnd w:id="62"/>
      <w:bookmarkEnd w:id="63"/>
    </w:p>
    <w:p w14:paraId="22BC04E7" w14:textId="77777777" w:rsidR="00A055CE" w:rsidRPr="00A055CE" w:rsidRDefault="00A055CE" w:rsidP="00A055CE"/>
    <w:p w14:paraId="05493163" w14:textId="3FA3F6F1" w:rsidR="00485C98" w:rsidRDefault="00485C98" w:rsidP="00485C98">
      <w:pPr>
        <w:spacing w:line="360" w:lineRule="auto"/>
        <w:jc w:val="both"/>
        <w:rPr>
          <w:rFonts w:asciiTheme="majorHAnsi" w:hAnsiTheme="majorHAnsi" w:cs="Arial"/>
          <w:lang w:eastAsia="en-IN"/>
        </w:rPr>
      </w:pPr>
      <w:r>
        <w:rPr>
          <w:rFonts w:asciiTheme="majorHAnsi" w:hAnsiTheme="majorHAnsi" w:cs="Arial"/>
          <w:lang w:eastAsia="en-IN"/>
        </w:rPr>
        <w:t>As</w:t>
      </w:r>
      <w:r w:rsidRPr="00874CC2">
        <w:rPr>
          <w:rFonts w:asciiTheme="majorHAnsi" w:hAnsiTheme="majorHAnsi" w:cs="Arial"/>
          <w:lang w:eastAsia="en-IN"/>
        </w:rPr>
        <w:t xml:space="preserve"> </w:t>
      </w:r>
      <w:r>
        <w:rPr>
          <w:rFonts w:asciiTheme="majorHAnsi" w:hAnsiTheme="majorHAnsi" w:cs="Arial"/>
          <w:lang w:eastAsia="en-IN"/>
        </w:rPr>
        <w:t xml:space="preserve">per </w:t>
      </w:r>
      <w:r w:rsidRPr="00874CC2">
        <w:rPr>
          <w:rFonts w:asciiTheme="majorHAnsi" w:hAnsiTheme="majorHAnsi" w:cs="Arial"/>
          <w:lang w:eastAsia="en-IN"/>
        </w:rPr>
        <w:t xml:space="preserve">the commitment </w:t>
      </w:r>
      <w:r>
        <w:rPr>
          <w:rFonts w:asciiTheme="majorHAnsi" w:hAnsiTheme="majorHAnsi" w:cs="Arial"/>
          <w:lang w:eastAsia="en-IN"/>
        </w:rPr>
        <w:t xml:space="preserve">and mandate of </w:t>
      </w:r>
      <w:r w:rsidRPr="00874CC2">
        <w:rPr>
          <w:rFonts w:asciiTheme="majorHAnsi" w:hAnsiTheme="majorHAnsi" w:cs="Arial"/>
          <w:lang w:eastAsia="en-IN"/>
        </w:rPr>
        <w:t xml:space="preserve">Vesting Order, </w:t>
      </w:r>
      <w:r>
        <w:rPr>
          <w:rFonts w:asciiTheme="majorHAnsi" w:hAnsiTheme="majorHAnsi" w:cs="Arial"/>
          <w:lang w:eastAsia="en-IN"/>
        </w:rPr>
        <w:t xml:space="preserve">TPWODL has to invest </w:t>
      </w:r>
      <w:r w:rsidRPr="00874CC2">
        <w:rPr>
          <w:rFonts w:asciiTheme="majorHAnsi" w:hAnsiTheme="majorHAnsi" w:cs="Arial"/>
          <w:lang w:eastAsia="en-IN"/>
        </w:rPr>
        <w:t xml:space="preserve">Rs.1663 Cr </w:t>
      </w:r>
      <w:r>
        <w:rPr>
          <w:rFonts w:asciiTheme="majorHAnsi" w:hAnsiTheme="majorHAnsi" w:cs="Arial"/>
          <w:lang w:eastAsia="en-IN"/>
        </w:rPr>
        <w:t xml:space="preserve">towards CAPEX </w:t>
      </w:r>
      <w:r w:rsidRPr="00874CC2">
        <w:rPr>
          <w:rFonts w:asciiTheme="majorHAnsi" w:hAnsiTheme="majorHAnsi" w:cs="Arial"/>
          <w:lang w:eastAsia="en-IN"/>
        </w:rPr>
        <w:t xml:space="preserve">to ensure reliable power supply to the end customer. Since, such a huge investment would adversely affect tariff, so investment </w:t>
      </w:r>
      <w:r>
        <w:rPr>
          <w:rFonts w:asciiTheme="majorHAnsi" w:hAnsiTheme="majorHAnsi" w:cs="Arial"/>
          <w:lang w:eastAsia="en-IN"/>
        </w:rPr>
        <w:t xml:space="preserve">has been </w:t>
      </w:r>
      <w:r w:rsidRPr="00874CC2">
        <w:rPr>
          <w:rFonts w:asciiTheme="majorHAnsi" w:hAnsiTheme="majorHAnsi" w:cs="Arial"/>
          <w:lang w:eastAsia="en-IN"/>
        </w:rPr>
        <w:t>staggered in 5 years</w:t>
      </w:r>
      <w:r>
        <w:rPr>
          <w:rFonts w:asciiTheme="majorHAnsi" w:hAnsiTheme="majorHAnsi" w:cs="Arial"/>
          <w:lang w:eastAsia="en-IN"/>
        </w:rPr>
        <w:t xml:space="preserve"> in following manner:</w:t>
      </w:r>
    </w:p>
    <w:p w14:paraId="63F84A13" w14:textId="77777777" w:rsidR="00485C98" w:rsidRPr="005204C2" w:rsidRDefault="00485C98" w:rsidP="00485C98">
      <w:pPr>
        <w:spacing w:beforeLines="100" w:before="240" w:afterLines="100" w:after="240"/>
        <w:ind w:left="7200" w:firstLine="720"/>
        <w:rPr>
          <w:rFonts w:asciiTheme="majorHAnsi" w:hAnsiTheme="majorHAnsi" w:cs="Arial"/>
          <w:i/>
          <w:iCs/>
          <w:sz w:val="20"/>
          <w:szCs w:val="20"/>
          <w:lang w:eastAsia="en-IN"/>
        </w:rPr>
      </w:pPr>
      <w:r w:rsidRPr="005204C2">
        <w:rPr>
          <w:rFonts w:asciiTheme="majorHAnsi" w:hAnsiTheme="majorHAnsi" w:cs="Arial"/>
          <w:i/>
          <w:iCs/>
          <w:sz w:val="20"/>
          <w:szCs w:val="20"/>
          <w:lang w:eastAsia="en-IN"/>
        </w:rPr>
        <w:t xml:space="preserve"> (Rs. Cr.)</w:t>
      </w:r>
    </w:p>
    <w:tbl>
      <w:tblPr>
        <w:tblStyle w:val="TableGrid"/>
        <w:tblW w:w="8307" w:type="dxa"/>
        <w:jc w:val="center"/>
        <w:tblLook w:val="04A0" w:firstRow="1" w:lastRow="0" w:firstColumn="1" w:lastColumn="0" w:noHBand="0" w:noVBand="1"/>
      </w:tblPr>
      <w:tblGrid>
        <w:gridCol w:w="1406"/>
        <w:gridCol w:w="1407"/>
        <w:gridCol w:w="1407"/>
        <w:gridCol w:w="1408"/>
        <w:gridCol w:w="1408"/>
        <w:gridCol w:w="1271"/>
      </w:tblGrid>
      <w:tr w:rsidR="00485C98" w:rsidRPr="0052549E" w14:paraId="2061C65E" w14:textId="77777777" w:rsidTr="00485C98">
        <w:trPr>
          <w:trHeight w:val="426"/>
          <w:jc w:val="center"/>
        </w:trPr>
        <w:tc>
          <w:tcPr>
            <w:tcW w:w="1406" w:type="dxa"/>
            <w:vAlign w:val="center"/>
          </w:tcPr>
          <w:p w14:paraId="473EB410" w14:textId="77777777" w:rsidR="00485C98" w:rsidRPr="0052549E" w:rsidRDefault="00485C98" w:rsidP="000F221E">
            <w:pPr>
              <w:pStyle w:val="ListParagraph"/>
              <w:spacing w:after="0" w:line="240" w:lineRule="auto"/>
              <w:ind w:left="0"/>
              <w:jc w:val="center"/>
              <w:rPr>
                <w:rFonts w:asciiTheme="majorHAnsi" w:eastAsia="Times New Roman" w:hAnsiTheme="majorHAnsi" w:cs="Arial"/>
                <w:b/>
                <w:bCs/>
                <w:szCs w:val="20"/>
                <w:lang w:eastAsia="en-IN"/>
              </w:rPr>
            </w:pPr>
            <w:r w:rsidRPr="0052549E">
              <w:rPr>
                <w:rFonts w:asciiTheme="majorHAnsi" w:eastAsia="Times New Roman" w:hAnsiTheme="majorHAnsi" w:cs="Arial"/>
                <w:b/>
                <w:bCs/>
                <w:szCs w:val="20"/>
                <w:lang w:eastAsia="en-IN"/>
              </w:rPr>
              <w:t>FY 2022</w:t>
            </w:r>
          </w:p>
        </w:tc>
        <w:tc>
          <w:tcPr>
            <w:tcW w:w="1407" w:type="dxa"/>
            <w:vAlign w:val="center"/>
          </w:tcPr>
          <w:p w14:paraId="4B8E98A3" w14:textId="77777777" w:rsidR="00485C98" w:rsidRPr="0052549E" w:rsidRDefault="00485C98" w:rsidP="000F221E">
            <w:pPr>
              <w:pStyle w:val="ListParagraph"/>
              <w:spacing w:after="0" w:line="240" w:lineRule="auto"/>
              <w:ind w:left="0"/>
              <w:jc w:val="center"/>
              <w:rPr>
                <w:rFonts w:asciiTheme="majorHAnsi" w:eastAsia="Times New Roman" w:hAnsiTheme="majorHAnsi" w:cs="Arial"/>
                <w:b/>
                <w:bCs/>
                <w:szCs w:val="20"/>
                <w:lang w:eastAsia="en-IN"/>
              </w:rPr>
            </w:pPr>
            <w:r w:rsidRPr="0052549E">
              <w:rPr>
                <w:rFonts w:asciiTheme="majorHAnsi" w:eastAsia="Times New Roman" w:hAnsiTheme="majorHAnsi" w:cs="Arial"/>
                <w:b/>
                <w:bCs/>
                <w:szCs w:val="20"/>
                <w:lang w:eastAsia="en-IN"/>
              </w:rPr>
              <w:t>FY 2023</w:t>
            </w:r>
          </w:p>
        </w:tc>
        <w:tc>
          <w:tcPr>
            <w:tcW w:w="1407" w:type="dxa"/>
            <w:vAlign w:val="center"/>
          </w:tcPr>
          <w:p w14:paraId="3882825A" w14:textId="77777777" w:rsidR="00485C98" w:rsidRPr="0052549E" w:rsidRDefault="00485C98" w:rsidP="000F221E">
            <w:pPr>
              <w:pStyle w:val="ListParagraph"/>
              <w:spacing w:after="0" w:line="240" w:lineRule="auto"/>
              <w:ind w:left="0"/>
              <w:jc w:val="center"/>
              <w:rPr>
                <w:rFonts w:asciiTheme="majorHAnsi" w:eastAsia="Times New Roman" w:hAnsiTheme="majorHAnsi" w:cs="Arial"/>
                <w:b/>
                <w:bCs/>
                <w:szCs w:val="20"/>
                <w:lang w:eastAsia="en-IN"/>
              </w:rPr>
            </w:pPr>
            <w:r w:rsidRPr="0052549E">
              <w:rPr>
                <w:rFonts w:asciiTheme="majorHAnsi" w:eastAsia="Times New Roman" w:hAnsiTheme="majorHAnsi" w:cs="Arial"/>
                <w:b/>
                <w:bCs/>
                <w:szCs w:val="20"/>
                <w:lang w:eastAsia="en-IN"/>
              </w:rPr>
              <w:t>FY 2024</w:t>
            </w:r>
          </w:p>
        </w:tc>
        <w:tc>
          <w:tcPr>
            <w:tcW w:w="1408" w:type="dxa"/>
            <w:vAlign w:val="center"/>
          </w:tcPr>
          <w:p w14:paraId="01CF8812" w14:textId="77777777" w:rsidR="00485C98" w:rsidRPr="0052549E" w:rsidRDefault="00485C98" w:rsidP="000F221E">
            <w:pPr>
              <w:pStyle w:val="ListParagraph"/>
              <w:spacing w:after="0" w:line="240" w:lineRule="auto"/>
              <w:ind w:left="0"/>
              <w:jc w:val="center"/>
              <w:rPr>
                <w:rFonts w:asciiTheme="majorHAnsi" w:eastAsia="Times New Roman" w:hAnsiTheme="majorHAnsi" w:cs="Arial"/>
                <w:b/>
                <w:bCs/>
                <w:szCs w:val="20"/>
                <w:lang w:eastAsia="en-IN"/>
              </w:rPr>
            </w:pPr>
            <w:r w:rsidRPr="0052549E">
              <w:rPr>
                <w:rFonts w:asciiTheme="majorHAnsi" w:eastAsia="Times New Roman" w:hAnsiTheme="majorHAnsi" w:cs="Arial"/>
                <w:b/>
                <w:bCs/>
                <w:szCs w:val="20"/>
                <w:lang w:eastAsia="en-IN"/>
              </w:rPr>
              <w:t>FY 2025</w:t>
            </w:r>
          </w:p>
        </w:tc>
        <w:tc>
          <w:tcPr>
            <w:tcW w:w="1408" w:type="dxa"/>
            <w:vAlign w:val="center"/>
          </w:tcPr>
          <w:p w14:paraId="11A3D80F" w14:textId="77777777" w:rsidR="00485C98" w:rsidRPr="0052549E" w:rsidRDefault="00485C98" w:rsidP="000F221E">
            <w:pPr>
              <w:pStyle w:val="ListParagraph"/>
              <w:spacing w:after="0" w:line="240" w:lineRule="auto"/>
              <w:ind w:left="0"/>
              <w:jc w:val="center"/>
              <w:rPr>
                <w:rFonts w:asciiTheme="majorHAnsi" w:eastAsia="Times New Roman" w:hAnsiTheme="majorHAnsi" w:cs="Arial"/>
                <w:b/>
                <w:bCs/>
                <w:szCs w:val="20"/>
                <w:lang w:eastAsia="en-IN"/>
              </w:rPr>
            </w:pPr>
            <w:r w:rsidRPr="0052549E">
              <w:rPr>
                <w:rFonts w:asciiTheme="majorHAnsi" w:eastAsia="Times New Roman" w:hAnsiTheme="majorHAnsi" w:cs="Arial"/>
                <w:b/>
                <w:bCs/>
                <w:szCs w:val="20"/>
                <w:lang w:eastAsia="en-IN"/>
              </w:rPr>
              <w:t>FY 2026</w:t>
            </w:r>
          </w:p>
        </w:tc>
        <w:tc>
          <w:tcPr>
            <w:tcW w:w="1271" w:type="dxa"/>
            <w:vAlign w:val="center"/>
          </w:tcPr>
          <w:p w14:paraId="55A46FCC" w14:textId="77777777" w:rsidR="00485C98" w:rsidRPr="0052549E" w:rsidRDefault="00485C98" w:rsidP="000F221E">
            <w:pPr>
              <w:pStyle w:val="ListParagraph"/>
              <w:spacing w:after="0" w:line="240" w:lineRule="auto"/>
              <w:ind w:left="0"/>
              <w:jc w:val="center"/>
              <w:rPr>
                <w:rFonts w:asciiTheme="majorHAnsi" w:eastAsia="Times New Roman" w:hAnsiTheme="majorHAnsi" w:cs="Arial"/>
                <w:b/>
                <w:bCs/>
                <w:szCs w:val="20"/>
                <w:lang w:eastAsia="en-IN"/>
              </w:rPr>
            </w:pPr>
            <w:r w:rsidRPr="0052549E">
              <w:rPr>
                <w:rFonts w:asciiTheme="majorHAnsi" w:eastAsia="Times New Roman" w:hAnsiTheme="majorHAnsi" w:cs="Arial"/>
                <w:b/>
                <w:bCs/>
                <w:szCs w:val="20"/>
                <w:lang w:eastAsia="en-IN"/>
              </w:rPr>
              <w:t>Total</w:t>
            </w:r>
          </w:p>
        </w:tc>
      </w:tr>
      <w:tr w:rsidR="00485C98" w:rsidRPr="0052549E" w14:paraId="1771B3BB" w14:textId="77777777" w:rsidTr="00485C98">
        <w:trPr>
          <w:trHeight w:val="272"/>
          <w:jc w:val="center"/>
        </w:trPr>
        <w:tc>
          <w:tcPr>
            <w:tcW w:w="1406" w:type="dxa"/>
            <w:vAlign w:val="center"/>
          </w:tcPr>
          <w:p w14:paraId="6203D525" w14:textId="77777777" w:rsidR="00485C98" w:rsidRPr="0052549E" w:rsidRDefault="00485C98" w:rsidP="000F221E">
            <w:pPr>
              <w:pStyle w:val="ListParagraph"/>
              <w:spacing w:after="0" w:line="240" w:lineRule="auto"/>
              <w:ind w:left="0"/>
              <w:jc w:val="center"/>
              <w:rPr>
                <w:rFonts w:asciiTheme="majorHAnsi" w:eastAsia="Times New Roman" w:hAnsiTheme="majorHAnsi" w:cs="Arial"/>
                <w:szCs w:val="20"/>
                <w:lang w:eastAsia="en-IN"/>
              </w:rPr>
            </w:pPr>
            <w:r w:rsidRPr="0052549E">
              <w:rPr>
                <w:rFonts w:asciiTheme="majorHAnsi" w:eastAsia="Times New Roman" w:hAnsiTheme="majorHAnsi" w:cs="Arial"/>
                <w:szCs w:val="20"/>
                <w:lang w:eastAsia="en-IN"/>
              </w:rPr>
              <w:t>306</w:t>
            </w:r>
          </w:p>
        </w:tc>
        <w:tc>
          <w:tcPr>
            <w:tcW w:w="1407" w:type="dxa"/>
            <w:vAlign w:val="center"/>
          </w:tcPr>
          <w:p w14:paraId="4814D3D8" w14:textId="77777777" w:rsidR="00485C98" w:rsidRPr="0052549E" w:rsidRDefault="00485C98" w:rsidP="000F221E">
            <w:pPr>
              <w:pStyle w:val="ListParagraph"/>
              <w:spacing w:after="0" w:line="240" w:lineRule="auto"/>
              <w:ind w:left="0"/>
              <w:jc w:val="center"/>
              <w:rPr>
                <w:rFonts w:asciiTheme="majorHAnsi" w:eastAsia="Times New Roman" w:hAnsiTheme="majorHAnsi" w:cs="Arial"/>
                <w:szCs w:val="20"/>
                <w:lang w:eastAsia="en-IN"/>
              </w:rPr>
            </w:pPr>
            <w:r w:rsidRPr="0052549E">
              <w:rPr>
                <w:rFonts w:asciiTheme="majorHAnsi" w:eastAsia="Times New Roman" w:hAnsiTheme="majorHAnsi" w:cs="Arial"/>
                <w:szCs w:val="20"/>
                <w:lang w:eastAsia="en-IN"/>
              </w:rPr>
              <w:t>500</w:t>
            </w:r>
          </w:p>
        </w:tc>
        <w:tc>
          <w:tcPr>
            <w:tcW w:w="1407" w:type="dxa"/>
            <w:vAlign w:val="center"/>
          </w:tcPr>
          <w:p w14:paraId="620FD26B" w14:textId="77777777" w:rsidR="00485C98" w:rsidRPr="0052549E" w:rsidRDefault="00485C98" w:rsidP="000F221E">
            <w:pPr>
              <w:pStyle w:val="ListParagraph"/>
              <w:spacing w:after="0" w:line="240" w:lineRule="auto"/>
              <w:ind w:left="0"/>
              <w:jc w:val="center"/>
              <w:rPr>
                <w:rFonts w:asciiTheme="majorHAnsi" w:eastAsia="Times New Roman" w:hAnsiTheme="majorHAnsi" w:cs="Arial"/>
                <w:szCs w:val="20"/>
                <w:lang w:eastAsia="en-IN"/>
              </w:rPr>
            </w:pPr>
            <w:r w:rsidRPr="0052549E">
              <w:rPr>
                <w:rFonts w:asciiTheme="majorHAnsi" w:eastAsia="Times New Roman" w:hAnsiTheme="majorHAnsi" w:cs="Arial"/>
                <w:szCs w:val="20"/>
                <w:lang w:eastAsia="en-IN"/>
              </w:rPr>
              <w:t>333</w:t>
            </w:r>
          </w:p>
        </w:tc>
        <w:tc>
          <w:tcPr>
            <w:tcW w:w="1408" w:type="dxa"/>
            <w:vAlign w:val="center"/>
          </w:tcPr>
          <w:p w14:paraId="1408419E" w14:textId="77777777" w:rsidR="00485C98" w:rsidRPr="0052549E" w:rsidRDefault="00485C98" w:rsidP="000F221E">
            <w:pPr>
              <w:pStyle w:val="ListParagraph"/>
              <w:spacing w:after="0" w:line="240" w:lineRule="auto"/>
              <w:ind w:left="0"/>
              <w:jc w:val="center"/>
              <w:rPr>
                <w:rFonts w:asciiTheme="majorHAnsi" w:eastAsia="Times New Roman" w:hAnsiTheme="majorHAnsi" w:cs="Arial"/>
                <w:szCs w:val="20"/>
                <w:lang w:eastAsia="en-IN"/>
              </w:rPr>
            </w:pPr>
            <w:r w:rsidRPr="0052549E">
              <w:rPr>
                <w:rFonts w:asciiTheme="majorHAnsi" w:eastAsia="Times New Roman" w:hAnsiTheme="majorHAnsi" w:cs="Arial"/>
                <w:szCs w:val="20"/>
                <w:lang w:eastAsia="en-IN"/>
              </w:rPr>
              <w:t>322</w:t>
            </w:r>
          </w:p>
        </w:tc>
        <w:tc>
          <w:tcPr>
            <w:tcW w:w="1408" w:type="dxa"/>
            <w:vAlign w:val="center"/>
          </w:tcPr>
          <w:p w14:paraId="1BCA0FB6" w14:textId="77777777" w:rsidR="00485C98" w:rsidRPr="0052549E" w:rsidRDefault="00485C98" w:rsidP="000F221E">
            <w:pPr>
              <w:pStyle w:val="ListParagraph"/>
              <w:spacing w:after="0" w:line="240" w:lineRule="auto"/>
              <w:ind w:left="0"/>
              <w:jc w:val="center"/>
              <w:rPr>
                <w:rFonts w:asciiTheme="majorHAnsi" w:eastAsia="Times New Roman" w:hAnsiTheme="majorHAnsi" w:cs="Arial"/>
                <w:szCs w:val="20"/>
                <w:lang w:eastAsia="en-IN"/>
              </w:rPr>
            </w:pPr>
            <w:r w:rsidRPr="0052549E">
              <w:rPr>
                <w:rFonts w:asciiTheme="majorHAnsi" w:eastAsia="Times New Roman" w:hAnsiTheme="majorHAnsi" w:cs="Arial"/>
                <w:szCs w:val="20"/>
                <w:lang w:eastAsia="en-IN"/>
              </w:rPr>
              <w:t>202</w:t>
            </w:r>
          </w:p>
        </w:tc>
        <w:tc>
          <w:tcPr>
            <w:tcW w:w="1271" w:type="dxa"/>
            <w:vAlign w:val="center"/>
          </w:tcPr>
          <w:p w14:paraId="31C96D45" w14:textId="77777777" w:rsidR="00485C98" w:rsidRPr="0052549E" w:rsidRDefault="00485C98" w:rsidP="000F221E">
            <w:pPr>
              <w:pStyle w:val="ListParagraph"/>
              <w:spacing w:after="0" w:line="240" w:lineRule="auto"/>
              <w:ind w:left="0"/>
              <w:jc w:val="center"/>
              <w:rPr>
                <w:rFonts w:asciiTheme="majorHAnsi" w:eastAsia="Times New Roman" w:hAnsiTheme="majorHAnsi" w:cs="Arial"/>
                <w:szCs w:val="20"/>
                <w:lang w:eastAsia="en-IN"/>
              </w:rPr>
            </w:pPr>
            <w:r w:rsidRPr="0052549E">
              <w:rPr>
                <w:rFonts w:asciiTheme="majorHAnsi" w:eastAsia="Times New Roman" w:hAnsiTheme="majorHAnsi" w:cs="Arial"/>
                <w:szCs w:val="20"/>
                <w:lang w:eastAsia="en-IN"/>
              </w:rPr>
              <w:t>1663</w:t>
            </w:r>
          </w:p>
        </w:tc>
      </w:tr>
    </w:tbl>
    <w:p w14:paraId="23D3A1E6" w14:textId="77777777" w:rsidR="00485C98" w:rsidRDefault="00485C98" w:rsidP="004276A0">
      <w:pPr>
        <w:spacing w:line="360" w:lineRule="auto"/>
        <w:jc w:val="both"/>
        <w:rPr>
          <w:rFonts w:ascii="Cambria" w:hAnsi="Cambria" w:cs="Arial"/>
        </w:rPr>
      </w:pPr>
    </w:p>
    <w:p w14:paraId="44BAAABB" w14:textId="0990723A" w:rsidR="0036636F" w:rsidRDefault="0036636F" w:rsidP="0036636F">
      <w:pPr>
        <w:spacing w:line="360" w:lineRule="auto"/>
        <w:jc w:val="both"/>
        <w:rPr>
          <w:rFonts w:asciiTheme="majorHAnsi" w:hAnsiTheme="majorHAnsi" w:cs="Arial"/>
          <w:lang w:eastAsia="en-IN"/>
        </w:rPr>
      </w:pPr>
      <w:r>
        <w:rPr>
          <w:rFonts w:asciiTheme="majorHAnsi" w:hAnsiTheme="majorHAnsi" w:cs="Arial"/>
          <w:lang w:eastAsia="en-IN"/>
        </w:rPr>
        <w:t xml:space="preserve">Upon proposal of TPWODL regarding CAPEX requirement for FY 21-22, FY 22-23, FY 23-24, FY 24-25 and FY 25-26 &amp; Additional CAPEX for FY 24-25 &amp; FY 25-26, the Hon’ble Commission </w:t>
      </w:r>
      <w:r w:rsidRPr="003F7938">
        <w:rPr>
          <w:rFonts w:asciiTheme="majorHAnsi" w:hAnsiTheme="majorHAnsi" w:cs="Arial"/>
          <w:lang w:eastAsia="en-IN"/>
        </w:rPr>
        <w:t>through regulatory proceedings approved the Capital Expenditure</w:t>
      </w:r>
      <w:r>
        <w:rPr>
          <w:rFonts w:asciiTheme="majorHAnsi" w:hAnsiTheme="majorHAnsi" w:cs="Arial"/>
          <w:lang w:eastAsia="en-IN"/>
        </w:rPr>
        <w:t xml:space="preserve"> for the 5 years vide Order dated 18.09.2021, 08.07.2022, 21.06.2023, 12.12.2023 and 24.03.2025 respectively. The following table provides the CAPEX approvals vis-à-vis the TPWODL proposals in the said years:</w:t>
      </w:r>
    </w:p>
    <w:tbl>
      <w:tblPr>
        <w:tblStyle w:val="TableGrid"/>
        <w:tblW w:w="8920" w:type="dxa"/>
        <w:jc w:val="center"/>
        <w:tblLook w:val="04A0" w:firstRow="1" w:lastRow="0" w:firstColumn="1" w:lastColumn="0" w:noHBand="0" w:noVBand="1"/>
      </w:tblPr>
      <w:tblGrid>
        <w:gridCol w:w="661"/>
        <w:gridCol w:w="2391"/>
        <w:gridCol w:w="959"/>
        <w:gridCol w:w="960"/>
        <w:gridCol w:w="871"/>
        <w:gridCol w:w="871"/>
        <w:gridCol w:w="871"/>
        <w:gridCol w:w="1336"/>
      </w:tblGrid>
      <w:tr w:rsidR="0036636F" w:rsidRPr="0052549E" w14:paraId="38DC2759" w14:textId="77777777" w:rsidTr="00BA1926">
        <w:trPr>
          <w:jc w:val="center"/>
        </w:trPr>
        <w:tc>
          <w:tcPr>
            <w:tcW w:w="676" w:type="dxa"/>
            <w:vAlign w:val="center"/>
          </w:tcPr>
          <w:p w14:paraId="4834A8AA" w14:textId="77777777" w:rsidR="0036636F" w:rsidRPr="0052549E" w:rsidRDefault="0036636F" w:rsidP="000F221E">
            <w:pPr>
              <w:pStyle w:val="ListParagraph"/>
              <w:spacing w:after="0" w:line="240" w:lineRule="auto"/>
              <w:ind w:left="0"/>
              <w:jc w:val="center"/>
              <w:rPr>
                <w:rFonts w:asciiTheme="majorHAnsi" w:eastAsia="Times New Roman" w:hAnsiTheme="majorHAnsi" w:cs="Arial"/>
                <w:b/>
                <w:bCs/>
                <w:szCs w:val="20"/>
                <w:lang w:eastAsia="en-IN"/>
              </w:rPr>
            </w:pPr>
            <w:r w:rsidRPr="0052549E">
              <w:rPr>
                <w:rFonts w:asciiTheme="majorHAnsi" w:eastAsia="Times New Roman" w:hAnsiTheme="majorHAnsi" w:cs="Arial"/>
                <w:b/>
                <w:bCs/>
                <w:szCs w:val="20"/>
                <w:lang w:eastAsia="en-IN"/>
              </w:rPr>
              <w:t>S. No.</w:t>
            </w:r>
          </w:p>
        </w:tc>
        <w:tc>
          <w:tcPr>
            <w:tcW w:w="2518" w:type="dxa"/>
            <w:vAlign w:val="center"/>
          </w:tcPr>
          <w:p w14:paraId="27376EB5" w14:textId="77777777" w:rsidR="0036636F" w:rsidRPr="0052549E" w:rsidRDefault="0036636F" w:rsidP="000F221E">
            <w:pPr>
              <w:pStyle w:val="ListParagraph"/>
              <w:spacing w:after="0" w:line="240" w:lineRule="auto"/>
              <w:ind w:left="0"/>
              <w:rPr>
                <w:rFonts w:asciiTheme="majorHAnsi" w:eastAsia="Times New Roman" w:hAnsiTheme="majorHAnsi" w:cs="Arial"/>
                <w:b/>
                <w:bCs/>
                <w:szCs w:val="20"/>
                <w:lang w:eastAsia="en-IN"/>
              </w:rPr>
            </w:pPr>
            <w:r w:rsidRPr="0052549E">
              <w:rPr>
                <w:rFonts w:asciiTheme="majorHAnsi" w:eastAsia="Times New Roman" w:hAnsiTheme="majorHAnsi" w:cs="Arial"/>
                <w:b/>
                <w:bCs/>
                <w:szCs w:val="20"/>
                <w:lang w:eastAsia="en-IN"/>
              </w:rPr>
              <w:t>Particulars</w:t>
            </w:r>
          </w:p>
        </w:tc>
        <w:tc>
          <w:tcPr>
            <w:tcW w:w="970" w:type="dxa"/>
            <w:vAlign w:val="center"/>
          </w:tcPr>
          <w:p w14:paraId="149ECD47" w14:textId="77777777" w:rsidR="0036636F" w:rsidRPr="0052549E" w:rsidRDefault="0036636F" w:rsidP="000F221E">
            <w:pPr>
              <w:pStyle w:val="ListParagraph"/>
              <w:spacing w:after="0" w:line="240" w:lineRule="auto"/>
              <w:ind w:left="0"/>
              <w:jc w:val="center"/>
              <w:rPr>
                <w:rFonts w:asciiTheme="majorHAnsi" w:eastAsia="Times New Roman" w:hAnsiTheme="majorHAnsi" w:cs="Arial"/>
                <w:b/>
                <w:bCs/>
                <w:szCs w:val="20"/>
                <w:lang w:eastAsia="en-IN"/>
              </w:rPr>
            </w:pPr>
            <w:r w:rsidRPr="0052549E">
              <w:rPr>
                <w:rFonts w:asciiTheme="majorHAnsi" w:eastAsia="Times New Roman" w:hAnsiTheme="majorHAnsi" w:cs="Arial"/>
                <w:b/>
                <w:bCs/>
                <w:szCs w:val="20"/>
                <w:lang w:eastAsia="en-IN"/>
              </w:rPr>
              <w:t>FY 22</w:t>
            </w:r>
          </w:p>
        </w:tc>
        <w:tc>
          <w:tcPr>
            <w:tcW w:w="971" w:type="dxa"/>
            <w:vAlign w:val="center"/>
          </w:tcPr>
          <w:p w14:paraId="2B35E720" w14:textId="77777777" w:rsidR="0036636F" w:rsidRPr="0052549E" w:rsidRDefault="0036636F" w:rsidP="000F221E">
            <w:pPr>
              <w:pStyle w:val="ListParagraph"/>
              <w:spacing w:after="0" w:line="240" w:lineRule="auto"/>
              <w:ind w:left="0"/>
              <w:jc w:val="center"/>
              <w:rPr>
                <w:rFonts w:asciiTheme="majorHAnsi" w:eastAsia="Times New Roman" w:hAnsiTheme="majorHAnsi" w:cs="Arial"/>
                <w:b/>
                <w:bCs/>
                <w:szCs w:val="20"/>
                <w:lang w:eastAsia="en-IN"/>
              </w:rPr>
            </w:pPr>
            <w:r w:rsidRPr="0052549E">
              <w:rPr>
                <w:rFonts w:asciiTheme="majorHAnsi" w:eastAsia="Times New Roman" w:hAnsiTheme="majorHAnsi" w:cs="Arial"/>
                <w:b/>
                <w:bCs/>
                <w:szCs w:val="20"/>
                <w:lang w:eastAsia="en-IN"/>
              </w:rPr>
              <w:t>FY 23</w:t>
            </w:r>
          </w:p>
        </w:tc>
        <w:tc>
          <w:tcPr>
            <w:tcW w:w="845" w:type="dxa"/>
            <w:vAlign w:val="center"/>
          </w:tcPr>
          <w:p w14:paraId="4DF0714B" w14:textId="77777777" w:rsidR="0036636F" w:rsidRPr="0052549E" w:rsidRDefault="0036636F" w:rsidP="000F221E">
            <w:pPr>
              <w:pStyle w:val="ListParagraph"/>
              <w:spacing w:after="0" w:line="240" w:lineRule="auto"/>
              <w:ind w:left="0"/>
              <w:jc w:val="center"/>
              <w:rPr>
                <w:rFonts w:asciiTheme="majorHAnsi" w:eastAsia="Times New Roman" w:hAnsiTheme="majorHAnsi" w:cs="Arial"/>
                <w:b/>
                <w:bCs/>
                <w:szCs w:val="20"/>
                <w:lang w:eastAsia="en-IN"/>
              </w:rPr>
            </w:pPr>
            <w:r w:rsidRPr="0052549E">
              <w:rPr>
                <w:rFonts w:asciiTheme="majorHAnsi" w:eastAsia="Times New Roman" w:hAnsiTheme="majorHAnsi" w:cs="Arial"/>
                <w:b/>
                <w:bCs/>
                <w:szCs w:val="20"/>
                <w:lang w:eastAsia="en-IN"/>
              </w:rPr>
              <w:t>FY 24</w:t>
            </w:r>
          </w:p>
        </w:tc>
        <w:tc>
          <w:tcPr>
            <w:tcW w:w="774" w:type="dxa"/>
            <w:vAlign w:val="center"/>
          </w:tcPr>
          <w:p w14:paraId="1C372CB4" w14:textId="77777777" w:rsidR="0036636F" w:rsidRPr="0052549E" w:rsidRDefault="0036636F" w:rsidP="000F221E">
            <w:pPr>
              <w:pStyle w:val="ListParagraph"/>
              <w:spacing w:after="0" w:line="240" w:lineRule="auto"/>
              <w:ind w:left="0"/>
              <w:jc w:val="center"/>
              <w:rPr>
                <w:rFonts w:asciiTheme="majorHAnsi" w:eastAsia="Times New Roman" w:hAnsiTheme="majorHAnsi" w:cs="Arial"/>
                <w:b/>
                <w:bCs/>
                <w:szCs w:val="20"/>
                <w:lang w:eastAsia="en-IN"/>
              </w:rPr>
            </w:pPr>
            <w:r w:rsidRPr="0052549E">
              <w:rPr>
                <w:rFonts w:asciiTheme="majorHAnsi" w:eastAsia="Times New Roman" w:hAnsiTheme="majorHAnsi" w:cs="Arial"/>
                <w:b/>
                <w:bCs/>
                <w:szCs w:val="20"/>
                <w:lang w:eastAsia="en-IN"/>
              </w:rPr>
              <w:t>FY 25</w:t>
            </w:r>
          </w:p>
        </w:tc>
        <w:tc>
          <w:tcPr>
            <w:tcW w:w="774" w:type="dxa"/>
            <w:vAlign w:val="center"/>
          </w:tcPr>
          <w:p w14:paraId="0BBAC2CC" w14:textId="77777777" w:rsidR="0036636F" w:rsidRPr="0052549E" w:rsidRDefault="0036636F" w:rsidP="000F221E">
            <w:pPr>
              <w:pStyle w:val="ListParagraph"/>
              <w:spacing w:after="0" w:line="240" w:lineRule="auto"/>
              <w:ind w:left="0"/>
              <w:jc w:val="center"/>
              <w:rPr>
                <w:rFonts w:asciiTheme="majorHAnsi" w:eastAsia="Times New Roman" w:hAnsiTheme="majorHAnsi" w:cs="Arial"/>
                <w:b/>
                <w:bCs/>
                <w:szCs w:val="20"/>
                <w:lang w:eastAsia="en-IN"/>
              </w:rPr>
            </w:pPr>
            <w:r w:rsidRPr="0052549E">
              <w:rPr>
                <w:rFonts w:asciiTheme="majorHAnsi" w:eastAsia="Times New Roman" w:hAnsiTheme="majorHAnsi" w:cs="Arial"/>
                <w:b/>
                <w:bCs/>
                <w:szCs w:val="20"/>
                <w:lang w:eastAsia="en-IN"/>
              </w:rPr>
              <w:t>FY 26</w:t>
            </w:r>
          </w:p>
        </w:tc>
        <w:tc>
          <w:tcPr>
            <w:tcW w:w="1392" w:type="dxa"/>
            <w:vAlign w:val="center"/>
          </w:tcPr>
          <w:p w14:paraId="16CFB194" w14:textId="77777777" w:rsidR="0036636F" w:rsidRPr="0052549E" w:rsidRDefault="0036636F" w:rsidP="000F221E">
            <w:pPr>
              <w:pStyle w:val="ListParagraph"/>
              <w:spacing w:after="0" w:line="240" w:lineRule="auto"/>
              <w:ind w:left="0"/>
              <w:jc w:val="center"/>
              <w:rPr>
                <w:rFonts w:asciiTheme="majorHAnsi" w:eastAsia="Times New Roman" w:hAnsiTheme="majorHAnsi" w:cs="Arial"/>
                <w:b/>
                <w:bCs/>
                <w:szCs w:val="20"/>
                <w:lang w:eastAsia="en-IN"/>
              </w:rPr>
            </w:pPr>
            <w:r w:rsidRPr="0052549E">
              <w:rPr>
                <w:rFonts w:asciiTheme="majorHAnsi" w:eastAsia="Times New Roman" w:hAnsiTheme="majorHAnsi" w:cs="Arial"/>
                <w:b/>
                <w:bCs/>
                <w:szCs w:val="20"/>
                <w:lang w:eastAsia="en-IN"/>
              </w:rPr>
              <w:t>Addnl. CAPEX FY-25 &amp; 26</w:t>
            </w:r>
          </w:p>
        </w:tc>
      </w:tr>
      <w:tr w:rsidR="0036636F" w:rsidRPr="0052549E" w14:paraId="41A34D92" w14:textId="77777777" w:rsidTr="00BA1926">
        <w:trPr>
          <w:jc w:val="center"/>
        </w:trPr>
        <w:tc>
          <w:tcPr>
            <w:tcW w:w="676" w:type="dxa"/>
            <w:vAlign w:val="center"/>
          </w:tcPr>
          <w:p w14:paraId="70DE5E17" w14:textId="77777777" w:rsidR="0036636F" w:rsidRPr="0052549E" w:rsidRDefault="0036636F" w:rsidP="000F221E">
            <w:pPr>
              <w:pStyle w:val="ListParagraph"/>
              <w:spacing w:after="0" w:line="240" w:lineRule="auto"/>
              <w:ind w:left="0"/>
              <w:jc w:val="center"/>
              <w:rPr>
                <w:rFonts w:asciiTheme="majorHAnsi" w:eastAsia="Times New Roman" w:hAnsiTheme="majorHAnsi" w:cs="Arial"/>
                <w:szCs w:val="20"/>
                <w:lang w:eastAsia="en-IN"/>
              </w:rPr>
            </w:pPr>
            <w:r w:rsidRPr="0052549E">
              <w:rPr>
                <w:rFonts w:asciiTheme="majorHAnsi" w:eastAsia="Times New Roman" w:hAnsiTheme="majorHAnsi" w:cs="Arial"/>
                <w:szCs w:val="20"/>
                <w:lang w:eastAsia="en-IN"/>
              </w:rPr>
              <w:t>1</w:t>
            </w:r>
          </w:p>
        </w:tc>
        <w:tc>
          <w:tcPr>
            <w:tcW w:w="2518" w:type="dxa"/>
            <w:vAlign w:val="center"/>
          </w:tcPr>
          <w:p w14:paraId="1DCC939D" w14:textId="77777777" w:rsidR="0036636F" w:rsidRPr="0052549E" w:rsidRDefault="0036636F" w:rsidP="000F221E">
            <w:pPr>
              <w:pStyle w:val="ListParagraph"/>
              <w:spacing w:after="0" w:line="240" w:lineRule="auto"/>
              <w:ind w:left="0"/>
              <w:rPr>
                <w:rFonts w:asciiTheme="majorHAnsi" w:eastAsia="Times New Roman" w:hAnsiTheme="majorHAnsi" w:cs="Arial"/>
                <w:szCs w:val="20"/>
                <w:lang w:eastAsia="en-IN"/>
              </w:rPr>
            </w:pPr>
            <w:r w:rsidRPr="0052549E">
              <w:rPr>
                <w:rFonts w:asciiTheme="majorHAnsi" w:eastAsia="Times New Roman" w:hAnsiTheme="majorHAnsi" w:cs="Arial"/>
                <w:szCs w:val="20"/>
                <w:lang w:eastAsia="en-IN"/>
              </w:rPr>
              <w:t>CAPEX proposed by TPWODL (Rs. Cr.)</w:t>
            </w:r>
          </w:p>
        </w:tc>
        <w:tc>
          <w:tcPr>
            <w:tcW w:w="970" w:type="dxa"/>
            <w:vAlign w:val="center"/>
          </w:tcPr>
          <w:p w14:paraId="4C47C03B" w14:textId="77777777" w:rsidR="0036636F" w:rsidRPr="0052549E" w:rsidRDefault="0036636F" w:rsidP="000F221E">
            <w:pPr>
              <w:pStyle w:val="ListParagraph"/>
              <w:spacing w:after="0" w:line="240" w:lineRule="auto"/>
              <w:ind w:left="0"/>
              <w:jc w:val="center"/>
              <w:rPr>
                <w:rFonts w:asciiTheme="majorHAnsi" w:eastAsia="Times New Roman" w:hAnsiTheme="majorHAnsi" w:cs="Arial"/>
                <w:szCs w:val="20"/>
                <w:lang w:eastAsia="en-IN"/>
              </w:rPr>
            </w:pPr>
            <w:r w:rsidRPr="0052549E">
              <w:rPr>
                <w:rFonts w:asciiTheme="majorHAnsi" w:eastAsia="Times New Roman" w:hAnsiTheme="majorHAnsi" w:cs="Arial"/>
                <w:szCs w:val="20"/>
                <w:lang w:eastAsia="en-IN"/>
              </w:rPr>
              <w:t>462.42</w:t>
            </w:r>
          </w:p>
        </w:tc>
        <w:tc>
          <w:tcPr>
            <w:tcW w:w="971" w:type="dxa"/>
            <w:vAlign w:val="center"/>
          </w:tcPr>
          <w:p w14:paraId="77A67B3C" w14:textId="77777777" w:rsidR="0036636F" w:rsidRPr="0052549E" w:rsidRDefault="0036636F" w:rsidP="000F221E">
            <w:pPr>
              <w:pStyle w:val="ListParagraph"/>
              <w:spacing w:after="0" w:line="240" w:lineRule="auto"/>
              <w:ind w:left="0"/>
              <w:jc w:val="center"/>
              <w:rPr>
                <w:rFonts w:asciiTheme="majorHAnsi" w:eastAsia="Times New Roman" w:hAnsiTheme="majorHAnsi" w:cs="Arial"/>
                <w:szCs w:val="20"/>
                <w:lang w:eastAsia="en-IN"/>
              </w:rPr>
            </w:pPr>
            <w:r w:rsidRPr="0052549E">
              <w:rPr>
                <w:rFonts w:asciiTheme="majorHAnsi" w:eastAsia="Times New Roman" w:hAnsiTheme="majorHAnsi" w:cs="Arial"/>
                <w:szCs w:val="20"/>
                <w:lang w:eastAsia="en-IN"/>
              </w:rPr>
              <w:t>582.18</w:t>
            </w:r>
          </w:p>
        </w:tc>
        <w:tc>
          <w:tcPr>
            <w:tcW w:w="845" w:type="dxa"/>
            <w:vAlign w:val="center"/>
          </w:tcPr>
          <w:p w14:paraId="48D2AAE7" w14:textId="77777777" w:rsidR="0036636F" w:rsidRPr="0052549E" w:rsidRDefault="0036636F" w:rsidP="000F221E">
            <w:pPr>
              <w:pStyle w:val="ListParagraph"/>
              <w:spacing w:after="0" w:line="240" w:lineRule="auto"/>
              <w:ind w:left="0"/>
              <w:jc w:val="center"/>
              <w:rPr>
                <w:rFonts w:asciiTheme="majorHAnsi" w:eastAsia="Times New Roman" w:hAnsiTheme="majorHAnsi" w:cs="Arial"/>
                <w:szCs w:val="20"/>
                <w:lang w:eastAsia="en-IN"/>
              </w:rPr>
            </w:pPr>
            <w:r w:rsidRPr="0052549E">
              <w:rPr>
                <w:rFonts w:asciiTheme="majorHAnsi" w:eastAsia="Times New Roman" w:hAnsiTheme="majorHAnsi" w:cs="Arial"/>
                <w:szCs w:val="20"/>
                <w:lang w:eastAsia="en-IN"/>
              </w:rPr>
              <w:t>398.84</w:t>
            </w:r>
          </w:p>
        </w:tc>
        <w:tc>
          <w:tcPr>
            <w:tcW w:w="774" w:type="dxa"/>
            <w:vAlign w:val="center"/>
          </w:tcPr>
          <w:p w14:paraId="54F32E5E" w14:textId="77777777" w:rsidR="0036636F" w:rsidRPr="0052549E" w:rsidRDefault="0036636F" w:rsidP="000F221E">
            <w:pPr>
              <w:pStyle w:val="ListParagraph"/>
              <w:spacing w:after="0" w:line="240" w:lineRule="auto"/>
              <w:ind w:left="0"/>
              <w:jc w:val="center"/>
              <w:rPr>
                <w:rFonts w:asciiTheme="majorHAnsi" w:eastAsia="Times New Roman" w:hAnsiTheme="majorHAnsi" w:cs="Arial"/>
                <w:szCs w:val="20"/>
                <w:lang w:eastAsia="en-IN"/>
              </w:rPr>
            </w:pPr>
            <w:r w:rsidRPr="0052549E">
              <w:rPr>
                <w:rFonts w:asciiTheme="majorHAnsi" w:eastAsia="Times New Roman" w:hAnsiTheme="majorHAnsi" w:cs="Arial"/>
                <w:szCs w:val="20"/>
                <w:lang w:eastAsia="en-IN"/>
              </w:rPr>
              <w:t>571.97</w:t>
            </w:r>
          </w:p>
        </w:tc>
        <w:tc>
          <w:tcPr>
            <w:tcW w:w="774" w:type="dxa"/>
            <w:vAlign w:val="center"/>
          </w:tcPr>
          <w:p w14:paraId="1046ACCF" w14:textId="77777777" w:rsidR="0036636F" w:rsidRPr="0052549E" w:rsidRDefault="0036636F" w:rsidP="000F221E">
            <w:pPr>
              <w:pStyle w:val="ListParagraph"/>
              <w:spacing w:after="0" w:line="240" w:lineRule="auto"/>
              <w:ind w:left="0"/>
              <w:jc w:val="center"/>
              <w:rPr>
                <w:rFonts w:asciiTheme="majorHAnsi" w:eastAsia="Times New Roman" w:hAnsiTheme="majorHAnsi" w:cs="Arial"/>
                <w:szCs w:val="20"/>
                <w:lang w:eastAsia="en-IN"/>
              </w:rPr>
            </w:pPr>
            <w:r w:rsidRPr="0052549E">
              <w:rPr>
                <w:rFonts w:asciiTheme="majorHAnsi" w:eastAsia="Times New Roman" w:hAnsiTheme="majorHAnsi" w:cs="Arial"/>
                <w:szCs w:val="20"/>
                <w:lang w:eastAsia="en-IN"/>
              </w:rPr>
              <w:t>403.13</w:t>
            </w:r>
          </w:p>
        </w:tc>
        <w:tc>
          <w:tcPr>
            <w:tcW w:w="1392" w:type="dxa"/>
            <w:vAlign w:val="center"/>
          </w:tcPr>
          <w:p w14:paraId="026040D1" w14:textId="77777777" w:rsidR="0036636F" w:rsidRPr="0052549E" w:rsidRDefault="0036636F" w:rsidP="000F221E">
            <w:pPr>
              <w:pStyle w:val="ListParagraph"/>
              <w:spacing w:after="0" w:line="240" w:lineRule="auto"/>
              <w:ind w:left="0"/>
              <w:jc w:val="center"/>
              <w:rPr>
                <w:rFonts w:asciiTheme="majorHAnsi" w:eastAsia="Times New Roman" w:hAnsiTheme="majorHAnsi" w:cs="Arial"/>
                <w:szCs w:val="20"/>
                <w:lang w:eastAsia="en-IN"/>
              </w:rPr>
            </w:pPr>
            <w:r w:rsidRPr="0052549E">
              <w:rPr>
                <w:rFonts w:asciiTheme="majorHAnsi" w:eastAsia="Times New Roman" w:hAnsiTheme="majorHAnsi" w:cs="Arial"/>
                <w:szCs w:val="20"/>
                <w:lang w:eastAsia="en-IN"/>
              </w:rPr>
              <w:t>175.93</w:t>
            </w:r>
          </w:p>
        </w:tc>
      </w:tr>
      <w:tr w:rsidR="0036636F" w:rsidRPr="0052549E" w14:paraId="0B52DD77" w14:textId="77777777" w:rsidTr="00BA1926">
        <w:trPr>
          <w:jc w:val="center"/>
        </w:trPr>
        <w:tc>
          <w:tcPr>
            <w:tcW w:w="676" w:type="dxa"/>
            <w:vAlign w:val="center"/>
          </w:tcPr>
          <w:p w14:paraId="30E3A3FF" w14:textId="77777777" w:rsidR="0036636F" w:rsidRPr="0052549E" w:rsidRDefault="0036636F" w:rsidP="000F221E">
            <w:pPr>
              <w:pStyle w:val="ListParagraph"/>
              <w:spacing w:after="0" w:line="240" w:lineRule="auto"/>
              <w:ind w:left="0"/>
              <w:jc w:val="center"/>
              <w:rPr>
                <w:rFonts w:asciiTheme="majorHAnsi" w:eastAsia="Times New Roman" w:hAnsiTheme="majorHAnsi" w:cs="Arial"/>
                <w:szCs w:val="20"/>
                <w:lang w:eastAsia="en-IN"/>
              </w:rPr>
            </w:pPr>
            <w:bookmarkStart w:id="65" w:name="_Hlk214288634"/>
            <w:r w:rsidRPr="0052549E">
              <w:rPr>
                <w:rFonts w:asciiTheme="majorHAnsi" w:eastAsia="Times New Roman" w:hAnsiTheme="majorHAnsi" w:cs="Arial"/>
                <w:szCs w:val="20"/>
                <w:lang w:eastAsia="en-IN"/>
              </w:rPr>
              <w:t>2</w:t>
            </w:r>
          </w:p>
        </w:tc>
        <w:tc>
          <w:tcPr>
            <w:tcW w:w="2518" w:type="dxa"/>
            <w:vAlign w:val="center"/>
          </w:tcPr>
          <w:p w14:paraId="281742D5" w14:textId="77777777" w:rsidR="0036636F" w:rsidRPr="0052549E" w:rsidRDefault="0036636F" w:rsidP="000F221E">
            <w:pPr>
              <w:pStyle w:val="ListParagraph"/>
              <w:spacing w:after="0" w:line="240" w:lineRule="auto"/>
              <w:ind w:left="0"/>
              <w:rPr>
                <w:rFonts w:asciiTheme="majorHAnsi" w:eastAsia="Times New Roman" w:hAnsiTheme="majorHAnsi" w:cs="Arial"/>
                <w:szCs w:val="20"/>
                <w:lang w:eastAsia="en-IN"/>
              </w:rPr>
            </w:pPr>
            <w:r w:rsidRPr="0052549E">
              <w:rPr>
                <w:rFonts w:asciiTheme="majorHAnsi" w:eastAsia="Times New Roman" w:hAnsiTheme="majorHAnsi" w:cs="Arial"/>
                <w:szCs w:val="20"/>
                <w:lang w:eastAsia="en-IN"/>
              </w:rPr>
              <w:t>CAPEX approved by Hon’ble Commission (Rs. Cr.)</w:t>
            </w:r>
          </w:p>
        </w:tc>
        <w:tc>
          <w:tcPr>
            <w:tcW w:w="970" w:type="dxa"/>
            <w:vAlign w:val="center"/>
          </w:tcPr>
          <w:p w14:paraId="1F6BAD03" w14:textId="77777777" w:rsidR="0036636F" w:rsidRPr="0052549E" w:rsidRDefault="0036636F" w:rsidP="000F221E">
            <w:pPr>
              <w:pStyle w:val="ListParagraph"/>
              <w:spacing w:after="0" w:line="240" w:lineRule="auto"/>
              <w:ind w:left="0"/>
              <w:jc w:val="center"/>
              <w:rPr>
                <w:rFonts w:asciiTheme="majorHAnsi" w:eastAsia="Times New Roman" w:hAnsiTheme="majorHAnsi" w:cs="Arial"/>
                <w:szCs w:val="20"/>
                <w:lang w:eastAsia="en-IN"/>
              </w:rPr>
            </w:pPr>
            <w:r w:rsidRPr="0052549E">
              <w:rPr>
                <w:rFonts w:asciiTheme="majorHAnsi" w:eastAsia="Times New Roman" w:hAnsiTheme="majorHAnsi" w:cs="Arial"/>
                <w:szCs w:val="20"/>
                <w:lang w:eastAsia="en-IN"/>
              </w:rPr>
              <w:t>333.13</w:t>
            </w:r>
          </w:p>
        </w:tc>
        <w:tc>
          <w:tcPr>
            <w:tcW w:w="971" w:type="dxa"/>
            <w:vAlign w:val="center"/>
          </w:tcPr>
          <w:p w14:paraId="00D91872" w14:textId="77777777" w:rsidR="0036636F" w:rsidRPr="0052549E" w:rsidRDefault="0036636F" w:rsidP="000F221E">
            <w:pPr>
              <w:pStyle w:val="ListParagraph"/>
              <w:spacing w:after="0" w:line="240" w:lineRule="auto"/>
              <w:ind w:left="0"/>
              <w:jc w:val="center"/>
              <w:rPr>
                <w:rFonts w:asciiTheme="majorHAnsi" w:eastAsia="Times New Roman" w:hAnsiTheme="majorHAnsi" w:cs="Arial"/>
                <w:szCs w:val="20"/>
                <w:lang w:eastAsia="en-IN"/>
              </w:rPr>
            </w:pPr>
            <w:r w:rsidRPr="0052549E">
              <w:rPr>
                <w:rFonts w:asciiTheme="majorHAnsi" w:eastAsia="Times New Roman" w:hAnsiTheme="majorHAnsi" w:cs="Arial"/>
                <w:szCs w:val="20"/>
                <w:lang w:eastAsia="en-IN"/>
              </w:rPr>
              <w:t>477.72</w:t>
            </w:r>
          </w:p>
        </w:tc>
        <w:tc>
          <w:tcPr>
            <w:tcW w:w="845" w:type="dxa"/>
            <w:vAlign w:val="center"/>
          </w:tcPr>
          <w:p w14:paraId="238B846A" w14:textId="77777777" w:rsidR="0036636F" w:rsidRPr="0052549E" w:rsidRDefault="0036636F" w:rsidP="000F221E">
            <w:pPr>
              <w:pStyle w:val="ListParagraph"/>
              <w:spacing w:after="0" w:line="240" w:lineRule="auto"/>
              <w:ind w:left="0"/>
              <w:jc w:val="center"/>
              <w:rPr>
                <w:rFonts w:asciiTheme="majorHAnsi" w:eastAsia="Times New Roman" w:hAnsiTheme="majorHAnsi" w:cs="Arial"/>
                <w:szCs w:val="20"/>
                <w:lang w:eastAsia="en-IN"/>
              </w:rPr>
            </w:pPr>
            <w:r w:rsidRPr="0052549E">
              <w:rPr>
                <w:rFonts w:asciiTheme="majorHAnsi" w:eastAsia="Times New Roman" w:hAnsiTheme="majorHAnsi" w:cs="Arial"/>
                <w:szCs w:val="20"/>
                <w:lang w:eastAsia="en-IN"/>
              </w:rPr>
              <w:t>381.91</w:t>
            </w:r>
          </w:p>
        </w:tc>
        <w:tc>
          <w:tcPr>
            <w:tcW w:w="774" w:type="dxa"/>
            <w:vAlign w:val="center"/>
          </w:tcPr>
          <w:p w14:paraId="3A63966C" w14:textId="77777777" w:rsidR="0036636F" w:rsidRPr="0052549E" w:rsidRDefault="0036636F" w:rsidP="000F221E">
            <w:pPr>
              <w:pStyle w:val="ListParagraph"/>
              <w:spacing w:after="0" w:line="240" w:lineRule="auto"/>
              <w:ind w:left="0"/>
              <w:jc w:val="center"/>
              <w:rPr>
                <w:rFonts w:asciiTheme="majorHAnsi" w:eastAsia="Times New Roman" w:hAnsiTheme="majorHAnsi" w:cs="Arial"/>
                <w:szCs w:val="20"/>
                <w:lang w:eastAsia="en-IN"/>
              </w:rPr>
            </w:pPr>
            <w:r w:rsidRPr="0052549E">
              <w:rPr>
                <w:rFonts w:asciiTheme="majorHAnsi" w:eastAsia="Times New Roman" w:hAnsiTheme="majorHAnsi" w:cs="Arial"/>
                <w:szCs w:val="20"/>
                <w:lang w:eastAsia="en-IN"/>
              </w:rPr>
              <w:t>493.77</w:t>
            </w:r>
          </w:p>
        </w:tc>
        <w:tc>
          <w:tcPr>
            <w:tcW w:w="774" w:type="dxa"/>
            <w:vAlign w:val="center"/>
          </w:tcPr>
          <w:p w14:paraId="198E9041" w14:textId="77777777" w:rsidR="0036636F" w:rsidRPr="0052549E" w:rsidRDefault="0036636F" w:rsidP="000F221E">
            <w:pPr>
              <w:pStyle w:val="ListParagraph"/>
              <w:spacing w:after="0" w:line="240" w:lineRule="auto"/>
              <w:ind w:left="0"/>
              <w:jc w:val="center"/>
              <w:rPr>
                <w:rFonts w:asciiTheme="majorHAnsi" w:eastAsia="Times New Roman" w:hAnsiTheme="majorHAnsi" w:cs="Arial"/>
                <w:szCs w:val="20"/>
                <w:lang w:eastAsia="en-IN"/>
              </w:rPr>
            </w:pPr>
            <w:r w:rsidRPr="0052549E">
              <w:rPr>
                <w:rFonts w:asciiTheme="majorHAnsi" w:eastAsia="Times New Roman" w:hAnsiTheme="majorHAnsi" w:cs="Arial"/>
                <w:szCs w:val="20"/>
                <w:lang w:eastAsia="en-IN"/>
              </w:rPr>
              <w:t>336.6</w:t>
            </w:r>
          </w:p>
        </w:tc>
        <w:tc>
          <w:tcPr>
            <w:tcW w:w="1392" w:type="dxa"/>
            <w:vAlign w:val="center"/>
          </w:tcPr>
          <w:p w14:paraId="0D40D5B3" w14:textId="77777777" w:rsidR="0036636F" w:rsidRPr="0052549E" w:rsidRDefault="0036636F" w:rsidP="000F221E">
            <w:pPr>
              <w:pStyle w:val="ListParagraph"/>
              <w:spacing w:after="0" w:line="240" w:lineRule="auto"/>
              <w:ind w:left="0"/>
              <w:jc w:val="center"/>
              <w:rPr>
                <w:rFonts w:asciiTheme="majorHAnsi" w:eastAsia="Times New Roman" w:hAnsiTheme="majorHAnsi" w:cs="Arial"/>
                <w:szCs w:val="20"/>
                <w:lang w:eastAsia="en-IN"/>
              </w:rPr>
            </w:pPr>
            <w:r w:rsidRPr="0052549E">
              <w:rPr>
                <w:rFonts w:asciiTheme="majorHAnsi" w:eastAsia="Times New Roman" w:hAnsiTheme="majorHAnsi" w:cs="Arial"/>
                <w:szCs w:val="20"/>
                <w:lang w:eastAsia="en-IN"/>
              </w:rPr>
              <w:t>111.13</w:t>
            </w:r>
          </w:p>
        </w:tc>
      </w:tr>
      <w:bookmarkEnd w:id="65"/>
    </w:tbl>
    <w:p w14:paraId="10FFE9D8" w14:textId="77777777" w:rsidR="0036636F" w:rsidRDefault="0036636F" w:rsidP="004276A0">
      <w:pPr>
        <w:spacing w:line="360" w:lineRule="auto"/>
        <w:jc w:val="both"/>
        <w:rPr>
          <w:rFonts w:ascii="Cambria" w:hAnsi="Cambria" w:cs="Arial"/>
        </w:rPr>
      </w:pPr>
    </w:p>
    <w:p w14:paraId="4C8DE8A5" w14:textId="65BC9DA6" w:rsidR="00304E25" w:rsidRDefault="00304E25" w:rsidP="00304E25">
      <w:pPr>
        <w:spacing w:after="120" w:line="360" w:lineRule="auto"/>
        <w:jc w:val="both"/>
        <w:rPr>
          <w:rFonts w:ascii="Cambria" w:hAnsi="Cambria" w:cs="Arial"/>
        </w:rPr>
      </w:pPr>
      <w:r>
        <w:rPr>
          <w:rFonts w:ascii="Cambria" w:hAnsi="Cambria" w:cs="Arial"/>
        </w:rPr>
        <w:t>T</w:t>
      </w:r>
      <w:r w:rsidRPr="00304E25">
        <w:rPr>
          <w:rFonts w:ascii="Cambria" w:hAnsi="Cambria" w:cs="Arial"/>
        </w:rPr>
        <w:t>he cumulative approval provided by the Hon’ble Commission is Rs. 2134.26 Cr. (incl. Addnl. Approval) till FY 25-26 out of the Vesting Order committed CAPEX of Rs. 1663 Cr. for 5 years. Accordingly, the Licensee has capitalized Rs</w:t>
      </w:r>
      <w:r w:rsidRPr="00D1408E">
        <w:rPr>
          <w:rFonts w:ascii="Cambria" w:hAnsi="Cambria" w:cs="Arial"/>
        </w:rPr>
        <w:t xml:space="preserve">. </w:t>
      </w:r>
      <w:r w:rsidR="00D1408E" w:rsidRPr="00D1408E">
        <w:rPr>
          <w:rFonts w:ascii="Cambria" w:hAnsi="Cambria" w:cs="Arial"/>
        </w:rPr>
        <w:t>1576.36</w:t>
      </w:r>
      <w:r w:rsidRPr="00D1408E">
        <w:rPr>
          <w:rFonts w:ascii="Cambria" w:hAnsi="Cambria" w:cs="Arial"/>
        </w:rPr>
        <w:t xml:space="preserve"> Cr. till</w:t>
      </w:r>
      <w:r w:rsidRPr="00304E25">
        <w:rPr>
          <w:rFonts w:ascii="Cambria" w:hAnsi="Cambria" w:cs="Arial"/>
        </w:rPr>
        <w:t xml:space="preserve"> </w:t>
      </w:r>
      <w:r w:rsidR="00D1408E">
        <w:rPr>
          <w:rFonts w:ascii="Cambria" w:hAnsi="Cambria" w:cs="Arial"/>
        </w:rPr>
        <w:t xml:space="preserve">September </w:t>
      </w:r>
      <w:r w:rsidRPr="00304E25">
        <w:rPr>
          <w:rFonts w:ascii="Cambria" w:hAnsi="Cambria" w:cs="Arial"/>
        </w:rPr>
        <w:t xml:space="preserve">2025. The balance amount of Rs. </w:t>
      </w:r>
      <w:r w:rsidR="003D47BD">
        <w:rPr>
          <w:rFonts w:ascii="Cambria" w:hAnsi="Cambria" w:cs="Arial"/>
        </w:rPr>
        <w:t>557.90</w:t>
      </w:r>
      <w:r w:rsidRPr="00304E25">
        <w:rPr>
          <w:rFonts w:ascii="Cambria" w:hAnsi="Cambria" w:cs="Arial"/>
        </w:rPr>
        <w:t xml:space="preserve"> Cr. is planned for capitalization in phased manner.</w:t>
      </w:r>
      <w:r w:rsidR="00B13575">
        <w:rPr>
          <w:rFonts w:ascii="Cambria" w:hAnsi="Cambria" w:cs="Arial"/>
        </w:rPr>
        <w:t xml:space="preserve"> </w:t>
      </w:r>
      <w:bookmarkStart w:id="66" w:name="_Hlk214290094"/>
      <w:r w:rsidR="00806447">
        <w:rPr>
          <w:rFonts w:asciiTheme="majorHAnsi" w:hAnsiTheme="majorHAnsi" w:cs="Arial"/>
          <w:lang w:eastAsia="en-IN"/>
        </w:rPr>
        <w:t>T</w:t>
      </w:r>
      <w:r w:rsidR="00B13575">
        <w:rPr>
          <w:rFonts w:asciiTheme="majorHAnsi" w:hAnsiTheme="majorHAnsi" w:cs="Arial"/>
          <w:lang w:eastAsia="en-IN"/>
        </w:rPr>
        <w:t>he Hon’ble Commission vide its letter no OERC/Engg-01/2023/705 dated 05-06-2025 has sought details on physical progress of CAPEX by the DISCOMS in a specified format to which the Licensee has submitted the progress report vide its letter dated 01-08-2025 having letter no – TPWODL/RA/2025/049.</w:t>
      </w:r>
    </w:p>
    <w:bookmarkEnd w:id="66"/>
    <w:p w14:paraId="2AD60248" w14:textId="412782BC" w:rsidR="009C4A94" w:rsidRDefault="008E1E8A" w:rsidP="00600D60">
      <w:pPr>
        <w:spacing w:after="120" w:line="360" w:lineRule="auto"/>
        <w:jc w:val="both"/>
        <w:rPr>
          <w:rFonts w:ascii="Cambria" w:hAnsi="Cambria" w:cs="Arial"/>
        </w:rPr>
      </w:pPr>
      <w:r>
        <w:rPr>
          <w:rFonts w:asciiTheme="majorHAnsi" w:hAnsiTheme="majorHAnsi" w:cs="Arial"/>
          <w:lang w:eastAsia="en-IN"/>
        </w:rPr>
        <w:t>T</w:t>
      </w:r>
      <w:r w:rsidR="00D55EA5">
        <w:rPr>
          <w:rFonts w:asciiTheme="majorHAnsi" w:hAnsiTheme="majorHAnsi" w:cs="Arial"/>
          <w:lang w:eastAsia="en-IN"/>
        </w:rPr>
        <w:t>he Hon’ble Commission vide it’s letter no. DIR(T)</w:t>
      </w:r>
      <w:r w:rsidR="00D55EA5">
        <w:rPr>
          <w:rFonts w:asciiTheme="majorHAnsi" w:hAnsiTheme="majorHAnsi" w:cs="Arial"/>
          <w:lang w:val="en-IN" w:eastAsia="en-IN"/>
        </w:rPr>
        <w:t xml:space="preserve">-319/08/580 dated 08.05.2025 has circulated the MoM (Meeting among the stakeholders held at OERC office on 28.04.2025 regarding the Safety Aspect of the Power Sector in Odisha), wherein the Licensee was asked to submit the list of actionable points with respect to safety aspects of human being, animals and electrical installation of the power system in the operating area. Accordingly, a Safety CAPEX plan had also been filed by </w:t>
      </w:r>
      <w:r w:rsidR="00D55EA5">
        <w:rPr>
          <w:rFonts w:asciiTheme="majorHAnsi" w:hAnsiTheme="majorHAnsi" w:cs="Arial"/>
          <w:lang w:eastAsia="en-IN"/>
        </w:rPr>
        <w:t>TPWODL which has been registered as Case no 48 of 2025 for which hearing is concluded and the order is reserved.</w:t>
      </w:r>
    </w:p>
    <w:p w14:paraId="7DBE1D52" w14:textId="0C488125" w:rsidR="001D04BE" w:rsidRDefault="005B0F5E" w:rsidP="00600D60">
      <w:pPr>
        <w:spacing w:after="120" w:line="360" w:lineRule="auto"/>
        <w:jc w:val="both"/>
        <w:rPr>
          <w:rFonts w:ascii="Cambria" w:hAnsi="Cambria" w:cs="Arial"/>
        </w:rPr>
      </w:pPr>
      <w:r>
        <w:rPr>
          <w:rFonts w:ascii="Cambria" w:hAnsi="Cambria" w:cs="Arial"/>
        </w:rPr>
        <w:t>Further, t</w:t>
      </w:r>
      <w:r w:rsidR="001D04BE" w:rsidRPr="001D04BE">
        <w:rPr>
          <w:rFonts w:ascii="Cambria" w:hAnsi="Cambria" w:cs="Arial"/>
        </w:rPr>
        <w:t xml:space="preserve">he Licensee has submitted its CAPEX Plan for FY 26-27 amounting to Rs. 525.30 </w:t>
      </w:r>
      <w:r w:rsidR="00653A3D">
        <w:rPr>
          <w:rFonts w:ascii="Cambria" w:hAnsi="Cambria" w:cs="Arial"/>
        </w:rPr>
        <w:t>Cr</w:t>
      </w:r>
      <w:r w:rsidR="001D04BE" w:rsidRPr="001D04BE">
        <w:rPr>
          <w:rFonts w:ascii="Cambria" w:hAnsi="Cambria" w:cs="Arial"/>
        </w:rPr>
        <w:t xml:space="preserve">. The detailed CAPEX proposal was filed before the Hon’ble Commission through an affidavit dated 10.09.2025. </w:t>
      </w:r>
    </w:p>
    <w:p w14:paraId="27BD3A10" w14:textId="3FBA3374" w:rsidR="008B513F" w:rsidRDefault="008B513F" w:rsidP="00600D60">
      <w:pPr>
        <w:spacing w:after="120" w:line="360" w:lineRule="auto"/>
        <w:jc w:val="both"/>
        <w:rPr>
          <w:rFonts w:ascii="Cambria" w:hAnsi="Cambria" w:cs="Arial"/>
        </w:rPr>
      </w:pPr>
      <w:r>
        <w:rPr>
          <w:rFonts w:ascii="Cambria" w:hAnsi="Cambria" w:cs="Arial"/>
        </w:rPr>
        <w:t xml:space="preserve">The Licensee in terms of Tariff Regulations, 2022 </w:t>
      </w:r>
      <w:r w:rsidR="002949F9">
        <w:rPr>
          <w:rFonts w:ascii="Cambria" w:hAnsi="Cambria" w:cs="Arial"/>
        </w:rPr>
        <w:t xml:space="preserve">has computed and claimed the interest on CAPEX loans on a normative basis. </w:t>
      </w:r>
    </w:p>
    <w:p w14:paraId="613D8D15" w14:textId="1DC442A5" w:rsidR="00C22E79" w:rsidRDefault="00C22E79" w:rsidP="00600D60">
      <w:pPr>
        <w:spacing w:after="120" w:line="360" w:lineRule="auto"/>
        <w:jc w:val="both"/>
        <w:rPr>
          <w:rFonts w:ascii="Cambria" w:hAnsi="Cambria" w:cs="Arial"/>
        </w:rPr>
      </w:pPr>
      <w:r>
        <w:rPr>
          <w:rFonts w:ascii="Cambria" w:hAnsi="Cambria" w:cs="Arial"/>
        </w:rPr>
        <w:t>Accordingly</w:t>
      </w:r>
      <w:r w:rsidR="006131CF">
        <w:rPr>
          <w:rFonts w:ascii="Cambria" w:hAnsi="Cambria" w:cs="Arial"/>
        </w:rPr>
        <w:t>,</w:t>
      </w:r>
      <w:r>
        <w:rPr>
          <w:rFonts w:ascii="Cambria" w:hAnsi="Cambria" w:cs="Arial"/>
        </w:rPr>
        <w:t xml:space="preserve"> the Licensee has computed the </w:t>
      </w:r>
      <w:r w:rsidR="00FC1154">
        <w:rPr>
          <w:rFonts w:ascii="Cambria" w:hAnsi="Cambria" w:cs="Arial"/>
        </w:rPr>
        <w:t>net additions for loan computation as under:</w:t>
      </w:r>
    </w:p>
    <w:tbl>
      <w:tblPr>
        <w:tblW w:w="8300" w:type="dxa"/>
        <w:tblLook w:val="04A0" w:firstRow="1" w:lastRow="0" w:firstColumn="1" w:lastColumn="0" w:noHBand="0" w:noVBand="1"/>
      </w:tblPr>
      <w:tblGrid>
        <w:gridCol w:w="3260"/>
        <w:gridCol w:w="1740"/>
        <w:gridCol w:w="1420"/>
        <w:gridCol w:w="1880"/>
      </w:tblGrid>
      <w:tr w:rsidR="00FC1154" w:rsidRPr="00361EBF" w14:paraId="06143751" w14:textId="77777777" w:rsidTr="00FC1154">
        <w:trPr>
          <w:trHeight w:val="290"/>
        </w:trPr>
        <w:tc>
          <w:tcPr>
            <w:tcW w:w="3260" w:type="dxa"/>
            <w:tcBorders>
              <w:top w:val="single" w:sz="4" w:space="0" w:color="auto"/>
              <w:left w:val="single" w:sz="4" w:space="0" w:color="auto"/>
              <w:bottom w:val="single" w:sz="4" w:space="0" w:color="auto"/>
              <w:right w:val="single" w:sz="4" w:space="0" w:color="auto"/>
            </w:tcBorders>
            <w:noWrap/>
            <w:vAlign w:val="center"/>
            <w:hideMark/>
          </w:tcPr>
          <w:p w14:paraId="5C3B2F0B" w14:textId="77777777" w:rsidR="00FC1154" w:rsidRPr="00361EBF" w:rsidRDefault="00FC1154">
            <w:pPr>
              <w:rPr>
                <w:rFonts w:asciiTheme="majorHAnsi" w:hAnsiTheme="majorHAnsi" w:cs="Calibri"/>
                <w:b/>
                <w:bCs/>
                <w:color w:val="000000"/>
                <w:sz w:val="22"/>
                <w:szCs w:val="22"/>
                <w:lang w:val="en-IN" w:eastAsia="en-IN"/>
              </w:rPr>
            </w:pPr>
            <w:r w:rsidRPr="00361EBF">
              <w:rPr>
                <w:rFonts w:asciiTheme="majorHAnsi" w:hAnsiTheme="majorHAnsi" w:cs="Calibri"/>
                <w:b/>
                <w:bCs/>
                <w:color w:val="000000"/>
                <w:sz w:val="22"/>
                <w:szCs w:val="22"/>
              </w:rPr>
              <w:t>Particulars</w:t>
            </w:r>
          </w:p>
        </w:tc>
        <w:tc>
          <w:tcPr>
            <w:tcW w:w="1740" w:type="dxa"/>
            <w:tcBorders>
              <w:top w:val="single" w:sz="4" w:space="0" w:color="auto"/>
              <w:left w:val="nil"/>
              <w:bottom w:val="single" w:sz="4" w:space="0" w:color="auto"/>
              <w:right w:val="single" w:sz="4" w:space="0" w:color="auto"/>
            </w:tcBorders>
            <w:noWrap/>
            <w:vAlign w:val="center"/>
            <w:hideMark/>
          </w:tcPr>
          <w:p w14:paraId="6588B155" w14:textId="77777777" w:rsidR="00FC1154" w:rsidRPr="00361EBF" w:rsidRDefault="00FC1154">
            <w:pPr>
              <w:jc w:val="center"/>
              <w:rPr>
                <w:rFonts w:asciiTheme="majorHAnsi" w:hAnsiTheme="majorHAnsi" w:cs="Arial"/>
                <w:b/>
                <w:bCs/>
                <w:sz w:val="22"/>
                <w:szCs w:val="22"/>
              </w:rPr>
            </w:pPr>
            <w:r w:rsidRPr="00361EBF">
              <w:rPr>
                <w:rFonts w:asciiTheme="majorHAnsi" w:hAnsiTheme="majorHAnsi" w:cs="Arial"/>
                <w:b/>
                <w:bCs/>
                <w:sz w:val="22"/>
                <w:szCs w:val="22"/>
              </w:rPr>
              <w:t>FY 2024-25</w:t>
            </w:r>
          </w:p>
        </w:tc>
        <w:tc>
          <w:tcPr>
            <w:tcW w:w="1420" w:type="dxa"/>
            <w:tcBorders>
              <w:top w:val="single" w:sz="4" w:space="0" w:color="auto"/>
              <w:left w:val="nil"/>
              <w:bottom w:val="single" w:sz="4" w:space="0" w:color="auto"/>
              <w:right w:val="single" w:sz="4" w:space="0" w:color="auto"/>
            </w:tcBorders>
            <w:noWrap/>
            <w:vAlign w:val="center"/>
            <w:hideMark/>
          </w:tcPr>
          <w:p w14:paraId="4807E72A" w14:textId="77777777" w:rsidR="00FC1154" w:rsidRPr="00361EBF" w:rsidRDefault="00FC1154">
            <w:pPr>
              <w:jc w:val="center"/>
              <w:rPr>
                <w:rFonts w:asciiTheme="majorHAnsi" w:hAnsiTheme="majorHAnsi" w:cs="Arial"/>
                <w:b/>
                <w:bCs/>
                <w:sz w:val="22"/>
                <w:szCs w:val="22"/>
              </w:rPr>
            </w:pPr>
            <w:r w:rsidRPr="00361EBF">
              <w:rPr>
                <w:rFonts w:asciiTheme="majorHAnsi" w:hAnsiTheme="majorHAnsi" w:cs="Arial"/>
                <w:b/>
                <w:bCs/>
                <w:sz w:val="22"/>
                <w:szCs w:val="22"/>
              </w:rPr>
              <w:t>FY 2025-26</w:t>
            </w:r>
          </w:p>
        </w:tc>
        <w:tc>
          <w:tcPr>
            <w:tcW w:w="1880" w:type="dxa"/>
            <w:tcBorders>
              <w:top w:val="single" w:sz="4" w:space="0" w:color="auto"/>
              <w:left w:val="nil"/>
              <w:bottom w:val="single" w:sz="4" w:space="0" w:color="auto"/>
              <w:right w:val="single" w:sz="4" w:space="0" w:color="auto"/>
            </w:tcBorders>
            <w:noWrap/>
            <w:vAlign w:val="center"/>
            <w:hideMark/>
          </w:tcPr>
          <w:p w14:paraId="723C1590" w14:textId="77777777" w:rsidR="00FC1154" w:rsidRPr="00361EBF" w:rsidRDefault="00FC1154">
            <w:pPr>
              <w:jc w:val="center"/>
              <w:rPr>
                <w:rFonts w:asciiTheme="majorHAnsi" w:hAnsiTheme="majorHAnsi" w:cs="Arial"/>
                <w:b/>
                <w:bCs/>
                <w:sz w:val="22"/>
                <w:szCs w:val="22"/>
              </w:rPr>
            </w:pPr>
            <w:r w:rsidRPr="00361EBF">
              <w:rPr>
                <w:rFonts w:asciiTheme="majorHAnsi" w:hAnsiTheme="majorHAnsi" w:cs="Arial"/>
                <w:b/>
                <w:bCs/>
                <w:sz w:val="22"/>
                <w:szCs w:val="22"/>
              </w:rPr>
              <w:t>FY 2026-27</w:t>
            </w:r>
          </w:p>
        </w:tc>
      </w:tr>
      <w:tr w:rsidR="00FC1154" w:rsidRPr="00361EBF" w14:paraId="094D8D56" w14:textId="77777777" w:rsidTr="00FC1154">
        <w:trPr>
          <w:trHeight w:val="510"/>
        </w:trPr>
        <w:tc>
          <w:tcPr>
            <w:tcW w:w="3260" w:type="dxa"/>
            <w:tcBorders>
              <w:top w:val="nil"/>
              <w:left w:val="single" w:sz="4" w:space="0" w:color="auto"/>
              <w:bottom w:val="single" w:sz="4" w:space="0" w:color="auto"/>
              <w:right w:val="single" w:sz="4" w:space="0" w:color="auto"/>
            </w:tcBorders>
            <w:vAlign w:val="bottom"/>
            <w:hideMark/>
          </w:tcPr>
          <w:p w14:paraId="509AD798" w14:textId="77777777" w:rsidR="00FC1154" w:rsidRPr="00361EBF" w:rsidRDefault="00FC1154">
            <w:pPr>
              <w:rPr>
                <w:rFonts w:asciiTheme="majorHAnsi" w:hAnsiTheme="majorHAnsi" w:cs="Arial"/>
                <w:sz w:val="22"/>
                <w:szCs w:val="22"/>
              </w:rPr>
            </w:pPr>
            <w:r w:rsidRPr="00361EBF">
              <w:rPr>
                <w:rFonts w:asciiTheme="majorHAnsi" w:hAnsiTheme="majorHAnsi" w:cs="Arial"/>
                <w:sz w:val="22"/>
                <w:szCs w:val="22"/>
              </w:rPr>
              <w:t>Additions in GFA of TPWODL Assets - own funds</w:t>
            </w:r>
          </w:p>
        </w:tc>
        <w:tc>
          <w:tcPr>
            <w:tcW w:w="1740" w:type="dxa"/>
            <w:tcBorders>
              <w:top w:val="nil"/>
              <w:left w:val="nil"/>
              <w:bottom w:val="single" w:sz="4" w:space="0" w:color="auto"/>
              <w:right w:val="single" w:sz="4" w:space="0" w:color="auto"/>
            </w:tcBorders>
            <w:noWrap/>
            <w:vAlign w:val="center"/>
            <w:hideMark/>
          </w:tcPr>
          <w:p w14:paraId="5F4DD2C2" w14:textId="705E5E55" w:rsidR="00FC1154" w:rsidRPr="00361EBF" w:rsidRDefault="00FC1154">
            <w:pPr>
              <w:jc w:val="center"/>
              <w:rPr>
                <w:rFonts w:asciiTheme="majorHAnsi" w:hAnsiTheme="majorHAnsi" w:cs="Arial"/>
                <w:sz w:val="22"/>
                <w:szCs w:val="22"/>
              </w:rPr>
            </w:pPr>
            <w:r w:rsidRPr="00361EBF">
              <w:rPr>
                <w:rFonts w:asciiTheme="majorHAnsi" w:hAnsiTheme="majorHAnsi" w:cs="Arial"/>
                <w:sz w:val="22"/>
                <w:szCs w:val="22"/>
              </w:rPr>
              <w:t>713.12</w:t>
            </w:r>
          </w:p>
        </w:tc>
        <w:tc>
          <w:tcPr>
            <w:tcW w:w="1420" w:type="dxa"/>
            <w:tcBorders>
              <w:top w:val="nil"/>
              <w:left w:val="nil"/>
              <w:bottom w:val="single" w:sz="4" w:space="0" w:color="auto"/>
              <w:right w:val="single" w:sz="4" w:space="0" w:color="auto"/>
            </w:tcBorders>
            <w:noWrap/>
            <w:vAlign w:val="center"/>
            <w:hideMark/>
          </w:tcPr>
          <w:p w14:paraId="479B55EF" w14:textId="5DBD1961" w:rsidR="00FC1154" w:rsidRPr="00361EBF" w:rsidRDefault="00FC1154">
            <w:pPr>
              <w:jc w:val="center"/>
              <w:rPr>
                <w:rFonts w:asciiTheme="majorHAnsi" w:hAnsiTheme="majorHAnsi" w:cs="Arial"/>
                <w:sz w:val="22"/>
                <w:szCs w:val="22"/>
              </w:rPr>
            </w:pPr>
            <w:r w:rsidRPr="00361EBF">
              <w:rPr>
                <w:rFonts w:asciiTheme="majorHAnsi" w:hAnsiTheme="majorHAnsi" w:cs="Arial"/>
                <w:sz w:val="22"/>
                <w:szCs w:val="22"/>
              </w:rPr>
              <w:t>675.72</w:t>
            </w:r>
          </w:p>
        </w:tc>
        <w:tc>
          <w:tcPr>
            <w:tcW w:w="1880" w:type="dxa"/>
            <w:tcBorders>
              <w:top w:val="nil"/>
              <w:left w:val="nil"/>
              <w:bottom w:val="single" w:sz="4" w:space="0" w:color="auto"/>
              <w:right w:val="single" w:sz="4" w:space="0" w:color="auto"/>
            </w:tcBorders>
            <w:noWrap/>
            <w:vAlign w:val="center"/>
            <w:hideMark/>
          </w:tcPr>
          <w:p w14:paraId="2D3C9C86" w14:textId="20B36FDC" w:rsidR="00FC1154" w:rsidRPr="00361EBF" w:rsidRDefault="00FC1154">
            <w:pPr>
              <w:jc w:val="center"/>
              <w:rPr>
                <w:rFonts w:asciiTheme="majorHAnsi" w:hAnsiTheme="majorHAnsi" w:cs="Arial"/>
                <w:sz w:val="22"/>
                <w:szCs w:val="22"/>
              </w:rPr>
            </w:pPr>
            <w:r w:rsidRPr="00361EBF">
              <w:rPr>
                <w:rFonts w:asciiTheme="majorHAnsi" w:hAnsiTheme="majorHAnsi" w:cs="Arial"/>
                <w:sz w:val="22"/>
                <w:szCs w:val="22"/>
              </w:rPr>
              <w:t>699.43</w:t>
            </w:r>
          </w:p>
        </w:tc>
      </w:tr>
      <w:tr w:rsidR="00FC1154" w:rsidRPr="00361EBF" w14:paraId="6B0C2407" w14:textId="77777777" w:rsidTr="00FC1154">
        <w:trPr>
          <w:trHeight w:val="260"/>
        </w:trPr>
        <w:tc>
          <w:tcPr>
            <w:tcW w:w="3260" w:type="dxa"/>
            <w:tcBorders>
              <w:top w:val="nil"/>
              <w:left w:val="single" w:sz="4" w:space="0" w:color="auto"/>
              <w:bottom w:val="single" w:sz="4" w:space="0" w:color="auto"/>
              <w:right w:val="single" w:sz="4" w:space="0" w:color="auto"/>
            </w:tcBorders>
            <w:noWrap/>
            <w:vAlign w:val="bottom"/>
            <w:hideMark/>
          </w:tcPr>
          <w:p w14:paraId="7F33C8BF" w14:textId="77777777" w:rsidR="00FC1154" w:rsidRPr="00361EBF" w:rsidRDefault="00FC1154">
            <w:pPr>
              <w:rPr>
                <w:rFonts w:asciiTheme="majorHAnsi" w:hAnsiTheme="majorHAnsi" w:cs="Arial"/>
                <w:sz w:val="22"/>
                <w:szCs w:val="22"/>
              </w:rPr>
            </w:pPr>
            <w:r w:rsidRPr="00361EBF">
              <w:rPr>
                <w:rFonts w:asciiTheme="majorHAnsi" w:hAnsiTheme="majorHAnsi" w:cs="Arial"/>
                <w:sz w:val="22"/>
                <w:szCs w:val="22"/>
              </w:rPr>
              <w:t>Less: Meter Cost Capitalization</w:t>
            </w:r>
          </w:p>
        </w:tc>
        <w:tc>
          <w:tcPr>
            <w:tcW w:w="1740" w:type="dxa"/>
            <w:tcBorders>
              <w:top w:val="nil"/>
              <w:left w:val="nil"/>
              <w:bottom w:val="single" w:sz="4" w:space="0" w:color="auto"/>
              <w:right w:val="single" w:sz="4" w:space="0" w:color="auto"/>
            </w:tcBorders>
            <w:noWrap/>
            <w:vAlign w:val="center"/>
            <w:hideMark/>
          </w:tcPr>
          <w:p w14:paraId="00A9438C" w14:textId="51436DBD" w:rsidR="00FC1154" w:rsidRPr="00361EBF" w:rsidRDefault="00FC1154">
            <w:pPr>
              <w:jc w:val="center"/>
              <w:rPr>
                <w:rFonts w:asciiTheme="majorHAnsi" w:hAnsiTheme="majorHAnsi" w:cs="Arial"/>
                <w:sz w:val="22"/>
                <w:szCs w:val="22"/>
              </w:rPr>
            </w:pPr>
            <w:r w:rsidRPr="00361EBF">
              <w:rPr>
                <w:rFonts w:asciiTheme="majorHAnsi" w:hAnsiTheme="majorHAnsi" w:cs="Arial"/>
                <w:sz w:val="22"/>
                <w:szCs w:val="22"/>
              </w:rPr>
              <w:t>134.36</w:t>
            </w:r>
          </w:p>
        </w:tc>
        <w:tc>
          <w:tcPr>
            <w:tcW w:w="1420" w:type="dxa"/>
            <w:tcBorders>
              <w:top w:val="nil"/>
              <w:left w:val="nil"/>
              <w:bottom w:val="single" w:sz="4" w:space="0" w:color="auto"/>
              <w:right w:val="single" w:sz="4" w:space="0" w:color="auto"/>
            </w:tcBorders>
            <w:noWrap/>
            <w:vAlign w:val="center"/>
            <w:hideMark/>
          </w:tcPr>
          <w:p w14:paraId="78910495" w14:textId="16047B6B" w:rsidR="00FC1154" w:rsidRPr="00361EBF" w:rsidRDefault="00FC1154">
            <w:pPr>
              <w:jc w:val="center"/>
              <w:rPr>
                <w:rFonts w:asciiTheme="majorHAnsi" w:hAnsiTheme="majorHAnsi" w:cs="Arial"/>
                <w:sz w:val="22"/>
                <w:szCs w:val="22"/>
              </w:rPr>
            </w:pPr>
            <w:r w:rsidRPr="00361EBF">
              <w:rPr>
                <w:rFonts w:asciiTheme="majorHAnsi" w:hAnsiTheme="majorHAnsi" w:cs="Arial"/>
                <w:sz w:val="22"/>
                <w:szCs w:val="22"/>
              </w:rPr>
              <w:t>120.00</w:t>
            </w:r>
          </w:p>
        </w:tc>
        <w:tc>
          <w:tcPr>
            <w:tcW w:w="1880" w:type="dxa"/>
            <w:tcBorders>
              <w:top w:val="nil"/>
              <w:left w:val="nil"/>
              <w:bottom w:val="single" w:sz="4" w:space="0" w:color="auto"/>
              <w:right w:val="single" w:sz="4" w:space="0" w:color="auto"/>
            </w:tcBorders>
            <w:noWrap/>
            <w:vAlign w:val="center"/>
            <w:hideMark/>
          </w:tcPr>
          <w:p w14:paraId="6E69C735" w14:textId="260D7CCB" w:rsidR="00FC1154" w:rsidRPr="00361EBF" w:rsidRDefault="00FC1154">
            <w:pPr>
              <w:jc w:val="center"/>
              <w:rPr>
                <w:rFonts w:asciiTheme="majorHAnsi" w:hAnsiTheme="majorHAnsi" w:cs="Arial"/>
                <w:sz w:val="22"/>
                <w:szCs w:val="22"/>
              </w:rPr>
            </w:pPr>
            <w:r w:rsidRPr="00361EBF">
              <w:rPr>
                <w:rFonts w:asciiTheme="majorHAnsi" w:hAnsiTheme="majorHAnsi" w:cs="Arial"/>
                <w:sz w:val="22"/>
                <w:szCs w:val="22"/>
              </w:rPr>
              <w:t>120.00</w:t>
            </w:r>
          </w:p>
        </w:tc>
      </w:tr>
      <w:tr w:rsidR="00FC1154" w:rsidRPr="00361EBF" w14:paraId="184FCD65" w14:textId="77777777" w:rsidTr="00FC1154">
        <w:trPr>
          <w:trHeight w:val="260"/>
        </w:trPr>
        <w:tc>
          <w:tcPr>
            <w:tcW w:w="3260" w:type="dxa"/>
            <w:tcBorders>
              <w:top w:val="nil"/>
              <w:left w:val="single" w:sz="4" w:space="0" w:color="auto"/>
              <w:bottom w:val="single" w:sz="4" w:space="0" w:color="auto"/>
              <w:right w:val="single" w:sz="4" w:space="0" w:color="auto"/>
            </w:tcBorders>
            <w:noWrap/>
            <w:vAlign w:val="bottom"/>
            <w:hideMark/>
          </w:tcPr>
          <w:p w14:paraId="4BCF1069" w14:textId="77777777" w:rsidR="00FC1154" w:rsidRPr="00361EBF" w:rsidRDefault="00FC1154">
            <w:pPr>
              <w:rPr>
                <w:rFonts w:asciiTheme="majorHAnsi" w:hAnsiTheme="majorHAnsi" w:cs="Arial"/>
                <w:b/>
                <w:bCs/>
                <w:sz w:val="22"/>
                <w:szCs w:val="22"/>
              </w:rPr>
            </w:pPr>
            <w:r w:rsidRPr="00361EBF">
              <w:rPr>
                <w:rFonts w:asciiTheme="majorHAnsi" w:hAnsiTheme="majorHAnsi" w:cs="Arial"/>
                <w:b/>
                <w:bCs/>
                <w:sz w:val="22"/>
                <w:szCs w:val="22"/>
              </w:rPr>
              <w:t>Net Additions</w:t>
            </w:r>
          </w:p>
        </w:tc>
        <w:tc>
          <w:tcPr>
            <w:tcW w:w="1740" w:type="dxa"/>
            <w:tcBorders>
              <w:top w:val="nil"/>
              <w:left w:val="nil"/>
              <w:bottom w:val="single" w:sz="4" w:space="0" w:color="auto"/>
              <w:right w:val="single" w:sz="4" w:space="0" w:color="auto"/>
            </w:tcBorders>
            <w:noWrap/>
            <w:vAlign w:val="center"/>
            <w:hideMark/>
          </w:tcPr>
          <w:p w14:paraId="61B56D53" w14:textId="03674A37" w:rsidR="00FC1154" w:rsidRPr="00361EBF" w:rsidRDefault="00FC1154">
            <w:pPr>
              <w:jc w:val="center"/>
              <w:rPr>
                <w:rFonts w:asciiTheme="majorHAnsi" w:hAnsiTheme="majorHAnsi" w:cs="Arial"/>
                <w:b/>
                <w:bCs/>
                <w:sz w:val="22"/>
                <w:szCs w:val="22"/>
              </w:rPr>
            </w:pPr>
            <w:r w:rsidRPr="00361EBF">
              <w:rPr>
                <w:rFonts w:asciiTheme="majorHAnsi" w:hAnsiTheme="majorHAnsi" w:cs="Arial"/>
                <w:b/>
                <w:bCs/>
                <w:sz w:val="22"/>
                <w:szCs w:val="22"/>
              </w:rPr>
              <w:t>578.76</w:t>
            </w:r>
          </w:p>
        </w:tc>
        <w:tc>
          <w:tcPr>
            <w:tcW w:w="1420" w:type="dxa"/>
            <w:tcBorders>
              <w:top w:val="nil"/>
              <w:left w:val="nil"/>
              <w:bottom w:val="single" w:sz="4" w:space="0" w:color="auto"/>
              <w:right w:val="single" w:sz="4" w:space="0" w:color="auto"/>
            </w:tcBorders>
            <w:noWrap/>
            <w:vAlign w:val="center"/>
            <w:hideMark/>
          </w:tcPr>
          <w:p w14:paraId="082FF98C" w14:textId="60B14BDB" w:rsidR="00FC1154" w:rsidRPr="00361EBF" w:rsidRDefault="00FC1154">
            <w:pPr>
              <w:jc w:val="center"/>
              <w:rPr>
                <w:rFonts w:asciiTheme="majorHAnsi" w:hAnsiTheme="majorHAnsi" w:cs="Arial"/>
                <w:b/>
                <w:bCs/>
                <w:sz w:val="22"/>
                <w:szCs w:val="22"/>
              </w:rPr>
            </w:pPr>
            <w:r w:rsidRPr="00361EBF">
              <w:rPr>
                <w:rFonts w:asciiTheme="majorHAnsi" w:hAnsiTheme="majorHAnsi" w:cs="Arial"/>
                <w:b/>
                <w:bCs/>
                <w:sz w:val="22"/>
                <w:szCs w:val="22"/>
              </w:rPr>
              <w:t>555.72</w:t>
            </w:r>
          </w:p>
        </w:tc>
        <w:tc>
          <w:tcPr>
            <w:tcW w:w="1880" w:type="dxa"/>
            <w:tcBorders>
              <w:top w:val="nil"/>
              <w:left w:val="nil"/>
              <w:bottom w:val="single" w:sz="4" w:space="0" w:color="auto"/>
              <w:right w:val="single" w:sz="4" w:space="0" w:color="auto"/>
            </w:tcBorders>
            <w:noWrap/>
            <w:vAlign w:val="center"/>
            <w:hideMark/>
          </w:tcPr>
          <w:p w14:paraId="33853505" w14:textId="328E9C56" w:rsidR="00FC1154" w:rsidRPr="00361EBF" w:rsidRDefault="00FC1154">
            <w:pPr>
              <w:jc w:val="center"/>
              <w:rPr>
                <w:rFonts w:asciiTheme="majorHAnsi" w:hAnsiTheme="majorHAnsi" w:cs="Arial"/>
                <w:b/>
                <w:bCs/>
                <w:sz w:val="22"/>
                <w:szCs w:val="22"/>
              </w:rPr>
            </w:pPr>
            <w:r w:rsidRPr="00361EBF">
              <w:rPr>
                <w:rFonts w:asciiTheme="majorHAnsi" w:hAnsiTheme="majorHAnsi" w:cs="Arial"/>
                <w:b/>
                <w:bCs/>
                <w:sz w:val="22"/>
                <w:szCs w:val="22"/>
              </w:rPr>
              <w:t>579.43</w:t>
            </w:r>
          </w:p>
        </w:tc>
      </w:tr>
      <w:tr w:rsidR="00FC1154" w:rsidRPr="00361EBF" w14:paraId="3B588019" w14:textId="77777777" w:rsidTr="00FC1154">
        <w:trPr>
          <w:trHeight w:val="260"/>
        </w:trPr>
        <w:tc>
          <w:tcPr>
            <w:tcW w:w="3260" w:type="dxa"/>
            <w:tcBorders>
              <w:top w:val="nil"/>
              <w:left w:val="single" w:sz="4" w:space="0" w:color="auto"/>
              <w:bottom w:val="single" w:sz="4" w:space="0" w:color="auto"/>
              <w:right w:val="single" w:sz="4" w:space="0" w:color="auto"/>
            </w:tcBorders>
            <w:noWrap/>
            <w:vAlign w:val="bottom"/>
            <w:hideMark/>
          </w:tcPr>
          <w:p w14:paraId="48876798" w14:textId="77777777" w:rsidR="00FC1154" w:rsidRPr="00361EBF" w:rsidRDefault="00FC1154">
            <w:pPr>
              <w:rPr>
                <w:rFonts w:asciiTheme="majorHAnsi" w:hAnsiTheme="majorHAnsi" w:cs="Arial"/>
                <w:sz w:val="22"/>
                <w:szCs w:val="22"/>
              </w:rPr>
            </w:pPr>
            <w:r w:rsidRPr="00361EBF">
              <w:rPr>
                <w:rFonts w:asciiTheme="majorHAnsi" w:hAnsiTheme="majorHAnsi" w:cs="Arial"/>
                <w:sz w:val="22"/>
                <w:szCs w:val="22"/>
              </w:rPr>
              <w:t>Loan @ 70%</w:t>
            </w:r>
          </w:p>
        </w:tc>
        <w:tc>
          <w:tcPr>
            <w:tcW w:w="1740" w:type="dxa"/>
            <w:tcBorders>
              <w:top w:val="nil"/>
              <w:left w:val="nil"/>
              <w:bottom w:val="single" w:sz="4" w:space="0" w:color="auto"/>
              <w:right w:val="single" w:sz="4" w:space="0" w:color="auto"/>
            </w:tcBorders>
            <w:noWrap/>
            <w:vAlign w:val="center"/>
            <w:hideMark/>
          </w:tcPr>
          <w:p w14:paraId="0D9E0C23" w14:textId="6AD54003" w:rsidR="00FC1154" w:rsidRPr="00361EBF" w:rsidRDefault="00FC1154">
            <w:pPr>
              <w:jc w:val="center"/>
              <w:rPr>
                <w:rFonts w:asciiTheme="majorHAnsi" w:hAnsiTheme="majorHAnsi" w:cs="Arial"/>
                <w:sz w:val="22"/>
                <w:szCs w:val="22"/>
              </w:rPr>
            </w:pPr>
            <w:r w:rsidRPr="00361EBF">
              <w:rPr>
                <w:rFonts w:asciiTheme="majorHAnsi" w:hAnsiTheme="majorHAnsi" w:cs="Arial"/>
                <w:sz w:val="22"/>
                <w:szCs w:val="22"/>
              </w:rPr>
              <w:t>405.13</w:t>
            </w:r>
          </w:p>
        </w:tc>
        <w:tc>
          <w:tcPr>
            <w:tcW w:w="1420" w:type="dxa"/>
            <w:tcBorders>
              <w:top w:val="nil"/>
              <w:left w:val="nil"/>
              <w:bottom w:val="single" w:sz="4" w:space="0" w:color="auto"/>
              <w:right w:val="single" w:sz="4" w:space="0" w:color="auto"/>
            </w:tcBorders>
            <w:noWrap/>
            <w:vAlign w:val="center"/>
            <w:hideMark/>
          </w:tcPr>
          <w:p w14:paraId="03444CFF" w14:textId="7269FD61" w:rsidR="00FC1154" w:rsidRPr="00361EBF" w:rsidRDefault="00FC1154">
            <w:pPr>
              <w:jc w:val="center"/>
              <w:rPr>
                <w:rFonts w:asciiTheme="majorHAnsi" w:hAnsiTheme="majorHAnsi" w:cs="Arial"/>
                <w:sz w:val="22"/>
                <w:szCs w:val="22"/>
              </w:rPr>
            </w:pPr>
            <w:r w:rsidRPr="00361EBF">
              <w:rPr>
                <w:rFonts w:asciiTheme="majorHAnsi" w:hAnsiTheme="majorHAnsi" w:cs="Arial"/>
                <w:sz w:val="22"/>
                <w:szCs w:val="22"/>
              </w:rPr>
              <w:t>389.00</w:t>
            </w:r>
          </w:p>
        </w:tc>
        <w:tc>
          <w:tcPr>
            <w:tcW w:w="1880" w:type="dxa"/>
            <w:tcBorders>
              <w:top w:val="nil"/>
              <w:left w:val="nil"/>
              <w:bottom w:val="single" w:sz="4" w:space="0" w:color="auto"/>
              <w:right w:val="single" w:sz="4" w:space="0" w:color="auto"/>
            </w:tcBorders>
            <w:noWrap/>
            <w:vAlign w:val="center"/>
            <w:hideMark/>
          </w:tcPr>
          <w:p w14:paraId="6E4A818A" w14:textId="38555F79" w:rsidR="00FC1154" w:rsidRPr="00361EBF" w:rsidRDefault="00FC1154">
            <w:pPr>
              <w:jc w:val="center"/>
              <w:rPr>
                <w:rFonts w:asciiTheme="majorHAnsi" w:hAnsiTheme="majorHAnsi" w:cs="Arial"/>
                <w:sz w:val="22"/>
                <w:szCs w:val="22"/>
              </w:rPr>
            </w:pPr>
            <w:r w:rsidRPr="00361EBF">
              <w:rPr>
                <w:rFonts w:asciiTheme="majorHAnsi" w:hAnsiTheme="majorHAnsi" w:cs="Arial"/>
                <w:sz w:val="22"/>
                <w:szCs w:val="22"/>
              </w:rPr>
              <w:t>405.60</w:t>
            </w:r>
          </w:p>
        </w:tc>
      </w:tr>
      <w:tr w:rsidR="00FC1154" w:rsidRPr="00361EBF" w14:paraId="66132DEF" w14:textId="77777777" w:rsidTr="00FC1154">
        <w:trPr>
          <w:trHeight w:val="260"/>
        </w:trPr>
        <w:tc>
          <w:tcPr>
            <w:tcW w:w="3260" w:type="dxa"/>
            <w:tcBorders>
              <w:top w:val="nil"/>
              <w:left w:val="single" w:sz="4" w:space="0" w:color="auto"/>
              <w:bottom w:val="single" w:sz="4" w:space="0" w:color="auto"/>
              <w:right w:val="single" w:sz="4" w:space="0" w:color="auto"/>
            </w:tcBorders>
            <w:noWrap/>
            <w:vAlign w:val="bottom"/>
            <w:hideMark/>
          </w:tcPr>
          <w:p w14:paraId="4D371E51" w14:textId="77777777" w:rsidR="00FC1154" w:rsidRPr="00361EBF" w:rsidRDefault="00FC1154">
            <w:pPr>
              <w:rPr>
                <w:rFonts w:asciiTheme="majorHAnsi" w:hAnsiTheme="majorHAnsi" w:cs="Arial"/>
                <w:sz w:val="22"/>
                <w:szCs w:val="22"/>
              </w:rPr>
            </w:pPr>
            <w:r w:rsidRPr="00361EBF">
              <w:rPr>
                <w:rFonts w:asciiTheme="majorHAnsi" w:hAnsiTheme="majorHAnsi" w:cs="Arial"/>
                <w:sz w:val="22"/>
                <w:szCs w:val="22"/>
              </w:rPr>
              <w:t>Equity @ 30%</w:t>
            </w:r>
          </w:p>
        </w:tc>
        <w:tc>
          <w:tcPr>
            <w:tcW w:w="1740" w:type="dxa"/>
            <w:tcBorders>
              <w:top w:val="nil"/>
              <w:left w:val="nil"/>
              <w:bottom w:val="single" w:sz="4" w:space="0" w:color="auto"/>
              <w:right w:val="single" w:sz="4" w:space="0" w:color="auto"/>
            </w:tcBorders>
            <w:noWrap/>
            <w:vAlign w:val="center"/>
            <w:hideMark/>
          </w:tcPr>
          <w:p w14:paraId="5692DE18" w14:textId="59D542F7" w:rsidR="00FC1154" w:rsidRPr="00361EBF" w:rsidRDefault="00FC1154">
            <w:pPr>
              <w:jc w:val="center"/>
              <w:rPr>
                <w:rFonts w:asciiTheme="majorHAnsi" w:hAnsiTheme="majorHAnsi" w:cs="Arial"/>
                <w:sz w:val="22"/>
                <w:szCs w:val="22"/>
              </w:rPr>
            </w:pPr>
            <w:r w:rsidRPr="00361EBF">
              <w:rPr>
                <w:rFonts w:asciiTheme="majorHAnsi" w:hAnsiTheme="majorHAnsi" w:cs="Arial"/>
                <w:sz w:val="22"/>
                <w:szCs w:val="22"/>
              </w:rPr>
              <w:t>173.63</w:t>
            </w:r>
          </w:p>
        </w:tc>
        <w:tc>
          <w:tcPr>
            <w:tcW w:w="1420" w:type="dxa"/>
            <w:tcBorders>
              <w:top w:val="nil"/>
              <w:left w:val="nil"/>
              <w:bottom w:val="single" w:sz="4" w:space="0" w:color="auto"/>
              <w:right w:val="single" w:sz="4" w:space="0" w:color="auto"/>
            </w:tcBorders>
            <w:noWrap/>
            <w:vAlign w:val="center"/>
            <w:hideMark/>
          </w:tcPr>
          <w:p w14:paraId="5B5F224C" w14:textId="26C7A50E" w:rsidR="00FC1154" w:rsidRPr="00361EBF" w:rsidRDefault="00FC1154">
            <w:pPr>
              <w:jc w:val="center"/>
              <w:rPr>
                <w:rFonts w:asciiTheme="majorHAnsi" w:hAnsiTheme="majorHAnsi" w:cs="Arial"/>
                <w:sz w:val="22"/>
                <w:szCs w:val="22"/>
              </w:rPr>
            </w:pPr>
            <w:r w:rsidRPr="00361EBF">
              <w:rPr>
                <w:rFonts w:asciiTheme="majorHAnsi" w:hAnsiTheme="majorHAnsi" w:cs="Arial"/>
                <w:sz w:val="22"/>
                <w:szCs w:val="22"/>
              </w:rPr>
              <w:t>166.72</w:t>
            </w:r>
          </w:p>
        </w:tc>
        <w:tc>
          <w:tcPr>
            <w:tcW w:w="1880" w:type="dxa"/>
            <w:tcBorders>
              <w:top w:val="nil"/>
              <w:left w:val="nil"/>
              <w:bottom w:val="single" w:sz="4" w:space="0" w:color="auto"/>
              <w:right w:val="single" w:sz="4" w:space="0" w:color="auto"/>
            </w:tcBorders>
            <w:noWrap/>
            <w:vAlign w:val="center"/>
            <w:hideMark/>
          </w:tcPr>
          <w:p w14:paraId="6BB3A6CE" w14:textId="48F93F77" w:rsidR="00FC1154" w:rsidRPr="00361EBF" w:rsidRDefault="00FC1154">
            <w:pPr>
              <w:jc w:val="center"/>
              <w:rPr>
                <w:rFonts w:asciiTheme="majorHAnsi" w:hAnsiTheme="majorHAnsi" w:cs="Arial"/>
                <w:sz w:val="22"/>
                <w:szCs w:val="22"/>
              </w:rPr>
            </w:pPr>
            <w:r w:rsidRPr="00361EBF">
              <w:rPr>
                <w:rFonts w:asciiTheme="majorHAnsi" w:hAnsiTheme="majorHAnsi" w:cs="Arial"/>
                <w:sz w:val="22"/>
                <w:szCs w:val="22"/>
              </w:rPr>
              <w:t>173.83</w:t>
            </w:r>
          </w:p>
        </w:tc>
      </w:tr>
    </w:tbl>
    <w:p w14:paraId="076A77EC" w14:textId="77777777" w:rsidR="000E3B21" w:rsidRDefault="000E3B21" w:rsidP="00600D60">
      <w:pPr>
        <w:spacing w:after="120" w:line="360" w:lineRule="auto"/>
        <w:jc w:val="both"/>
        <w:rPr>
          <w:rFonts w:ascii="Cambria" w:hAnsi="Cambria" w:cs="Arial"/>
        </w:rPr>
      </w:pPr>
    </w:p>
    <w:p w14:paraId="3D7C4C17" w14:textId="06586013" w:rsidR="00FC1154" w:rsidRDefault="00FC1154" w:rsidP="00600D60">
      <w:pPr>
        <w:spacing w:after="120" w:line="360" w:lineRule="auto"/>
        <w:jc w:val="both"/>
        <w:rPr>
          <w:rFonts w:ascii="Cambria" w:hAnsi="Cambria" w:cs="Arial"/>
        </w:rPr>
      </w:pPr>
      <w:r>
        <w:rPr>
          <w:rFonts w:ascii="Cambria" w:hAnsi="Cambria" w:cs="Arial"/>
        </w:rPr>
        <w:t>The normative interest on CAPEX loan is computed as under:</w:t>
      </w:r>
    </w:p>
    <w:tbl>
      <w:tblPr>
        <w:tblW w:w="8300" w:type="dxa"/>
        <w:tblLook w:val="04A0" w:firstRow="1" w:lastRow="0" w:firstColumn="1" w:lastColumn="0" w:noHBand="0" w:noVBand="1"/>
      </w:tblPr>
      <w:tblGrid>
        <w:gridCol w:w="3260"/>
        <w:gridCol w:w="1740"/>
        <w:gridCol w:w="1420"/>
        <w:gridCol w:w="1880"/>
      </w:tblGrid>
      <w:tr w:rsidR="00D35B40" w:rsidRPr="002E7B3E" w14:paraId="05B88962" w14:textId="77777777" w:rsidTr="00D35B40">
        <w:trPr>
          <w:trHeight w:val="290"/>
        </w:trPr>
        <w:tc>
          <w:tcPr>
            <w:tcW w:w="3260" w:type="dxa"/>
            <w:tcBorders>
              <w:top w:val="single" w:sz="4" w:space="0" w:color="auto"/>
              <w:left w:val="single" w:sz="4" w:space="0" w:color="auto"/>
              <w:bottom w:val="single" w:sz="4" w:space="0" w:color="auto"/>
              <w:right w:val="single" w:sz="4" w:space="0" w:color="auto"/>
            </w:tcBorders>
            <w:noWrap/>
            <w:vAlign w:val="center"/>
            <w:hideMark/>
          </w:tcPr>
          <w:p w14:paraId="7075C276" w14:textId="77777777" w:rsidR="00D35B40" w:rsidRPr="002E7B3E" w:rsidRDefault="00D35B40">
            <w:pPr>
              <w:rPr>
                <w:rFonts w:asciiTheme="majorHAnsi" w:hAnsiTheme="majorHAnsi" w:cs="Calibri"/>
                <w:b/>
                <w:bCs/>
                <w:color w:val="000000"/>
                <w:sz w:val="22"/>
                <w:szCs w:val="22"/>
                <w:lang w:val="en-IN" w:eastAsia="en-IN"/>
              </w:rPr>
            </w:pPr>
            <w:r w:rsidRPr="002E7B3E">
              <w:rPr>
                <w:rFonts w:asciiTheme="majorHAnsi" w:hAnsiTheme="majorHAnsi" w:cs="Calibri"/>
                <w:b/>
                <w:bCs/>
                <w:color w:val="000000"/>
                <w:sz w:val="22"/>
                <w:szCs w:val="22"/>
              </w:rPr>
              <w:t>Particulars</w:t>
            </w:r>
          </w:p>
        </w:tc>
        <w:tc>
          <w:tcPr>
            <w:tcW w:w="1740" w:type="dxa"/>
            <w:tcBorders>
              <w:top w:val="single" w:sz="4" w:space="0" w:color="auto"/>
              <w:left w:val="nil"/>
              <w:bottom w:val="single" w:sz="4" w:space="0" w:color="auto"/>
              <w:right w:val="single" w:sz="4" w:space="0" w:color="auto"/>
            </w:tcBorders>
            <w:noWrap/>
            <w:vAlign w:val="center"/>
            <w:hideMark/>
          </w:tcPr>
          <w:p w14:paraId="70B2161C" w14:textId="77777777" w:rsidR="00D35B40" w:rsidRPr="002E7B3E" w:rsidRDefault="00D35B40">
            <w:pPr>
              <w:jc w:val="center"/>
              <w:rPr>
                <w:rFonts w:asciiTheme="majorHAnsi" w:hAnsiTheme="majorHAnsi" w:cs="Arial"/>
                <w:b/>
                <w:bCs/>
                <w:sz w:val="22"/>
                <w:szCs w:val="22"/>
              </w:rPr>
            </w:pPr>
            <w:r w:rsidRPr="002E7B3E">
              <w:rPr>
                <w:rFonts w:asciiTheme="majorHAnsi" w:hAnsiTheme="majorHAnsi" w:cs="Arial"/>
                <w:b/>
                <w:bCs/>
                <w:sz w:val="22"/>
                <w:szCs w:val="22"/>
              </w:rPr>
              <w:t>FY 2024-25</w:t>
            </w:r>
          </w:p>
        </w:tc>
        <w:tc>
          <w:tcPr>
            <w:tcW w:w="1420" w:type="dxa"/>
            <w:tcBorders>
              <w:top w:val="single" w:sz="4" w:space="0" w:color="auto"/>
              <w:left w:val="nil"/>
              <w:bottom w:val="single" w:sz="4" w:space="0" w:color="auto"/>
              <w:right w:val="single" w:sz="4" w:space="0" w:color="auto"/>
            </w:tcBorders>
            <w:noWrap/>
            <w:vAlign w:val="center"/>
            <w:hideMark/>
          </w:tcPr>
          <w:p w14:paraId="7B072A14" w14:textId="77777777" w:rsidR="00D35B40" w:rsidRPr="002E7B3E" w:rsidRDefault="00D35B40">
            <w:pPr>
              <w:jc w:val="center"/>
              <w:rPr>
                <w:rFonts w:asciiTheme="majorHAnsi" w:hAnsiTheme="majorHAnsi" w:cs="Arial"/>
                <w:b/>
                <w:bCs/>
                <w:sz w:val="22"/>
                <w:szCs w:val="22"/>
              </w:rPr>
            </w:pPr>
            <w:r w:rsidRPr="002E7B3E">
              <w:rPr>
                <w:rFonts w:asciiTheme="majorHAnsi" w:hAnsiTheme="majorHAnsi" w:cs="Arial"/>
                <w:b/>
                <w:bCs/>
                <w:sz w:val="22"/>
                <w:szCs w:val="22"/>
              </w:rPr>
              <w:t>FY 2025-26</w:t>
            </w:r>
          </w:p>
        </w:tc>
        <w:tc>
          <w:tcPr>
            <w:tcW w:w="1880" w:type="dxa"/>
            <w:tcBorders>
              <w:top w:val="single" w:sz="4" w:space="0" w:color="auto"/>
              <w:left w:val="nil"/>
              <w:bottom w:val="single" w:sz="4" w:space="0" w:color="auto"/>
              <w:right w:val="single" w:sz="4" w:space="0" w:color="auto"/>
            </w:tcBorders>
            <w:noWrap/>
            <w:vAlign w:val="center"/>
            <w:hideMark/>
          </w:tcPr>
          <w:p w14:paraId="5CE62F7C" w14:textId="77777777" w:rsidR="00D35B40" w:rsidRPr="002E7B3E" w:rsidRDefault="00D35B40">
            <w:pPr>
              <w:jc w:val="center"/>
              <w:rPr>
                <w:rFonts w:asciiTheme="majorHAnsi" w:hAnsiTheme="majorHAnsi" w:cs="Arial"/>
                <w:b/>
                <w:bCs/>
                <w:sz w:val="22"/>
                <w:szCs w:val="22"/>
              </w:rPr>
            </w:pPr>
            <w:r w:rsidRPr="002E7B3E">
              <w:rPr>
                <w:rFonts w:asciiTheme="majorHAnsi" w:hAnsiTheme="majorHAnsi" w:cs="Arial"/>
                <w:b/>
                <w:bCs/>
                <w:sz w:val="22"/>
                <w:szCs w:val="22"/>
              </w:rPr>
              <w:t>FY 2026-27</w:t>
            </w:r>
          </w:p>
        </w:tc>
      </w:tr>
      <w:tr w:rsidR="00D35B40" w:rsidRPr="002E7B3E" w14:paraId="5BCB0ACD" w14:textId="77777777" w:rsidTr="00D35B40">
        <w:trPr>
          <w:trHeight w:val="260"/>
        </w:trPr>
        <w:tc>
          <w:tcPr>
            <w:tcW w:w="3260" w:type="dxa"/>
            <w:tcBorders>
              <w:top w:val="nil"/>
              <w:left w:val="single" w:sz="4" w:space="0" w:color="auto"/>
              <w:bottom w:val="single" w:sz="4" w:space="0" w:color="auto"/>
              <w:right w:val="single" w:sz="4" w:space="0" w:color="auto"/>
            </w:tcBorders>
            <w:vAlign w:val="bottom"/>
            <w:hideMark/>
          </w:tcPr>
          <w:p w14:paraId="137B2635" w14:textId="77777777" w:rsidR="00D35B40" w:rsidRPr="002E7B3E" w:rsidRDefault="00D35B40">
            <w:pPr>
              <w:rPr>
                <w:rFonts w:asciiTheme="majorHAnsi" w:hAnsiTheme="majorHAnsi" w:cs="Arial"/>
                <w:sz w:val="22"/>
                <w:szCs w:val="22"/>
              </w:rPr>
            </w:pPr>
            <w:r w:rsidRPr="002E7B3E">
              <w:rPr>
                <w:rFonts w:asciiTheme="majorHAnsi" w:hAnsiTheme="majorHAnsi" w:cs="Arial"/>
                <w:sz w:val="22"/>
                <w:szCs w:val="22"/>
              </w:rPr>
              <w:t>Opening Loan</w:t>
            </w:r>
          </w:p>
        </w:tc>
        <w:tc>
          <w:tcPr>
            <w:tcW w:w="1740" w:type="dxa"/>
            <w:tcBorders>
              <w:top w:val="nil"/>
              <w:left w:val="nil"/>
              <w:bottom w:val="single" w:sz="4" w:space="0" w:color="auto"/>
              <w:right w:val="single" w:sz="4" w:space="0" w:color="auto"/>
            </w:tcBorders>
            <w:noWrap/>
            <w:vAlign w:val="center"/>
            <w:hideMark/>
          </w:tcPr>
          <w:p w14:paraId="76757C2B" w14:textId="4A3EA066" w:rsidR="00D35B40" w:rsidRPr="002E7B3E" w:rsidRDefault="00D35B40">
            <w:pPr>
              <w:jc w:val="center"/>
              <w:rPr>
                <w:rFonts w:asciiTheme="majorHAnsi" w:hAnsiTheme="majorHAnsi" w:cs="Arial"/>
                <w:sz w:val="22"/>
                <w:szCs w:val="22"/>
              </w:rPr>
            </w:pPr>
            <w:r w:rsidRPr="002E7B3E">
              <w:rPr>
                <w:rFonts w:asciiTheme="majorHAnsi" w:hAnsiTheme="majorHAnsi" w:cs="Arial"/>
                <w:sz w:val="22"/>
                <w:szCs w:val="22"/>
              </w:rPr>
              <w:t>75</w:t>
            </w:r>
            <w:r w:rsidR="00AD44A1" w:rsidRPr="002E7B3E">
              <w:rPr>
                <w:rFonts w:asciiTheme="majorHAnsi" w:hAnsiTheme="majorHAnsi" w:cs="Arial"/>
                <w:sz w:val="22"/>
                <w:szCs w:val="22"/>
              </w:rPr>
              <w:t>4.69</w:t>
            </w:r>
          </w:p>
        </w:tc>
        <w:tc>
          <w:tcPr>
            <w:tcW w:w="1420" w:type="dxa"/>
            <w:tcBorders>
              <w:top w:val="nil"/>
              <w:left w:val="nil"/>
              <w:bottom w:val="single" w:sz="4" w:space="0" w:color="auto"/>
              <w:right w:val="single" w:sz="4" w:space="0" w:color="auto"/>
            </w:tcBorders>
            <w:noWrap/>
            <w:vAlign w:val="center"/>
            <w:hideMark/>
          </w:tcPr>
          <w:p w14:paraId="14297150" w14:textId="6F79E957" w:rsidR="00D35B40" w:rsidRPr="002E7B3E" w:rsidRDefault="00631926">
            <w:pPr>
              <w:jc w:val="center"/>
              <w:rPr>
                <w:rFonts w:asciiTheme="majorHAnsi" w:hAnsiTheme="majorHAnsi" w:cs="Arial"/>
                <w:sz w:val="22"/>
                <w:szCs w:val="22"/>
              </w:rPr>
            </w:pPr>
            <w:r w:rsidRPr="002E7B3E">
              <w:rPr>
                <w:rFonts w:asciiTheme="majorHAnsi" w:hAnsiTheme="majorHAnsi" w:cs="Arial"/>
                <w:sz w:val="22"/>
                <w:szCs w:val="22"/>
              </w:rPr>
              <w:t>1045.66</w:t>
            </w:r>
          </w:p>
        </w:tc>
        <w:tc>
          <w:tcPr>
            <w:tcW w:w="1880" w:type="dxa"/>
            <w:tcBorders>
              <w:top w:val="nil"/>
              <w:left w:val="nil"/>
              <w:bottom w:val="single" w:sz="4" w:space="0" w:color="auto"/>
              <w:right w:val="single" w:sz="4" w:space="0" w:color="auto"/>
            </w:tcBorders>
            <w:noWrap/>
            <w:vAlign w:val="center"/>
            <w:hideMark/>
          </w:tcPr>
          <w:p w14:paraId="14ECCEED" w14:textId="6A2E3BAF" w:rsidR="00D35B40" w:rsidRPr="002E7B3E" w:rsidRDefault="00C80CAB">
            <w:pPr>
              <w:jc w:val="center"/>
              <w:rPr>
                <w:rFonts w:asciiTheme="majorHAnsi" w:hAnsiTheme="majorHAnsi" w:cs="Arial"/>
                <w:sz w:val="22"/>
                <w:szCs w:val="22"/>
              </w:rPr>
            </w:pPr>
            <w:r w:rsidRPr="002E7B3E">
              <w:rPr>
                <w:rFonts w:asciiTheme="majorHAnsi" w:hAnsiTheme="majorHAnsi" w:cs="Arial"/>
                <w:sz w:val="22"/>
                <w:szCs w:val="22"/>
              </w:rPr>
              <w:t>1287.99</w:t>
            </w:r>
          </w:p>
        </w:tc>
      </w:tr>
      <w:tr w:rsidR="00D35B40" w:rsidRPr="002E7B3E" w14:paraId="0C71CE8F" w14:textId="77777777" w:rsidTr="00D35B40">
        <w:trPr>
          <w:trHeight w:val="260"/>
        </w:trPr>
        <w:tc>
          <w:tcPr>
            <w:tcW w:w="3260" w:type="dxa"/>
            <w:tcBorders>
              <w:top w:val="nil"/>
              <w:left w:val="single" w:sz="4" w:space="0" w:color="auto"/>
              <w:bottom w:val="single" w:sz="4" w:space="0" w:color="auto"/>
              <w:right w:val="single" w:sz="4" w:space="0" w:color="auto"/>
            </w:tcBorders>
            <w:noWrap/>
            <w:vAlign w:val="bottom"/>
            <w:hideMark/>
          </w:tcPr>
          <w:p w14:paraId="176A36DD" w14:textId="77777777" w:rsidR="00D35B40" w:rsidRPr="002E7B3E" w:rsidRDefault="00D35B40">
            <w:pPr>
              <w:rPr>
                <w:rFonts w:asciiTheme="majorHAnsi" w:hAnsiTheme="majorHAnsi" w:cs="Arial"/>
                <w:sz w:val="22"/>
                <w:szCs w:val="22"/>
              </w:rPr>
            </w:pPr>
            <w:r w:rsidRPr="002E7B3E">
              <w:rPr>
                <w:rFonts w:asciiTheme="majorHAnsi" w:hAnsiTheme="majorHAnsi" w:cs="Arial"/>
                <w:sz w:val="22"/>
                <w:szCs w:val="22"/>
              </w:rPr>
              <w:t>Additions</w:t>
            </w:r>
          </w:p>
        </w:tc>
        <w:tc>
          <w:tcPr>
            <w:tcW w:w="1740" w:type="dxa"/>
            <w:tcBorders>
              <w:top w:val="nil"/>
              <w:left w:val="nil"/>
              <w:bottom w:val="single" w:sz="4" w:space="0" w:color="auto"/>
              <w:right w:val="single" w:sz="4" w:space="0" w:color="auto"/>
            </w:tcBorders>
            <w:noWrap/>
            <w:vAlign w:val="center"/>
            <w:hideMark/>
          </w:tcPr>
          <w:p w14:paraId="60C76E56" w14:textId="0D8D03D1" w:rsidR="00D35B40" w:rsidRPr="002E7B3E" w:rsidRDefault="00D35B40">
            <w:pPr>
              <w:jc w:val="center"/>
              <w:rPr>
                <w:rFonts w:asciiTheme="majorHAnsi" w:hAnsiTheme="majorHAnsi" w:cs="Arial"/>
                <w:sz w:val="22"/>
                <w:szCs w:val="22"/>
              </w:rPr>
            </w:pPr>
            <w:r w:rsidRPr="002E7B3E">
              <w:rPr>
                <w:rFonts w:asciiTheme="majorHAnsi" w:hAnsiTheme="majorHAnsi" w:cs="Arial"/>
                <w:sz w:val="22"/>
                <w:szCs w:val="22"/>
              </w:rPr>
              <w:t>405.13</w:t>
            </w:r>
          </w:p>
        </w:tc>
        <w:tc>
          <w:tcPr>
            <w:tcW w:w="1420" w:type="dxa"/>
            <w:tcBorders>
              <w:top w:val="nil"/>
              <w:left w:val="nil"/>
              <w:bottom w:val="single" w:sz="4" w:space="0" w:color="auto"/>
              <w:right w:val="single" w:sz="4" w:space="0" w:color="auto"/>
            </w:tcBorders>
            <w:noWrap/>
            <w:vAlign w:val="center"/>
            <w:hideMark/>
          </w:tcPr>
          <w:p w14:paraId="5DE0BFF8" w14:textId="7923998F" w:rsidR="00D35B40" w:rsidRPr="002E7B3E" w:rsidRDefault="00D35B40">
            <w:pPr>
              <w:jc w:val="center"/>
              <w:rPr>
                <w:rFonts w:asciiTheme="majorHAnsi" w:hAnsiTheme="majorHAnsi" w:cs="Arial"/>
                <w:sz w:val="22"/>
                <w:szCs w:val="22"/>
              </w:rPr>
            </w:pPr>
            <w:r w:rsidRPr="002E7B3E">
              <w:rPr>
                <w:rFonts w:asciiTheme="majorHAnsi" w:hAnsiTheme="majorHAnsi" w:cs="Arial"/>
                <w:sz w:val="22"/>
                <w:szCs w:val="22"/>
              </w:rPr>
              <w:t>389.00</w:t>
            </w:r>
          </w:p>
        </w:tc>
        <w:tc>
          <w:tcPr>
            <w:tcW w:w="1880" w:type="dxa"/>
            <w:tcBorders>
              <w:top w:val="nil"/>
              <w:left w:val="nil"/>
              <w:bottom w:val="single" w:sz="4" w:space="0" w:color="auto"/>
              <w:right w:val="single" w:sz="4" w:space="0" w:color="auto"/>
            </w:tcBorders>
            <w:noWrap/>
            <w:vAlign w:val="center"/>
            <w:hideMark/>
          </w:tcPr>
          <w:p w14:paraId="1231680F" w14:textId="3651B90C" w:rsidR="00D35B40" w:rsidRPr="002E7B3E" w:rsidRDefault="00D35B40">
            <w:pPr>
              <w:jc w:val="center"/>
              <w:rPr>
                <w:rFonts w:asciiTheme="majorHAnsi" w:hAnsiTheme="majorHAnsi" w:cs="Arial"/>
                <w:sz w:val="22"/>
                <w:szCs w:val="22"/>
              </w:rPr>
            </w:pPr>
            <w:r w:rsidRPr="002E7B3E">
              <w:rPr>
                <w:rFonts w:asciiTheme="majorHAnsi" w:hAnsiTheme="majorHAnsi" w:cs="Arial"/>
                <w:sz w:val="22"/>
                <w:szCs w:val="22"/>
              </w:rPr>
              <w:t>405</w:t>
            </w:r>
            <w:r w:rsidR="00715F2D" w:rsidRPr="002E7B3E">
              <w:rPr>
                <w:rFonts w:asciiTheme="majorHAnsi" w:hAnsiTheme="majorHAnsi" w:cs="Arial"/>
                <w:sz w:val="22"/>
                <w:szCs w:val="22"/>
              </w:rPr>
              <w:t>.</w:t>
            </w:r>
            <w:r w:rsidRPr="002E7B3E">
              <w:rPr>
                <w:rFonts w:asciiTheme="majorHAnsi" w:hAnsiTheme="majorHAnsi" w:cs="Arial"/>
                <w:sz w:val="22"/>
                <w:szCs w:val="22"/>
              </w:rPr>
              <w:t>60</w:t>
            </w:r>
          </w:p>
        </w:tc>
      </w:tr>
      <w:tr w:rsidR="00D35B40" w:rsidRPr="002E7B3E" w14:paraId="3AAA87FA" w14:textId="77777777" w:rsidTr="00D35B40">
        <w:trPr>
          <w:trHeight w:val="510"/>
        </w:trPr>
        <w:tc>
          <w:tcPr>
            <w:tcW w:w="3260" w:type="dxa"/>
            <w:tcBorders>
              <w:top w:val="nil"/>
              <w:left w:val="single" w:sz="4" w:space="0" w:color="auto"/>
              <w:bottom w:val="single" w:sz="4" w:space="0" w:color="auto"/>
              <w:right w:val="single" w:sz="4" w:space="0" w:color="auto"/>
            </w:tcBorders>
            <w:vAlign w:val="bottom"/>
            <w:hideMark/>
          </w:tcPr>
          <w:p w14:paraId="050E05E4" w14:textId="77777777" w:rsidR="00D35B40" w:rsidRPr="002E7B3E" w:rsidRDefault="00D35B40">
            <w:pPr>
              <w:rPr>
                <w:rFonts w:asciiTheme="majorHAnsi" w:hAnsiTheme="majorHAnsi" w:cs="Arial"/>
                <w:sz w:val="22"/>
                <w:szCs w:val="22"/>
              </w:rPr>
            </w:pPr>
            <w:r w:rsidRPr="002E7B3E">
              <w:rPr>
                <w:rFonts w:asciiTheme="majorHAnsi" w:hAnsiTheme="majorHAnsi" w:cs="Arial"/>
                <w:sz w:val="22"/>
                <w:szCs w:val="22"/>
              </w:rPr>
              <w:t>Less: Loan Repayment = Depreciation</w:t>
            </w:r>
          </w:p>
        </w:tc>
        <w:tc>
          <w:tcPr>
            <w:tcW w:w="1740" w:type="dxa"/>
            <w:tcBorders>
              <w:top w:val="nil"/>
              <w:left w:val="nil"/>
              <w:bottom w:val="single" w:sz="4" w:space="0" w:color="auto"/>
              <w:right w:val="single" w:sz="4" w:space="0" w:color="auto"/>
            </w:tcBorders>
            <w:noWrap/>
            <w:vAlign w:val="center"/>
            <w:hideMark/>
          </w:tcPr>
          <w:p w14:paraId="0604A950" w14:textId="337799CC" w:rsidR="00D35B40" w:rsidRPr="002E7B3E" w:rsidRDefault="00D35B40">
            <w:pPr>
              <w:jc w:val="center"/>
              <w:rPr>
                <w:rFonts w:asciiTheme="majorHAnsi" w:hAnsiTheme="majorHAnsi" w:cs="Arial"/>
                <w:sz w:val="22"/>
                <w:szCs w:val="22"/>
              </w:rPr>
            </w:pPr>
            <w:r w:rsidRPr="002E7B3E">
              <w:rPr>
                <w:rFonts w:asciiTheme="majorHAnsi" w:hAnsiTheme="majorHAnsi" w:cs="Arial"/>
                <w:sz w:val="22"/>
                <w:szCs w:val="22"/>
              </w:rPr>
              <w:t>11</w:t>
            </w:r>
            <w:r w:rsidR="00CD151F" w:rsidRPr="002E7B3E">
              <w:rPr>
                <w:rFonts w:asciiTheme="majorHAnsi" w:hAnsiTheme="majorHAnsi" w:cs="Arial"/>
                <w:sz w:val="22"/>
                <w:szCs w:val="22"/>
              </w:rPr>
              <w:t>4.16</w:t>
            </w:r>
          </w:p>
        </w:tc>
        <w:tc>
          <w:tcPr>
            <w:tcW w:w="1420" w:type="dxa"/>
            <w:tcBorders>
              <w:top w:val="nil"/>
              <w:left w:val="nil"/>
              <w:bottom w:val="single" w:sz="4" w:space="0" w:color="auto"/>
              <w:right w:val="single" w:sz="4" w:space="0" w:color="auto"/>
            </w:tcBorders>
            <w:noWrap/>
            <w:vAlign w:val="center"/>
            <w:hideMark/>
          </w:tcPr>
          <w:p w14:paraId="7BE01F5A" w14:textId="6C1DD31B" w:rsidR="00D35B40" w:rsidRPr="002E7B3E" w:rsidRDefault="00D35B40">
            <w:pPr>
              <w:jc w:val="center"/>
              <w:rPr>
                <w:rFonts w:asciiTheme="majorHAnsi" w:hAnsiTheme="majorHAnsi" w:cs="Arial"/>
                <w:sz w:val="22"/>
                <w:szCs w:val="22"/>
              </w:rPr>
            </w:pPr>
            <w:r w:rsidRPr="002E7B3E">
              <w:rPr>
                <w:rFonts w:asciiTheme="majorHAnsi" w:hAnsiTheme="majorHAnsi" w:cs="Arial"/>
                <w:sz w:val="22"/>
                <w:szCs w:val="22"/>
              </w:rPr>
              <w:t>146.68</w:t>
            </w:r>
          </w:p>
        </w:tc>
        <w:tc>
          <w:tcPr>
            <w:tcW w:w="1880" w:type="dxa"/>
            <w:tcBorders>
              <w:top w:val="nil"/>
              <w:left w:val="nil"/>
              <w:bottom w:val="single" w:sz="4" w:space="0" w:color="auto"/>
              <w:right w:val="single" w:sz="4" w:space="0" w:color="auto"/>
            </w:tcBorders>
            <w:noWrap/>
            <w:vAlign w:val="center"/>
            <w:hideMark/>
          </w:tcPr>
          <w:p w14:paraId="601FAFDD" w14:textId="720210A9" w:rsidR="00D35B40" w:rsidRPr="002E7B3E" w:rsidRDefault="00D35B40">
            <w:pPr>
              <w:jc w:val="center"/>
              <w:rPr>
                <w:rFonts w:asciiTheme="majorHAnsi" w:hAnsiTheme="majorHAnsi" w:cs="Arial"/>
                <w:sz w:val="22"/>
                <w:szCs w:val="22"/>
              </w:rPr>
            </w:pPr>
            <w:r w:rsidRPr="002E7B3E">
              <w:rPr>
                <w:rFonts w:asciiTheme="majorHAnsi" w:hAnsiTheme="majorHAnsi" w:cs="Arial"/>
                <w:sz w:val="22"/>
                <w:szCs w:val="22"/>
              </w:rPr>
              <w:t>180</w:t>
            </w:r>
            <w:r w:rsidR="00715F2D" w:rsidRPr="002E7B3E">
              <w:rPr>
                <w:rFonts w:asciiTheme="majorHAnsi" w:hAnsiTheme="majorHAnsi" w:cs="Arial"/>
                <w:sz w:val="22"/>
                <w:szCs w:val="22"/>
              </w:rPr>
              <w:t>.20</w:t>
            </w:r>
          </w:p>
        </w:tc>
      </w:tr>
      <w:tr w:rsidR="00D35B40" w:rsidRPr="002E7B3E" w14:paraId="3A63478F" w14:textId="77777777" w:rsidTr="00D35B40">
        <w:trPr>
          <w:trHeight w:val="260"/>
        </w:trPr>
        <w:tc>
          <w:tcPr>
            <w:tcW w:w="3260" w:type="dxa"/>
            <w:tcBorders>
              <w:top w:val="nil"/>
              <w:left w:val="single" w:sz="4" w:space="0" w:color="auto"/>
              <w:bottom w:val="single" w:sz="4" w:space="0" w:color="auto"/>
              <w:right w:val="single" w:sz="4" w:space="0" w:color="auto"/>
            </w:tcBorders>
            <w:noWrap/>
            <w:vAlign w:val="bottom"/>
            <w:hideMark/>
          </w:tcPr>
          <w:p w14:paraId="3B2F61BB" w14:textId="77777777" w:rsidR="00D35B40" w:rsidRPr="002E7B3E" w:rsidRDefault="00D35B40">
            <w:pPr>
              <w:rPr>
                <w:rFonts w:asciiTheme="majorHAnsi" w:hAnsiTheme="majorHAnsi" w:cs="Arial"/>
                <w:sz w:val="22"/>
                <w:szCs w:val="22"/>
              </w:rPr>
            </w:pPr>
            <w:r w:rsidRPr="002E7B3E">
              <w:rPr>
                <w:rFonts w:asciiTheme="majorHAnsi" w:hAnsiTheme="majorHAnsi" w:cs="Arial"/>
                <w:sz w:val="22"/>
                <w:szCs w:val="22"/>
              </w:rPr>
              <w:t>Closing Loan</w:t>
            </w:r>
          </w:p>
        </w:tc>
        <w:tc>
          <w:tcPr>
            <w:tcW w:w="1740" w:type="dxa"/>
            <w:tcBorders>
              <w:top w:val="nil"/>
              <w:left w:val="nil"/>
              <w:bottom w:val="single" w:sz="4" w:space="0" w:color="auto"/>
              <w:right w:val="single" w:sz="4" w:space="0" w:color="auto"/>
            </w:tcBorders>
            <w:noWrap/>
            <w:vAlign w:val="center"/>
            <w:hideMark/>
          </w:tcPr>
          <w:p w14:paraId="23C50998" w14:textId="426FA02E" w:rsidR="00D35B40" w:rsidRPr="002E7B3E" w:rsidRDefault="00D35B40">
            <w:pPr>
              <w:jc w:val="center"/>
              <w:rPr>
                <w:rFonts w:asciiTheme="majorHAnsi" w:hAnsiTheme="majorHAnsi" w:cs="Arial"/>
                <w:sz w:val="22"/>
                <w:szCs w:val="22"/>
              </w:rPr>
            </w:pPr>
            <w:r w:rsidRPr="002E7B3E">
              <w:rPr>
                <w:rFonts w:asciiTheme="majorHAnsi" w:hAnsiTheme="majorHAnsi" w:cs="Arial"/>
                <w:sz w:val="22"/>
                <w:szCs w:val="22"/>
              </w:rPr>
              <w:t>104</w:t>
            </w:r>
            <w:r w:rsidR="00CD151F" w:rsidRPr="002E7B3E">
              <w:rPr>
                <w:rFonts w:asciiTheme="majorHAnsi" w:hAnsiTheme="majorHAnsi" w:cs="Arial"/>
                <w:sz w:val="22"/>
                <w:szCs w:val="22"/>
              </w:rPr>
              <w:t>5.66</w:t>
            </w:r>
          </w:p>
        </w:tc>
        <w:tc>
          <w:tcPr>
            <w:tcW w:w="1420" w:type="dxa"/>
            <w:tcBorders>
              <w:top w:val="nil"/>
              <w:left w:val="nil"/>
              <w:bottom w:val="single" w:sz="4" w:space="0" w:color="auto"/>
              <w:right w:val="single" w:sz="4" w:space="0" w:color="auto"/>
            </w:tcBorders>
            <w:noWrap/>
            <w:vAlign w:val="center"/>
            <w:hideMark/>
          </w:tcPr>
          <w:p w14:paraId="590DCAB5" w14:textId="103AF4C5" w:rsidR="00D35B40" w:rsidRPr="002E7B3E" w:rsidRDefault="00D35B40">
            <w:pPr>
              <w:jc w:val="center"/>
              <w:rPr>
                <w:rFonts w:asciiTheme="majorHAnsi" w:hAnsiTheme="majorHAnsi" w:cs="Arial"/>
                <w:sz w:val="22"/>
                <w:szCs w:val="22"/>
              </w:rPr>
            </w:pPr>
            <w:r w:rsidRPr="002E7B3E">
              <w:rPr>
                <w:rFonts w:asciiTheme="majorHAnsi" w:hAnsiTheme="majorHAnsi" w:cs="Arial"/>
                <w:sz w:val="22"/>
                <w:szCs w:val="22"/>
              </w:rPr>
              <w:t>128</w:t>
            </w:r>
            <w:r w:rsidR="00631926" w:rsidRPr="002E7B3E">
              <w:rPr>
                <w:rFonts w:asciiTheme="majorHAnsi" w:hAnsiTheme="majorHAnsi" w:cs="Arial"/>
                <w:sz w:val="22"/>
                <w:szCs w:val="22"/>
              </w:rPr>
              <w:t>7.99</w:t>
            </w:r>
          </w:p>
        </w:tc>
        <w:tc>
          <w:tcPr>
            <w:tcW w:w="1880" w:type="dxa"/>
            <w:tcBorders>
              <w:top w:val="nil"/>
              <w:left w:val="nil"/>
              <w:bottom w:val="single" w:sz="4" w:space="0" w:color="auto"/>
              <w:right w:val="single" w:sz="4" w:space="0" w:color="auto"/>
            </w:tcBorders>
            <w:noWrap/>
            <w:vAlign w:val="center"/>
            <w:hideMark/>
          </w:tcPr>
          <w:p w14:paraId="01266E54" w14:textId="75296664" w:rsidR="00D35B40" w:rsidRPr="002E7B3E" w:rsidRDefault="00D35B40">
            <w:pPr>
              <w:jc w:val="center"/>
              <w:rPr>
                <w:rFonts w:asciiTheme="majorHAnsi" w:hAnsiTheme="majorHAnsi" w:cs="Arial"/>
                <w:sz w:val="22"/>
                <w:szCs w:val="22"/>
              </w:rPr>
            </w:pPr>
            <w:r w:rsidRPr="002E7B3E">
              <w:rPr>
                <w:rFonts w:asciiTheme="majorHAnsi" w:hAnsiTheme="majorHAnsi" w:cs="Arial"/>
                <w:sz w:val="22"/>
                <w:szCs w:val="22"/>
              </w:rPr>
              <w:t>15</w:t>
            </w:r>
            <w:r w:rsidR="00C80CAB" w:rsidRPr="002E7B3E">
              <w:rPr>
                <w:rFonts w:asciiTheme="majorHAnsi" w:hAnsiTheme="majorHAnsi" w:cs="Arial"/>
                <w:sz w:val="22"/>
                <w:szCs w:val="22"/>
              </w:rPr>
              <w:t>13.40</w:t>
            </w:r>
          </w:p>
        </w:tc>
      </w:tr>
      <w:tr w:rsidR="00D35B40" w:rsidRPr="002E7B3E" w14:paraId="53D50FCD" w14:textId="77777777" w:rsidTr="00D35B40">
        <w:trPr>
          <w:trHeight w:val="520"/>
        </w:trPr>
        <w:tc>
          <w:tcPr>
            <w:tcW w:w="3260" w:type="dxa"/>
            <w:tcBorders>
              <w:top w:val="nil"/>
              <w:left w:val="single" w:sz="4" w:space="0" w:color="auto"/>
              <w:bottom w:val="single" w:sz="4" w:space="0" w:color="auto"/>
              <w:right w:val="single" w:sz="4" w:space="0" w:color="auto"/>
            </w:tcBorders>
            <w:vAlign w:val="bottom"/>
            <w:hideMark/>
          </w:tcPr>
          <w:p w14:paraId="0DBD17E3" w14:textId="77777777" w:rsidR="00D35B40" w:rsidRPr="002E7B3E" w:rsidRDefault="00D35B40">
            <w:pPr>
              <w:rPr>
                <w:rFonts w:asciiTheme="majorHAnsi" w:hAnsiTheme="majorHAnsi" w:cs="Arial"/>
                <w:b/>
                <w:bCs/>
                <w:sz w:val="22"/>
                <w:szCs w:val="22"/>
              </w:rPr>
            </w:pPr>
            <w:r w:rsidRPr="002E7B3E">
              <w:rPr>
                <w:rFonts w:asciiTheme="majorHAnsi" w:hAnsiTheme="majorHAnsi" w:cs="Arial"/>
                <w:b/>
                <w:bCs/>
                <w:sz w:val="22"/>
                <w:szCs w:val="22"/>
              </w:rPr>
              <w:t>Average Loan [(Opening + Closing)/2]</w:t>
            </w:r>
          </w:p>
        </w:tc>
        <w:tc>
          <w:tcPr>
            <w:tcW w:w="1740" w:type="dxa"/>
            <w:tcBorders>
              <w:top w:val="nil"/>
              <w:left w:val="nil"/>
              <w:bottom w:val="single" w:sz="4" w:space="0" w:color="auto"/>
              <w:right w:val="single" w:sz="4" w:space="0" w:color="auto"/>
            </w:tcBorders>
            <w:noWrap/>
            <w:vAlign w:val="center"/>
            <w:hideMark/>
          </w:tcPr>
          <w:p w14:paraId="2A4A23BA" w14:textId="4CB1C231" w:rsidR="00D35B40" w:rsidRPr="002E7B3E" w:rsidRDefault="00CD151F">
            <w:pPr>
              <w:jc w:val="center"/>
              <w:rPr>
                <w:rFonts w:asciiTheme="majorHAnsi" w:hAnsiTheme="majorHAnsi" w:cs="Arial"/>
                <w:b/>
                <w:bCs/>
                <w:sz w:val="22"/>
                <w:szCs w:val="22"/>
              </w:rPr>
            </w:pPr>
            <w:r w:rsidRPr="002E7B3E">
              <w:rPr>
                <w:rFonts w:asciiTheme="majorHAnsi" w:hAnsiTheme="majorHAnsi" w:cs="Arial"/>
                <w:b/>
                <w:bCs/>
                <w:sz w:val="22"/>
                <w:szCs w:val="22"/>
              </w:rPr>
              <w:t>900.18</w:t>
            </w:r>
          </w:p>
        </w:tc>
        <w:tc>
          <w:tcPr>
            <w:tcW w:w="1420" w:type="dxa"/>
            <w:tcBorders>
              <w:top w:val="nil"/>
              <w:left w:val="nil"/>
              <w:bottom w:val="single" w:sz="4" w:space="0" w:color="auto"/>
              <w:right w:val="single" w:sz="4" w:space="0" w:color="auto"/>
            </w:tcBorders>
            <w:noWrap/>
            <w:vAlign w:val="center"/>
            <w:hideMark/>
          </w:tcPr>
          <w:p w14:paraId="79495C40" w14:textId="197CD3E5" w:rsidR="00D35B40" w:rsidRPr="002E7B3E" w:rsidRDefault="00D35B40">
            <w:pPr>
              <w:jc w:val="center"/>
              <w:rPr>
                <w:rFonts w:asciiTheme="majorHAnsi" w:hAnsiTheme="majorHAnsi" w:cs="Arial"/>
                <w:b/>
                <w:bCs/>
                <w:sz w:val="22"/>
                <w:szCs w:val="22"/>
              </w:rPr>
            </w:pPr>
            <w:r w:rsidRPr="002E7B3E">
              <w:rPr>
                <w:rFonts w:asciiTheme="majorHAnsi" w:hAnsiTheme="majorHAnsi" w:cs="Arial"/>
                <w:b/>
                <w:bCs/>
                <w:sz w:val="22"/>
                <w:szCs w:val="22"/>
              </w:rPr>
              <w:t>116</w:t>
            </w:r>
            <w:r w:rsidR="00631926" w:rsidRPr="002E7B3E">
              <w:rPr>
                <w:rFonts w:asciiTheme="majorHAnsi" w:hAnsiTheme="majorHAnsi" w:cs="Arial"/>
                <w:b/>
                <w:bCs/>
                <w:sz w:val="22"/>
                <w:szCs w:val="22"/>
              </w:rPr>
              <w:t>6.83</w:t>
            </w:r>
          </w:p>
        </w:tc>
        <w:tc>
          <w:tcPr>
            <w:tcW w:w="1880" w:type="dxa"/>
            <w:tcBorders>
              <w:top w:val="nil"/>
              <w:left w:val="nil"/>
              <w:bottom w:val="single" w:sz="4" w:space="0" w:color="auto"/>
              <w:right w:val="single" w:sz="4" w:space="0" w:color="auto"/>
            </w:tcBorders>
            <w:noWrap/>
            <w:vAlign w:val="center"/>
            <w:hideMark/>
          </w:tcPr>
          <w:p w14:paraId="0E65009C" w14:textId="6C01AAF7" w:rsidR="00D35B40" w:rsidRPr="002E7B3E" w:rsidRDefault="00D35B40">
            <w:pPr>
              <w:jc w:val="center"/>
              <w:rPr>
                <w:rFonts w:asciiTheme="majorHAnsi" w:hAnsiTheme="majorHAnsi" w:cs="Arial"/>
                <w:b/>
                <w:bCs/>
                <w:sz w:val="22"/>
                <w:szCs w:val="22"/>
              </w:rPr>
            </w:pPr>
            <w:r w:rsidRPr="002E7B3E">
              <w:rPr>
                <w:rFonts w:asciiTheme="majorHAnsi" w:hAnsiTheme="majorHAnsi" w:cs="Arial"/>
                <w:b/>
                <w:bCs/>
                <w:sz w:val="22"/>
                <w:szCs w:val="22"/>
              </w:rPr>
              <w:t>1</w:t>
            </w:r>
            <w:r w:rsidR="00C80CAB" w:rsidRPr="002E7B3E">
              <w:rPr>
                <w:rFonts w:asciiTheme="majorHAnsi" w:hAnsiTheme="majorHAnsi" w:cs="Arial"/>
                <w:b/>
                <w:bCs/>
                <w:sz w:val="22"/>
                <w:szCs w:val="22"/>
              </w:rPr>
              <w:t>400.70</w:t>
            </w:r>
          </w:p>
        </w:tc>
      </w:tr>
      <w:tr w:rsidR="00D35B40" w:rsidRPr="002E7B3E" w14:paraId="65145B9C" w14:textId="77777777" w:rsidTr="00D35B40">
        <w:trPr>
          <w:trHeight w:val="260"/>
        </w:trPr>
        <w:tc>
          <w:tcPr>
            <w:tcW w:w="3260" w:type="dxa"/>
            <w:tcBorders>
              <w:top w:val="nil"/>
              <w:left w:val="single" w:sz="4" w:space="0" w:color="auto"/>
              <w:bottom w:val="single" w:sz="4" w:space="0" w:color="auto"/>
              <w:right w:val="single" w:sz="4" w:space="0" w:color="auto"/>
            </w:tcBorders>
            <w:noWrap/>
            <w:vAlign w:val="bottom"/>
            <w:hideMark/>
          </w:tcPr>
          <w:p w14:paraId="2FCC0EFB" w14:textId="77777777" w:rsidR="00D35B40" w:rsidRPr="002E7B3E" w:rsidRDefault="00D35B40">
            <w:pPr>
              <w:rPr>
                <w:rFonts w:asciiTheme="majorHAnsi" w:hAnsiTheme="majorHAnsi" w:cs="Arial"/>
                <w:sz w:val="22"/>
                <w:szCs w:val="22"/>
              </w:rPr>
            </w:pPr>
            <w:r w:rsidRPr="002E7B3E">
              <w:rPr>
                <w:rFonts w:asciiTheme="majorHAnsi" w:hAnsiTheme="majorHAnsi" w:cs="Arial"/>
                <w:sz w:val="22"/>
                <w:szCs w:val="22"/>
              </w:rPr>
              <w:t>Actual Interest Rate (%)</w:t>
            </w:r>
          </w:p>
        </w:tc>
        <w:tc>
          <w:tcPr>
            <w:tcW w:w="1740" w:type="dxa"/>
            <w:tcBorders>
              <w:top w:val="nil"/>
              <w:left w:val="nil"/>
              <w:bottom w:val="single" w:sz="4" w:space="0" w:color="auto"/>
              <w:right w:val="single" w:sz="4" w:space="0" w:color="auto"/>
            </w:tcBorders>
            <w:noWrap/>
            <w:vAlign w:val="center"/>
            <w:hideMark/>
          </w:tcPr>
          <w:p w14:paraId="42676F0D" w14:textId="77777777" w:rsidR="00D35B40" w:rsidRPr="002E7B3E" w:rsidRDefault="00D35B40">
            <w:pPr>
              <w:jc w:val="center"/>
              <w:rPr>
                <w:rFonts w:asciiTheme="majorHAnsi" w:hAnsiTheme="majorHAnsi" w:cs="Arial"/>
                <w:sz w:val="22"/>
                <w:szCs w:val="22"/>
              </w:rPr>
            </w:pPr>
            <w:r w:rsidRPr="002E7B3E">
              <w:rPr>
                <w:rFonts w:asciiTheme="majorHAnsi" w:hAnsiTheme="majorHAnsi" w:cs="Arial"/>
                <w:sz w:val="22"/>
                <w:szCs w:val="22"/>
              </w:rPr>
              <w:t>8.50%</w:t>
            </w:r>
          </w:p>
        </w:tc>
        <w:tc>
          <w:tcPr>
            <w:tcW w:w="1420" w:type="dxa"/>
            <w:tcBorders>
              <w:top w:val="nil"/>
              <w:left w:val="nil"/>
              <w:bottom w:val="single" w:sz="4" w:space="0" w:color="auto"/>
              <w:right w:val="single" w:sz="4" w:space="0" w:color="auto"/>
            </w:tcBorders>
            <w:noWrap/>
            <w:vAlign w:val="center"/>
            <w:hideMark/>
          </w:tcPr>
          <w:p w14:paraId="151C2496" w14:textId="6C3D9257" w:rsidR="00D35B40" w:rsidRPr="002E7B3E" w:rsidRDefault="00C44AAA">
            <w:pPr>
              <w:jc w:val="center"/>
              <w:rPr>
                <w:rFonts w:asciiTheme="majorHAnsi" w:hAnsiTheme="majorHAnsi" w:cs="Arial"/>
                <w:sz w:val="22"/>
                <w:szCs w:val="22"/>
              </w:rPr>
            </w:pPr>
            <w:r w:rsidRPr="002E7B3E">
              <w:rPr>
                <w:rFonts w:asciiTheme="majorHAnsi" w:hAnsiTheme="majorHAnsi" w:cs="Arial"/>
                <w:sz w:val="22"/>
                <w:szCs w:val="22"/>
              </w:rPr>
              <w:t>7.81</w:t>
            </w:r>
            <w:r w:rsidR="00D35B40" w:rsidRPr="002E7B3E">
              <w:rPr>
                <w:rFonts w:asciiTheme="majorHAnsi" w:hAnsiTheme="majorHAnsi" w:cs="Arial"/>
                <w:sz w:val="22"/>
                <w:szCs w:val="22"/>
              </w:rPr>
              <w:t>%</w:t>
            </w:r>
          </w:p>
        </w:tc>
        <w:tc>
          <w:tcPr>
            <w:tcW w:w="1880" w:type="dxa"/>
            <w:tcBorders>
              <w:top w:val="nil"/>
              <w:left w:val="nil"/>
              <w:bottom w:val="single" w:sz="4" w:space="0" w:color="auto"/>
              <w:right w:val="single" w:sz="4" w:space="0" w:color="auto"/>
            </w:tcBorders>
            <w:noWrap/>
            <w:vAlign w:val="center"/>
            <w:hideMark/>
          </w:tcPr>
          <w:p w14:paraId="73B44051" w14:textId="06C7F378" w:rsidR="00D35B40" w:rsidRPr="002E7B3E" w:rsidRDefault="00C44AAA">
            <w:pPr>
              <w:jc w:val="center"/>
              <w:rPr>
                <w:rFonts w:asciiTheme="majorHAnsi" w:hAnsiTheme="majorHAnsi" w:cs="Arial"/>
                <w:sz w:val="22"/>
                <w:szCs w:val="22"/>
              </w:rPr>
            </w:pPr>
            <w:r w:rsidRPr="002E7B3E">
              <w:rPr>
                <w:rFonts w:asciiTheme="majorHAnsi" w:hAnsiTheme="majorHAnsi" w:cs="Arial"/>
                <w:sz w:val="22"/>
                <w:szCs w:val="22"/>
              </w:rPr>
              <w:t>7.64</w:t>
            </w:r>
            <w:r w:rsidR="00D35B40" w:rsidRPr="002E7B3E">
              <w:rPr>
                <w:rFonts w:asciiTheme="majorHAnsi" w:hAnsiTheme="majorHAnsi" w:cs="Arial"/>
                <w:sz w:val="22"/>
                <w:szCs w:val="22"/>
              </w:rPr>
              <w:t>%</w:t>
            </w:r>
          </w:p>
        </w:tc>
      </w:tr>
      <w:tr w:rsidR="00D35B40" w:rsidRPr="00361EBF" w14:paraId="40167611" w14:textId="77777777" w:rsidTr="00D35B40">
        <w:trPr>
          <w:trHeight w:val="260"/>
        </w:trPr>
        <w:tc>
          <w:tcPr>
            <w:tcW w:w="3260" w:type="dxa"/>
            <w:tcBorders>
              <w:top w:val="nil"/>
              <w:left w:val="single" w:sz="4" w:space="0" w:color="auto"/>
              <w:bottom w:val="single" w:sz="4" w:space="0" w:color="auto"/>
              <w:right w:val="single" w:sz="4" w:space="0" w:color="auto"/>
            </w:tcBorders>
            <w:noWrap/>
            <w:vAlign w:val="bottom"/>
            <w:hideMark/>
          </w:tcPr>
          <w:p w14:paraId="590B56FF" w14:textId="77777777" w:rsidR="00D35B40" w:rsidRPr="002E7B3E" w:rsidRDefault="00D35B40">
            <w:pPr>
              <w:rPr>
                <w:rFonts w:asciiTheme="majorHAnsi" w:hAnsiTheme="majorHAnsi" w:cs="Arial"/>
                <w:b/>
                <w:bCs/>
                <w:sz w:val="22"/>
                <w:szCs w:val="22"/>
              </w:rPr>
            </w:pPr>
            <w:r w:rsidRPr="002E7B3E">
              <w:rPr>
                <w:rFonts w:asciiTheme="majorHAnsi" w:hAnsiTheme="majorHAnsi" w:cs="Arial"/>
                <w:b/>
                <w:bCs/>
                <w:sz w:val="22"/>
                <w:szCs w:val="22"/>
              </w:rPr>
              <w:t>Interest on Loan</w:t>
            </w:r>
          </w:p>
        </w:tc>
        <w:tc>
          <w:tcPr>
            <w:tcW w:w="1740" w:type="dxa"/>
            <w:tcBorders>
              <w:top w:val="nil"/>
              <w:left w:val="nil"/>
              <w:bottom w:val="single" w:sz="4" w:space="0" w:color="auto"/>
              <w:right w:val="single" w:sz="4" w:space="0" w:color="auto"/>
            </w:tcBorders>
            <w:noWrap/>
            <w:vAlign w:val="center"/>
            <w:hideMark/>
          </w:tcPr>
          <w:p w14:paraId="231560FC" w14:textId="463A0C0B" w:rsidR="00D35B40" w:rsidRPr="002E7B3E" w:rsidRDefault="00D35B40">
            <w:pPr>
              <w:jc w:val="center"/>
              <w:rPr>
                <w:rFonts w:asciiTheme="majorHAnsi" w:hAnsiTheme="majorHAnsi" w:cs="Arial"/>
                <w:b/>
                <w:bCs/>
                <w:sz w:val="22"/>
                <w:szCs w:val="22"/>
              </w:rPr>
            </w:pPr>
            <w:r w:rsidRPr="002E7B3E">
              <w:rPr>
                <w:rFonts w:asciiTheme="majorHAnsi" w:hAnsiTheme="majorHAnsi" w:cs="Arial"/>
                <w:b/>
                <w:bCs/>
                <w:sz w:val="22"/>
                <w:szCs w:val="22"/>
              </w:rPr>
              <w:t>76.</w:t>
            </w:r>
            <w:r w:rsidR="00631926" w:rsidRPr="002E7B3E">
              <w:rPr>
                <w:rFonts w:asciiTheme="majorHAnsi" w:hAnsiTheme="majorHAnsi" w:cs="Arial"/>
                <w:b/>
                <w:bCs/>
                <w:sz w:val="22"/>
                <w:szCs w:val="22"/>
              </w:rPr>
              <w:t>47</w:t>
            </w:r>
          </w:p>
        </w:tc>
        <w:tc>
          <w:tcPr>
            <w:tcW w:w="1420" w:type="dxa"/>
            <w:tcBorders>
              <w:top w:val="nil"/>
              <w:left w:val="nil"/>
              <w:bottom w:val="single" w:sz="4" w:space="0" w:color="auto"/>
              <w:right w:val="single" w:sz="4" w:space="0" w:color="auto"/>
            </w:tcBorders>
            <w:noWrap/>
            <w:vAlign w:val="center"/>
            <w:hideMark/>
          </w:tcPr>
          <w:p w14:paraId="0636700D" w14:textId="239A7AD1" w:rsidR="00D35B40" w:rsidRPr="002E7B3E" w:rsidRDefault="00D35B40">
            <w:pPr>
              <w:jc w:val="center"/>
              <w:rPr>
                <w:rFonts w:asciiTheme="majorHAnsi" w:hAnsiTheme="majorHAnsi" w:cs="Arial"/>
                <w:b/>
                <w:bCs/>
                <w:sz w:val="22"/>
                <w:szCs w:val="22"/>
              </w:rPr>
            </w:pPr>
            <w:r w:rsidRPr="002E7B3E">
              <w:rPr>
                <w:rFonts w:asciiTheme="majorHAnsi" w:hAnsiTheme="majorHAnsi" w:cs="Arial"/>
                <w:b/>
                <w:bCs/>
                <w:sz w:val="22"/>
                <w:szCs w:val="22"/>
              </w:rPr>
              <w:t>9</w:t>
            </w:r>
            <w:r w:rsidR="002E7B3E" w:rsidRPr="002E7B3E">
              <w:rPr>
                <w:rFonts w:asciiTheme="majorHAnsi" w:hAnsiTheme="majorHAnsi" w:cs="Arial"/>
                <w:b/>
                <w:bCs/>
                <w:sz w:val="22"/>
                <w:szCs w:val="22"/>
              </w:rPr>
              <w:t>1.13</w:t>
            </w:r>
          </w:p>
        </w:tc>
        <w:tc>
          <w:tcPr>
            <w:tcW w:w="1880" w:type="dxa"/>
            <w:tcBorders>
              <w:top w:val="nil"/>
              <w:left w:val="nil"/>
              <w:bottom w:val="single" w:sz="4" w:space="0" w:color="auto"/>
              <w:right w:val="single" w:sz="4" w:space="0" w:color="auto"/>
            </w:tcBorders>
            <w:noWrap/>
            <w:vAlign w:val="center"/>
            <w:hideMark/>
          </w:tcPr>
          <w:p w14:paraId="717567A7" w14:textId="4D56318C" w:rsidR="00D35B40" w:rsidRPr="00361EBF" w:rsidRDefault="00D35B40">
            <w:pPr>
              <w:jc w:val="center"/>
              <w:rPr>
                <w:rFonts w:asciiTheme="majorHAnsi" w:hAnsiTheme="majorHAnsi" w:cs="Arial"/>
                <w:b/>
                <w:bCs/>
                <w:sz w:val="22"/>
                <w:szCs w:val="22"/>
              </w:rPr>
            </w:pPr>
            <w:r w:rsidRPr="002E7B3E">
              <w:rPr>
                <w:rFonts w:asciiTheme="majorHAnsi" w:hAnsiTheme="majorHAnsi" w:cs="Arial"/>
                <w:b/>
                <w:bCs/>
                <w:sz w:val="22"/>
                <w:szCs w:val="22"/>
              </w:rPr>
              <w:t>1</w:t>
            </w:r>
            <w:r w:rsidR="00C44AAA" w:rsidRPr="002E7B3E">
              <w:rPr>
                <w:rFonts w:asciiTheme="majorHAnsi" w:hAnsiTheme="majorHAnsi" w:cs="Arial"/>
                <w:b/>
                <w:bCs/>
                <w:sz w:val="22"/>
                <w:szCs w:val="22"/>
              </w:rPr>
              <w:t>07.01</w:t>
            </w:r>
          </w:p>
        </w:tc>
      </w:tr>
    </w:tbl>
    <w:p w14:paraId="0E703235" w14:textId="77777777" w:rsidR="00FC1154" w:rsidRDefault="00FC1154" w:rsidP="00600D60">
      <w:pPr>
        <w:spacing w:after="120" w:line="360" w:lineRule="auto"/>
        <w:jc w:val="both"/>
        <w:rPr>
          <w:rFonts w:ascii="Cambria" w:hAnsi="Cambria" w:cs="Arial"/>
        </w:rPr>
      </w:pPr>
    </w:p>
    <w:p w14:paraId="553DF3A2" w14:textId="70ADEAF7" w:rsidR="000E1100" w:rsidRPr="0080558E" w:rsidRDefault="00112FB3" w:rsidP="004276A0">
      <w:pPr>
        <w:spacing w:line="360" w:lineRule="auto"/>
        <w:jc w:val="both"/>
        <w:rPr>
          <w:rFonts w:ascii="Cambria" w:hAnsi="Cambria" w:cs="Arial"/>
          <w:b/>
          <w:bCs/>
        </w:rPr>
      </w:pPr>
      <w:r>
        <w:rPr>
          <w:rFonts w:ascii="Cambria" w:hAnsi="Cambria" w:cs="Arial"/>
        </w:rPr>
        <w:t xml:space="preserve">Hence, the Hon’ble Commission is requested to </w:t>
      </w:r>
      <w:r w:rsidRPr="0080558E">
        <w:rPr>
          <w:rFonts w:ascii="Cambria" w:hAnsi="Cambria" w:cs="Arial"/>
          <w:b/>
          <w:bCs/>
        </w:rPr>
        <w:t xml:space="preserve">approve the Interest on CAPEX Loan for FY 26-27 as Rs. </w:t>
      </w:r>
      <w:r w:rsidR="005113B1">
        <w:rPr>
          <w:rFonts w:ascii="Cambria" w:hAnsi="Cambria" w:cs="Arial"/>
          <w:b/>
          <w:bCs/>
        </w:rPr>
        <w:t>1</w:t>
      </w:r>
      <w:r w:rsidR="00C44AAA">
        <w:rPr>
          <w:rFonts w:ascii="Cambria" w:hAnsi="Cambria" w:cs="Arial"/>
          <w:b/>
          <w:bCs/>
        </w:rPr>
        <w:t xml:space="preserve">07.01 </w:t>
      </w:r>
      <w:r w:rsidRPr="0080558E">
        <w:rPr>
          <w:rFonts w:ascii="Cambria" w:hAnsi="Cambria" w:cs="Arial"/>
          <w:b/>
          <w:bCs/>
        </w:rPr>
        <w:t>Cr.</w:t>
      </w:r>
    </w:p>
    <w:p w14:paraId="2AC3A561" w14:textId="7B11DCD6" w:rsidR="004276A0" w:rsidRDefault="000E5714" w:rsidP="009024A6">
      <w:pPr>
        <w:pStyle w:val="Heading3"/>
        <w:numPr>
          <w:ilvl w:val="2"/>
          <w:numId w:val="5"/>
        </w:numPr>
        <w:shd w:val="clear" w:color="auto" w:fill="002060"/>
        <w:ind w:left="709"/>
        <w:rPr>
          <w:rFonts w:asciiTheme="majorHAnsi" w:hAnsiTheme="majorHAnsi"/>
          <w:sz w:val="24"/>
          <w:szCs w:val="24"/>
        </w:rPr>
      </w:pPr>
      <w:bookmarkStart w:id="67" w:name="_Toc152180103"/>
      <w:bookmarkStart w:id="68" w:name="_Toc183204715"/>
      <w:bookmarkStart w:id="69" w:name="_Toc215250623"/>
      <w:r w:rsidRPr="00904B4F">
        <w:rPr>
          <w:rFonts w:asciiTheme="majorHAnsi" w:hAnsiTheme="majorHAnsi"/>
          <w:sz w:val="24"/>
          <w:szCs w:val="24"/>
        </w:rPr>
        <w:t xml:space="preserve">Interest on </w:t>
      </w:r>
      <w:r w:rsidR="005F7AE4" w:rsidRPr="00904B4F">
        <w:rPr>
          <w:rFonts w:asciiTheme="majorHAnsi" w:hAnsiTheme="majorHAnsi"/>
          <w:sz w:val="24"/>
          <w:szCs w:val="24"/>
        </w:rPr>
        <w:t>Working capital Loan</w:t>
      </w:r>
      <w:bookmarkEnd w:id="67"/>
      <w:bookmarkEnd w:id="68"/>
      <w:bookmarkEnd w:id="69"/>
      <w:r w:rsidR="005F7AE4" w:rsidRPr="00904B4F">
        <w:rPr>
          <w:rFonts w:asciiTheme="majorHAnsi" w:hAnsiTheme="majorHAnsi"/>
          <w:sz w:val="24"/>
          <w:szCs w:val="24"/>
        </w:rPr>
        <w:t xml:space="preserve"> </w:t>
      </w:r>
    </w:p>
    <w:p w14:paraId="7751FE2B" w14:textId="77777777" w:rsidR="008F1CC5" w:rsidRPr="008F1CC5" w:rsidRDefault="008F1CC5" w:rsidP="008F1CC5"/>
    <w:p w14:paraId="2F684E63" w14:textId="064FC0B3" w:rsidR="000E5714" w:rsidRPr="008F1CC5" w:rsidRDefault="000E5714" w:rsidP="000E5714">
      <w:pPr>
        <w:spacing w:line="360" w:lineRule="auto"/>
        <w:jc w:val="both"/>
        <w:rPr>
          <w:rFonts w:asciiTheme="majorHAnsi" w:hAnsiTheme="majorHAnsi" w:cs="Arial"/>
          <w:lang w:eastAsia="en-IN"/>
        </w:rPr>
      </w:pPr>
      <w:r w:rsidRPr="008F1CC5">
        <w:rPr>
          <w:rFonts w:asciiTheme="majorHAnsi" w:hAnsiTheme="majorHAnsi" w:cs="Arial"/>
          <w:lang w:eastAsia="en-IN"/>
        </w:rPr>
        <w:t xml:space="preserve">As regards to interest on Working capital the </w:t>
      </w:r>
      <w:r w:rsidR="001C56DC" w:rsidRPr="008F1CC5">
        <w:rPr>
          <w:rFonts w:asciiTheme="majorHAnsi" w:hAnsiTheme="majorHAnsi" w:cs="Arial"/>
          <w:lang w:eastAsia="en-IN"/>
        </w:rPr>
        <w:t>L</w:t>
      </w:r>
      <w:r w:rsidRPr="008F1CC5">
        <w:rPr>
          <w:rFonts w:asciiTheme="majorHAnsi" w:hAnsiTheme="majorHAnsi" w:cs="Arial"/>
          <w:lang w:eastAsia="en-IN"/>
        </w:rPr>
        <w:t>icensee has relied upon the following regulation of Hon’ble Commission</w:t>
      </w:r>
      <w:r w:rsidR="001C56DC" w:rsidRPr="008F1CC5">
        <w:rPr>
          <w:rFonts w:asciiTheme="majorHAnsi" w:hAnsiTheme="majorHAnsi" w:cs="Arial"/>
          <w:lang w:eastAsia="en-IN"/>
        </w:rPr>
        <w:t xml:space="preserve"> - </w:t>
      </w:r>
      <w:r w:rsidRPr="008F1CC5">
        <w:rPr>
          <w:rFonts w:asciiTheme="majorHAnsi" w:hAnsiTheme="majorHAnsi" w:cs="Arial"/>
          <w:lang w:eastAsia="en-IN"/>
        </w:rPr>
        <w:t xml:space="preserve"> </w:t>
      </w:r>
    </w:p>
    <w:p w14:paraId="4F940A86" w14:textId="50504533" w:rsidR="000E5714" w:rsidRPr="008F1CC5" w:rsidRDefault="000E5714" w:rsidP="000E5714">
      <w:pPr>
        <w:spacing w:line="360" w:lineRule="auto"/>
        <w:jc w:val="both"/>
        <w:rPr>
          <w:rFonts w:asciiTheme="majorHAnsi" w:hAnsiTheme="majorHAnsi" w:cs="Arial"/>
          <w:lang w:eastAsia="en-IN"/>
        </w:rPr>
      </w:pPr>
      <w:r w:rsidRPr="008F1CC5">
        <w:rPr>
          <w:rFonts w:asciiTheme="majorHAnsi" w:hAnsiTheme="majorHAnsi" w:cs="Arial"/>
          <w:lang w:eastAsia="en-IN"/>
        </w:rPr>
        <w:t xml:space="preserve">Regulation </w:t>
      </w:r>
      <w:r w:rsidR="00AD4180" w:rsidRPr="008F1CC5">
        <w:rPr>
          <w:rFonts w:asciiTheme="majorHAnsi" w:hAnsiTheme="majorHAnsi" w:cs="Arial"/>
          <w:lang w:eastAsia="en-IN"/>
        </w:rPr>
        <w:t>3.10</w:t>
      </w:r>
      <w:r w:rsidRPr="008F1CC5">
        <w:rPr>
          <w:rFonts w:asciiTheme="majorHAnsi" w:hAnsiTheme="majorHAnsi" w:cs="Arial"/>
          <w:lang w:eastAsia="en-IN"/>
        </w:rPr>
        <w:t xml:space="preserve"> of the OERC Tariff Regulations, 20</w:t>
      </w:r>
      <w:r w:rsidR="00AD4180" w:rsidRPr="008F1CC5">
        <w:rPr>
          <w:rFonts w:asciiTheme="majorHAnsi" w:hAnsiTheme="majorHAnsi" w:cs="Arial"/>
          <w:lang w:eastAsia="en-IN"/>
        </w:rPr>
        <w:t>22</w:t>
      </w:r>
      <w:r w:rsidRPr="008F1CC5">
        <w:rPr>
          <w:rFonts w:asciiTheme="majorHAnsi" w:hAnsiTheme="majorHAnsi" w:cs="Arial"/>
          <w:lang w:eastAsia="en-IN"/>
        </w:rPr>
        <w:t xml:space="preserve"> provides for Interest on working capital as under:</w:t>
      </w:r>
    </w:p>
    <w:p w14:paraId="485CC7D5" w14:textId="1E3D4B53" w:rsidR="00AD4180" w:rsidRPr="008F1CC5" w:rsidRDefault="000E5714" w:rsidP="001C56DC">
      <w:pPr>
        <w:autoSpaceDE w:val="0"/>
        <w:autoSpaceDN w:val="0"/>
        <w:adjustRightInd w:val="0"/>
        <w:ind w:left="720"/>
        <w:jc w:val="both"/>
        <w:rPr>
          <w:rFonts w:asciiTheme="majorHAnsi" w:hAnsiTheme="majorHAnsi"/>
          <w:i/>
          <w:iCs/>
          <w:sz w:val="22"/>
          <w:lang w:val="en-IN" w:eastAsia="en-IN"/>
        </w:rPr>
      </w:pPr>
      <w:r w:rsidRPr="008F1CC5">
        <w:rPr>
          <w:rFonts w:asciiTheme="majorHAnsi" w:hAnsiTheme="majorHAnsi" w:cs="Arial"/>
          <w:i/>
          <w:iCs/>
          <w:sz w:val="22"/>
          <w:lang w:eastAsia="en-IN"/>
        </w:rPr>
        <w:t>“</w:t>
      </w:r>
      <w:r w:rsidR="00AD4180" w:rsidRPr="008F1CC5">
        <w:rPr>
          <w:rFonts w:asciiTheme="majorHAnsi" w:hAnsiTheme="majorHAnsi" w:cs="Arial"/>
          <w:i/>
          <w:iCs/>
          <w:sz w:val="22"/>
          <w:lang w:eastAsia="en-IN"/>
        </w:rPr>
        <w:t>3.10.1</w:t>
      </w:r>
      <w:r w:rsidR="00AD4180" w:rsidRPr="008F1CC5">
        <w:rPr>
          <w:rFonts w:asciiTheme="majorHAnsi" w:hAnsiTheme="majorHAnsi"/>
          <w:i/>
          <w:iCs/>
          <w:sz w:val="22"/>
          <w:lang w:val="en-IN" w:eastAsia="en-IN"/>
        </w:rPr>
        <w:t>. The Distribution Licensee shall be allowed interest on the estimated level of working capital for the Wheeling and Retail supply business for the Financial Year. The working capital for the purpose of ARR calculation shall be computed as follows:</w:t>
      </w:r>
    </w:p>
    <w:p w14:paraId="2A6B22E0" w14:textId="77777777" w:rsidR="00AD4180" w:rsidRPr="008F1CC5" w:rsidRDefault="00AD4180" w:rsidP="001C56DC">
      <w:pPr>
        <w:autoSpaceDE w:val="0"/>
        <w:autoSpaceDN w:val="0"/>
        <w:adjustRightInd w:val="0"/>
        <w:ind w:left="720"/>
        <w:jc w:val="both"/>
        <w:rPr>
          <w:rFonts w:asciiTheme="majorHAnsi" w:hAnsiTheme="majorHAnsi"/>
          <w:i/>
          <w:iCs/>
          <w:sz w:val="22"/>
          <w:lang w:val="en-IN" w:eastAsia="en-IN"/>
        </w:rPr>
      </w:pPr>
      <w:r w:rsidRPr="008F1CC5">
        <w:rPr>
          <w:rFonts w:asciiTheme="majorHAnsi" w:hAnsiTheme="majorHAnsi"/>
          <w:i/>
          <w:iCs/>
          <w:sz w:val="22"/>
          <w:lang w:val="en-IN" w:eastAsia="en-IN"/>
        </w:rPr>
        <w:t>a. Operation and maintenance expenses for one month; plus</w:t>
      </w:r>
    </w:p>
    <w:p w14:paraId="23229F9F" w14:textId="1EE47CA3" w:rsidR="00AD4180" w:rsidRPr="008F1CC5" w:rsidRDefault="00AD4180" w:rsidP="001C56DC">
      <w:pPr>
        <w:autoSpaceDE w:val="0"/>
        <w:autoSpaceDN w:val="0"/>
        <w:adjustRightInd w:val="0"/>
        <w:ind w:left="720"/>
        <w:jc w:val="both"/>
        <w:rPr>
          <w:rFonts w:asciiTheme="majorHAnsi" w:hAnsiTheme="majorHAnsi"/>
          <w:i/>
          <w:iCs/>
          <w:sz w:val="22"/>
          <w:lang w:val="en-IN" w:eastAsia="en-IN"/>
        </w:rPr>
      </w:pPr>
      <w:r w:rsidRPr="008F1CC5">
        <w:rPr>
          <w:rFonts w:asciiTheme="majorHAnsi" w:hAnsiTheme="majorHAnsi"/>
          <w:i/>
          <w:iCs/>
          <w:sz w:val="22"/>
          <w:lang w:val="en-IN" w:eastAsia="en-IN"/>
        </w:rPr>
        <w:t>b. Maintenance spares @ twenty (20) % of average R&amp;M expense for one month;</w:t>
      </w:r>
      <w:r w:rsidR="008F1CC5">
        <w:rPr>
          <w:rFonts w:asciiTheme="majorHAnsi" w:hAnsiTheme="majorHAnsi"/>
          <w:i/>
          <w:iCs/>
          <w:sz w:val="22"/>
          <w:lang w:val="en-IN" w:eastAsia="en-IN"/>
        </w:rPr>
        <w:t xml:space="preserve"> </w:t>
      </w:r>
      <w:r w:rsidRPr="008F1CC5">
        <w:rPr>
          <w:rFonts w:asciiTheme="majorHAnsi" w:hAnsiTheme="majorHAnsi"/>
          <w:i/>
          <w:iCs/>
          <w:sz w:val="22"/>
          <w:lang w:val="en-IN" w:eastAsia="en-IN"/>
        </w:rPr>
        <w:t>plus</w:t>
      </w:r>
    </w:p>
    <w:p w14:paraId="38D7EE20" w14:textId="59B7AA53" w:rsidR="000E5714" w:rsidRPr="008F1CC5" w:rsidRDefault="00AD4180" w:rsidP="001C56DC">
      <w:pPr>
        <w:ind w:left="720"/>
        <w:jc w:val="both"/>
        <w:rPr>
          <w:rFonts w:asciiTheme="majorHAnsi" w:hAnsiTheme="majorHAnsi" w:cs="Arial"/>
          <w:i/>
          <w:iCs/>
          <w:sz w:val="22"/>
          <w:lang w:eastAsia="en-IN"/>
        </w:rPr>
      </w:pPr>
      <w:r w:rsidRPr="008F1CC5">
        <w:rPr>
          <w:rFonts w:asciiTheme="majorHAnsi" w:hAnsiTheme="majorHAnsi"/>
          <w:i/>
          <w:iCs/>
          <w:sz w:val="22"/>
          <w:lang w:val="en-IN" w:eastAsia="en-IN"/>
        </w:rPr>
        <w:t>c. Power Purchase Cost for one (1) month</w:t>
      </w:r>
      <w:r w:rsidR="000E5714" w:rsidRPr="008F1CC5">
        <w:rPr>
          <w:rFonts w:asciiTheme="majorHAnsi" w:hAnsiTheme="majorHAnsi" w:cs="Arial"/>
          <w:i/>
          <w:iCs/>
          <w:sz w:val="22"/>
          <w:lang w:eastAsia="en-IN"/>
        </w:rPr>
        <w:t>.”</w:t>
      </w:r>
    </w:p>
    <w:p w14:paraId="4ED713D2" w14:textId="77777777" w:rsidR="000E5714" w:rsidRPr="00A30CA9" w:rsidRDefault="000E5714" w:rsidP="000E5714">
      <w:pPr>
        <w:pStyle w:val="ListParagraph"/>
        <w:spacing w:after="0" w:line="240" w:lineRule="auto"/>
        <w:ind w:left="1506"/>
        <w:jc w:val="both"/>
        <w:rPr>
          <w:rFonts w:ascii="Book Antiqua" w:eastAsia="Times New Roman" w:hAnsi="Book Antiqua" w:cs="Arial"/>
          <w:i/>
          <w:iCs/>
          <w:sz w:val="24"/>
          <w:szCs w:val="24"/>
          <w:lang w:eastAsia="en-IN"/>
        </w:rPr>
      </w:pPr>
    </w:p>
    <w:p w14:paraId="2C204318" w14:textId="2EC4F2F2" w:rsidR="000E5714" w:rsidRDefault="000E5714" w:rsidP="000E5714">
      <w:pPr>
        <w:spacing w:line="360" w:lineRule="auto"/>
        <w:jc w:val="both"/>
        <w:rPr>
          <w:rFonts w:asciiTheme="majorHAnsi" w:hAnsiTheme="majorHAnsi" w:cs="Arial"/>
          <w:lang w:eastAsia="en-IN"/>
        </w:rPr>
      </w:pPr>
      <w:r w:rsidRPr="008F1CC5">
        <w:rPr>
          <w:rFonts w:asciiTheme="majorHAnsi" w:hAnsiTheme="majorHAnsi" w:cs="Arial"/>
          <w:lang w:eastAsia="en-IN"/>
        </w:rPr>
        <w:t xml:space="preserve">The </w:t>
      </w:r>
      <w:r w:rsidR="001C56DC" w:rsidRPr="008F1CC5">
        <w:rPr>
          <w:rFonts w:asciiTheme="majorHAnsi" w:hAnsiTheme="majorHAnsi" w:cs="Arial"/>
          <w:lang w:eastAsia="en-IN"/>
        </w:rPr>
        <w:t>Licensee</w:t>
      </w:r>
      <w:r w:rsidRPr="008F1CC5">
        <w:rPr>
          <w:rFonts w:asciiTheme="majorHAnsi" w:hAnsiTheme="majorHAnsi" w:cs="Arial"/>
          <w:lang w:eastAsia="en-IN"/>
        </w:rPr>
        <w:t>, in accordance with the above Regulation has computed the normative interest on working capital as under:</w:t>
      </w:r>
    </w:p>
    <w:tbl>
      <w:tblPr>
        <w:tblW w:w="8300" w:type="dxa"/>
        <w:tblLook w:val="04A0" w:firstRow="1" w:lastRow="0" w:firstColumn="1" w:lastColumn="0" w:noHBand="0" w:noVBand="1"/>
      </w:tblPr>
      <w:tblGrid>
        <w:gridCol w:w="3260"/>
        <w:gridCol w:w="1740"/>
        <w:gridCol w:w="1420"/>
        <w:gridCol w:w="1880"/>
      </w:tblGrid>
      <w:tr w:rsidR="003F14E2" w:rsidRPr="00361EBF" w14:paraId="521A04C5" w14:textId="77777777" w:rsidTr="006D7D44">
        <w:trPr>
          <w:trHeight w:val="290"/>
          <w:tblHeader/>
        </w:trPr>
        <w:tc>
          <w:tcPr>
            <w:tcW w:w="3260" w:type="dxa"/>
            <w:tcBorders>
              <w:top w:val="single" w:sz="4" w:space="0" w:color="auto"/>
              <w:left w:val="single" w:sz="4" w:space="0" w:color="auto"/>
              <w:bottom w:val="single" w:sz="4" w:space="0" w:color="auto"/>
              <w:right w:val="single" w:sz="4" w:space="0" w:color="auto"/>
            </w:tcBorders>
            <w:noWrap/>
            <w:vAlign w:val="center"/>
            <w:hideMark/>
          </w:tcPr>
          <w:p w14:paraId="22770935" w14:textId="77777777" w:rsidR="003F14E2" w:rsidRPr="00361EBF" w:rsidRDefault="003F14E2">
            <w:pPr>
              <w:rPr>
                <w:rFonts w:asciiTheme="majorHAnsi" w:hAnsiTheme="majorHAnsi" w:cstheme="minorHAnsi"/>
                <w:b/>
                <w:bCs/>
                <w:color w:val="000000"/>
                <w:sz w:val="22"/>
                <w:szCs w:val="22"/>
                <w:lang w:val="en-IN" w:eastAsia="en-IN"/>
              </w:rPr>
            </w:pPr>
            <w:r w:rsidRPr="00361EBF">
              <w:rPr>
                <w:rFonts w:asciiTheme="majorHAnsi" w:hAnsiTheme="majorHAnsi" w:cstheme="minorHAnsi"/>
                <w:b/>
                <w:bCs/>
                <w:color w:val="000000"/>
                <w:sz w:val="22"/>
                <w:szCs w:val="22"/>
              </w:rPr>
              <w:t>Particulars</w:t>
            </w:r>
          </w:p>
        </w:tc>
        <w:tc>
          <w:tcPr>
            <w:tcW w:w="1740" w:type="dxa"/>
            <w:tcBorders>
              <w:top w:val="single" w:sz="4" w:space="0" w:color="auto"/>
              <w:left w:val="nil"/>
              <w:bottom w:val="single" w:sz="4" w:space="0" w:color="auto"/>
              <w:right w:val="single" w:sz="4" w:space="0" w:color="auto"/>
            </w:tcBorders>
            <w:noWrap/>
            <w:vAlign w:val="center"/>
            <w:hideMark/>
          </w:tcPr>
          <w:p w14:paraId="4BA90D65" w14:textId="77777777" w:rsidR="003F14E2" w:rsidRPr="00361EBF" w:rsidRDefault="003F14E2">
            <w:pPr>
              <w:jc w:val="center"/>
              <w:rPr>
                <w:rFonts w:asciiTheme="majorHAnsi" w:hAnsiTheme="majorHAnsi" w:cstheme="minorHAnsi"/>
                <w:b/>
                <w:bCs/>
                <w:sz w:val="22"/>
                <w:szCs w:val="22"/>
              </w:rPr>
            </w:pPr>
            <w:r w:rsidRPr="00361EBF">
              <w:rPr>
                <w:rFonts w:asciiTheme="majorHAnsi" w:hAnsiTheme="majorHAnsi" w:cstheme="minorHAnsi"/>
                <w:b/>
                <w:bCs/>
                <w:sz w:val="22"/>
                <w:szCs w:val="22"/>
              </w:rPr>
              <w:t>FY 2024-25</w:t>
            </w:r>
          </w:p>
        </w:tc>
        <w:tc>
          <w:tcPr>
            <w:tcW w:w="1420" w:type="dxa"/>
            <w:tcBorders>
              <w:top w:val="single" w:sz="4" w:space="0" w:color="auto"/>
              <w:left w:val="nil"/>
              <w:bottom w:val="single" w:sz="4" w:space="0" w:color="auto"/>
              <w:right w:val="single" w:sz="4" w:space="0" w:color="auto"/>
            </w:tcBorders>
            <w:noWrap/>
            <w:vAlign w:val="center"/>
            <w:hideMark/>
          </w:tcPr>
          <w:p w14:paraId="2F73BF0C" w14:textId="77777777" w:rsidR="003F14E2" w:rsidRPr="00361EBF" w:rsidRDefault="003F14E2">
            <w:pPr>
              <w:jc w:val="center"/>
              <w:rPr>
                <w:rFonts w:asciiTheme="majorHAnsi" w:hAnsiTheme="majorHAnsi" w:cstheme="minorHAnsi"/>
                <w:b/>
                <w:bCs/>
                <w:sz w:val="22"/>
                <w:szCs w:val="22"/>
              </w:rPr>
            </w:pPr>
            <w:r w:rsidRPr="00361EBF">
              <w:rPr>
                <w:rFonts w:asciiTheme="majorHAnsi" w:hAnsiTheme="majorHAnsi" w:cstheme="minorHAnsi"/>
                <w:b/>
                <w:bCs/>
                <w:sz w:val="22"/>
                <w:szCs w:val="22"/>
              </w:rPr>
              <w:t>FY 2025-26</w:t>
            </w:r>
          </w:p>
        </w:tc>
        <w:tc>
          <w:tcPr>
            <w:tcW w:w="1880" w:type="dxa"/>
            <w:tcBorders>
              <w:top w:val="single" w:sz="4" w:space="0" w:color="auto"/>
              <w:left w:val="nil"/>
              <w:bottom w:val="single" w:sz="4" w:space="0" w:color="auto"/>
              <w:right w:val="single" w:sz="4" w:space="0" w:color="auto"/>
            </w:tcBorders>
            <w:noWrap/>
            <w:vAlign w:val="center"/>
            <w:hideMark/>
          </w:tcPr>
          <w:p w14:paraId="067503A8" w14:textId="77777777" w:rsidR="003F14E2" w:rsidRPr="00361EBF" w:rsidRDefault="003F14E2">
            <w:pPr>
              <w:jc w:val="center"/>
              <w:rPr>
                <w:rFonts w:asciiTheme="majorHAnsi" w:hAnsiTheme="majorHAnsi" w:cstheme="minorHAnsi"/>
                <w:b/>
                <w:bCs/>
                <w:sz w:val="22"/>
                <w:szCs w:val="22"/>
              </w:rPr>
            </w:pPr>
            <w:r w:rsidRPr="00361EBF">
              <w:rPr>
                <w:rFonts w:asciiTheme="majorHAnsi" w:hAnsiTheme="majorHAnsi" w:cstheme="minorHAnsi"/>
                <w:b/>
                <w:bCs/>
                <w:sz w:val="22"/>
                <w:szCs w:val="22"/>
              </w:rPr>
              <w:t>FY 2026-27</w:t>
            </w:r>
          </w:p>
        </w:tc>
      </w:tr>
      <w:tr w:rsidR="0038664C" w:rsidRPr="00361EBF" w14:paraId="3C39D2CC" w14:textId="77777777" w:rsidTr="00D92B99">
        <w:trPr>
          <w:trHeight w:val="250"/>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4B35D102" w14:textId="3B34889B" w:rsidR="0038664C" w:rsidRPr="00D92B99" w:rsidRDefault="0038664C" w:rsidP="0038664C">
            <w:pPr>
              <w:rPr>
                <w:rFonts w:asciiTheme="majorHAnsi" w:hAnsiTheme="majorHAnsi" w:cstheme="minorHAnsi"/>
                <w:sz w:val="22"/>
                <w:szCs w:val="22"/>
              </w:rPr>
            </w:pPr>
            <w:r w:rsidRPr="00D92B99">
              <w:rPr>
                <w:rFonts w:asciiTheme="majorHAnsi" w:hAnsiTheme="majorHAnsi" w:cstheme="minorHAnsi"/>
                <w:sz w:val="22"/>
                <w:szCs w:val="22"/>
              </w:rPr>
              <w:t>O&amp;M Expenses</w:t>
            </w:r>
          </w:p>
        </w:tc>
        <w:tc>
          <w:tcPr>
            <w:tcW w:w="1740" w:type="dxa"/>
            <w:tcBorders>
              <w:top w:val="nil"/>
              <w:left w:val="nil"/>
              <w:bottom w:val="single" w:sz="4" w:space="0" w:color="auto"/>
              <w:right w:val="single" w:sz="4" w:space="0" w:color="auto"/>
            </w:tcBorders>
            <w:shd w:val="clear" w:color="auto" w:fill="auto"/>
            <w:noWrap/>
            <w:vAlign w:val="center"/>
            <w:hideMark/>
          </w:tcPr>
          <w:p w14:paraId="6AA01297" w14:textId="706CDDF9" w:rsidR="0038664C" w:rsidRPr="00D92B99" w:rsidRDefault="0038664C" w:rsidP="0038664C">
            <w:pPr>
              <w:jc w:val="center"/>
              <w:rPr>
                <w:rFonts w:asciiTheme="majorHAnsi" w:hAnsiTheme="majorHAnsi" w:cstheme="minorHAnsi"/>
                <w:sz w:val="22"/>
                <w:szCs w:val="22"/>
              </w:rPr>
            </w:pPr>
            <w:r w:rsidRPr="00D92B99">
              <w:rPr>
                <w:rFonts w:asciiTheme="majorHAnsi" w:hAnsiTheme="majorHAnsi" w:cstheme="minorHAnsi"/>
                <w:sz w:val="22"/>
                <w:szCs w:val="22"/>
              </w:rPr>
              <w:t>10</w:t>
            </w:r>
            <w:r w:rsidR="00B352F6" w:rsidRPr="00D92B99">
              <w:rPr>
                <w:rFonts w:asciiTheme="majorHAnsi" w:hAnsiTheme="majorHAnsi" w:cstheme="minorHAnsi"/>
                <w:sz w:val="22"/>
                <w:szCs w:val="22"/>
              </w:rPr>
              <w:t>7</w:t>
            </w:r>
            <w:r w:rsidR="00D92B99" w:rsidRPr="00D92B99">
              <w:rPr>
                <w:rFonts w:asciiTheme="majorHAnsi" w:hAnsiTheme="majorHAnsi" w:cstheme="minorHAnsi"/>
                <w:sz w:val="22"/>
                <w:szCs w:val="22"/>
              </w:rPr>
              <w:t>4.81</w:t>
            </w:r>
          </w:p>
        </w:tc>
        <w:tc>
          <w:tcPr>
            <w:tcW w:w="1420" w:type="dxa"/>
            <w:tcBorders>
              <w:top w:val="nil"/>
              <w:left w:val="nil"/>
              <w:bottom w:val="single" w:sz="4" w:space="0" w:color="auto"/>
              <w:right w:val="single" w:sz="4" w:space="0" w:color="auto"/>
            </w:tcBorders>
            <w:shd w:val="clear" w:color="auto" w:fill="auto"/>
            <w:noWrap/>
            <w:vAlign w:val="center"/>
            <w:hideMark/>
          </w:tcPr>
          <w:p w14:paraId="19F61508" w14:textId="57DFE8B0" w:rsidR="0038664C" w:rsidRPr="00D92B99" w:rsidRDefault="0038664C" w:rsidP="0038664C">
            <w:pPr>
              <w:jc w:val="center"/>
              <w:rPr>
                <w:rFonts w:asciiTheme="majorHAnsi" w:hAnsiTheme="majorHAnsi" w:cstheme="minorHAnsi"/>
                <w:sz w:val="22"/>
                <w:szCs w:val="22"/>
              </w:rPr>
            </w:pPr>
            <w:r w:rsidRPr="00D92B99">
              <w:rPr>
                <w:rFonts w:asciiTheme="majorHAnsi" w:hAnsiTheme="majorHAnsi" w:cstheme="minorHAnsi"/>
                <w:sz w:val="22"/>
                <w:szCs w:val="22"/>
              </w:rPr>
              <w:t>11</w:t>
            </w:r>
            <w:r w:rsidR="00B352F6" w:rsidRPr="00D92B99">
              <w:rPr>
                <w:rFonts w:asciiTheme="majorHAnsi" w:hAnsiTheme="majorHAnsi" w:cstheme="minorHAnsi"/>
                <w:sz w:val="22"/>
                <w:szCs w:val="22"/>
              </w:rPr>
              <w:t>33.96</w:t>
            </w:r>
          </w:p>
        </w:tc>
        <w:tc>
          <w:tcPr>
            <w:tcW w:w="1880" w:type="dxa"/>
            <w:tcBorders>
              <w:top w:val="nil"/>
              <w:left w:val="nil"/>
              <w:bottom w:val="single" w:sz="4" w:space="0" w:color="auto"/>
              <w:right w:val="single" w:sz="4" w:space="0" w:color="auto"/>
            </w:tcBorders>
            <w:shd w:val="clear" w:color="auto" w:fill="auto"/>
            <w:noWrap/>
            <w:vAlign w:val="bottom"/>
            <w:hideMark/>
          </w:tcPr>
          <w:p w14:paraId="10919625" w14:textId="438FB318" w:rsidR="0038664C" w:rsidRPr="00D92B99" w:rsidRDefault="0038664C" w:rsidP="0038664C">
            <w:pPr>
              <w:jc w:val="center"/>
              <w:rPr>
                <w:rFonts w:asciiTheme="majorHAnsi" w:hAnsiTheme="majorHAnsi" w:cstheme="minorHAnsi"/>
                <w:sz w:val="22"/>
                <w:szCs w:val="22"/>
              </w:rPr>
            </w:pPr>
            <w:r w:rsidRPr="00D92B99">
              <w:rPr>
                <w:rFonts w:asciiTheme="majorHAnsi" w:hAnsiTheme="majorHAnsi" w:cs="Arial"/>
                <w:sz w:val="22"/>
                <w:szCs w:val="22"/>
              </w:rPr>
              <w:t>12</w:t>
            </w:r>
            <w:r w:rsidR="009A5DB0" w:rsidRPr="00D92B99">
              <w:rPr>
                <w:rFonts w:asciiTheme="majorHAnsi" w:hAnsiTheme="majorHAnsi" w:cs="Arial"/>
                <w:sz w:val="22"/>
                <w:szCs w:val="22"/>
              </w:rPr>
              <w:t>17.16</w:t>
            </w:r>
          </w:p>
        </w:tc>
      </w:tr>
      <w:tr w:rsidR="0038664C" w:rsidRPr="00361EBF" w14:paraId="2CEABF3F" w14:textId="77777777" w:rsidTr="001F21DF">
        <w:trPr>
          <w:trHeight w:val="250"/>
        </w:trPr>
        <w:tc>
          <w:tcPr>
            <w:tcW w:w="3260" w:type="dxa"/>
            <w:tcBorders>
              <w:top w:val="nil"/>
              <w:left w:val="single" w:sz="4" w:space="0" w:color="auto"/>
              <w:bottom w:val="single" w:sz="4" w:space="0" w:color="auto"/>
              <w:right w:val="single" w:sz="4" w:space="0" w:color="auto"/>
            </w:tcBorders>
            <w:noWrap/>
            <w:vAlign w:val="center"/>
            <w:hideMark/>
          </w:tcPr>
          <w:p w14:paraId="1158AF48" w14:textId="77777777" w:rsidR="0038664C" w:rsidRPr="00361EBF" w:rsidRDefault="0038664C" w:rsidP="0038664C">
            <w:pPr>
              <w:rPr>
                <w:rFonts w:asciiTheme="majorHAnsi" w:hAnsiTheme="majorHAnsi" w:cstheme="minorHAnsi"/>
                <w:sz w:val="22"/>
                <w:szCs w:val="22"/>
              </w:rPr>
            </w:pPr>
            <w:r w:rsidRPr="00361EBF">
              <w:rPr>
                <w:rFonts w:asciiTheme="majorHAnsi" w:hAnsiTheme="majorHAnsi" w:cstheme="minorHAnsi"/>
                <w:sz w:val="22"/>
                <w:szCs w:val="22"/>
              </w:rPr>
              <w:t>O&amp;M Expenses for 1 month</w:t>
            </w:r>
          </w:p>
        </w:tc>
        <w:tc>
          <w:tcPr>
            <w:tcW w:w="1740" w:type="dxa"/>
            <w:tcBorders>
              <w:top w:val="nil"/>
              <w:left w:val="nil"/>
              <w:bottom w:val="single" w:sz="4" w:space="0" w:color="auto"/>
              <w:right w:val="single" w:sz="4" w:space="0" w:color="auto"/>
            </w:tcBorders>
            <w:noWrap/>
            <w:vAlign w:val="center"/>
            <w:hideMark/>
          </w:tcPr>
          <w:p w14:paraId="12492876" w14:textId="75C9EE69" w:rsidR="0038664C" w:rsidRPr="00361EBF" w:rsidRDefault="00B352F6" w:rsidP="0038664C">
            <w:pPr>
              <w:jc w:val="center"/>
              <w:rPr>
                <w:rFonts w:asciiTheme="majorHAnsi" w:hAnsiTheme="majorHAnsi" w:cstheme="minorHAnsi"/>
                <w:sz w:val="22"/>
                <w:szCs w:val="22"/>
              </w:rPr>
            </w:pPr>
            <w:r>
              <w:rPr>
                <w:rFonts w:asciiTheme="majorHAnsi" w:hAnsiTheme="majorHAnsi" w:cstheme="minorHAnsi"/>
                <w:sz w:val="22"/>
                <w:szCs w:val="22"/>
              </w:rPr>
              <w:t>89.57</w:t>
            </w:r>
          </w:p>
        </w:tc>
        <w:tc>
          <w:tcPr>
            <w:tcW w:w="1420" w:type="dxa"/>
            <w:tcBorders>
              <w:top w:val="nil"/>
              <w:left w:val="nil"/>
              <w:bottom w:val="single" w:sz="4" w:space="0" w:color="auto"/>
              <w:right w:val="single" w:sz="4" w:space="0" w:color="auto"/>
            </w:tcBorders>
            <w:noWrap/>
            <w:vAlign w:val="center"/>
            <w:hideMark/>
          </w:tcPr>
          <w:p w14:paraId="1BA1FF66" w14:textId="208B17AC" w:rsidR="0038664C" w:rsidRPr="00361EBF" w:rsidRDefault="0038664C" w:rsidP="0038664C">
            <w:pPr>
              <w:jc w:val="center"/>
              <w:rPr>
                <w:rFonts w:asciiTheme="majorHAnsi" w:hAnsiTheme="majorHAnsi" w:cstheme="minorHAnsi"/>
                <w:sz w:val="22"/>
                <w:szCs w:val="22"/>
              </w:rPr>
            </w:pPr>
            <w:r w:rsidRPr="00361EBF">
              <w:rPr>
                <w:rFonts w:asciiTheme="majorHAnsi" w:hAnsiTheme="majorHAnsi" w:cstheme="minorHAnsi"/>
                <w:sz w:val="22"/>
                <w:szCs w:val="22"/>
              </w:rPr>
              <w:t>9</w:t>
            </w:r>
            <w:r w:rsidR="00B352F6">
              <w:rPr>
                <w:rFonts w:asciiTheme="majorHAnsi" w:hAnsiTheme="majorHAnsi" w:cstheme="minorHAnsi"/>
                <w:sz w:val="22"/>
                <w:szCs w:val="22"/>
              </w:rPr>
              <w:t>4.50</w:t>
            </w:r>
          </w:p>
        </w:tc>
        <w:tc>
          <w:tcPr>
            <w:tcW w:w="1880" w:type="dxa"/>
            <w:tcBorders>
              <w:top w:val="nil"/>
              <w:left w:val="nil"/>
              <w:bottom w:val="single" w:sz="4" w:space="0" w:color="auto"/>
              <w:right w:val="single" w:sz="4" w:space="0" w:color="auto"/>
            </w:tcBorders>
            <w:noWrap/>
            <w:vAlign w:val="bottom"/>
            <w:hideMark/>
          </w:tcPr>
          <w:p w14:paraId="30CFBF4D" w14:textId="52DF96CB" w:rsidR="0038664C" w:rsidRPr="00361EBF" w:rsidRDefault="0038664C" w:rsidP="0038664C">
            <w:pPr>
              <w:jc w:val="center"/>
              <w:rPr>
                <w:rFonts w:asciiTheme="majorHAnsi" w:hAnsiTheme="majorHAnsi" w:cstheme="minorHAnsi"/>
                <w:sz w:val="22"/>
                <w:szCs w:val="22"/>
                <w:highlight w:val="yellow"/>
              </w:rPr>
            </w:pPr>
            <w:r w:rsidRPr="00361EBF">
              <w:rPr>
                <w:rFonts w:asciiTheme="majorHAnsi" w:hAnsiTheme="majorHAnsi" w:cs="Arial"/>
                <w:sz w:val="22"/>
                <w:szCs w:val="22"/>
              </w:rPr>
              <w:t>10</w:t>
            </w:r>
            <w:r w:rsidR="009A5DB0">
              <w:rPr>
                <w:rFonts w:asciiTheme="majorHAnsi" w:hAnsiTheme="majorHAnsi" w:cs="Arial"/>
                <w:sz w:val="22"/>
                <w:szCs w:val="22"/>
              </w:rPr>
              <w:t>1.43</w:t>
            </w:r>
          </w:p>
        </w:tc>
      </w:tr>
      <w:tr w:rsidR="0038664C" w:rsidRPr="00361EBF" w14:paraId="3DBE5E2B" w14:textId="77777777" w:rsidTr="001F21DF">
        <w:trPr>
          <w:trHeight w:val="250"/>
        </w:trPr>
        <w:tc>
          <w:tcPr>
            <w:tcW w:w="3260" w:type="dxa"/>
            <w:tcBorders>
              <w:top w:val="nil"/>
              <w:left w:val="single" w:sz="4" w:space="0" w:color="auto"/>
              <w:bottom w:val="single" w:sz="4" w:space="0" w:color="auto"/>
              <w:right w:val="single" w:sz="4" w:space="0" w:color="auto"/>
            </w:tcBorders>
            <w:noWrap/>
            <w:vAlign w:val="center"/>
            <w:hideMark/>
          </w:tcPr>
          <w:p w14:paraId="44B7984C" w14:textId="77777777" w:rsidR="0038664C" w:rsidRPr="00361EBF" w:rsidRDefault="0038664C" w:rsidP="0038664C">
            <w:pPr>
              <w:rPr>
                <w:rFonts w:asciiTheme="majorHAnsi" w:hAnsiTheme="majorHAnsi" w:cstheme="minorHAnsi"/>
                <w:sz w:val="22"/>
                <w:szCs w:val="22"/>
              </w:rPr>
            </w:pPr>
            <w:r w:rsidRPr="00361EBF">
              <w:rPr>
                <w:rFonts w:asciiTheme="majorHAnsi" w:hAnsiTheme="majorHAnsi" w:cstheme="minorHAnsi"/>
                <w:sz w:val="22"/>
                <w:szCs w:val="22"/>
              </w:rPr>
              <w:t>Power purchase Cost</w:t>
            </w:r>
          </w:p>
        </w:tc>
        <w:tc>
          <w:tcPr>
            <w:tcW w:w="1740" w:type="dxa"/>
            <w:tcBorders>
              <w:top w:val="nil"/>
              <w:left w:val="nil"/>
              <w:bottom w:val="single" w:sz="4" w:space="0" w:color="auto"/>
              <w:right w:val="single" w:sz="4" w:space="0" w:color="auto"/>
            </w:tcBorders>
            <w:noWrap/>
            <w:vAlign w:val="center"/>
            <w:hideMark/>
          </w:tcPr>
          <w:p w14:paraId="525A6F3B" w14:textId="2FC3265E" w:rsidR="0038664C" w:rsidRPr="00361EBF" w:rsidRDefault="0038664C" w:rsidP="0038664C">
            <w:pPr>
              <w:jc w:val="center"/>
              <w:rPr>
                <w:rFonts w:asciiTheme="majorHAnsi" w:hAnsiTheme="majorHAnsi" w:cstheme="minorHAnsi"/>
                <w:sz w:val="22"/>
                <w:szCs w:val="22"/>
              </w:rPr>
            </w:pPr>
            <w:r w:rsidRPr="00361EBF">
              <w:rPr>
                <w:rFonts w:asciiTheme="majorHAnsi" w:hAnsiTheme="majorHAnsi" w:cstheme="minorHAnsi"/>
                <w:sz w:val="22"/>
                <w:szCs w:val="22"/>
              </w:rPr>
              <w:t>5214.59</w:t>
            </w:r>
          </w:p>
        </w:tc>
        <w:tc>
          <w:tcPr>
            <w:tcW w:w="1420" w:type="dxa"/>
            <w:tcBorders>
              <w:top w:val="nil"/>
              <w:left w:val="nil"/>
              <w:bottom w:val="single" w:sz="4" w:space="0" w:color="auto"/>
              <w:right w:val="single" w:sz="4" w:space="0" w:color="auto"/>
            </w:tcBorders>
            <w:noWrap/>
            <w:vAlign w:val="center"/>
            <w:hideMark/>
          </w:tcPr>
          <w:p w14:paraId="7269F92E" w14:textId="066C8BD7" w:rsidR="0038664C" w:rsidRPr="00361EBF" w:rsidRDefault="0038664C" w:rsidP="0038664C">
            <w:pPr>
              <w:jc w:val="center"/>
              <w:rPr>
                <w:rFonts w:asciiTheme="majorHAnsi" w:hAnsiTheme="majorHAnsi" w:cstheme="minorHAnsi"/>
                <w:sz w:val="22"/>
                <w:szCs w:val="22"/>
              </w:rPr>
            </w:pPr>
            <w:r w:rsidRPr="00361EBF">
              <w:rPr>
                <w:rFonts w:asciiTheme="majorHAnsi" w:hAnsiTheme="majorHAnsi" w:cstheme="minorHAnsi"/>
                <w:sz w:val="22"/>
                <w:szCs w:val="22"/>
              </w:rPr>
              <w:t>4825.63</w:t>
            </w:r>
          </w:p>
        </w:tc>
        <w:tc>
          <w:tcPr>
            <w:tcW w:w="1880" w:type="dxa"/>
            <w:tcBorders>
              <w:top w:val="nil"/>
              <w:left w:val="nil"/>
              <w:bottom w:val="single" w:sz="4" w:space="0" w:color="auto"/>
              <w:right w:val="single" w:sz="4" w:space="0" w:color="auto"/>
            </w:tcBorders>
            <w:noWrap/>
            <w:vAlign w:val="bottom"/>
            <w:hideMark/>
          </w:tcPr>
          <w:p w14:paraId="6689563D" w14:textId="2B2A03A3" w:rsidR="0038664C" w:rsidRPr="00361EBF" w:rsidRDefault="0038664C" w:rsidP="0038664C">
            <w:pPr>
              <w:jc w:val="center"/>
              <w:rPr>
                <w:rFonts w:asciiTheme="majorHAnsi" w:hAnsiTheme="majorHAnsi" w:cstheme="minorHAnsi"/>
                <w:sz w:val="22"/>
                <w:szCs w:val="22"/>
                <w:highlight w:val="yellow"/>
              </w:rPr>
            </w:pPr>
            <w:r w:rsidRPr="00361EBF">
              <w:rPr>
                <w:rFonts w:asciiTheme="majorHAnsi" w:hAnsiTheme="majorHAnsi" w:cs="Arial"/>
                <w:sz w:val="22"/>
                <w:szCs w:val="22"/>
              </w:rPr>
              <w:t>4903.85</w:t>
            </w:r>
          </w:p>
        </w:tc>
      </w:tr>
      <w:tr w:rsidR="0038664C" w:rsidRPr="00361EBF" w14:paraId="78B0AE6A" w14:textId="77777777" w:rsidTr="001F21DF">
        <w:trPr>
          <w:trHeight w:val="250"/>
        </w:trPr>
        <w:tc>
          <w:tcPr>
            <w:tcW w:w="3260" w:type="dxa"/>
            <w:tcBorders>
              <w:top w:val="nil"/>
              <w:left w:val="single" w:sz="4" w:space="0" w:color="auto"/>
              <w:bottom w:val="single" w:sz="4" w:space="0" w:color="auto"/>
              <w:right w:val="single" w:sz="4" w:space="0" w:color="auto"/>
            </w:tcBorders>
            <w:noWrap/>
            <w:vAlign w:val="center"/>
            <w:hideMark/>
          </w:tcPr>
          <w:p w14:paraId="4B2F62B3" w14:textId="77777777" w:rsidR="0038664C" w:rsidRPr="00361EBF" w:rsidRDefault="0038664C" w:rsidP="0038664C">
            <w:pPr>
              <w:rPr>
                <w:rFonts w:asciiTheme="majorHAnsi" w:hAnsiTheme="majorHAnsi" w:cstheme="minorHAnsi"/>
                <w:sz w:val="22"/>
                <w:szCs w:val="22"/>
              </w:rPr>
            </w:pPr>
            <w:r w:rsidRPr="00361EBF">
              <w:rPr>
                <w:rFonts w:asciiTheme="majorHAnsi" w:hAnsiTheme="majorHAnsi" w:cstheme="minorHAnsi"/>
                <w:sz w:val="22"/>
                <w:szCs w:val="22"/>
              </w:rPr>
              <w:t>Power Purchase for 1 month</w:t>
            </w:r>
          </w:p>
        </w:tc>
        <w:tc>
          <w:tcPr>
            <w:tcW w:w="1740" w:type="dxa"/>
            <w:tcBorders>
              <w:top w:val="nil"/>
              <w:left w:val="nil"/>
              <w:bottom w:val="single" w:sz="4" w:space="0" w:color="auto"/>
              <w:right w:val="single" w:sz="4" w:space="0" w:color="auto"/>
            </w:tcBorders>
            <w:noWrap/>
            <w:vAlign w:val="center"/>
            <w:hideMark/>
          </w:tcPr>
          <w:p w14:paraId="73EA4703" w14:textId="02628EE2" w:rsidR="0038664C" w:rsidRPr="00361EBF" w:rsidRDefault="0038664C" w:rsidP="0038664C">
            <w:pPr>
              <w:jc w:val="center"/>
              <w:rPr>
                <w:rFonts w:asciiTheme="majorHAnsi" w:hAnsiTheme="majorHAnsi" w:cstheme="minorHAnsi"/>
                <w:sz w:val="22"/>
                <w:szCs w:val="22"/>
              </w:rPr>
            </w:pPr>
            <w:r w:rsidRPr="00361EBF">
              <w:rPr>
                <w:rFonts w:asciiTheme="majorHAnsi" w:hAnsiTheme="majorHAnsi" w:cstheme="minorHAnsi"/>
                <w:sz w:val="22"/>
                <w:szCs w:val="22"/>
              </w:rPr>
              <w:t>434.55</w:t>
            </w:r>
          </w:p>
        </w:tc>
        <w:tc>
          <w:tcPr>
            <w:tcW w:w="1420" w:type="dxa"/>
            <w:tcBorders>
              <w:top w:val="nil"/>
              <w:left w:val="nil"/>
              <w:bottom w:val="single" w:sz="4" w:space="0" w:color="auto"/>
              <w:right w:val="single" w:sz="4" w:space="0" w:color="auto"/>
            </w:tcBorders>
            <w:noWrap/>
            <w:vAlign w:val="center"/>
            <w:hideMark/>
          </w:tcPr>
          <w:p w14:paraId="7DB3440F" w14:textId="5435CA46" w:rsidR="0038664C" w:rsidRPr="00361EBF" w:rsidRDefault="0038664C" w:rsidP="0038664C">
            <w:pPr>
              <w:jc w:val="center"/>
              <w:rPr>
                <w:rFonts w:asciiTheme="majorHAnsi" w:hAnsiTheme="majorHAnsi" w:cstheme="minorHAnsi"/>
                <w:sz w:val="22"/>
                <w:szCs w:val="22"/>
              </w:rPr>
            </w:pPr>
            <w:r w:rsidRPr="00361EBF">
              <w:rPr>
                <w:rFonts w:asciiTheme="majorHAnsi" w:hAnsiTheme="majorHAnsi" w:cstheme="minorHAnsi"/>
                <w:sz w:val="22"/>
                <w:szCs w:val="22"/>
              </w:rPr>
              <w:t>402.14</w:t>
            </w:r>
          </w:p>
        </w:tc>
        <w:tc>
          <w:tcPr>
            <w:tcW w:w="1880" w:type="dxa"/>
            <w:tcBorders>
              <w:top w:val="nil"/>
              <w:left w:val="nil"/>
              <w:bottom w:val="single" w:sz="4" w:space="0" w:color="auto"/>
              <w:right w:val="single" w:sz="4" w:space="0" w:color="auto"/>
            </w:tcBorders>
            <w:noWrap/>
            <w:vAlign w:val="bottom"/>
            <w:hideMark/>
          </w:tcPr>
          <w:p w14:paraId="6146EAF5" w14:textId="24881A12" w:rsidR="0038664C" w:rsidRPr="00361EBF" w:rsidRDefault="0038664C" w:rsidP="0038664C">
            <w:pPr>
              <w:jc w:val="center"/>
              <w:rPr>
                <w:rFonts w:asciiTheme="majorHAnsi" w:hAnsiTheme="majorHAnsi" w:cstheme="minorHAnsi"/>
                <w:sz w:val="22"/>
                <w:szCs w:val="22"/>
                <w:highlight w:val="yellow"/>
              </w:rPr>
            </w:pPr>
            <w:r w:rsidRPr="00361EBF">
              <w:rPr>
                <w:rFonts w:asciiTheme="majorHAnsi" w:hAnsiTheme="majorHAnsi" w:cs="Arial"/>
                <w:sz w:val="22"/>
                <w:szCs w:val="22"/>
              </w:rPr>
              <w:t>408.65</w:t>
            </w:r>
          </w:p>
        </w:tc>
      </w:tr>
      <w:tr w:rsidR="0038664C" w:rsidRPr="00361EBF" w14:paraId="051354F4" w14:textId="77777777" w:rsidTr="001F21DF">
        <w:trPr>
          <w:trHeight w:val="250"/>
        </w:trPr>
        <w:tc>
          <w:tcPr>
            <w:tcW w:w="3260" w:type="dxa"/>
            <w:tcBorders>
              <w:top w:val="nil"/>
              <w:left w:val="single" w:sz="4" w:space="0" w:color="auto"/>
              <w:bottom w:val="single" w:sz="4" w:space="0" w:color="auto"/>
              <w:right w:val="single" w:sz="4" w:space="0" w:color="auto"/>
            </w:tcBorders>
            <w:noWrap/>
            <w:vAlign w:val="center"/>
            <w:hideMark/>
          </w:tcPr>
          <w:p w14:paraId="2D200A8D" w14:textId="77777777" w:rsidR="0038664C" w:rsidRPr="00361EBF" w:rsidRDefault="0038664C" w:rsidP="0038664C">
            <w:pPr>
              <w:rPr>
                <w:rFonts w:asciiTheme="majorHAnsi" w:hAnsiTheme="majorHAnsi" w:cstheme="minorHAnsi"/>
                <w:sz w:val="22"/>
                <w:szCs w:val="22"/>
              </w:rPr>
            </w:pPr>
            <w:r w:rsidRPr="00361EBF">
              <w:rPr>
                <w:rFonts w:asciiTheme="majorHAnsi" w:hAnsiTheme="majorHAnsi" w:cstheme="minorHAnsi"/>
                <w:sz w:val="22"/>
                <w:szCs w:val="22"/>
              </w:rPr>
              <w:t>R&amp;M Expenses</w:t>
            </w:r>
          </w:p>
        </w:tc>
        <w:tc>
          <w:tcPr>
            <w:tcW w:w="1740" w:type="dxa"/>
            <w:tcBorders>
              <w:top w:val="nil"/>
              <w:left w:val="nil"/>
              <w:bottom w:val="single" w:sz="4" w:space="0" w:color="auto"/>
              <w:right w:val="single" w:sz="4" w:space="0" w:color="auto"/>
            </w:tcBorders>
            <w:noWrap/>
            <w:vAlign w:val="center"/>
            <w:hideMark/>
          </w:tcPr>
          <w:p w14:paraId="41418862" w14:textId="0C0B6B6A" w:rsidR="0038664C" w:rsidRPr="00361EBF" w:rsidRDefault="0038664C" w:rsidP="0038664C">
            <w:pPr>
              <w:jc w:val="center"/>
              <w:rPr>
                <w:rFonts w:asciiTheme="majorHAnsi" w:hAnsiTheme="majorHAnsi" w:cstheme="minorHAnsi"/>
                <w:sz w:val="22"/>
                <w:szCs w:val="22"/>
              </w:rPr>
            </w:pPr>
            <w:r w:rsidRPr="00361EBF">
              <w:rPr>
                <w:rFonts w:asciiTheme="majorHAnsi" w:hAnsiTheme="majorHAnsi" w:cstheme="minorHAnsi"/>
                <w:sz w:val="22"/>
                <w:szCs w:val="22"/>
              </w:rPr>
              <w:t>296.11</w:t>
            </w:r>
          </w:p>
        </w:tc>
        <w:tc>
          <w:tcPr>
            <w:tcW w:w="1420" w:type="dxa"/>
            <w:tcBorders>
              <w:top w:val="nil"/>
              <w:left w:val="nil"/>
              <w:bottom w:val="single" w:sz="4" w:space="0" w:color="auto"/>
              <w:right w:val="single" w:sz="4" w:space="0" w:color="auto"/>
            </w:tcBorders>
            <w:noWrap/>
            <w:vAlign w:val="center"/>
            <w:hideMark/>
          </w:tcPr>
          <w:p w14:paraId="0A19E42F" w14:textId="1ACB17B8" w:rsidR="0038664C" w:rsidRPr="00361EBF" w:rsidRDefault="0038664C" w:rsidP="0038664C">
            <w:pPr>
              <w:jc w:val="center"/>
              <w:rPr>
                <w:rFonts w:asciiTheme="majorHAnsi" w:hAnsiTheme="majorHAnsi" w:cstheme="minorHAnsi"/>
                <w:sz w:val="22"/>
                <w:szCs w:val="22"/>
              </w:rPr>
            </w:pPr>
            <w:r w:rsidRPr="00361EBF">
              <w:rPr>
                <w:rFonts w:asciiTheme="majorHAnsi" w:hAnsiTheme="majorHAnsi" w:cstheme="minorHAnsi"/>
                <w:sz w:val="22"/>
                <w:szCs w:val="22"/>
              </w:rPr>
              <w:t>326.10</w:t>
            </w:r>
          </w:p>
        </w:tc>
        <w:tc>
          <w:tcPr>
            <w:tcW w:w="1880" w:type="dxa"/>
            <w:tcBorders>
              <w:top w:val="nil"/>
              <w:left w:val="nil"/>
              <w:bottom w:val="single" w:sz="4" w:space="0" w:color="auto"/>
              <w:right w:val="single" w:sz="4" w:space="0" w:color="auto"/>
            </w:tcBorders>
            <w:noWrap/>
            <w:vAlign w:val="bottom"/>
            <w:hideMark/>
          </w:tcPr>
          <w:p w14:paraId="1E53849E" w14:textId="4CFF7346" w:rsidR="0038664C" w:rsidRPr="00361EBF" w:rsidRDefault="0038664C" w:rsidP="0038664C">
            <w:pPr>
              <w:jc w:val="center"/>
              <w:rPr>
                <w:rFonts w:asciiTheme="majorHAnsi" w:hAnsiTheme="majorHAnsi" w:cstheme="minorHAnsi"/>
                <w:sz w:val="22"/>
                <w:szCs w:val="22"/>
              </w:rPr>
            </w:pPr>
            <w:r w:rsidRPr="00361EBF">
              <w:rPr>
                <w:rFonts w:asciiTheme="majorHAnsi" w:hAnsiTheme="majorHAnsi" w:cs="Arial"/>
                <w:sz w:val="22"/>
                <w:szCs w:val="22"/>
              </w:rPr>
              <w:t>348.62</w:t>
            </w:r>
          </w:p>
        </w:tc>
      </w:tr>
      <w:tr w:rsidR="0038664C" w:rsidRPr="00361EBF" w14:paraId="1B3C4B4A" w14:textId="77777777" w:rsidTr="009A5DB0">
        <w:trPr>
          <w:trHeight w:val="500"/>
        </w:trPr>
        <w:tc>
          <w:tcPr>
            <w:tcW w:w="3260" w:type="dxa"/>
            <w:tcBorders>
              <w:top w:val="nil"/>
              <w:left w:val="single" w:sz="4" w:space="0" w:color="auto"/>
              <w:bottom w:val="single" w:sz="4" w:space="0" w:color="auto"/>
              <w:right w:val="single" w:sz="4" w:space="0" w:color="auto"/>
            </w:tcBorders>
            <w:vAlign w:val="center"/>
            <w:hideMark/>
          </w:tcPr>
          <w:p w14:paraId="51AEC6EB" w14:textId="77777777" w:rsidR="0038664C" w:rsidRPr="00361EBF" w:rsidRDefault="0038664C" w:rsidP="0038664C">
            <w:pPr>
              <w:rPr>
                <w:rFonts w:asciiTheme="majorHAnsi" w:hAnsiTheme="majorHAnsi" w:cstheme="minorHAnsi"/>
                <w:sz w:val="22"/>
                <w:szCs w:val="22"/>
              </w:rPr>
            </w:pPr>
            <w:r w:rsidRPr="00361EBF">
              <w:rPr>
                <w:rFonts w:asciiTheme="majorHAnsi" w:hAnsiTheme="majorHAnsi" w:cstheme="minorHAnsi"/>
                <w:sz w:val="22"/>
                <w:szCs w:val="22"/>
              </w:rPr>
              <w:t>Maintenance spares @ 20% of R&amp;M for 1 month</w:t>
            </w:r>
          </w:p>
        </w:tc>
        <w:tc>
          <w:tcPr>
            <w:tcW w:w="1740" w:type="dxa"/>
            <w:tcBorders>
              <w:top w:val="nil"/>
              <w:left w:val="nil"/>
              <w:bottom w:val="single" w:sz="4" w:space="0" w:color="auto"/>
              <w:right w:val="single" w:sz="4" w:space="0" w:color="auto"/>
            </w:tcBorders>
            <w:noWrap/>
            <w:vAlign w:val="center"/>
            <w:hideMark/>
          </w:tcPr>
          <w:p w14:paraId="3911FAA4" w14:textId="2125D924" w:rsidR="0038664C" w:rsidRPr="00361EBF" w:rsidRDefault="0038664C" w:rsidP="0038664C">
            <w:pPr>
              <w:jc w:val="center"/>
              <w:rPr>
                <w:rFonts w:asciiTheme="majorHAnsi" w:hAnsiTheme="majorHAnsi" w:cstheme="minorHAnsi"/>
                <w:sz w:val="22"/>
                <w:szCs w:val="22"/>
              </w:rPr>
            </w:pPr>
            <w:r w:rsidRPr="00361EBF">
              <w:rPr>
                <w:rFonts w:asciiTheme="majorHAnsi" w:hAnsiTheme="majorHAnsi" w:cstheme="minorHAnsi"/>
                <w:sz w:val="22"/>
                <w:szCs w:val="22"/>
              </w:rPr>
              <w:t>4.94</w:t>
            </w:r>
          </w:p>
        </w:tc>
        <w:tc>
          <w:tcPr>
            <w:tcW w:w="1420" w:type="dxa"/>
            <w:tcBorders>
              <w:top w:val="nil"/>
              <w:left w:val="nil"/>
              <w:bottom w:val="single" w:sz="4" w:space="0" w:color="auto"/>
              <w:right w:val="single" w:sz="4" w:space="0" w:color="auto"/>
            </w:tcBorders>
            <w:noWrap/>
            <w:vAlign w:val="center"/>
            <w:hideMark/>
          </w:tcPr>
          <w:p w14:paraId="01C9342F" w14:textId="7327F878" w:rsidR="0038664C" w:rsidRPr="00361EBF" w:rsidRDefault="0038664C" w:rsidP="0038664C">
            <w:pPr>
              <w:jc w:val="center"/>
              <w:rPr>
                <w:rFonts w:asciiTheme="majorHAnsi" w:hAnsiTheme="majorHAnsi" w:cstheme="minorHAnsi"/>
                <w:sz w:val="22"/>
                <w:szCs w:val="22"/>
              </w:rPr>
            </w:pPr>
            <w:r w:rsidRPr="00361EBF">
              <w:rPr>
                <w:rFonts w:asciiTheme="majorHAnsi" w:hAnsiTheme="majorHAnsi" w:cstheme="minorHAnsi"/>
                <w:sz w:val="22"/>
                <w:szCs w:val="22"/>
              </w:rPr>
              <w:t>5.43</w:t>
            </w:r>
            <w:r w:rsidR="009A5DB0">
              <w:rPr>
                <w:rFonts w:asciiTheme="majorHAnsi" w:hAnsiTheme="majorHAnsi" w:cstheme="minorHAnsi"/>
                <w:sz w:val="22"/>
                <w:szCs w:val="22"/>
              </w:rPr>
              <w:t xml:space="preserve"> </w:t>
            </w:r>
          </w:p>
        </w:tc>
        <w:tc>
          <w:tcPr>
            <w:tcW w:w="1880" w:type="dxa"/>
            <w:tcBorders>
              <w:top w:val="nil"/>
              <w:left w:val="nil"/>
              <w:bottom w:val="single" w:sz="4" w:space="0" w:color="auto"/>
              <w:right w:val="single" w:sz="4" w:space="0" w:color="auto"/>
            </w:tcBorders>
            <w:noWrap/>
            <w:vAlign w:val="center"/>
            <w:hideMark/>
          </w:tcPr>
          <w:p w14:paraId="1EE390F2" w14:textId="44587EB4" w:rsidR="0038664C" w:rsidRPr="00361EBF" w:rsidRDefault="0038664C" w:rsidP="009A5DB0">
            <w:pPr>
              <w:jc w:val="center"/>
              <w:rPr>
                <w:rFonts w:asciiTheme="majorHAnsi" w:hAnsiTheme="majorHAnsi" w:cstheme="minorHAnsi"/>
                <w:sz w:val="22"/>
                <w:szCs w:val="22"/>
              </w:rPr>
            </w:pPr>
            <w:r w:rsidRPr="00361EBF">
              <w:rPr>
                <w:rFonts w:asciiTheme="majorHAnsi" w:hAnsiTheme="majorHAnsi" w:cs="Arial"/>
                <w:sz w:val="22"/>
                <w:szCs w:val="22"/>
              </w:rPr>
              <w:t>5.81</w:t>
            </w:r>
          </w:p>
        </w:tc>
      </w:tr>
      <w:tr w:rsidR="0038664C" w:rsidRPr="00361EBF" w14:paraId="6A3759FF" w14:textId="77777777" w:rsidTr="001F21DF">
        <w:trPr>
          <w:trHeight w:val="250"/>
        </w:trPr>
        <w:tc>
          <w:tcPr>
            <w:tcW w:w="3260" w:type="dxa"/>
            <w:tcBorders>
              <w:top w:val="nil"/>
              <w:left w:val="single" w:sz="4" w:space="0" w:color="auto"/>
              <w:bottom w:val="single" w:sz="4" w:space="0" w:color="auto"/>
              <w:right w:val="single" w:sz="4" w:space="0" w:color="auto"/>
            </w:tcBorders>
            <w:vAlign w:val="center"/>
            <w:hideMark/>
          </w:tcPr>
          <w:p w14:paraId="73212946" w14:textId="77777777" w:rsidR="0038664C" w:rsidRPr="00361EBF" w:rsidRDefault="0038664C" w:rsidP="0038664C">
            <w:pPr>
              <w:rPr>
                <w:rFonts w:asciiTheme="majorHAnsi" w:hAnsiTheme="majorHAnsi" w:cstheme="minorHAnsi"/>
                <w:sz w:val="22"/>
                <w:szCs w:val="22"/>
              </w:rPr>
            </w:pPr>
            <w:r w:rsidRPr="00361EBF">
              <w:rPr>
                <w:rFonts w:asciiTheme="majorHAnsi" w:hAnsiTheme="majorHAnsi" w:cstheme="minorHAnsi"/>
                <w:sz w:val="22"/>
                <w:szCs w:val="22"/>
              </w:rPr>
              <w:t>Less: Dep. On Old Assets</w:t>
            </w:r>
          </w:p>
        </w:tc>
        <w:tc>
          <w:tcPr>
            <w:tcW w:w="1740" w:type="dxa"/>
            <w:tcBorders>
              <w:top w:val="nil"/>
              <w:left w:val="nil"/>
              <w:bottom w:val="single" w:sz="4" w:space="0" w:color="auto"/>
              <w:right w:val="single" w:sz="4" w:space="0" w:color="auto"/>
            </w:tcBorders>
            <w:noWrap/>
            <w:vAlign w:val="center"/>
            <w:hideMark/>
          </w:tcPr>
          <w:p w14:paraId="5A396900" w14:textId="49A6F58D" w:rsidR="0038664C" w:rsidRPr="00361EBF" w:rsidRDefault="0038664C" w:rsidP="0038664C">
            <w:pPr>
              <w:jc w:val="center"/>
              <w:rPr>
                <w:rFonts w:asciiTheme="majorHAnsi" w:hAnsiTheme="majorHAnsi" w:cstheme="minorHAnsi"/>
                <w:sz w:val="22"/>
                <w:szCs w:val="22"/>
              </w:rPr>
            </w:pPr>
            <w:r w:rsidRPr="00361EBF">
              <w:rPr>
                <w:rFonts w:asciiTheme="majorHAnsi" w:hAnsiTheme="majorHAnsi" w:cstheme="minorHAnsi"/>
                <w:sz w:val="22"/>
                <w:szCs w:val="22"/>
              </w:rPr>
              <w:t>10.56</w:t>
            </w:r>
          </w:p>
        </w:tc>
        <w:tc>
          <w:tcPr>
            <w:tcW w:w="1420" w:type="dxa"/>
            <w:tcBorders>
              <w:top w:val="nil"/>
              <w:left w:val="nil"/>
              <w:bottom w:val="single" w:sz="4" w:space="0" w:color="auto"/>
              <w:right w:val="single" w:sz="4" w:space="0" w:color="auto"/>
            </w:tcBorders>
            <w:noWrap/>
            <w:vAlign w:val="center"/>
            <w:hideMark/>
          </w:tcPr>
          <w:p w14:paraId="677E0787" w14:textId="00676BCC" w:rsidR="0038664C" w:rsidRPr="00361EBF" w:rsidRDefault="0038664C" w:rsidP="0038664C">
            <w:pPr>
              <w:jc w:val="center"/>
              <w:rPr>
                <w:rFonts w:asciiTheme="majorHAnsi" w:hAnsiTheme="majorHAnsi" w:cstheme="minorHAnsi"/>
                <w:sz w:val="22"/>
                <w:szCs w:val="22"/>
              </w:rPr>
            </w:pPr>
            <w:r w:rsidRPr="00361EBF">
              <w:rPr>
                <w:rFonts w:asciiTheme="majorHAnsi" w:hAnsiTheme="majorHAnsi" w:cstheme="minorHAnsi"/>
                <w:sz w:val="22"/>
                <w:szCs w:val="22"/>
              </w:rPr>
              <w:t>14.13</w:t>
            </w:r>
          </w:p>
        </w:tc>
        <w:tc>
          <w:tcPr>
            <w:tcW w:w="1880" w:type="dxa"/>
            <w:tcBorders>
              <w:top w:val="nil"/>
              <w:left w:val="nil"/>
              <w:bottom w:val="single" w:sz="4" w:space="0" w:color="auto"/>
              <w:right w:val="single" w:sz="4" w:space="0" w:color="auto"/>
            </w:tcBorders>
            <w:noWrap/>
            <w:vAlign w:val="bottom"/>
            <w:hideMark/>
          </w:tcPr>
          <w:p w14:paraId="68F3C0C6" w14:textId="607D53D5" w:rsidR="0038664C" w:rsidRPr="00361EBF" w:rsidRDefault="0038664C" w:rsidP="0038664C">
            <w:pPr>
              <w:jc w:val="center"/>
              <w:rPr>
                <w:rFonts w:asciiTheme="majorHAnsi" w:hAnsiTheme="majorHAnsi" w:cstheme="minorHAnsi"/>
                <w:sz w:val="22"/>
                <w:szCs w:val="22"/>
              </w:rPr>
            </w:pPr>
            <w:r w:rsidRPr="00361EBF">
              <w:rPr>
                <w:rFonts w:asciiTheme="majorHAnsi" w:hAnsiTheme="majorHAnsi" w:cs="Arial"/>
                <w:sz w:val="22"/>
                <w:szCs w:val="22"/>
              </w:rPr>
              <w:t>11.48</w:t>
            </w:r>
          </w:p>
        </w:tc>
      </w:tr>
      <w:tr w:rsidR="0038664C" w:rsidRPr="00361EBF" w14:paraId="59359B13" w14:textId="77777777" w:rsidTr="001F21DF">
        <w:trPr>
          <w:trHeight w:val="290"/>
        </w:trPr>
        <w:tc>
          <w:tcPr>
            <w:tcW w:w="3260" w:type="dxa"/>
            <w:tcBorders>
              <w:top w:val="nil"/>
              <w:left w:val="single" w:sz="4" w:space="0" w:color="auto"/>
              <w:bottom w:val="single" w:sz="4" w:space="0" w:color="auto"/>
              <w:right w:val="single" w:sz="4" w:space="0" w:color="auto"/>
            </w:tcBorders>
            <w:noWrap/>
            <w:vAlign w:val="center"/>
            <w:hideMark/>
          </w:tcPr>
          <w:p w14:paraId="7F24922F" w14:textId="77777777" w:rsidR="0038664C" w:rsidRPr="00361EBF" w:rsidRDefault="0038664C" w:rsidP="0038664C">
            <w:pPr>
              <w:rPr>
                <w:rFonts w:asciiTheme="majorHAnsi" w:hAnsiTheme="majorHAnsi" w:cstheme="minorHAnsi"/>
                <w:b/>
                <w:bCs/>
                <w:color w:val="000000"/>
                <w:sz w:val="22"/>
                <w:szCs w:val="22"/>
              </w:rPr>
            </w:pPr>
            <w:r w:rsidRPr="00361EBF">
              <w:rPr>
                <w:rFonts w:asciiTheme="majorHAnsi" w:hAnsiTheme="majorHAnsi" w:cstheme="minorHAnsi"/>
                <w:b/>
                <w:bCs/>
                <w:color w:val="000000"/>
                <w:sz w:val="22"/>
                <w:szCs w:val="22"/>
              </w:rPr>
              <w:t>Total Working Capital</w:t>
            </w:r>
          </w:p>
        </w:tc>
        <w:tc>
          <w:tcPr>
            <w:tcW w:w="1740" w:type="dxa"/>
            <w:tcBorders>
              <w:top w:val="nil"/>
              <w:left w:val="nil"/>
              <w:bottom w:val="single" w:sz="4" w:space="0" w:color="auto"/>
              <w:right w:val="single" w:sz="4" w:space="0" w:color="auto"/>
            </w:tcBorders>
            <w:noWrap/>
            <w:vAlign w:val="center"/>
            <w:hideMark/>
          </w:tcPr>
          <w:p w14:paraId="390912CE" w14:textId="57F81ADF" w:rsidR="0038664C" w:rsidRPr="00361EBF" w:rsidRDefault="0038664C" w:rsidP="0038664C">
            <w:pPr>
              <w:jc w:val="center"/>
              <w:rPr>
                <w:rFonts w:asciiTheme="majorHAnsi" w:hAnsiTheme="majorHAnsi" w:cstheme="minorHAnsi"/>
                <w:b/>
                <w:bCs/>
                <w:sz w:val="22"/>
                <w:szCs w:val="22"/>
              </w:rPr>
            </w:pPr>
            <w:r w:rsidRPr="00361EBF">
              <w:rPr>
                <w:rFonts w:asciiTheme="majorHAnsi" w:hAnsiTheme="majorHAnsi" w:cstheme="minorHAnsi"/>
                <w:b/>
                <w:bCs/>
                <w:sz w:val="22"/>
                <w:szCs w:val="22"/>
              </w:rPr>
              <w:t>51</w:t>
            </w:r>
            <w:r w:rsidR="00B352F6">
              <w:rPr>
                <w:rFonts w:asciiTheme="majorHAnsi" w:hAnsiTheme="majorHAnsi" w:cstheme="minorHAnsi"/>
                <w:b/>
                <w:bCs/>
                <w:sz w:val="22"/>
                <w:szCs w:val="22"/>
              </w:rPr>
              <w:t>8.49</w:t>
            </w:r>
          </w:p>
        </w:tc>
        <w:tc>
          <w:tcPr>
            <w:tcW w:w="1420" w:type="dxa"/>
            <w:tcBorders>
              <w:top w:val="nil"/>
              <w:left w:val="nil"/>
              <w:bottom w:val="single" w:sz="4" w:space="0" w:color="auto"/>
              <w:right w:val="single" w:sz="4" w:space="0" w:color="auto"/>
            </w:tcBorders>
            <w:noWrap/>
            <w:vAlign w:val="center"/>
            <w:hideMark/>
          </w:tcPr>
          <w:p w14:paraId="2C233AE2" w14:textId="5E3CF828" w:rsidR="0038664C" w:rsidRPr="00361EBF" w:rsidRDefault="0038664C" w:rsidP="0038664C">
            <w:pPr>
              <w:jc w:val="center"/>
              <w:rPr>
                <w:rFonts w:asciiTheme="majorHAnsi" w:hAnsiTheme="majorHAnsi" w:cstheme="minorHAnsi"/>
                <w:b/>
                <w:bCs/>
                <w:sz w:val="22"/>
                <w:szCs w:val="22"/>
              </w:rPr>
            </w:pPr>
            <w:r w:rsidRPr="00361EBF">
              <w:rPr>
                <w:rFonts w:asciiTheme="majorHAnsi" w:hAnsiTheme="majorHAnsi" w:cstheme="minorHAnsi"/>
                <w:b/>
                <w:bCs/>
                <w:sz w:val="22"/>
                <w:szCs w:val="22"/>
              </w:rPr>
              <w:t>48</w:t>
            </w:r>
            <w:r w:rsidR="009A5DB0">
              <w:rPr>
                <w:rFonts w:asciiTheme="majorHAnsi" w:hAnsiTheme="majorHAnsi" w:cstheme="minorHAnsi"/>
                <w:b/>
                <w:bCs/>
                <w:sz w:val="22"/>
                <w:szCs w:val="22"/>
              </w:rPr>
              <w:t>7.94</w:t>
            </w:r>
          </w:p>
        </w:tc>
        <w:tc>
          <w:tcPr>
            <w:tcW w:w="1880" w:type="dxa"/>
            <w:tcBorders>
              <w:top w:val="nil"/>
              <w:left w:val="nil"/>
              <w:bottom w:val="single" w:sz="4" w:space="0" w:color="auto"/>
              <w:right w:val="single" w:sz="4" w:space="0" w:color="auto"/>
            </w:tcBorders>
            <w:noWrap/>
            <w:vAlign w:val="bottom"/>
            <w:hideMark/>
          </w:tcPr>
          <w:p w14:paraId="5E96C5F8" w14:textId="759DE292" w:rsidR="0038664C" w:rsidRPr="00361EBF" w:rsidRDefault="0038664C" w:rsidP="0038664C">
            <w:pPr>
              <w:jc w:val="center"/>
              <w:rPr>
                <w:rFonts w:asciiTheme="majorHAnsi" w:hAnsiTheme="majorHAnsi" w:cstheme="minorHAnsi"/>
                <w:b/>
                <w:bCs/>
                <w:sz w:val="22"/>
                <w:szCs w:val="22"/>
              </w:rPr>
            </w:pPr>
            <w:r w:rsidRPr="00361EBF">
              <w:rPr>
                <w:rFonts w:asciiTheme="majorHAnsi" w:hAnsiTheme="majorHAnsi" w:cs="Arial"/>
                <w:b/>
                <w:bCs/>
                <w:sz w:val="22"/>
                <w:szCs w:val="22"/>
              </w:rPr>
              <w:t>50</w:t>
            </w:r>
            <w:r w:rsidR="009A5DB0">
              <w:rPr>
                <w:rFonts w:asciiTheme="majorHAnsi" w:hAnsiTheme="majorHAnsi" w:cs="Arial"/>
                <w:b/>
                <w:bCs/>
                <w:sz w:val="22"/>
                <w:szCs w:val="22"/>
              </w:rPr>
              <w:t>4.41</w:t>
            </w:r>
          </w:p>
        </w:tc>
      </w:tr>
      <w:tr w:rsidR="003F14E2" w:rsidRPr="00361EBF" w14:paraId="55D032A2" w14:textId="77777777" w:rsidTr="003F14E2">
        <w:trPr>
          <w:trHeight w:val="250"/>
        </w:trPr>
        <w:tc>
          <w:tcPr>
            <w:tcW w:w="3260" w:type="dxa"/>
            <w:tcBorders>
              <w:top w:val="nil"/>
              <w:left w:val="single" w:sz="4" w:space="0" w:color="auto"/>
              <w:bottom w:val="single" w:sz="4" w:space="0" w:color="auto"/>
              <w:right w:val="single" w:sz="4" w:space="0" w:color="auto"/>
            </w:tcBorders>
            <w:noWrap/>
            <w:vAlign w:val="center"/>
            <w:hideMark/>
          </w:tcPr>
          <w:p w14:paraId="788B1BE3" w14:textId="77777777" w:rsidR="003F14E2" w:rsidRPr="00361EBF" w:rsidRDefault="003F14E2">
            <w:pPr>
              <w:rPr>
                <w:rFonts w:asciiTheme="majorHAnsi" w:hAnsiTheme="majorHAnsi" w:cstheme="minorHAnsi"/>
                <w:sz w:val="22"/>
                <w:szCs w:val="22"/>
              </w:rPr>
            </w:pPr>
            <w:r w:rsidRPr="00361EBF">
              <w:rPr>
                <w:rFonts w:asciiTheme="majorHAnsi" w:hAnsiTheme="majorHAnsi" w:cstheme="minorHAnsi"/>
                <w:sz w:val="22"/>
                <w:szCs w:val="22"/>
              </w:rPr>
              <w:t>Rate of Interest for Working Capital</w:t>
            </w:r>
          </w:p>
        </w:tc>
        <w:tc>
          <w:tcPr>
            <w:tcW w:w="1740" w:type="dxa"/>
            <w:tcBorders>
              <w:top w:val="nil"/>
              <w:left w:val="nil"/>
              <w:bottom w:val="single" w:sz="4" w:space="0" w:color="auto"/>
              <w:right w:val="single" w:sz="4" w:space="0" w:color="auto"/>
            </w:tcBorders>
            <w:noWrap/>
            <w:vAlign w:val="center"/>
            <w:hideMark/>
          </w:tcPr>
          <w:p w14:paraId="0BB9DA90" w14:textId="77777777" w:rsidR="003F14E2" w:rsidRPr="00361EBF" w:rsidRDefault="003F14E2" w:rsidP="0038664C">
            <w:pPr>
              <w:jc w:val="center"/>
              <w:rPr>
                <w:rFonts w:asciiTheme="majorHAnsi" w:hAnsiTheme="majorHAnsi" w:cstheme="minorHAnsi"/>
                <w:sz w:val="22"/>
                <w:szCs w:val="22"/>
              </w:rPr>
            </w:pPr>
            <w:r w:rsidRPr="00361EBF">
              <w:rPr>
                <w:rFonts w:asciiTheme="majorHAnsi" w:hAnsiTheme="majorHAnsi" w:cstheme="minorHAnsi"/>
                <w:sz w:val="22"/>
                <w:szCs w:val="22"/>
              </w:rPr>
              <w:t>8.15%</w:t>
            </w:r>
          </w:p>
        </w:tc>
        <w:tc>
          <w:tcPr>
            <w:tcW w:w="1420" w:type="dxa"/>
            <w:tcBorders>
              <w:top w:val="nil"/>
              <w:left w:val="nil"/>
              <w:bottom w:val="single" w:sz="4" w:space="0" w:color="auto"/>
              <w:right w:val="single" w:sz="4" w:space="0" w:color="auto"/>
            </w:tcBorders>
            <w:noWrap/>
            <w:vAlign w:val="center"/>
            <w:hideMark/>
          </w:tcPr>
          <w:p w14:paraId="74028CF8" w14:textId="659A916F" w:rsidR="003F14E2" w:rsidRPr="00361EBF" w:rsidRDefault="009A5DB0" w:rsidP="0038664C">
            <w:pPr>
              <w:jc w:val="center"/>
              <w:rPr>
                <w:rFonts w:asciiTheme="majorHAnsi" w:hAnsiTheme="majorHAnsi" w:cstheme="minorHAnsi"/>
                <w:sz w:val="22"/>
                <w:szCs w:val="22"/>
              </w:rPr>
            </w:pPr>
            <w:r>
              <w:rPr>
                <w:rFonts w:asciiTheme="majorHAnsi" w:hAnsiTheme="majorHAnsi" w:cstheme="minorHAnsi"/>
                <w:sz w:val="22"/>
                <w:szCs w:val="22"/>
              </w:rPr>
              <w:t>7</w:t>
            </w:r>
            <w:r w:rsidR="003F14E2" w:rsidRPr="00361EBF">
              <w:rPr>
                <w:rFonts w:asciiTheme="majorHAnsi" w:hAnsiTheme="majorHAnsi" w:cstheme="minorHAnsi"/>
                <w:sz w:val="22"/>
                <w:szCs w:val="22"/>
              </w:rPr>
              <w:t>.</w:t>
            </w:r>
            <w:r>
              <w:rPr>
                <w:rFonts w:asciiTheme="majorHAnsi" w:hAnsiTheme="majorHAnsi" w:cstheme="minorHAnsi"/>
                <w:sz w:val="22"/>
                <w:szCs w:val="22"/>
              </w:rPr>
              <w:t>63</w:t>
            </w:r>
            <w:r w:rsidR="003F14E2" w:rsidRPr="00361EBF">
              <w:rPr>
                <w:rFonts w:asciiTheme="majorHAnsi" w:hAnsiTheme="majorHAnsi" w:cstheme="minorHAnsi"/>
                <w:sz w:val="22"/>
                <w:szCs w:val="22"/>
              </w:rPr>
              <w:t>%</w:t>
            </w:r>
          </w:p>
        </w:tc>
        <w:tc>
          <w:tcPr>
            <w:tcW w:w="1880" w:type="dxa"/>
            <w:tcBorders>
              <w:top w:val="nil"/>
              <w:left w:val="nil"/>
              <w:bottom w:val="single" w:sz="4" w:space="0" w:color="auto"/>
              <w:right w:val="single" w:sz="4" w:space="0" w:color="auto"/>
            </w:tcBorders>
            <w:noWrap/>
            <w:vAlign w:val="center"/>
            <w:hideMark/>
          </w:tcPr>
          <w:p w14:paraId="20E6EAF3" w14:textId="6E1D36EA" w:rsidR="003F14E2" w:rsidRPr="00361EBF" w:rsidRDefault="009A5DB0" w:rsidP="0038664C">
            <w:pPr>
              <w:jc w:val="center"/>
              <w:rPr>
                <w:rFonts w:asciiTheme="majorHAnsi" w:hAnsiTheme="majorHAnsi" w:cstheme="minorHAnsi"/>
                <w:sz w:val="22"/>
                <w:szCs w:val="22"/>
              </w:rPr>
            </w:pPr>
            <w:r>
              <w:rPr>
                <w:rFonts w:asciiTheme="majorHAnsi" w:hAnsiTheme="majorHAnsi" w:cstheme="minorHAnsi"/>
                <w:sz w:val="22"/>
                <w:szCs w:val="22"/>
              </w:rPr>
              <w:t>7.78</w:t>
            </w:r>
            <w:r w:rsidR="003F14E2" w:rsidRPr="00361EBF">
              <w:rPr>
                <w:rFonts w:asciiTheme="majorHAnsi" w:hAnsiTheme="majorHAnsi" w:cstheme="minorHAnsi"/>
                <w:sz w:val="22"/>
                <w:szCs w:val="22"/>
              </w:rPr>
              <w:t>%</w:t>
            </w:r>
          </w:p>
        </w:tc>
      </w:tr>
      <w:tr w:rsidR="003F14E2" w:rsidRPr="00361EBF" w14:paraId="0132F31C" w14:textId="77777777" w:rsidTr="003F14E2">
        <w:trPr>
          <w:trHeight w:val="290"/>
        </w:trPr>
        <w:tc>
          <w:tcPr>
            <w:tcW w:w="3260" w:type="dxa"/>
            <w:tcBorders>
              <w:top w:val="nil"/>
              <w:left w:val="single" w:sz="4" w:space="0" w:color="auto"/>
              <w:bottom w:val="single" w:sz="4" w:space="0" w:color="auto"/>
              <w:right w:val="single" w:sz="4" w:space="0" w:color="auto"/>
            </w:tcBorders>
            <w:noWrap/>
            <w:vAlign w:val="center"/>
            <w:hideMark/>
          </w:tcPr>
          <w:p w14:paraId="2F336032" w14:textId="77777777" w:rsidR="003F14E2" w:rsidRPr="00361EBF" w:rsidRDefault="003F14E2">
            <w:pPr>
              <w:rPr>
                <w:rFonts w:asciiTheme="majorHAnsi" w:hAnsiTheme="majorHAnsi" w:cstheme="minorHAnsi"/>
                <w:b/>
                <w:bCs/>
                <w:color w:val="000000"/>
                <w:sz w:val="22"/>
                <w:szCs w:val="22"/>
              </w:rPr>
            </w:pPr>
            <w:r w:rsidRPr="00361EBF">
              <w:rPr>
                <w:rFonts w:asciiTheme="majorHAnsi" w:hAnsiTheme="majorHAnsi" w:cstheme="minorHAnsi"/>
                <w:b/>
                <w:bCs/>
                <w:color w:val="000000"/>
                <w:sz w:val="22"/>
                <w:szCs w:val="22"/>
              </w:rPr>
              <w:t>Interest on Working Capital</w:t>
            </w:r>
          </w:p>
        </w:tc>
        <w:tc>
          <w:tcPr>
            <w:tcW w:w="1740" w:type="dxa"/>
            <w:tcBorders>
              <w:top w:val="nil"/>
              <w:left w:val="nil"/>
              <w:bottom w:val="single" w:sz="4" w:space="0" w:color="auto"/>
              <w:right w:val="single" w:sz="4" w:space="0" w:color="auto"/>
            </w:tcBorders>
            <w:noWrap/>
            <w:vAlign w:val="center"/>
            <w:hideMark/>
          </w:tcPr>
          <w:p w14:paraId="60FE34DB" w14:textId="0BECA837" w:rsidR="003F14E2" w:rsidRPr="00361EBF" w:rsidRDefault="003F14E2" w:rsidP="0038664C">
            <w:pPr>
              <w:jc w:val="center"/>
              <w:rPr>
                <w:rFonts w:asciiTheme="majorHAnsi" w:hAnsiTheme="majorHAnsi" w:cstheme="minorHAnsi"/>
                <w:b/>
                <w:bCs/>
                <w:sz w:val="22"/>
                <w:szCs w:val="22"/>
              </w:rPr>
            </w:pPr>
            <w:r w:rsidRPr="00361EBF">
              <w:rPr>
                <w:rFonts w:asciiTheme="majorHAnsi" w:hAnsiTheme="majorHAnsi" w:cstheme="minorHAnsi"/>
                <w:b/>
                <w:bCs/>
                <w:sz w:val="22"/>
                <w:szCs w:val="22"/>
              </w:rPr>
              <w:t>42.</w:t>
            </w:r>
            <w:r w:rsidR="00B352F6">
              <w:rPr>
                <w:rFonts w:asciiTheme="majorHAnsi" w:hAnsiTheme="majorHAnsi" w:cstheme="minorHAnsi"/>
                <w:b/>
                <w:bCs/>
                <w:sz w:val="22"/>
                <w:szCs w:val="22"/>
              </w:rPr>
              <w:t>26</w:t>
            </w:r>
          </w:p>
        </w:tc>
        <w:tc>
          <w:tcPr>
            <w:tcW w:w="1420" w:type="dxa"/>
            <w:tcBorders>
              <w:top w:val="nil"/>
              <w:left w:val="nil"/>
              <w:bottom w:val="single" w:sz="4" w:space="0" w:color="auto"/>
              <w:right w:val="single" w:sz="4" w:space="0" w:color="auto"/>
            </w:tcBorders>
            <w:noWrap/>
            <w:vAlign w:val="center"/>
            <w:hideMark/>
          </w:tcPr>
          <w:p w14:paraId="133E9578" w14:textId="02469DBF" w:rsidR="003F14E2" w:rsidRPr="00361EBF" w:rsidRDefault="003F14E2" w:rsidP="0038664C">
            <w:pPr>
              <w:jc w:val="center"/>
              <w:rPr>
                <w:rFonts w:asciiTheme="majorHAnsi" w:hAnsiTheme="majorHAnsi" w:cstheme="minorHAnsi"/>
                <w:b/>
                <w:bCs/>
                <w:sz w:val="22"/>
                <w:szCs w:val="22"/>
              </w:rPr>
            </w:pPr>
            <w:r w:rsidRPr="00361EBF">
              <w:rPr>
                <w:rFonts w:asciiTheme="majorHAnsi" w:hAnsiTheme="majorHAnsi" w:cstheme="minorHAnsi"/>
                <w:b/>
                <w:bCs/>
                <w:sz w:val="22"/>
                <w:szCs w:val="22"/>
              </w:rPr>
              <w:t>3</w:t>
            </w:r>
            <w:r w:rsidR="009A5DB0">
              <w:rPr>
                <w:rFonts w:asciiTheme="majorHAnsi" w:hAnsiTheme="majorHAnsi" w:cstheme="minorHAnsi"/>
                <w:b/>
                <w:bCs/>
                <w:sz w:val="22"/>
                <w:szCs w:val="22"/>
              </w:rPr>
              <w:t>7.23</w:t>
            </w:r>
          </w:p>
        </w:tc>
        <w:tc>
          <w:tcPr>
            <w:tcW w:w="1880" w:type="dxa"/>
            <w:tcBorders>
              <w:top w:val="nil"/>
              <w:left w:val="nil"/>
              <w:bottom w:val="single" w:sz="4" w:space="0" w:color="auto"/>
              <w:right w:val="single" w:sz="4" w:space="0" w:color="auto"/>
            </w:tcBorders>
            <w:noWrap/>
            <w:vAlign w:val="center"/>
            <w:hideMark/>
          </w:tcPr>
          <w:p w14:paraId="62F8E340" w14:textId="47D56B57" w:rsidR="003F14E2" w:rsidRPr="00361EBF" w:rsidRDefault="009A5DB0" w:rsidP="0038664C">
            <w:pPr>
              <w:jc w:val="center"/>
              <w:rPr>
                <w:rFonts w:asciiTheme="majorHAnsi" w:hAnsiTheme="majorHAnsi" w:cstheme="minorHAnsi"/>
                <w:b/>
                <w:bCs/>
                <w:sz w:val="22"/>
                <w:szCs w:val="22"/>
              </w:rPr>
            </w:pPr>
            <w:r>
              <w:rPr>
                <w:rFonts w:asciiTheme="majorHAnsi" w:hAnsiTheme="majorHAnsi" w:cstheme="minorHAnsi"/>
                <w:b/>
                <w:bCs/>
                <w:sz w:val="22"/>
                <w:szCs w:val="22"/>
              </w:rPr>
              <w:t>39.24</w:t>
            </w:r>
          </w:p>
        </w:tc>
      </w:tr>
    </w:tbl>
    <w:p w14:paraId="32676FE4" w14:textId="77777777" w:rsidR="003F14E2" w:rsidRPr="008F1CC5" w:rsidRDefault="003F14E2" w:rsidP="000E5714">
      <w:pPr>
        <w:spacing w:line="360" w:lineRule="auto"/>
        <w:jc w:val="both"/>
        <w:rPr>
          <w:rFonts w:asciiTheme="majorHAnsi" w:hAnsiTheme="majorHAnsi" w:cs="Arial"/>
          <w:lang w:eastAsia="en-IN"/>
        </w:rPr>
      </w:pPr>
    </w:p>
    <w:p w14:paraId="2EAC338F" w14:textId="1B3083FF" w:rsidR="004276A0" w:rsidRDefault="00885E4D" w:rsidP="004276A0">
      <w:pPr>
        <w:pStyle w:val="BodyText2"/>
        <w:tabs>
          <w:tab w:val="left" w:pos="0"/>
        </w:tabs>
        <w:spacing w:line="360" w:lineRule="auto"/>
        <w:jc w:val="both"/>
        <w:rPr>
          <w:rFonts w:ascii="Cambria" w:hAnsi="Cambria" w:cs="Arial"/>
          <w:sz w:val="24"/>
          <w:szCs w:val="24"/>
        </w:rPr>
      </w:pPr>
      <w:r w:rsidRPr="00A74C22">
        <w:rPr>
          <w:rFonts w:ascii="Cambria" w:hAnsi="Cambria" w:cs="Arial"/>
          <w:sz w:val="24"/>
          <w:szCs w:val="24"/>
        </w:rPr>
        <w:t>Accordingly,</w:t>
      </w:r>
      <w:r w:rsidR="00B805C1" w:rsidRPr="00A74C22">
        <w:rPr>
          <w:rFonts w:ascii="Cambria" w:hAnsi="Cambria" w:cs="Arial"/>
          <w:sz w:val="24"/>
          <w:szCs w:val="24"/>
        </w:rPr>
        <w:t xml:space="preserve"> the </w:t>
      </w:r>
      <w:r w:rsidR="00656AFD">
        <w:rPr>
          <w:rFonts w:ascii="Cambria" w:hAnsi="Cambria" w:cs="Arial"/>
          <w:sz w:val="24"/>
          <w:szCs w:val="24"/>
        </w:rPr>
        <w:t xml:space="preserve">Licensee proposes </w:t>
      </w:r>
      <w:r w:rsidR="00B805C1" w:rsidRPr="005C5ABE">
        <w:rPr>
          <w:rFonts w:ascii="Cambria" w:hAnsi="Cambria" w:cs="Arial"/>
          <w:b/>
          <w:bCs/>
          <w:sz w:val="24"/>
          <w:szCs w:val="24"/>
        </w:rPr>
        <w:t xml:space="preserve">working capital interest of </w:t>
      </w:r>
      <w:r w:rsidR="006416CD" w:rsidRPr="005C5ABE">
        <w:rPr>
          <w:rFonts w:ascii="Cambria" w:hAnsi="Cambria" w:cs="Arial"/>
          <w:b/>
          <w:bCs/>
          <w:sz w:val="24"/>
          <w:szCs w:val="24"/>
        </w:rPr>
        <w:t xml:space="preserve">Rs. </w:t>
      </w:r>
      <w:r w:rsidR="009A5DB0">
        <w:rPr>
          <w:rFonts w:ascii="Cambria" w:hAnsi="Cambria" w:cs="Arial"/>
          <w:b/>
          <w:bCs/>
          <w:sz w:val="24"/>
          <w:szCs w:val="24"/>
        </w:rPr>
        <w:t>39.24</w:t>
      </w:r>
      <w:r w:rsidR="006416CD" w:rsidRPr="005C5ABE">
        <w:rPr>
          <w:rFonts w:ascii="Cambria" w:hAnsi="Cambria" w:cs="Arial"/>
          <w:b/>
          <w:bCs/>
          <w:sz w:val="24"/>
          <w:szCs w:val="24"/>
        </w:rPr>
        <w:t xml:space="preserve"> Cr. </w:t>
      </w:r>
      <w:r w:rsidR="001A7812" w:rsidRPr="005C5ABE">
        <w:rPr>
          <w:rFonts w:ascii="Cambria" w:hAnsi="Cambria" w:cs="Arial"/>
          <w:b/>
          <w:bCs/>
          <w:sz w:val="24"/>
          <w:szCs w:val="24"/>
        </w:rPr>
        <w:t>for FY 26-27</w:t>
      </w:r>
      <w:r w:rsidR="001A7812" w:rsidRPr="001A7812">
        <w:rPr>
          <w:rFonts w:ascii="Cambria" w:hAnsi="Cambria" w:cs="Arial"/>
          <w:sz w:val="24"/>
          <w:szCs w:val="24"/>
        </w:rPr>
        <w:t xml:space="preserve"> </w:t>
      </w:r>
      <w:r w:rsidR="00656AFD" w:rsidRPr="001A7812">
        <w:rPr>
          <w:rFonts w:ascii="Cambria" w:hAnsi="Cambria" w:cs="Arial"/>
          <w:sz w:val="24"/>
          <w:szCs w:val="24"/>
        </w:rPr>
        <w:t xml:space="preserve">which </w:t>
      </w:r>
      <w:r w:rsidR="0044504E" w:rsidRPr="001A7812">
        <w:rPr>
          <w:rFonts w:ascii="Cambria" w:hAnsi="Cambria" w:cs="Arial"/>
          <w:sz w:val="24"/>
          <w:szCs w:val="24"/>
        </w:rPr>
        <w:t>may kindly be approved.</w:t>
      </w:r>
      <w:r w:rsidR="0044504E">
        <w:rPr>
          <w:rFonts w:ascii="Cambria" w:hAnsi="Cambria" w:cs="Arial"/>
          <w:sz w:val="24"/>
          <w:szCs w:val="24"/>
        </w:rPr>
        <w:t xml:space="preserve"> </w:t>
      </w:r>
    </w:p>
    <w:p w14:paraId="1F42CD11" w14:textId="59C719AB" w:rsidR="004276A0" w:rsidRDefault="004276A0" w:rsidP="009024A6">
      <w:pPr>
        <w:pStyle w:val="Heading3"/>
        <w:numPr>
          <w:ilvl w:val="2"/>
          <w:numId w:val="5"/>
        </w:numPr>
        <w:shd w:val="clear" w:color="auto" w:fill="002060"/>
        <w:ind w:left="709"/>
        <w:rPr>
          <w:rFonts w:asciiTheme="majorHAnsi" w:hAnsiTheme="majorHAnsi"/>
          <w:sz w:val="24"/>
          <w:szCs w:val="24"/>
        </w:rPr>
      </w:pPr>
      <w:bookmarkStart w:id="70" w:name="_Toc152180104"/>
      <w:bookmarkStart w:id="71" w:name="_Toc183204716"/>
      <w:bookmarkStart w:id="72" w:name="_Toc215250624"/>
      <w:r w:rsidRPr="00904B4F">
        <w:rPr>
          <w:rFonts w:asciiTheme="majorHAnsi" w:hAnsiTheme="majorHAnsi"/>
          <w:sz w:val="24"/>
          <w:szCs w:val="24"/>
        </w:rPr>
        <w:t>Interest on Security Deposit</w:t>
      </w:r>
      <w:bookmarkEnd w:id="70"/>
      <w:bookmarkEnd w:id="71"/>
      <w:bookmarkEnd w:id="72"/>
    </w:p>
    <w:p w14:paraId="463088AB" w14:textId="77777777" w:rsidR="00771121" w:rsidRPr="00771121" w:rsidRDefault="00771121" w:rsidP="00771121"/>
    <w:p w14:paraId="60C1D007" w14:textId="77777777" w:rsidR="004276A0" w:rsidRPr="00BF0E9D" w:rsidRDefault="004276A0" w:rsidP="004276A0">
      <w:pPr>
        <w:pStyle w:val="PwcUttaranchalNormalTextFinalCharChar"/>
        <w:rPr>
          <w:rFonts w:ascii="Cambria" w:hAnsi="Cambria"/>
        </w:rPr>
      </w:pPr>
      <w:r w:rsidRPr="00BF0E9D">
        <w:rPr>
          <w:rFonts w:ascii="Cambria" w:hAnsi="Cambria"/>
        </w:rPr>
        <w:t xml:space="preserve">Section 47(4) of the Electricity Act 2003 states that “The distribution </w:t>
      </w:r>
      <w:r w:rsidR="006C38E9">
        <w:rPr>
          <w:rFonts w:ascii="Cambria" w:hAnsi="Cambria"/>
        </w:rPr>
        <w:t>Utility</w:t>
      </w:r>
      <w:r w:rsidRPr="00BF0E9D">
        <w:rPr>
          <w:rFonts w:ascii="Cambria" w:hAnsi="Cambria"/>
        </w:rPr>
        <w:t xml:space="preserve"> shall pay interest equivalent to the bank rate or more, as may be specified by the concerned State Commission, on the security referred to in sub-section (1) and refund such security on the request of the person who gave such security.” </w:t>
      </w:r>
    </w:p>
    <w:p w14:paraId="065687FE" w14:textId="77777777" w:rsidR="004276A0" w:rsidRPr="00BF0E9D" w:rsidRDefault="004276A0" w:rsidP="008E6D2C">
      <w:pPr>
        <w:pStyle w:val="PwcUttaranchalNormalTextFinalCharChar"/>
        <w:rPr>
          <w:rFonts w:ascii="Cambria" w:hAnsi="Cambria"/>
        </w:rPr>
      </w:pPr>
      <w:r w:rsidRPr="00BF0E9D">
        <w:rPr>
          <w:rFonts w:ascii="Cambria" w:hAnsi="Cambria"/>
        </w:rPr>
        <w:t>The OERC Distribution (Conditions of Supply) Code 20</w:t>
      </w:r>
      <w:r w:rsidR="00463B51">
        <w:rPr>
          <w:rFonts w:ascii="Cambria" w:hAnsi="Cambria"/>
        </w:rPr>
        <w:t>19</w:t>
      </w:r>
      <w:r w:rsidRPr="00BF0E9D">
        <w:rPr>
          <w:rFonts w:ascii="Cambria" w:hAnsi="Cambria"/>
        </w:rPr>
        <w:t>, Regulation (</w:t>
      </w:r>
      <w:r w:rsidR="00463B51">
        <w:rPr>
          <w:rFonts w:ascii="Cambria" w:hAnsi="Cambria"/>
        </w:rPr>
        <w:t>57</w:t>
      </w:r>
      <w:r w:rsidRPr="00BF0E9D">
        <w:rPr>
          <w:rFonts w:ascii="Cambria" w:hAnsi="Cambria"/>
        </w:rPr>
        <w:t xml:space="preserve">) also mandates the payment of interest on consumer security deposit, the manner in which it is to be administered and penal provisions for delay in making such payments. </w:t>
      </w:r>
    </w:p>
    <w:p w14:paraId="59B2BDFF" w14:textId="59FD9839" w:rsidR="00F57E5C" w:rsidRDefault="004276A0" w:rsidP="008E6D2C">
      <w:pPr>
        <w:spacing w:line="360" w:lineRule="auto"/>
        <w:jc w:val="both"/>
        <w:rPr>
          <w:rFonts w:ascii="Cambria" w:hAnsi="Cambria" w:cs="Arial"/>
        </w:rPr>
      </w:pPr>
      <w:r w:rsidRPr="00BF0E9D">
        <w:rPr>
          <w:rFonts w:ascii="Cambria" w:hAnsi="Cambria" w:cs="Arial"/>
        </w:rPr>
        <w:t xml:space="preserve">The </w:t>
      </w:r>
      <w:r w:rsidR="00EC44ED" w:rsidRPr="00687D55">
        <w:rPr>
          <w:rFonts w:ascii="Cambria" w:hAnsi="Cambria" w:cs="Arial"/>
        </w:rPr>
        <w:t>L</w:t>
      </w:r>
      <w:r w:rsidR="00885E4D" w:rsidRPr="00687D55">
        <w:rPr>
          <w:rFonts w:ascii="Cambria" w:hAnsi="Cambria" w:cs="Arial"/>
        </w:rPr>
        <w:t>icensee</w:t>
      </w:r>
      <w:r w:rsidRPr="00687D55">
        <w:rPr>
          <w:rFonts w:ascii="Cambria" w:hAnsi="Cambria" w:cs="Arial"/>
        </w:rPr>
        <w:t xml:space="preserve"> </w:t>
      </w:r>
      <w:r w:rsidR="00AA7E23" w:rsidRPr="00687D55">
        <w:rPr>
          <w:rFonts w:ascii="Cambria" w:hAnsi="Cambria" w:cs="Arial"/>
        </w:rPr>
        <w:t xml:space="preserve">has </w:t>
      </w:r>
      <w:r w:rsidRPr="00687D55">
        <w:rPr>
          <w:rFonts w:ascii="Cambria" w:hAnsi="Cambria" w:cs="Arial"/>
        </w:rPr>
        <w:t xml:space="preserve">calculated the interest on security deposit @ </w:t>
      </w:r>
      <w:r w:rsidR="00EC44ED" w:rsidRPr="00687D55">
        <w:rPr>
          <w:rFonts w:ascii="Cambria" w:hAnsi="Cambria" w:cs="Arial"/>
        </w:rPr>
        <w:t>6.</w:t>
      </w:r>
      <w:r w:rsidR="005C5ABE" w:rsidRPr="00687D55">
        <w:rPr>
          <w:rFonts w:ascii="Cambria" w:hAnsi="Cambria" w:cs="Arial"/>
        </w:rPr>
        <w:t>50</w:t>
      </w:r>
      <w:r w:rsidRPr="00687D55">
        <w:rPr>
          <w:rFonts w:ascii="Cambria" w:hAnsi="Cambria" w:cs="Arial"/>
        </w:rPr>
        <w:t>%</w:t>
      </w:r>
      <w:r w:rsidR="00DB2420" w:rsidRPr="00687D55">
        <w:rPr>
          <w:rFonts w:ascii="Cambria" w:hAnsi="Cambria" w:cs="Arial"/>
        </w:rPr>
        <w:t xml:space="preserve"> </w:t>
      </w:r>
      <w:r w:rsidRPr="00687D55">
        <w:rPr>
          <w:rFonts w:ascii="Cambria" w:hAnsi="Cambria" w:cs="Arial"/>
        </w:rPr>
        <w:t>on the closing balance of security deposit amount for FY 20</w:t>
      </w:r>
      <w:r w:rsidR="00BA055D" w:rsidRPr="00687D55">
        <w:rPr>
          <w:rFonts w:ascii="Cambria" w:hAnsi="Cambria" w:cs="Arial"/>
        </w:rPr>
        <w:t>2</w:t>
      </w:r>
      <w:r w:rsidR="005C5ABE" w:rsidRPr="00687D55">
        <w:rPr>
          <w:rFonts w:ascii="Cambria" w:hAnsi="Cambria" w:cs="Arial"/>
        </w:rPr>
        <w:t>5</w:t>
      </w:r>
      <w:r w:rsidR="00771121" w:rsidRPr="00687D55">
        <w:rPr>
          <w:rFonts w:ascii="Cambria" w:hAnsi="Cambria" w:cs="Arial"/>
        </w:rPr>
        <w:t>-2</w:t>
      </w:r>
      <w:r w:rsidR="005C5ABE" w:rsidRPr="00687D55">
        <w:rPr>
          <w:rFonts w:ascii="Cambria" w:hAnsi="Cambria" w:cs="Arial"/>
        </w:rPr>
        <w:t>6</w:t>
      </w:r>
      <w:r w:rsidR="00E26E91" w:rsidRPr="00687D55">
        <w:rPr>
          <w:rFonts w:ascii="Cambria" w:hAnsi="Cambria" w:cs="Arial"/>
        </w:rPr>
        <w:t xml:space="preserve"> based on the </w:t>
      </w:r>
      <w:r w:rsidR="00DB2420" w:rsidRPr="00687D55">
        <w:rPr>
          <w:rFonts w:ascii="Cambria" w:hAnsi="Cambria" w:cs="Arial"/>
        </w:rPr>
        <w:t xml:space="preserve">existing approval of Hon’ble </w:t>
      </w:r>
      <w:r w:rsidR="009449D8" w:rsidRPr="00687D55">
        <w:rPr>
          <w:rFonts w:ascii="Cambria" w:hAnsi="Cambria" w:cs="Arial"/>
        </w:rPr>
        <w:t>Commission</w:t>
      </w:r>
      <w:r w:rsidR="00DB2420" w:rsidRPr="00687D55">
        <w:rPr>
          <w:rFonts w:ascii="Cambria" w:hAnsi="Cambria" w:cs="Arial"/>
        </w:rPr>
        <w:t xml:space="preserve">. </w:t>
      </w:r>
      <w:r w:rsidRPr="00687D55">
        <w:rPr>
          <w:rFonts w:ascii="Cambria" w:hAnsi="Cambria" w:cs="Arial"/>
        </w:rPr>
        <w:t xml:space="preserve">The </w:t>
      </w:r>
      <w:r w:rsidRPr="00F7653A">
        <w:rPr>
          <w:rFonts w:ascii="Cambria" w:hAnsi="Cambria" w:cs="Arial"/>
          <w:b/>
          <w:bCs/>
        </w:rPr>
        <w:t xml:space="preserve">interest on security deposit considered in ARR for FY </w:t>
      </w:r>
      <w:r w:rsidR="009A0E63" w:rsidRPr="00F7653A">
        <w:rPr>
          <w:rFonts w:ascii="Cambria" w:hAnsi="Cambria" w:cs="Arial"/>
          <w:b/>
          <w:bCs/>
        </w:rPr>
        <w:t>26-27</w:t>
      </w:r>
      <w:r w:rsidRPr="00687D55">
        <w:rPr>
          <w:rFonts w:ascii="Cambria" w:hAnsi="Cambria" w:cs="Arial"/>
        </w:rPr>
        <w:t xml:space="preserve"> </w:t>
      </w:r>
      <w:r w:rsidR="00BA055D" w:rsidRPr="00687D55">
        <w:rPr>
          <w:rFonts w:ascii="Cambria" w:hAnsi="Cambria" w:cs="Arial"/>
        </w:rPr>
        <w:t xml:space="preserve">is to the tune of </w:t>
      </w:r>
      <w:r w:rsidRPr="00687D55">
        <w:rPr>
          <w:rFonts w:ascii="Cambria" w:hAnsi="Cambria" w:cs="Arial"/>
          <w:b/>
        </w:rPr>
        <w:t>Rs</w:t>
      </w:r>
      <w:r w:rsidR="00B2720F" w:rsidRPr="00687D55">
        <w:rPr>
          <w:rFonts w:ascii="Cambria" w:hAnsi="Cambria" w:cs="Arial"/>
          <w:b/>
        </w:rPr>
        <w:t>.</w:t>
      </w:r>
      <w:r w:rsidR="00ED4AA8" w:rsidRPr="00687D55">
        <w:rPr>
          <w:rFonts w:ascii="Cambria" w:hAnsi="Cambria" w:cs="Arial"/>
          <w:b/>
        </w:rPr>
        <w:t xml:space="preserve"> </w:t>
      </w:r>
      <w:r w:rsidR="00687D55" w:rsidRPr="00687D55">
        <w:rPr>
          <w:rFonts w:ascii="Cambria" w:hAnsi="Cambria" w:cs="Arial"/>
          <w:b/>
        </w:rPr>
        <w:t>89.41</w:t>
      </w:r>
      <w:r w:rsidR="00DB2420" w:rsidRPr="00687D55">
        <w:rPr>
          <w:rFonts w:ascii="Cambria" w:hAnsi="Cambria" w:cs="Arial"/>
          <w:b/>
        </w:rPr>
        <w:t xml:space="preserve"> Cr.</w:t>
      </w:r>
      <w:r w:rsidRPr="00BF0E9D">
        <w:rPr>
          <w:rFonts w:ascii="Cambria" w:hAnsi="Cambria" w:cs="Arial"/>
        </w:rPr>
        <w:t xml:space="preserve"> </w:t>
      </w:r>
    </w:p>
    <w:p w14:paraId="1CDF0E21" w14:textId="3055EBD9" w:rsidR="004276A0" w:rsidRDefault="004276A0" w:rsidP="00361EBF">
      <w:pPr>
        <w:pStyle w:val="Heading3"/>
        <w:numPr>
          <w:ilvl w:val="2"/>
          <w:numId w:val="5"/>
        </w:numPr>
        <w:shd w:val="clear" w:color="auto" w:fill="002060"/>
        <w:ind w:left="567" w:hanging="709"/>
        <w:rPr>
          <w:rFonts w:asciiTheme="majorHAnsi" w:hAnsiTheme="majorHAnsi"/>
          <w:sz w:val="24"/>
          <w:szCs w:val="24"/>
        </w:rPr>
      </w:pPr>
      <w:bookmarkStart w:id="73" w:name="_Toc152180106"/>
      <w:bookmarkStart w:id="74" w:name="_Toc183204717"/>
      <w:bookmarkStart w:id="75" w:name="_Toc215250625"/>
      <w:r w:rsidRPr="00904B4F">
        <w:rPr>
          <w:rFonts w:asciiTheme="majorHAnsi" w:hAnsiTheme="majorHAnsi"/>
          <w:sz w:val="24"/>
          <w:szCs w:val="24"/>
        </w:rPr>
        <w:t xml:space="preserve">Total Interest for Financial Year FY </w:t>
      </w:r>
      <w:bookmarkEnd w:id="73"/>
      <w:bookmarkEnd w:id="74"/>
      <w:r w:rsidR="009A0E63">
        <w:rPr>
          <w:rFonts w:asciiTheme="majorHAnsi" w:hAnsiTheme="majorHAnsi"/>
          <w:sz w:val="24"/>
          <w:szCs w:val="24"/>
        </w:rPr>
        <w:t>26-27</w:t>
      </w:r>
      <w:bookmarkEnd w:id="75"/>
    </w:p>
    <w:p w14:paraId="13EFAB36" w14:textId="77777777" w:rsidR="00771121" w:rsidRPr="00771121" w:rsidRDefault="00771121" w:rsidP="00771121"/>
    <w:p w14:paraId="342DBB2A" w14:textId="6BB6CEA1" w:rsidR="004276A0" w:rsidRPr="00A74C22" w:rsidRDefault="004276A0" w:rsidP="004276A0">
      <w:pPr>
        <w:pStyle w:val="BodyText2"/>
        <w:spacing w:line="360" w:lineRule="auto"/>
        <w:jc w:val="both"/>
        <w:rPr>
          <w:rFonts w:ascii="Cambria" w:hAnsi="Cambria" w:cs="Arial"/>
          <w:sz w:val="24"/>
          <w:szCs w:val="24"/>
        </w:rPr>
      </w:pPr>
      <w:bookmarkStart w:id="76" w:name="_Toc88894957"/>
      <w:r w:rsidRPr="00A74C22">
        <w:rPr>
          <w:rFonts w:ascii="Cambria" w:hAnsi="Cambria" w:cs="Arial"/>
          <w:sz w:val="24"/>
          <w:szCs w:val="24"/>
        </w:rPr>
        <w:t xml:space="preserve">The total interest expenses estimated for FY </w:t>
      </w:r>
      <w:r w:rsidR="009A0E63">
        <w:rPr>
          <w:rFonts w:ascii="Cambria" w:hAnsi="Cambria" w:cs="Arial"/>
          <w:sz w:val="24"/>
          <w:szCs w:val="24"/>
        </w:rPr>
        <w:t>26-27</w:t>
      </w:r>
      <w:r w:rsidRPr="00A74C22">
        <w:rPr>
          <w:rFonts w:ascii="Cambria" w:hAnsi="Cambria" w:cs="Arial"/>
          <w:sz w:val="24"/>
          <w:szCs w:val="24"/>
        </w:rPr>
        <w:t xml:space="preserve"> is given in following Table:</w:t>
      </w:r>
    </w:p>
    <w:p w14:paraId="5972166B" w14:textId="76C3FD88" w:rsidR="004276A0" w:rsidRPr="00A74C22" w:rsidRDefault="004276A0" w:rsidP="00331D79">
      <w:pPr>
        <w:pStyle w:val="BodyText2"/>
        <w:spacing w:line="360" w:lineRule="auto"/>
        <w:ind w:firstLine="720"/>
        <w:jc w:val="both"/>
        <w:rPr>
          <w:rFonts w:ascii="Cambria" w:hAnsi="Cambria" w:cs="Arial"/>
          <w:b/>
          <w:bCs/>
          <w:sz w:val="24"/>
          <w:szCs w:val="24"/>
        </w:rPr>
      </w:pPr>
      <w:r w:rsidRPr="00A74C22">
        <w:rPr>
          <w:rFonts w:ascii="Cambria" w:hAnsi="Cambria" w:cs="Arial"/>
          <w:b/>
          <w:bCs/>
          <w:sz w:val="24"/>
          <w:szCs w:val="24"/>
        </w:rPr>
        <w:t xml:space="preserve"> Summary of Interest Expenses</w:t>
      </w:r>
    </w:p>
    <w:tbl>
      <w:tblPr>
        <w:tblW w:w="0" w:type="auto"/>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115" w:type="dxa"/>
          <w:right w:w="115" w:type="dxa"/>
        </w:tblCellMar>
        <w:tblLook w:val="01E0" w:firstRow="1" w:lastRow="1" w:firstColumn="1" w:lastColumn="1" w:noHBand="0" w:noVBand="0"/>
      </w:tblPr>
      <w:tblGrid>
        <w:gridCol w:w="894"/>
        <w:gridCol w:w="3686"/>
        <w:gridCol w:w="1276"/>
      </w:tblGrid>
      <w:tr w:rsidR="004276A0" w:rsidRPr="0075522F" w14:paraId="41A6DA8C" w14:textId="77777777" w:rsidTr="0075522F">
        <w:trPr>
          <w:trHeight w:val="254"/>
          <w:jc w:val="center"/>
        </w:trPr>
        <w:tc>
          <w:tcPr>
            <w:tcW w:w="894" w:type="dxa"/>
          </w:tcPr>
          <w:p w14:paraId="08D2F0C0" w14:textId="6D38464A" w:rsidR="004276A0" w:rsidRPr="0075522F" w:rsidRDefault="00771121" w:rsidP="000334F1">
            <w:pPr>
              <w:pStyle w:val="NoSpacing"/>
              <w:rPr>
                <w:rFonts w:asciiTheme="majorHAnsi" w:hAnsiTheme="majorHAnsi"/>
                <w:b/>
              </w:rPr>
            </w:pPr>
            <w:r w:rsidRPr="0075522F">
              <w:rPr>
                <w:rFonts w:asciiTheme="majorHAnsi" w:hAnsiTheme="majorHAnsi"/>
                <w:b/>
              </w:rPr>
              <w:t>Sl. No</w:t>
            </w:r>
          </w:p>
        </w:tc>
        <w:tc>
          <w:tcPr>
            <w:tcW w:w="3686" w:type="dxa"/>
          </w:tcPr>
          <w:p w14:paraId="1F6A9C1E" w14:textId="52FAA18A" w:rsidR="004276A0" w:rsidRPr="0075522F" w:rsidRDefault="00771121" w:rsidP="00771121">
            <w:pPr>
              <w:pStyle w:val="NoSpacing"/>
              <w:jc w:val="center"/>
              <w:rPr>
                <w:rFonts w:asciiTheme="majorHAnsi" w:hAnsiTheme="majorHAnsi"/>
                <w:b/>
              </w:rPr>
            </w:pPr>
            <w:r w:rsidRPr="0075522F">
              <w:rPr>
                <w:rFonts w:asciiTheme="majorHAnsi" w:hAnsiTheme="majorHAnsi"/>
                <w:b/>
              </w:rPr>
              <w:t>Interest Expenses</w:t>
            </w:r>
          </w:p>
        </w:tc>
        <w:tc>
          <w:tcPr>
            <w:tcW w:w="1276" w:type="dxa"/>
          </w:tcPr>
          <w:p w14:paraId="57F3DE5F" w14:textId="65DE7E20" w:rsidR="004276A0" w:rsidRPr="0075522F" w:rsidRDefault="004276A0" w:rsidP="00771121">
            <w:pPr>
              <w:pStyle w:val="NoSpacing"/>
              <w:jc w:val="center"/>
              <w:rPr>
                <w:rFonts w:asciiTheme="majorHAnsi" w:hAnsiTheme="majorHAnsi"/>
                <w:b/>
                <w:bCs/>
              </w:rPr>
            </w:pPr>
            <w:r w:rsidRPr="0075522F">
              <w:rPr>
                <w:rFonts w:asciiTheme="majorHAnsi" w:hAnsiTheme="majorHAnsi"/>
                <w:b/>
                <w:bCs/>
              </w:rPr>
              <w:t>Rs.</w:t>
            </w:r>
            <w:r w:rsidR="00771121" w:rsidRPr="0075522F">
              <w:rPr>
                <w:rFonts w:asciiTheme="majorHAnsi" w:hAnsiTheme="majorHAnsi"/>
                <w:b/>
                <w:bCs/>
              </w:rPr>
              <w:t xml:space="preserve"> C</w:t>
            </w:r>
            <w:r w:rsidRPr="0075522F">
              <w:rPr>
                <w:rFonts w:asciiTheme="majorHAnsi" w:hAnsiTheme="majorHAnsi"/>
                <w:b/>
                <w:bCs/>
              </w:rPr>
              <w:t>r.</w:t>
            </w:r>
          </w:p>
        </w:tc>
      </w:tr>
      <w:tr w:rsidR="004276A0" w:rsidRPr="0075522F" w14:paraId="66AF53E1" w14:textId="77777777" w:rsidTr="0075522F">
        <w:trPr>
          <w:trHeight w:val="269"/>
          <w:jc w:val="center"/>
        </w:trPr>
        <w:tc>
          <w:tcPr>
            <w:tcW w:w="894" w:type="dxa"/>
          </w:tcPr>
          <w:p w14:paraId="391B0640" w14:textId="77777777" w:rsidR="004276A0" w:rsidRPr="0075522F" w:rsidRDefault="004276A0" w:rsidP="00771121">
            <w:pPr>
              <w:pStyle w:val="NoSpacing"/>
              <w:jc w:val="center"/>
              <w:rPr>
                <w:rFonts w:asciiTheme="majorHAnsi" w:hAnsiTheme="majorHAnsi"/>
              </w:rPr>
            </w:pPr>
            <w:r w:rsidRPr="0075522F">
              <w:rPr>
                <w:rFonts w:asciiTheme="majorHAnsi" w:hAnsiTheme="majorHAnsi"/>
              </w:rPr>
              <w:t>1</w:t>
            </w:r>
          </w:p>
        </w:tc>
        <w:tc>
          <w:tcPr>
            <w:tcW w:w="3686" w:type="dxa"/>
          </w:tcPr>
          <w:p w14:paraId="5CCB9379" w14:textId="4AED094C" w:rsidR="004276A0" w:rsidRPr="0075522F" w:rsidRDefault="004B0E4E" w:rsidP="000334F1">
            <w:pPr>
              <w:pStyle w:val="NoSpacing"/>
              <w:rPr>
                <w:rFonts w:asciiTheme="majorHAnsi" w:hAnsiTheme="majorHAnsi"/>
              </w:rPr>
            </w:pPr>
            <w:r w:rsidRPr="0075522F">
              <w:rPr>
                <w:rFonts w:asciiTheme="majorHAnsi" w:hAnsiTheme="majorHAnsi"/>
              </w:rPr>
              <w:t xml:space="preserve">Interest on loan for </w:t>
            </w:r>
            <w:r w:rsidR="002A641B" w:rsidRPr="0075522F">
              <w:rPr>
                <w:rFonts w:asciiTheme="majorHAnsi" w:hAnsiTheme="majorHAnsi"/>
              </w:rPr>
              <w:t>Capex</w:t>
            </w:r>
          </w:p>
        </w:tc>
        <w:tc>
          <w:tcPr>
            <w:tcW w:w="1276" w:type="dxa"/>
          </w:tcPr>
          <w:p w14:paraId="08E57B14" w14:textId="4A6C261A" w:rsidR="004276A0" w:rsidRPr="0075522F" w:rsidRDefault="00687D55" w:rsidP="0012044D">
            <w:pPr>
              <w:pStyle w:val="NoSpacing"/>
              <w:jc w:val="center"/>
              <w:rPr>
                <w:rFonts w:asciiTheme="majorHAnsi" w:hAnsiTheme="majorHAnsi"/>
                <w:bCs/>
              </w:rPr>
            </w:pPr>
            <w:r w:rsidRPr="0075522F">
              <w:rPr>
                <w:rFonts w:asciiTheme="majorHAnsi" w:hAnsiTheme="majorHAnsi"/>
                <w:bCs/>
              </w:rPr>
              <w:t>1</w:t>
            </w:r>
            <w:r w:rsidR="009A5DB0">
              <w:rPr>
                <w:rFonts w:asciiTheme="majorHAnsi" w:hAnsiTheme="majorHAnsi"/>
                <w:bCs/>
              </w:rPr>
              <w:t>07.01</w:t>
            </w:r>
          </w:p>
        </w:tc>
      </w:tr>
      <w:tr w:rsidR="004276A0" w:rsidRPr="0075522F" w14:paraId="225AE98E" w14:textId="77777777" w:rsidTr="0075522F">
        <w:trPr>
          <w:trHeight w:val="269"/>
          <w:jc w:val="center"/>
        </w:trPr>
        <w:tc>
          <w:tcPr>
            <w:tcW w:w="894" w:type="dxa"/>
          </w:tcPr>
          <w:p w14:paraId="6F31BF9E" w14:textId="77777777" w:rsidR="004276A0" w:rsidRPr="0075522F" w:rsidRDefault="004276A0" w:rsidP="00771121">
            <w:pPr>
              <w:pStyle w:val="NoSpacing"/>
              <w:jc w:val="center"/>
              <w:rPr>
                <w:rFonts w:asciiTheme="majorHAnsi" w:hAnsiTheme="majorHAnsi"/>
              </w:rPr>
            </w:pPr>
            <w:r w:rsidRPr="0075522F">
              <w:rPr>
                <w:rFonts w:asciiTheme="majorHAnsi" w:hAnsiTheme="majorHAnsi"/>
              </w:rPr>
              <w:t>2</w:t>
            </w:r>
          </w:p>
        </w:tc>
        <w:tc>
          <w:tcPr>
            <w:tcW w:w="3686" w:type="dxa"/>
          </w:tcPr>
          <w:p w14:paraId="62910B47" w14:textId="12CF3F0F" w:rsidR="004276A0" w:rsidRPr="0075522F" w:rsidRDefault="004B0E4E" w:rsidP="000334F1">
            <w:pPr>
              <w:pStyle w:val="NoSpacing"/>
              <w:rPr>
                <w:rFonts w:asciiTheme="majorHAnsi" w:hAnsiTheme="majorHAnsi"/>
              </w:rPr>
            </w:pPr>
            <w:r w:rsidRPr="0075522F">
              <w:rPr>
                <w:rFonts w:asciiTheme="majorHAnsi" w:hAnsiTheme="majorHAnsi"/>
              </w:rPr>
              <w:t>Interest on loan for working capital</w:t>
            </w:r>
          </w:p>
        </w:tc>
        <w:tc>
          <w:tcPr>
            <w:tcW w:w="1276" w:type="dxa"/>
          </w:tcPr>
          <w:p w14:paraId="716A9ECC" w14:textId="185AC139" w:rsidR="004276A0" w:rsidRPr="0075522F" w:rsidRDefault="009A5DB0" w:rsidP="003A1E89">
            <w:pPr>
              <w:pStyle w:val="NoSpacing"/>
              <w:jc w:val="center"/>
              <w:rPr>
                <w:rFonts w:asciiTheme="majorHAnsi" w:hAnsiTheme="majorHAnsi"/>
                <w:bCs/>
              </w:rPr>
            </w:pPr>
            <w:r>
              <w:rPr>
                <w:rFonts w:asciiTheme="majorHAnsi" w:hAnsiTheme="majorHAnsi"/>
                <w:bCs/>
              </w:rPr>
              <w:t>39.24</w:t>
            </w:r>
          </w:p>
        </w:tc>
      </w:tr>
      <w:tr w:rsidR="004276A0" w:rsidRPr="0075522F" w14:paraId="65541CCC" w14:textId="77777777" w:rsidTr="0075522F">
        <w:trPr>
          <w:trHeight w:val="269"/>
          <w:jc w:val="center"/>
        </w:trPr>
        <w:tc>
          <w:tcPr>
            <w:tcW w:w="894" w:type="dxa"/>
          </w:tcPr>
          <w:p w14:paraId="14BEA05D" w14:textId="67E3FF4F" w:rsidR="004276A0" w:rsidRPr="0075522F" w:rsidRDefault="004B0E4E" w:rsidP="00771121">
            <w:pPr>
              <w:pStyle w:val="NoSpacing"/>
              <w:jc w:val="center"/>
              <w:rPr>
                <w:rFonts w:asciiTheme="majorHAnsi" w:hAnsiTheme="majorHAnsi"/>
              </w:rPr>
            </w:pPr>
            <w:r w:rsidRPr="0075522F">
              <w:rPr>
                <w:rFonts w:asciiTheme="majorHAnsi" w:hAnsiTheme="majorHAnsi"/>
              </w:rPr>
              <w:t>3</w:t>
            </w:r>
          </w:p>
        </w:tc>
        <w:tc>
          <w:tcPr>
            <w:tcW w:w="3686" w:type="dxa"/>
          </w:tcPr>
          <w:p w14:paraId="701AD6F7" w14:textId="77777777" w:rsidR="004276A0" w:rsidRPr="0075522F" w:rsidRDefault="004276A0" w:rsidP="000334F1">
            <w:pPr>
              <w:pStyle w:val="NoSpacing"/>
              <w:rPr>
                <w:rFonts w:asciiTheme="majorHAnsi" w:hAnsiTheme="majorHAnsi"/>
              </w:rPr>
            </w:pPr>
            <w:r w:rsidRPr="0075522F">
              <w:rPr>
                <w:rFonts w:asciiTheme="majorHAnsi" w:hAnsiTheme="majorHAnsi"/>
              </w:rPr>
              <w:t>Interest on Security Deposit</w:t>
            </w:r>
          </w:p>
        </w:tc>
        <w:tc>
          <w:tcPr>
            <w:tcW w:w="1276" w:type="dxa"/>
          </w:tcPr>
          <w:p w14:paraId="50B5B100" w14:textId="00249B47" w:rsidR="004276A0" w:rsidRPr="0075522F" w:rsidRDefault="00E306F2" w:rsidP="00BA055D">
            <w:pPr>
              <w:pStyle w:val="NoSpacing"/>
              <w:jc w:val="center"/>
              <w:rPr>
                <w:rFonts w:asciiTheme="majorHAnsi" w:hAnsiTheme="majorHAnsi"/>
                <w:bCs/>
              </w:rPr>
            </w:pPr>
            <w:r w:rsidRPr="0075522F">
              <w:rPr>
                <w:rFonts w:asciiTheme="majorHAnsi" w:hAnsiTheme="majorHAnsi"/>
                <w:bCs/>
              </w:rPr>
              <w:t>8</w:t>
            </w:r>
            <w:r w:rsidR="00CE4092" w:rsidRPr="0075522F">
              <w:rPr>
                <w:rFonts w:asciiTheme="majorHAnsi" w:hAnsiTheme="majorHAnsi"/>
                <w:bCs/>
              </w:rPr>
              <w:t>9.41</w:t>
            </w:r>
          </w:p>
        </w:tc>
      </w:tr>
      <w:tr w:rsidR="004276A0" w:rsidRPr="00032715" w14:paraId="0D4290F2" w14:textId="77777777" w:rsidTr="0075522F">
        <w:trPr>
          <w:trHeight w:val="269"/>
          <w:jc w:val="center"/>
        </w:trPr>
        <w:tc>
          <w:tcPr>
            <w:tcW w:w="894" w:type="dxa"/>
          </w:tcPr>
          <w:p w14:paraId="1D224923" w14:textId="333A85F1" w:rsidR="004276A0" w:rsidRPr="0075522F" w:rsidRDefault="004B0E4E" w:rsidP="00771121">
            <w:pPr>
              <w:pStyle w:val="NoSpacing"/>
              <w:jc w:val="center"/>
              <w:rPr>
                <w:rFonts w:asciiTheme="majorHAnsi" w:hAnsiTheme="majorHAnsi"/>
              </w:rPr>
            </w:pPr>
            <w:r w:rsidRPr="0075522F">
              <w:rPr>
                <w:rFonts w:asciiTheme="majorHAnsi" w:hAnsiTheme="majorHAnsi"/>
              </w:rPr>
              <w:t>4</w:t>
            </w:r>
          </w:p>
        </w:tc>
        <w:tc>
          <w:tcPr>
            <w:tcW w:w="3686" w:type="dxa"/>
          </w:tcPr>
          <w:p w14:paraId="475C7A6A" w14:textId="77777777" w:rsidR="004276A0" w:rsidRPr="0075522F" w:rsidRDefault="004276A0" w:rsidP="000334F1">
            <w:pPr>
              <w:pStyle w:val="NoSpacing"/>
              <w:rPr>
                <w:rFonts w:asciiTheme="majorHAnsi" w:hAnsiTheme="majorHAnsi"/>
                <w:b/>
              </w:rPr>
            </w:pPr>
            <w:r w:rsidRPr="0075522F">
              <w:rPr>
                <w:rFonts w:asciiTheme="majorHAnsi" w:hAnsiTheme="majorHAnsi"/>
                <w:b/>
              </w:rPr>
              <w:t>Total Interest</w:t>
            </w:r>
            <w:r w:rsidR="00DB2420" w:rsidRPr="0075522F">
              <w:rPr>
                <w:rFonts w:asciiTheme="majorHAnsi" w:hAnsiTheme="majorHAnsi"/>
                <w:b/>
              </w:rPr>
              <w:t xml:space="preserve"> for ARR</w:t>
            </w:r>
          </w:p>
        </w:tc>
        <w:tc>
          <w:tcPr>
            <w:tcW w:w="1276" w:type="dxa"/>
          </w:tcPr>
          <w:p w14:paraId="41D115EA" w14:textId="17C0D986" w:rsidR="004276A0" w:rsidRPr="00CE4092" w:rsidRDefault="00CE4092" w:rsidP="00DB2420">
            <w:pPr>
              <w:pStyle w:val="NoSpacing"/>
              <w:jc w:val="center"/>
              <w:rPr>
                <w:rFonts w:asciiTheme="majorHAnsi" w:hAnsiTheme="majorHAnsi"/>
                <w:b/>
                <w:bCs/>
              </w:rPr>
            </w:pPr>
            <w:r w:rsidRPr="0075522F">
              <w:rPr>
                <w:rFonts w:asciiTheme="majorHAnsi" w:hAnsiTheme="majorHAnsi"/>
                <w:b/>
                <w:bCs/>
              </w:rPr>
              <w:t>2</w:t>
            </w:r>
            <w:r w:rsidR="009A5DB0">
              <w:rPr>
                <w:rFonts w:asciiTheme="majorHAnsi" w:hAnsiTheme="majorHAnsi"/>
                <w:b/>
                <w:bCs/>
              </w:rPr>
              <w:t>35.66</w:t>
            </w:r>
          </w:p>
        </w:tc>
      </w:tr>
    </w:tbl>
    <w:p w14:paraId="4CC010F4" w14:textId="6139B9B5" w:rsidR="00655610" w:rsidRPr="00F7653A" w:rsidRDefault="004276A0" w:rsidP="00A74C22">
      <w:pPr>
        <w:pStyle w:val="BodyText2"/>
        <w:spacing w:line="360" w:lineRule="auto"/>
        <w:jc w:val="both"/>
        <w:rPr>
          <w:rFonts w:ascii="Cambria" w:hAnsi="Cambria" w:cs="Arial"/>
          <w:b/>
          <w:bCs/>
          <w:sz w:val="24"/>
          <w:szCs w:val="24"/>
        </w:rPr>
      </w:pPr>
      <w:r w:rsidRPr="00F7653A">
        <w:rPr>
          <w:rFonts w:ascii="Cambria" w:hAnsi="Cambria" w:cs="Arial"/>
          <w:b/>
          <w:bCs/>
          <w:sz w:val="24"/>
          <w:szCs w:val="24"/>
        </w:rPr>
        <w:t xml:space="preserve"> The total interest chargeable to revenue proposed by the </w:t>
      </w:r>
      <w:r w:rsidR="005D13E1" w:rsidRPr="00F7653A">
        <w:rPr>
          <w:rFonts w:ascii="Cambria" w:hAnsi="Cambria" w:cs="Arial"/>
          <w:b/>
          <w:bCs/>
          <w:sz w:val="24"/>
          <w:szCs w:val="24"/>
        </w:rPr>
        <w:t>Licensee</w:t>
      </w:r>
      <w:r w:rsidRPr="00F7653A">
        <w:rPr>
          <w:rFonts w:ascii="Cambria" w:hAnsi="Cambria" w:cs="Arial"/>
          <w:b/>
          <w:bCs/>
          <w:sz w:val="24"/>
          <w:szCs w:val="24"/>
        </w:rPr>
        <w:t xml:space="preserve"> for the year FY </w:t>
      </w:r>
      <w:r w:rsidR="009A0E63" w:rsidRPr="00F7653A">
        <w:rPr>
          <w:rFonts w:ascii="Cambria" w:hAnsi="Cambria" w:cs="Arial"/>
          <w:b/>
          <w:bCs/>
          <w:sz w:val="24"/>
          <w:szCs w:val="24"/>
        </w:rPr>
        <w:t>26-27</w:t>
      </w:r>
      <w:r w:rsidRPr="00F7653A">
        <w:rPr>
          <w:rFonts w:ascii="Cambria" w:hAnsi="Cambria" w:cs="Arial"/>
          <w:b/>
          <w:bCs/>
          <w:sz w:val="24"/>
          <w:szCs w:val="24"/>
        </w:rPr>
        <w:t xml:space="preserve"> is Rs </w:t>
      </w:r>
      <w:r w:rsidR="00BF1E3F" w:rsidRPr="00F7653A">
        <w:rPr>
          <w:rFonts w:ascii="Cambria" w:hAnsi="Cambria" w:cs="Arial"/>
          <w:b/>
          <w:bCs/>
          <w:sz w:val="24"/>
          <w:szCs w:val="24"/>
        </w:rPr>
        <w:t>2</w:t>
      </w:r>
      <w:r w:rsidR="009A5DB0">
        <w:rPr>
          <w:rFonts w:ascii="Cambria" w:hAnsi="Cambria" w:cs="Arial"/>
          <w:b/>
          <w:bCs/>
          <w:sz w:val="24"/>
          <w:szCs w:val="24"/>
        </w:rPr>
        <w:t>34.16</w:t>
      </w:r>
      <w:r w:rsidR="00B2720F" w:rsidRPr="00F7653A">
        <w:rPr>
          <w:rFonts w:ascii="Cambria" w:hAnsi="Cambria" w:cs="Arial"/>
          <w:b/>
          <w:bCs/>
          <w:sz w:val="24"/>
          <w:szCs w:val="24"/>
        </w:rPr>
        <w:t xml:space="preserve"> </w:t>
      </w:r>
      <w:r w:rsidR="000D104B" w:rsidRPr="00F7653A">
        <w:rPr>
          <w:rFonts w:ascii="Cambria" w:hAnsi="Cambria" w:cs="Arial"/>
          <w:b/>
          <w:bCs/>
          <w:sz w:val="24"/>
          <w:szCs w:val="24"/>
        </w:rPr>
        <w:t>C</w:t>
      </w:r>
      <w:r w:rsidRPr="00F7653A">
        <w:rPr>
          <w:rFonts w:ascii="Cambria" w:hAnsi="Cambria" w:cs="Arial"/>
          <w:b/>
          <w:bCs/>
          <w:sz w:val="24"/>
          <w:szCs w:val="24"/>
        </w:rPr>
        <w:t>r</w:t>
      </w:r>
      <w:r w:rsidR="000D104B" w:rsidRPr="00F7653A">
        <w:rPr>
          <w:rFonts w:ascii="Cambria" w:hAnsi="Cambria" w:cs="Arial"/>
          <w:b/>
          <w:bCs/>
          <w:sz w:val="24"/>
          <w:szCs w:val="24"/>
        </w:rPr>
        <w:t xml:space="preserve">. (Rs. </w:t>
      </w:r>
      <w:r w:rsidR="00F7653A" w:rsidRPr="00F7653A">
        <w:rPr>
          <w:rFonts w:ascii="Cambria" w:hAnsi="Cambria" w:cs="Arial"/>
          <w:b/>
          <w:bCs/>
          <w:sz w:val="24"/>
          <w:szCs w:val="24"/>
        </w:rPr>
        <w:t>2</w:t>
      </w:r>
      <w:r w:rsidR="009A5DB0">
        <w:rPr>
          <w:rFonts w:ascii="Cambria" w:hAnsi="Cambria" w:cs="Arial"/>
          <w:b/>
          <w:bCs/>
          <w:sz w:val="24"/>
          <w:szCs w:val="24"/>
        </w:rPr>
        <w:t>35.66</w:t>
      </w:r>
      <w:r w:rsidR="00656AFD" w:rsidRPr="00F7653A">
        <w:rPr>
          <w:rFonts w:ascii="Cambria" w:hAnsi="Cambria" w:cs="Arial"/>
          <w:b/>
          <w:bCs/>
          <w:sz w:val="24"/>
          <w:szCs w:val="24"/>
        </w:rPr>
        <w:t xml:space="preserve"> </w:t>
      </w:r>
      <w:r w:rsidR="000D104B" w:rsidRPr="00F7653A">
        <w:rPr>
          <w:rFonts w:ascii="Cambria" w:hAnsi="Cambria" w:cs="Arial"/>
          <w:b/>
          <w:bCs/>
          <w:sz w:val="24"/>
          <w:szCs w:val="24"/>
        </w:rPr>
        <w:t xml:space="preserve">Cr. – Rs. </w:t>
      </w:r>
      <w:r w:rsidR="00F7653A" w:rsidRPr="00F7653A">
        <w:rPr>
          <w:rFonts w:ascii="Cambria" w:hAnsi="Cambria" w:cs="Arial"/>
          <w:b/>
          <w:bCs/>
          <w:sz w:val="24"/>
          <w:szCs w:val="24"/>
        </w:rPr>
        <w:t>1.50</w:t>
      </w:r>
      <w:r w:rsidR="00655610" w:rsidRPr="00F7653A">
        <w:rPr>
          <w:rFonts w:ascii="Cambria" w:hAnsi="Cambria" w:cs="Arial"/>
          <w:b/>
          <w:bCs/>
          <w:sz w:val="24"/>
          <w:szCs w:val="24"/>
        </w:rPr>
        <w:t xml:space="preserve"> Cr.” Interest Capitalized”)</w:t>
      </w:r>
      <w:r w:rsidRPr="00F7653A">
        <w:rPr>
          <w:rFonts w:ascii="Cambria" w:hAnsi="Cambria" w:cs="Arial"/>
          <w:b/>
          <w:bCs/>
          <w:sz w:val="24"/>
          <w:szCs w:val="24"/>
        </w:rPr>
        <w:t>.</w:t>
      </w:r>
      <w:bookmarkStart w:id="77" w:name="_Toc490315052"/>
      <w:bookmarkStart w:id="78" w:name="_Toc278829409"/>
      <w:bookmarkEnd w:id="76"/>
    </w:p>
    <w:p w14:paraId="2810C821" w14:textId="2F0DC1A8" w:rsidR="0018616B" w:rsidRPr="00904B4F" w:rsidRDefault="0018616B" w:rsidP="009024A6">
      <w:pPr>
        <w:pStyle w:val="Heading2"/>
        <w:numPr>
          <w:ilvl w:val="1"/>
          <w:numId w:val="1"/>
        </w:numPr>
        <w:shd w:val="clear" w:color="auto" w:fill="002060"/>
        <w:tabs>
          <w:tab w:val="clear" w:pos="432"/>
          <w:tab w:val="num" w:pos="426"/>
        </w:tabs>
        <w:ind w:hanging="574"/>
        <w:rPr>
          <w:rFonts w:asciiTheme="majorHAnsi" w:hAnsiTheme="majorHAnsi"/>
          <w:i w:val="0"/>
          <w:iCs w:val="0"/>
          <w:sz w:val="24"/>
          <w:szCs w:val="24"/>
        </w:rPr>
      </w:pPr>
      <w:bookmarkStart w:id="79" w:name="_Toc183204718"/>
      <w:bookmarkStart w:id="80" w:name="_Toc215250626"/>
      <w:r w:rsidRPr="00904B4F">
        <w:rPr>
          <w:rFonts w:asciiTheme="majorHAnsi" w:hAnsiTheme="majorHAnsi"/>
          <w:i w:val="0"/>
          <w:iCs w:val="0"/>
          <w:sz w:val="24"/>
          <w:szCs w:val="24"/>
        </w:rPr>
        <w:t>Return on Equity</w:t>
      </w:r>
      <w:bookmarkEnd w:id="79"/>
      <w:bookmarkEnd w:id="80"/>
    </w:p>
    <w:p w14:paraId="2B4BD91F" w14:textId="7E0C3106" w:rsidR="008E6D2C" w:rsidRDefault="008E6D2C" w:rsidP="00412F59">
      <w:pPr>
        <w:spacing w:beforeLines="100" w:before="240" w:afterLines="100" w:after="240" w:line="360" w:lineRule="auto"/>
        <w:jc w:val="both"/>
        <w:rPr>
          <w:rFonts w:asciiTheme="majorHAnsi" w:hAnsiTheme="majorHAnsi"/>
        </w:rPr>
      </w:pPr>
      <w:r w:rsidRPr="008E6D2C">
        <w:rPr>
          <w:rFonts w:asciiTheme="majorHAnsi" w:hAnsiTheme="majorHAnsi"/>
        </w:rPr>
        <w:t>The Licensee</w:t>
      </w:r>
      <w:r w:rsidR="00412F59">
        <w:rPr>
          <w:rFonts w:asciiTheme="majorHAnsi" w:hAnsiTheme="majorHAnsi"/>
        </w:rPr>
        <w:t xml:space="preserve"> has claimed the return on equity on normative basis as per the table below:</w:t>
      </w:r>
    </w:p>
    <w:tbl>
      <w:tblPr>
        <w:tblW w:w="8300" w:type="dxa"/>
        <w:tblLook w:val="04A0" w:firstRow="1" w:lastRow="0" w:firstColumn="1" w:lastColumn="0" w:noHBand="0" w:noVBand="1"/>
      </w:tblPr>
      <w:tblGrid>
        <w:gridCol w:w="3260"/>
        <w:gridCol w:w="1740"/>
        <w:gridCol w:w="1420"/>
        <w:gridCol w:w="1880"/>
      </w:tblGrid>
      <w:tr w:rsidR="0091470F" w:rsidRPr="00361EBF" w14:paraId="6607264B" w14:textId="77777777" w:rsidTr="0091470F">
        <w:trPr>
          <w:trHeight w:val="255"/>
        </w:trPr>
        <w:tc>
          <w:tcPr>
            <w:tcW w:w="3260" w:type="dxa"/>
            <w:tcBorders>
              <w:top w:val="single" w:sz="4" w:space="0" w:color="auto"/>
              <w:left w:val="single" w:sz="4" w:space="0" w:color="auto"/>
              <w:bottom w:val="single" w:sz="4" w:space="0" w:color="auto"/>
              <w:right w:val="single" w:sz="4" w:space="0" w:color="auto"/>
            </w:tcBorders>
            <w:noWrap/>
            <w:vAlign w:val="center"/>
            <w:hideMark/>
          </w:tcPr>
          <w:p w14:paraId="2C2740B0" w14:textId="65B77D2A" w:rsidR="0091470F" w:rsidRPr="00361EBF" w:rsidRDefault="0091470F">
            <w:pPr>
              <w:rPr>
                <w:rFonts w:asciiTheme="majorHAnsi" w:hAnsiTheme="majorHAnsi" w:cs="Calibri"/>
                <w:b/>
                <w:bCs/>
                <w:color w:val="000000"/>
                <w:sz w:val="22"/>
                <w:szCs w:val="22"/>
                <w:lang w:val="en-IN" w:eastAsia="en-IN"/>
              </w:rPr>
            </w:pPr>
            <w:r w:rsidRPr="00361EBF">
              <w:rPr>
                <w:rFonts w:asciiTheme="majorHAnsi" w:hAnsiTheme="majorHAnsi" w:cs="Calibri"/>
                <w:b/>
                <w:bCs/>
                <w:color w:val="000000"/>
                <w:sz w:val="22"/>
                <w:szCs w:val="22"/>
              </w:rPr>
              <w:t>Particulars (Rs. Cr.)</w:t>
            </w:r>
          </w:p>
        </w:tc>
        <w:tc>
          <w:tcPr>
            <w:tcW w:w="1740" w:type="dxa"/>
            <w:tcBorders>
              <w:top w:val="single" w:sz="4" w:space="0" w:color="auto"/>
              <w:left w:val="nil"/>
              <w:bottom w:val="single" w:sz="4" w:space="0" w:color="auto"/>
              <w:right w:val="single" w:sz="4" w:space="0" w:color="auto"/>
            </w:tcBorders>
            <w:noWrap/>
            <w:vAlign w:val="center"/>
            <w:hideMark/>
          </w:tcPr>
          <w:p w14:paraId="78E97487" w14:textId="77777777" w:rsidR="0091470F" w:rsidRPr="00361EBF" w:rsidRDefault="0091470F">
            <w:pPr>
              <w:jc w:val="center"/>
              <w:rPr>
                <w:rFonts w:asciiTheme="majorHAnsi" w:hAnsiTheme="majorHAnsi" w:cs="Arial"/>
                <w:b/>
                <w:bCs/>
                <w:sz w:val="22"/>
                <w:szCs w:val="22"/>
              </w:rPr>
            </w:pPr>
            <w:r w:rsidRPr="00361EBF">
              <w:rPr>
                <w:rFonts w:asciiTheme="majorHAnsi" w:hAnsiTheme="majorHAnsi" w:cs="Arial"/>
                <w:b/>
                <w:bCs/>
                <w:sz w:val="22"/>
                <w:szCs w:val="22"/>
              </w:rPr>
              <w:t>FY 2024-25</w:t>
            </w:r>
          </w:p>
        </w:tc>
        <w:tc>
          <w:tcPr>
            <w:tcW w:w="1420" w:type="dxa"/>
            <w:tcBorders>
              <w:top w:val="single" w:sz="4" w:space="0" w:color="auto"/>
              <w:left w:val="nil"/>
              <w:bottom w:val="single" w:sz="4" w:space="0" w:color="auto"/>
              <w:right w:val="single" w:sz="4" w:space="0" w:color="auto"/>
            </w:tcBorders>
            <w:noWrap/>
            <w:vAlign w:val="center"/>
            <w:hideMark/>
          </w:tcPr>
          <w:p w14:paraId="2F286205" w14:textId="77777777" w:rsidR="0091470F" w:rsidRPr="00361EBF" w:rsidRDefault="0091470F">
            <w:pPr>
              <w:jc w:val="center"/>
              <w:rPr>
                <w:rFonts w:asciiTheme="majorHAnsi" w:hAnsiTheme="majorHAnsi" w:cs="Arial"/>
                <w:b/>
                <w:bCs/>
                <w:sz w:val="22"/>
                <w:szCs w:val="22"/>
              </w:rPr>
            </w:pPr>
            <w:r w:rsidRPr="00361EBF">
              <w:rPr>
                <w:rFonts w:asciiTheme="majorHAnsi" w:hAnsiTheme="majorHAnsi" w:cs="Arial"/>
                <w:b/>
                <w:bCs/>
                <w:sz w:val="22"/>
                <w:szCs w:val="22"/>
              </w:rPr>
              <w:t>FY 2025-26</w:t>
            </w:r>
          </w:p>
        </w:tc>
        <w:tc>
          <w:tcPr>
            <w:tcW w:w="1880" w:type="dxa"/>
            <w:tcBorders>
              <w:top w:val="single" w:sz="4" w:space="0" w:color="auto"/>
              <w:left w:val="nil"/>
              <w:bottom w:val="single" w:sz="4" w:space="0" w:color="auto"/>
              <w:right w:val="single" w:sz="4" w:space="0" w:color="auto"/>
            </w:tcBorders>
            <w:noWrap/>
            <w:vAlign w:val="center"/>
            <w:hideMark/>
          </w:tcPr>
          <w:p w14:paraId="3B4520C6" w14:textId="77777777" w:rsidR="0091470F" w:rsidRPr="00361EBF" w:rsidRDefault="0091470F">
            <w:pPr>
              <w:jc w:val="center"/>
              <w:rPr>
                <w:rFonts w:asciiTheme="majorHAnsi" w:hAnsiTheme="majorHAnsi" w:cs="Arial"/>
                <w:b/>
                <w:bCs/>
                <w:sz w:val="22"/>
                <w:szCs w:val="22"/>
              </w:rPr>
            </w:pPr>
            <w:r w:rsidRPr="00361EBF">
              <w:rPr>
                <w:rFonts w:asciiTheme="majorHAnsi" w:hAnsiTheme="majorHAnsi" w:cs="Arial"/>
                <w:b/>
                <w:bCs/>
                <w:sz w:val="22"/>
                <w:szCs w:val="22"/>
              </w:rPr>
              <w:t>FY 2026-27</w:t>
            </w:r>
          </w:p>
        </w:tc>
      </w:tr>
      <w:tr w:rsidR="0091470F" w:rsidRPr="00361EBF" w14:paraId="3D686CBB" w14:textId="77777777" w:rsidTr="0091470F">
        <w:trPr>
          <w:trHeight w:val="255"/>
        </w:trPr>
        <w:tc>
          <w:tcPr>
            <w:tcW w:w="3260" w:type="dxa"/>
            <w:tcBorders>
              <w:top w:val="nil"/>
              <w:left w:val="single" w:sz="4" w:space="0" w:color="auto"/>
              <w:bottom w:val="single" w:sz="4" w:space="0" w:color="auto"/>
              <w:right w:val="single" w:sz="4" w:space="0" w:color="auto"/>
            </w:tcBorders>
            <w:vAlign w:val="bottom"/>
            <w:hideMark/>
          </w:tcPr>
          <w:p w14:paraId="3B54E755" w14:textId="77777777" w:rsidR="0091470F" w:rsidRPr="00361EBF" w:rsidRDefault="0091470F">
            <w:pPr>
              <w:rPr>
                <w:rFonts w:asciiTheme="majorHAnsi" w:hAnsiTheme="majorHAnsi" w:cs="Arial"/>
                <w:sz w:val="22"/>
                <w:szCs w:val="22"/>
              </w:rPr>
            </w:pPr>
            <w:r w:rsidRPr="00361EBF">
              <w:rPr>
                <w:rFonts w:asciiTheme="majorHAnsi" w:hAnsiTheme="majorHAnsi" w:cs="Arial"/>
                <w:sz w:val="22"/>
                <w:szCs w:val="22"/>
              </w:rPr>
              <w:t>Initial Equity</w:t>
            </w:r>
          </w:p>
        </w:tc>
        <w:tc>
          <w:tcPr>
            <w:tcW w:w="1740" w:type="dxa"/>
            <w:tcBorders>
              <w:top w:val="nil"/>
              <w:left w:val="nil"/>
              <w:bottom w:val="single" w:sz="4" w:space="0" w:color="auto"/>
              <w:right w:val="single" w:sz="4" w:space="0" w:color="auto"/>
            </w:tcBorders>
            <w:noWrap/>
            <w:vAlign w:val="center"/>
            <w:hideMark/>
          </w:tcPr>
          <w:p w14:paraId="433B8AC9" w14:textId="5645678C"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300.00</w:t>
            </w:r>
          </w:p>
        </w:tc>
        <w:tc>
          <w:tcPr>
            <w:tcW w:w="1420" w:type="dxa"/>
            <w:tcBorders>
              <w:top w:val="nil"/>
              <w:left w:val="nil"/>
              <w:bottom w:val="single" w:sz="4" w:space="0" w:color="auto"/>
              <w:right w:val="single" w:sz="4" w:space="0" w:color="auto"/>
            </w:tcBorders>
            <w:noWrap/>
            <w:vAlign w:val="center"/>
            <w:hideMark/>
          </w:tcPr>
          <w:p w14:paraId="5E4811DE" w14:textId="3FA249BD"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300.00</w:t>
            </w:r>
          </w:p>
        </w:tc>
        <w:tc>
          <w:tcPr>
            <w:tcW w:w="1880" w:type="dxa"/>
            <w:tcBorders>
              <w:top w:val="nil"/>
              <w:left w:val="nil"/>
              <w:bottom w:val="single" w:sz="4" w:space="0" w:color="auto"/>
              <w:right w:val="single" w:sz="4" w:space="0" w:color="auto"/>
            </w:tcBorders>
            <w:noWrap/>
            <w:vAlign w:val="center"/>
            <w:hideMark/>
          </w:tcPr>
          <w:p w14:paraId="0DE24B1E" w14:textId="4FF3B65E"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300.00</w:t>
            </w:r>
          </w:p>
        </w:tc>
      </w:tr>
      <w:tr w:rsidR="0091470F" w:rsidRPr="00361EBF" w14:paraId="50CB36AE" w14:textId="77777777" w:rsidTr="0091470F">
        <w:trPr>
          <w:trHeight w:val="255"/>
        </w:trPr>
        <w:tc>
          <w:tcPr>
            <w:tcW w:w="3260" w:type="dxa"/>
            <w:tcBorders>
              <w:top w:val="nil"/>
              <w:left w:val="single" w:sz="4" w:space="0" w:color="auto"/>
              <w:bottom w:val="single" w:sz="4" w:space="0" w:color="auto"/>
              <w:right w:val="single" w:sz="4" w:space="0" w:color="auto"/>
            </w:tcBorders>
            <w:noWrap/>
            <w:vAlign w:val="bottom"/>
            <w:hideMark/>
          </w:tcPr>
          <w:p w14:paraId="6A200990" w14:textId="77777777" w:rsidR="0091470F" w:rsidRPr="00361EBF" w:rsidRDefault="0091470F">
            <w:pPr>
              <w:rPr>
                <w:rFonts w:asciiTheme="majorHAnsi" w:hAnsiTheme="majorHAnsi" w:cs="Arial"/>
                <w:sz w:val="22"/>
                <w:szCs w:val="22"/>
              </w:rPr>
            </w:pPr>
            <w:proofErr w:type="spellStart"/>
            <w:r w:rsidRPr="00361EBF">
              <w:rPr>
                <w:rFonts w:asciiTheme="majorHAnsi" w:hAnsiTheme="majorHAnsi" w:cs="Arial"/>
                <w:sz w:val="22"/>
                <w:szCs w:val="22"/>
              </w:rPr>
              <w:t>RoE</w:t>
            </w:r>
            <w:proofErr w:type="spellEnd"/>
            <w:r w:rsidRPr="00361EBF">
              <w:rPr>
                <w:rFonts w:asciiTheme="majorHAnsi" w:hAnsiTheme="majorHAnsi" w:cs="Arial"/>
                <w:sz w:val="22"/>
                <w:szCs w:val="22"/>
              </w:rPr>
              <w:t xml:space="preserve"> (%)</w:t>
            </w:r>
          </w:p>
        </w:tc>
        <w:tc>
          <w:tcPr>
            <w:tcW w:w="1740" w:type="dxa"/>
            <w:tcBorders>
              <w:top w:val="nil"/>
              <w:left w:val="nil"/>
              <w:bottom w:val="single" w:sz="4" w:space="0" w:color="auto"/>
              <w:right w:val="single" w:sz="4" w:space="0" w:color="auto"/>
            </w:tcBorders>
            <w:noWrap/>
            <w:vAlign w:val="center"/>
            <w:hideMark/>
          </w:tcPr>
          <w:p w14:paraId="6A1BCC07" w14:textId="77777777"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16%</w:t>
            </w:r>
          </w:p>
        </w:tc>
        <w:tc>
          <w:tcPr>
            <w:tcW w:w="1420" w:type="dxa"/>
            <w:tcBorders>
              <w:top w:val="nil"/>
              <w:left w:val="nil"/>
              <w:bottom w:val="single" w:sz="4" w:space="0" w:color="auto"/>
              <w:right w:val="single" w:sz="4" w:space="0" w:color="auto"/>
            </w:tcBorders>
            <w:noWrap/>
            <w:vAlign w:val="center"/>
            <w:hideMark/>
          </w:tcPr>
          <w:p w14:paraId="476F05E7" w14:textId="77777777"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16%</w:t>
            </w:r>
          </w:p>
        </w:tc>
        <w:tc>
          <w:tcPr>
            <w:tcW w:w="1880" w:type="dxa"/>
            <w:tcBorders>
              <w:top w:val="nil"/>
              <w:left w:val="nil"/>
              <w:bottom w:val="single" w:sz="4" w:space="0" w:color="auto"/>
              <w:right w:val="single" w:sz="4" w:space="0" w:color="auto"/>
            </w:tcBorders>
            <w:noWrap/>
            <w:vAlign w:val="center"/>
            <w:hideMark/>
          </w:tcPr>
          <w:p w14:paraId="09425533" w14:textId="77777777"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16%</w:t>
            </w:r>
          </w:p>
        </w:tc>
      </w:tr>
      <w:tr w:rsidR="0091470F" w:rsidRPr="00361EBF" w14:paraId="22A8684C" w14:textId="77777777" w:rsidTr="0091470F">
        <w:trPr>
          <w:trHeight w:val="255"/>
        </w:trPr>
        <w:tc>
          <w:tcPr>
            <w:tcW w:w="3260" w:type="dxa"/>
            <w:tcBorders>
              <w:top w:val="nil"/>
              <w:left w:val="single" w:sz="4" w:space="0" w:color="auto"/>
              <w:bottom w:val="single" w:sz="4" w:space="0" w:color="auto"/>
              <w:right w:val="single" w:sz="4" w:space="0" w:color="auto"/>
            </w:tcBorders>
            <w:vAlign w:val="bottom"/>
            <w:hideMark/>
          </w:tcPr>
          <w:p w14:paraId="1EFD910C" w14:textId="77777777" w:rsidR="0091470F" w:rsidRPr="00361EBF" w:rsidRDefault="0091470F">
            <w:pPr>
              <w:rPr>
                <w:rFonts w:asciiTheme="majorHAnsi" w:hAnsiTheme="majorHAnsi" w:cs="Arial"/>
                <w:b/>
                <w:bCs/>
                <w:sz w:val="22"/>
                <w:szCs w:val="22"/>
              </w:rPr>
            </w:pPr>
            <w:proofErr w:type="spellStart"/>
            <w:r w:rsidRPr="00361EBF">
              <w:rPr>
                <w:rFonts w:asciiTheme="majorHAnsi" w:hAnsiTheme="majorHAnsi" w:cs="Arial"/>
                <w:b/>
                <w:bCs/>
                <w:sz w:val="22"/>
                <w:szCs w:val="22"/>
              </w:rPr>
              <w:t>RoE</w:t>
            </w:r>
            <w:proofErr w:type="spellEnd"/>
            <w:r w:rsidRPr="00361EBF">
              <w:rPr>
                <w:rFonts w:asciiTheme="majorHAnsi" w:hAnsiTheme="majorHAnsi" w:cs="Arial"/>
                <w:b/>
                <w:bCs/>
                <w:sz w:val="22"/>
                <w:szCs w:val="22"/>
              </w:rPr>
              <w:t xml:space="preserve"> on Initial Equity</w:t>
            </w:r>
          </w:p>
        </w:tc>
        <w:tc>
          <w:tcPr>
            <w:tcW w:w="1740" w:type="dxa"/>
            <w:tcBorders>
              <w:top w:val="nil"/>
              <w:left w:val="nil"/>
              <w:bottom w:val="single" w:sz="4" w:space="0" w:color="auto"/>
              <w:right w:val="single" w:sz="4" w:space="0" w:color="auto"/>
            </w:tcBorders>
            <w:noWrap/>
            <w:vAlign w:val="center"/>
            <w:hideMark/>
          </w:tcPr>
          <w:p w14:paraId="00B2390D" w14:textId="53A824C4" w:rsidR="0091470F" w:rsidRPr="00361EBF" w:rsidRDefault="0091470F">
            <w:pPr>
              <w:jc w:val="center"/>
              <w:rPr>
                <w:rFonts w:asciiTheme="majorHAnsi" w:hAnsiTheme="majorHAnsi" w:cs="Arial"/>
                <w:b/>
                <w:bCs/>
                <w:sz w:val="22"/>
                <w:szCs w:val="22"/>
              </w:rPr>
            </w:pPr>
            <w:r w:rsidRPr="00361EBF">
              <w:rPr>
                <w:rFonts w:asciiTheme="majorHAnsi" w:hAnsiTheme="majorHAnsi" w:cs="Arial"/>
                <w:b/>
                <w:bCs/>
                <w:sz w:val="22"/>
                <w:szCs w:val="22"/>
              </w:rPr>
              <w:t>48.00</w:t>
            </w:r>
          </w:p>
        </w:tc>
        <w:tc>
          <w:tcPr>
            <w:tcW w:w="1420" w:type="dxa"/>
            <w:tcBorders>
              <w:top w:val="nil"/>
              <w:left w:val="nil"/>
              <w:bottom w:val="single" w:sz="4" w:space="0" w:color="auto"/>
              <w:right w:val="single" w:sz="4" w:space="0" w:color="auto"/>
            </w:tcBorders>
            <w:noWrap/>
            <w:vAlign w:val="center"/>
            <w:hideMark/>
          </w:tcPr>
          <w:p w14:paraId="50436A55" w14:textId="74974D44" w:rsidR="0091470F" w:rsidRPr="00361EBF" w:rsidRDefault="0091470F">
            <w:pPr>
              <w:jc w:val="center"/>
              <w:rPr>
                <w:rFonts w:asciiTheme="majorHAnsi" w:hAnsiTheme="majorHAnsi" w:cs="Arial"/>
                <w:b/>
                <w:bCs/>
                <w:sz w:val="22"/>
                <w:szCs w:val="22"/>
              </w:rPr>
            </w:pPr>
            <w:r w:rsidRPr="00361EBF">
              <w:rPr>
                <w:rFonts w:asciiTheme="majorHAnsi" w:hAnsiTheme="majorHAnsi" w:cs="Arial"/>
                <w:b/>
                <w:bCs/>
                <w:sz w:val="22"/>
                <w:szCs w:val="22"/>
              </w:rPr>
              <w:t>48.00</w:t>
            </w:r>
          </w:p>
        </w:tc>
        <w:tc>
          <w:tcPr>
            <w:tcW w:w="1880" w:type="dxa"/>
            <w:tcBorders>
              <w:top w:val="nil"/>
              <w:left w:val="nil"/>
              <w:bottom w:val="single" w:sz="4" w:space="0" w:color="auto"/>
              <w:right w:val="single" w:sz="4" w:space="0" w:color="auto"/>
            </w:tcBorders>
            <w:noWrap/>
            <w:vAlign w:val="center"/>
            <w:hideMark/>
          </w:tcPr>
          <w:p w14:paraId="45532B14" w14:textId="6B7C1047" w:rsidR="0091470F" w:rsidRPr="00361EBF" w:rsidRDefault="0091470F">
            <w:pPr>
              <w:jc w:val="center"/>
              <w:rPr>
                <w:rFonts w:asciiTheme="majorHAnsi" w:hAnsiTheme="majorHAnsi" w:cs="Arial"/>
                <w:b/>
                <w:bCs/>
                <w:sz w:val="22"/>
                <w:szCs w:val="22"/>
              </w:rPr>
            </w:pPr>
            <w:r w:rsidRPr="00361EBF">
              <w:rPr>
                <w:rFonts w:asciiTheme="majorHAnsi" w:hAnsiTheme="majorHAnsi" w:cs="Arial"/>
                <w:b/>
                <w:bCs/>
                <w:sz w:val="22"/>
                <w:szCs w:val="22"/>
              </w:rPr>
              <w:t>48.00</w:t>
            </w:r>
          </w:p>
        </w:tc>
      </w:tr>
      <w:tr w:rsidR="0091470F" w:rsidRPr="00361EBF" w14:paraId="7C97D4BD" w14:textId="77777777" w:rsidTr="0091470F">
        <w:trPr>
          <w:trHeight w:val="255"/>
        </w:trPr>
        <w:tc>
          <w:tcPr>
            <w:tcW w:w="3260" w:type="dxa"/>
            <w:tcBorders>
              <w:top w:val="nil"/>
              <w:left w:val="single" w:sz="4" w:space="0" w:color="auto"/>
              <w:bottom w:val="single" w:sz="4" w:space="0" w:color="auto"/>
              <w:right w:val="single" w:sz="4" w:space="0" w:color="auto"/>
            </w:tcBorders>
            <w:vAlign w:val="bottom"/>
            <w:hideMark/>
          </w:tcPr>
          <w:p w14:paraId="31B5F0C5" w14:textId="77777777" w:rsidR="0091470F" w:rsidRPr="00361EBF" w:rsidRDefault="0091470F">
            <w:pPr>
              <w:rPr>
                <w:rFonts w:asciiTheme="majorHAnsi" w:hAnsiTheme="majorHAnsi" w:cs="Arial"/>
                <w:sz w:val="22"/>
                <w:szCs w:val="22"/>
              </w:rPr>
            </w:pPr>
            <w:r w:rsidRPr="00361EBF">
              <w:rPr>
                <w:rFonts w:asciiTheme="majorHAnsi" w:hAnsiTheme="majorHAnsi" w:cs="Arial"/>
                <w:sz w:val="22"/>
                <w:szCs w:val="22"/>
              </w:rPr>
              <w:t>Opening Equity for CAPEX</w:t>
            </w:r>
          </w:p>
        </w:tc>
        <w:tc>
          <w:tcPr>
            <w:tcW w:w="1740" w:type="dxa"/>
            <w:tcBorders>
              <w:top w:val="nil"/>
              <w:left w:val="nil"/>
              <w:bottom w:val="single" w:sz="4" w:space="0" w:color="auto"/>
              <w:right w:val="single" w:sz="4" w:space="0" w:color="auto"/>
            </w:tcBorders>
            <w:noWrap/>
            <w:vAlign w:val="center"/>
            <w:hideMark/>
          </w:tcPr>
          <w:p w14:paraId="2BE28225" w14:textId="19F54209"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365.81</w:t>
            </w:r>
          </w:p>
        </w:tc>
        <w:tc>
          <w:tcPr>
            <w:tcW w:w="1420" w:type="dxa"/>
            <w:tcBorders>
              <w:top w:val="nil"/>
              <w:left w:val="nil"/>
              <w:bottom w:val="single" w:sz="4" w:space="0" w:color="auto"/>
              <w:right w:val="single" w:sz="4" w:space="0" w:color="auto"/>
            </w:tcBorders>
            <w:noWrap/>
            <w:vAlign w:val="center"/>
            <w:hideMark/>
          </w:tcPr>
          <w:p w14:paraId="2BA79158" w14:textId="1528DE92"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539.44</w:t>
            </w:r>
          </w:p>
        </w:tc>
        <w:tc>
          <w:tcPr>
            <w:tcW w:w="1880" w:type="dxa"/>
            <w:tcBorders>
              <w:top w:val="nil"/>
              <w:left w:val="nil"/>
              <w:bottom w:val="single" w:sz="4" w:space="0" w:color="auto"/>
              <w:right w:val="single" w:sz="4" w:space="0" w:color="auto"/>
            </w:tcBorders>
            <w:noWrap/>
            <w:vAlign w:val="center"/>
            <w:hideMark/>
          </w:tcPr>
          <w:p w14:paraId="567FB6E2" w14:textId="3213D789"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706</w:t>
            </w:r>
            <w:r w:rsidR="00AD7844" w:rsidRPr="00361EBF">
              <w:rPr>
                <w:rFonts w:asciiTheme="majorHAnsi" w:hAnsiTheme="majorHAnsi" w:cs="Arial"/>
                <w:sz w:val="22"/>
                <w:szCs w:val="22"/>
              </w:rPr>
              <w:t>.</w:t>
            </w:r>
            <w:r w:rsidRPr="00361EBF">
              <w:rPr>
                <w:rFonts w:asciiTheme="majorHAnsi" w:hAnsiTheme="majorHAnsi" w:cs="Arial"/>
                <w:sz w:val="22"/>
                <w:szCs w:val="22"/>
              </w:rPr>
              <w:t>16</w:t>
            </w:r>
          </w:p>
        </w:tc>
      </w:tr>
      <w:tr w:rsidR="0091470F" w:rsidRPr="00361EBF" w14:paraId="520C7305" w14:textId="77777777" w:rsidTr="0091470F">
        <w:trPr>
          <w:trHeight w:val="255"/>
        </w:trPr>
        <w:tc>
          <w:tcPr>
            <w:tcW w:w="3260" w:type="dxa"/>
            <w:tcBorders>
              <w:top w:val="nil"/>
              <w:left w:val="single" w:sz="4" w:space="0" w:color="auto"/>
              <w:bottom w:val="single" w:sz="4" w:space="0" w:color="auto"/>
              <w:right w:val="single" w:sz="4" w:space="0" w:color="auto"/>
            </w:tcBorders>
            <w:noWrap/>
            <w:vAlign w:val="bottom"/>
            <w:hideMark/>
          </w:tcPr>
          <w:p w14:paraId="67C9524A" w14:textId="77777777" w:rsidR="0091470F" w:rsidRPr="00361EBF" w:rsidRDefault="0091470F">
            <w:pPr>
              <w:rPr>
                <w:rFonts w:asciiTheme="majorHAnsi" w:hAnsiTheme="majorHAnsi" w:cs="Arial"/>
                <w:sz w:val="22"/>
                <w:szCs w:val="22"/>
              </w:rPr>
            </w:pPr>
            <w:r w:rsidRPr="00361EBF">
              <w:rPr>
                <w:rFonts w:asciiTheme="majorHAnsi" w:hAnsiTheme="majorHAnsi" w:cs="Arial"/>
                <w:sz w:val="22"/>
                <w:szCs w:val="22"/>
              </w:rPr>
              <w:t>Additions</w:t>
            </w:r>
          </w:p>
        </w:tc>
        <w:tc>
          <w:tcPr>
            <w:tcW w:w="1740" w:type="dxa"/>
            <w:tcBorders>
              <w:top w:val="nil"/>
              <w:left w:val="nil"/>
              <w:bottom w:val="single" w:sz="4" w:space="0" w:color="auto"/>
              <w:right w:val="single" w:sz="4" w:space="0" w:color="auto"/>
            </w:tcBorders>
            <w:noWrap/>
            <w:vAlign w:val="center"/>
            <w:hideMark/>
          </w:tcPr>
          <w:p w14:paraId="3166D5FF" w14:textId="77AB38BD"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173.63</w:t>
            </w:r>
          </w:p>
        </w:tc>
        <w:tc>
          <w:tcPr>
            <w:tcW w:w="1420" w:type="dxa"/>
            <w:tcBorders>
              <w:top w:val="nil"/>
              <w:left w:val="nil"/>
              <w:bottom w:val="single" w:sz="4" w:space="0" w:color="auto"/>
              <w:right w:val="single" w:sz="4" w:space="0" w:color="auto"/>
            </w:tcBorders>
            <w:noWrap/>
            <w:vAlign w:val="center"/>
            <w:hideMark/>
          </w:tcPr>
          <w:p w14:paraId="512C6DCE" w14:textId="5D97D26A"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166.72</w:t>
            </w:r>
          </w:p>
        </w:tc>
        <w:tc>
          <w:tcPr>
            <w:tcW w:w="1880" w:type="dxa"/>
            <w:tcBorders>
              <w:top w:val="nil"/>
              <w:left w:val="nil"/>
              <w:bottom w:val="single" w:sz="4" w:space="0" w:color="auto"/>
              <w:right w:val="single" w:sz="4" w:space="0" w:color="auto"/>
            </w:tcBorders>
            <w:noWrap/>
            <w:vAlign w:val="center"/>
            <w:hideMark/>
          </w:tcPr>
          <w:p w14:paraId="307D4D55" w14:textId="43FB1C7D"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173</w:t>
            </w:r>
            <w:r w:rsidR="00AD7844" w:rsidRPr="00361EBF">
              <w:rPr>
                <w:rFonts w:asciiTheme="majorHAnsi" w:hAnsiTheme="majorHAnsi" w:cs="Arial"/>
                <w:sz w:val="22"/>
                <w:szCs w:val="22"/>
              </w:rPr>
              <w:t>.</w:t>
            </w:r>
            <w:r w:rsidRPr="00361EBF">
              <w:rPr>
                <w:rFonts w:asciiTheme="majorHAnsi" w:hAnsiTheme="majorHAnsi" w:cs="Arial"/>
                <w:sz w:val="22"/>
                <w:szCs w:val="22"/>
              </w:rPr>
              <w:t>8</w:t>
            </w:r>
            <w:r w:rsidR="00AD7844" w:rsidRPr="00361EBF">
              <w:rPr>
                <w:rFonts w:asciiTheme="majorHAnsi" w:hAnsiTheme="majorHAnsi" w:cs="Arial"/>
                <w:sz w:val="22"/>
                <w:szCs w:val="22"/>
              </w:rPr>
              <w:t>3</w:t>
            </w:r>
          </w:p>
        </w:tc>
      </w:tr>
      <w:tr w:rsidR="0091470F" w:rsidRPr="00361EBF" w14:paraId="229A092F" w14:textId="77777777" w:rsidTr="0091470F">
        <w:trPr>
          <w:trHeight w:val="255"/>
        </w:trPr>
        <w:tc>
          <w:tcPr>
            <w:tcW w:w="3260" w:type="dxa"/>
            <w:tcBorders>
              <w:top w:val="nil"/>
              <w:left w:val="single" w:sz="4" w:space="0" w:color="auto"/>
              <w:bottom w:val="single" w:sz="4" w:space="0" w:color="auto"/>
              <w:right w:val="single" w:sz="4" w:space="0" w:color="auto"/>
            </w:tcBorders>
            <w:vAlign w:val="bottom"/>
            <w:hideMark/>
          </w:tcPr>
          <w:p w14:paraId="42A5690C" w14:textId="77777777" w:rsidR="0091470F" w:rsidRPr="00361EBF" w:rsidRDefault="0091470F">
            <w:pPr>
              <w:rPr>
                <w:rFonts w:asciiTheme="majorHAnsi" w:hAnsiTheme="majorHAnsi" w:cs="Arial"/>
                <w:sz w:val="22"/>
                <w:szCs w:val="22"/>
              </w:rPr>
            </w:pPr>
            <w:r w:rsidRPr="00361EBF">
              <w:rPr>
                <w:rFonts w:asciiTheme="majorHAnsi" w:hAnsiTheme="majorHAnsi" w:cs="Arial"/>
                <w:sz w:val="22"/>
                <w:szCs w:val="22"/>
              </w:rPr>
              <w:t>Closing Equity</w:t>
            </w:r>
          </w:p>
        </w:tc>
        <w:tc>
          <w:tcPr>
            <w:tcW w:w="1740" w:type="dxa"/>
            <w:tcBorders>
              <w:top w:val="nil"/>
              <w:left w:val="nil"/>
              <w:bottom w:val="single" w:sz="4" w:space="0" w:color="auto"/>
              <w:right w:val="single" w:sz="4" w:space="0" w:color="auto"/>
            </w:tcBorders>
            <w:noWrap/>
            <w:vAlign w:val="center"/>
            <w:hideMark/>
          </w:tcPr>
          <w:p w14:paraId="5EBBD038" w14:textId="16DB7037"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539.44</w:t>
            </w:r>
          </w:p>
        </w:tc>
        <w:tc>
          <w:tcPr>
            <w:tcW w:w="1420" w:type="dxa"/>
            <w:tcBorders>
              <w:top w:val="nil"/>
              <w:left w:val="nil"/>
              <w:bottom w:val="single" w:sz="4" w:space="0" w:color="auto"/>
              <w:right w:val="single" w:sz="4" w:space="0" w:color="auto"/>
            </w:tcBorders>
            <w:noWrap/>
            <w:vAlign w:val="center"/>
            <w:hideMark/>
          </w:tcPr>
          <w:p w14:paraId="662FCC88" w14:textId="5A7A619F"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706.16</w:t>
            </w:r>
          </w:p>
        </w:tc>
        <w:tc>
          <w:tcPr>
            <w:tcW w:w="1880" w:type="dxa"/>
            <w:tcBorders>
              <w:top w:val="nil"/>
              <w:left w:val="nil"/>
              <w:bottom w:val="single" w:sz="4" w:space="0" w:color="auto"/>
              <w:right w:val="single" w:sz="4" w:space="0" w:color="auto"/>
            </w:tcBorders>
            <w:noWrap/>
            <w:vAlign w:val="center"/>
            <w:hideMark/>
          </w:tcPr>
          <w:p w14:paraId="52C67597" w14:textId="1D623491"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879</w:t>
            </w:r>
            <w:r w:rsidR="00AD7844" w:rsidRPr="00361EBF">
              <w:rPr>
                <w:rFonts w:asciiTheme="majorHAnsi" w:hAnsiTheme="majorHAnsi" w:cs="Arial"/>
                <w:sz w:val="22"/>
                <w:szCs w:val="22"/>
              </w:rPr>
              <w:t>.</w:t>
            </w:r>
            <w:r w:rsidRPr="00361EBF">
              <w:rPr>
                <w:rFonts w:asciiTheme="majorHAnsi" w:hAnsiTheme="majorHAnsi" w:cs="Arial"/>
                <w:sz w:val="22"/>
                <w:szCs w:val="22"/>
              </w:rPr>
              <w:t>9</w:t>
            </w:r>
            <w:r w:rsidR="00AD7844" w:rsidRPr="00361EBF">
              <w:rPr>
                <w:rFonts w:asciiTheme="majorHAnsi" w:hAnsiTheme="majorHAnsi" w:cs="Arial"/>
                <w:sz w:val="22"/>
                <w:szCs w:val="22"/>
              </w:rPr>
              <w:t>9</w:t>
            </w:r>
          </w:p>
        </w:tc>
      </w:tr>
      <w:tr w:rsidR="0091470F" w:rsidRPr="00361EBF" w14:paraId="27A3BC08" w14:textId="77777777" w:rsidTr="0091470F">
        <w:trPr>
          <w:trHeight w:val="255"/>
        </w:trPr>
        <w:tc>
          <w:tcPr>
            <w:tcW w:w="3260" w:type="dxa"/>
            <w:tcBorders>
              <w:top w:val="nil"/>
              <w:left w:val="single" w:sz="4" w:space="0" w:color="auto"/>
              <w:bottom w:val="single" w:sz="4" w:space="0" w:color="auto"/>
              <w:right w:val="single" w:sz="4" w:space="0" w:color="auto"/>
            </w:tcBorders>
            <w:vAlign w:val="bottom"/>
            <w:hideMark/>
          </w:tcPr>
          <w:p w14:paraId="0A5F1610" w14:textId="77777777" w:rsidR="0091470F" w:rsidRPr="00361EBF" w:rsidRDefault="0091470F">
            <w:pPr>
              <w:rPr>
                <w:rFonts w:asciiTheme="majorHAnsi" w:hAnsiTheme="majorHAnsi" w:cs="Arial"/>
                <w:sz w:val="22"/>
                <w:szCs w:val="22"/>
              </w:rPr>
            </w:pPr>
            <w:r w:rsidRPr="00361EBF">
              <w:rPr>
                <w:rFonts w:asciiTheme="majorHAnsi" w:hAnsiTheme="majorHAnsi" w:cs="Arial"/>
                <w:sz w:val="22"/>
                <w:szCs w:val="22"/>
              </w:rPr>
              <w:t>Avg. Equity</w:t>
            </w:r>
          </w:p>
        </w:tc>
        <w:tc>
          <w:tcPr>
            <w:tcW w:w="1740" w:type="dxa"/>
            <w:tcBorders>
              <w:top w:val="nil"/>
              <w:left w:val="nil"/>
              <w:bottom w:val="single" w:sz="4" w:space="0" w:color="auto"/>
              <w:right w:val="single" w:sz="4" w:space="0" w:color="auto"/>
            </w:tcBorders>
            <w:noWrap/>
            <w:vAlign w:val="center"/>
            <w:hideMark/>
          </w:tcPr>
          <w:p w14:paraId="7CDE09F3" w14:textId="311FDFBE"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452.63</w:t>
            </w:r>
          </w:p>
        </w:tc>
        <w:tc>
          <w:tcPr>
            <w:tcW w:w="1420" w:type="dxa"/>
            <w:tcBorders>
              <w:top w:val="nil"/>
              <w:left w:val="nil"/>
              <w:bottom w:val="single" w:sz="4" w:space="0" w:color="auto"/>
              <w:right w:val="single" w:sz="4" w:space="0" w:color="auto"/>
            </w:tcBorders>
            <w:noWrap/>
            <w:vAlign w:val="center"/>
            <w:hideMark/>
          </w:tcPr>
          <w:p w14:paraId="6D309A92" w14:textId="2934388F"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622</w:t>
            </w:r>
            <w:r w:rsidR="00AD7844" w:rsidRPr="00361EBF">
              <w:rPr>
                <w:rFonts w:asciiTheme="majorHAnsi" w:hAnsiTheme="majorHAnsi" w:cs="Arial"/>
                <w:sz w:val="22"/>
                <w:szCs w:val="22"/>
              </w:rPr>
              <w:t>.80</w:t>
            </w:r>
          </w:p>
        </w:tc>
        <w:tc>
          <w:tcPr>
            <w:tcW w:w="1880" w:type="dxa"/>
            <w:tcBorders>
              <w:top w:val="nil"/>
              <w:left w:val="nil"/>
              <w:bottom w:val="single" w:sz="4" w:space="0" w:color="auto"/>
              <w:right w:val="single" w:sz="4" w:space="0" w:color="auto"/>
            </w:tcBorders>
            <w:noWrap/>
            <w:vAlign w:val="center"/>
            <w:hideMark/>
          </w:tcPr>
          <w:p w14:paraId="7CA6D76F" w14:textId="2E758259"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793</w:t>
            </w:r>
            <w:r w:rsidR="00AD7844" w:rsidRPr="00361EBF">
              <w:rPr>
                <w:rFonts w:asciiTheme="majorHAnsi" w:hAnsiTheme="majorHAnsi" w:cs="Arial"/>
                <w:sz w:val="22"/>
                <w:szCs w:val="22"/>
              </w:rPr>
              <w:t>.</w:t>
            </w:r>
            <w:r w:rsidRPr="00361EBF">
              <w:rPr>
                <w:rFonts w:asciiTheme="majorHAnsi" w:hAnsiTheme="majorHAnsi" w:cs="Arial"/>
                <w:sz w:val="22"/>
                <w:szCs w:val="22"/>
              </w:rPr>
              <w:t>07</w:t>
            </w:r>
          </w:p>
        </w:tc>
      </w:tr>
      <w:tr w:rsidR="0091470F" w:rsidRPr="00361EBF" w14:paraId="46872C3A" w14:textId="77777777" w:rsidTr="0091470F">
        <w:trPr>
          <w:trHeight w:val="255"/>
        </w:trPr>
        <w:tc>
          <w:tcPr>
            <w:tcW w:w="3260" w:type="dxa"/>
            <w:tcBorders>
              <w:top w:val="nil"/>
              <w:left w:val="single" w:sz="4" w:space="0" w:color="auto"/>
              <w:bottom w:val="single" w:sz="4" w:space="0" w:color="auto"/>
              <w:right w:val="single" w:sz="4" w:space="0" w:color="auto"/>
            </w:tcBorders>
            <w:noWrap/>
            <w:vAlign w:val="bottom"/>
            <w:hideMark/>
          </w:tcPr>
          <w:p w14:paraId="4F713860" w14:textId="77777777" w:rsidR="0091470F" w:rsidRPr="00361EBF" w:rsidRDefault="0091470F">
            <w:pPr>
              <w:rPr>
                <w:rFonts w:asciiTheme="majorHAnsi" w:hAnsiTheme="majorHAnsi" w:cs="Arial"/>
                <w:sz w:val="22"/>
                <w:szCs w:val="22"/>
              </w:rPr>
            </w:pPr>
            <w:proofErr w:type="spellStart"/>
            <w:r w:rsidRPr="00361EBF">
              <w:rPr>
                <w:rFonts w:asciiTheme="majorHAnsi" w:hAnsiTheme="majorHAnsi" w:cs="Arial"/>
                <w:sz w:val="22"/>
                <w:szCs w:val="22"/>
              </w:rPr>
              <w:t>RoE</w:t>
            </w:r>
            <w:proofErr w:type="spellEnd"/>
            <w:r w:rsidRPr="00361EBF">
              <w:rPr>
                <w:rFonts w:asciiTheme="majorHAnsi" w:hAnsiTheme="majorHAnsi" w:cs="Arial"/>
                <w:sz w:val="22"/>
                <w:szCs w:val="22"/>
              </w:rPr>
              <w:t>%</w:t>
            </w:r>
          </w:p>
        </w:tc>
        <w:tc>
          <w:tcPr>
            <w:tcW w:w="1740" w:type="dxa"/>
            <w:tcBorders>
              <w:top w:val="nil"/>
              <w:left w:val="nil"/>
              <w:bottom w:val="single" w:sz="4" w:space="0" w:color="auto"/>
              <w:right w:val="single" w:sz="4" w:space="0" w:color="auto"/>
            </w:tcBorders>
            <w:noWrap/>
            <w:vAlign w:val="center"/>
            <w:hideMark/>
          </w:tcPr>
          <w:p w14:paraId="458CA0ED" w14:textId="77777777"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16%</w:t>
            </w:r>
          </w:p>
        </w:tc>
        <w:tc>
          <w:tcPr>
            <w:tcW w:w="1420" w:type="dxa"/>
            <w:tcBorders>
              <w:top w:val="nil"/>
              <w:left w:val="nil"/>
              <w:bottom w:val="single" w:sz="4" w:space="0" w:color="auto"/>
              <w:right w:val="single" w:sz="4" w:space="0" w:color="auto"/>
            </w:tcBorders>
            <w:noWrap/>
            <w:vAlign w:val="center"/>
            <w:hideMark/>
          </w:tcPr>
          <w:p w14:paraId="3F068D13" w14:textId="77777777"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16%</w:t>
            </w:r>
          </w:p>
        </w:tc>
        <w:tc>
          <w:tcPr>
            <w:tcW w:w="1880" w:type="dxa"/>
            <w:tcBorders>
              <w:top w:val="nil"/>
              <w:left w:val="nil"/>
              <w:bottom w:val="single" w:sz="4" w:space="0" w:color="auto"/>
              <w:right w:val="single" w:sz="4" w:space="0" w:color="auto"/>
            </w:tcBorders>
            <w:noWrap/>
            <w:vAlign w:val="center"/>
            <w:hideMark/>
          </w:tcPr>
          <w:p w14:paraId="795ED7BB" w14:textId="77777777"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16%</w:t>
            </w:r>
          </w:p>
        </w:tc>
      </w:tr>
      <w:tr w:rsidR="0091470F" w:rsidRPr="00361EBF" w14:paraId="2F54DBEE" w14:textId="77777777" w:rsidTr="0091470F">
        <w:trPr>
          <w:trHeight w:val="255"/>
        </w:trPr>
        <w:tc>
          <w:tcPr>
            <w:tcW w:w="3260" w:type="dxa"/>
            <w:tcBorders>
              <w:top w:val="nil"/>
              <w:left w:val="single" w:sz="4" w:space="0" w:color="auto"/>
              <w:bottom w:val="single" w:sz="4" w:space="0" w:color="auto"/>
              <w:right w:val="single" w:sz="4" w:space="0" w:color="auto"/>
            </w:tcBorders>
            <w:vAlign w:val="bottom"/>
            <w:hideMark/>
          </w:tcPr>
          <w:p w14:paraId="4AB87A52" w14:textId="77777777" w:rsidR="0091470F" w:rsidRPr="00361EBF" w:rsidRDefault="0091470F">
            <w:pPr>
              <w:rPr>
                <w:rFonts w:asciiTheme="majorHAnsi" w:hAnsiTheme="majorHAnsi" w:cs="Arial"/>
                <w:b/>
                <w:bCs/>
                <w:sz w:val="22"/>
                <w:szCs w:val="22"/>
              </w:rPr>
            </w:pPr>
            <w:proofErr w:type="spellStart"/>
            <w:r w:rsidRPr="00361EBF">
              <w:rPr>
                <w:rFonts w:asciiTheme="majorHAnsi" w:hAnsiTheme="majorHAnsi" w:cs="Arial"/>
                <w:b/>
                <w:bCs/>
                <w:sz w:val="22"/>
                <w:szCs w:val="22"/>
              </w:rPr>
              <w:t>RoE</w:t>
            </w:r>
            <w:proofErr w:type="spellEnd"/>
            <w:r w:rsidRPr="00361EBF">
              <w:rPr>
                <w:rFonts w:asciiTheme="majorHAnsi" w:hAnsiTheme="majorHAnsi" w:cs="Arial"/>
                <w:b/>
                <w:bCs/>
                <w:sz w:val="22"/>
                <w:szCs w:val="22"/>
              </w:rPr>
              <w:t xml:space="preserve"> for CAPEX</w:t>
            </w:r>
          </w:p>
        </w:tc>
        <w:tc>
          <w:tcPr>
            <w:tcW w:w="1740" w:type="dxa"/>
            <w:tcBorders>
              <w:top w:val="nil"/>
              <w:left w:val="nil"/>
              <w:bottom w:val="single" w:sz="4" w:space="0" w:color="auto"/>
              <w:right w:val="single" w:sz="4" w:space="0" w:color="auto"/>
            </w:tcBorders>
            <w:noWrap/>
            <w:vAlign w:val="center"/>
            <w:hideMark/>
          </w:tcPr>
          <w:p w14:paraId="2239800C" w14:textId="7C42A6CB" w:rsidR="0091470F" w:rsidRPr="00361EBF" w:rsidRDefault="0091470F">
            <w:pPr>
              <w:jc w:val="center"/>
              <w:rPr>
                <w:rFonts w:asciiTheme="majorHAnsi" w:hAnsiTheme="majorHAnsi" w:cs="Arial"/>
                <w:b/>
                <w:bCs/>
                <w:sz w:val="22"/>
                <w:szCs w:val="22"/>
              </w:rPr>
            </w:pPr>
            <w:r w:rsidRPr="00361EBF">
              <w:rPr>
                <w:rFonts w:asciiTheme="majorHAnsi" w:hAnsiTheme="majorHAnsi" w:cs="Arial"/>
                <w:b/>
                <w:bCs/>
                <w:sz w:val="22"/>
                <w:szCs w:val="22"/>
              </w:rPr>
              <w:t>72.42</w:t>
            </w:r>
          </w:p>
        </w:tc>
        <w:tc>
          <w:tcPr>
            <w:tcW w:w="1420" w:type="dxa"/>
            <w:tcBorders>
              <w:top w:val="nil"/>
              <w:left w:val="nil"/>
              <w:bottom w:val="single" w:sz="4" w:space="0" w:color="auto"/>
              <w:right w:val="single" w:sz="4" w:space="0" w:color="auto"/>
            </w:tcBorders>
            <w:noWrap/>
            <w:vAlign w:val="center"/>
            <w:hideMark/>
          </w:tcPr>
          <w:p w14:paraId="12F20130" w14:textId="78440195" w:rsidR="0091470F" w:rsidRPr="00361EBF" w:rsidRDefault="0091470F">
            <w:pPr>
              <w:jc w:val="center"/>
              <w:rPr>
                <w:rFonts w:asciiTheme="majorHAnsi" w:hAnsiTheme="majorHAnsi" w:cs="Arial"/>
                <w:b/>
                <w:bCs/>
                <w:sz w:val="22"/>
                <w:szCs w:val="22"/>
              </w:rPr>
            </w:pPr>
            <w:r w:rsidRPr="00361EBF">
              <w:rPr>
                <w:rFonts w:asciiTheme="majorHAnsi" w:hAnsiTheme="majorHAnsi" w:cs="Arial"/>
                <w:b/>
                <w:bCs/>
                <w:sz w:val="22"/>
                <w:szCs w:val="22"/>
              </w:rPr>
              <w:t>99</w:t>
            </w:r>
            <w:r w:rsidR="00AD7844" w:rsidRPr="00361EBF">
              <w:rPr>
                <w:rFonts w:asciiTheme="majorHAnsi" w:hAnsiTheme="majorHAnsi" w:cs="Arial"/>
                <w:b/>
                <w:bCs/>
                <w:sz w:val="22"/>
                <w:szCs w:val="22"/>
              </w:rPr>
              <w:t>.</w:t>
            </w:r>
            <w:r w:rsidRPr="00361EBF">
              <w:rPr>
                <w:rFonts w:asciiTheme="majorHAnsi" w:hAnsiTheme="majorHAnsi" w:cs="Arial"/>
                <w:b/>
                <w:bCs/>
                <w:sz w:val="22"/>
                <w:szCs w:val="22"/>
              </w:rPr>
              <w:t>6</w:t>
            </w:r>
            <w:r w:rsidR="00AD7844" w:rsidRPr="00361EBF">
              <w:rPr>
                <w:rFonts w:asciiTheme="majorHAnsi" w:hAnsiTheme="majorHAnsi" w:cs="Arial"/>
                <w:b/>
                <w:bCs/>
                <w:sz w:val="22"/>
                <w:szCs w:val="22"/>
              </w:rPr>
              <w:t>5</w:t>
            </w:r>
          </w:p>
        </w:tc>
        <w:tc>
          <w:tcPr>
            <w:tcW w:w="1880" w:type="dxa"/>
            <w:tcBorders>
              <w:top w:val="nil"/>
              <w:left w:val="nil"/>
              <w:bottom w:val="single" w:sz="4" w:space="0" w:color="auto"/>
              <w:right w:val="single" w:sz="4" w:space="0" w:color="auto"/>
            </w:tcBorders>
            <w:noWrap/>
            <w:vAlign w:val="center"/>
            <w:hideMark/>
          </w:tcPr>
          <w:p w14:paraId="69244415" w14:textId="3A1C0BEE" w:rsidR="0091470F" w:rsidRPr="00361EBF" w:rsidRDefault="0091470F">
            <w:pPr>
              <w:jc w:val="center"/>
              <w:rPr>
                <w:rFonts w:asciiTheme="majorHAnsi" w:hAnsiTheme="majorHAnsi" w:cs="Arial"/>
                <w:b/>
                <w:bCs/>
                <w:sz w:val="22"/>
                <w:szCs w:val="22"/>
              </w:rPr>
            </w:pPr>
            <w:r w:rsidRPr="00361EBF">
              <w:rPr>
                <w:rFonts w:asciiTheme="majorHAnsi" w:hAnsiTheme="majorHAnsi" w:cs="Arial"/>
                <w:b/>
                <w:bCs/>
                <w:sz w:val="22"/>
                <w:szCs w:val="22"/>
              </w:rPr>
              <w:t>126</w:t>
            </w:r>
            <w:r w:rsidR="00AD7844" w:rsidRPr="00361EBF">
              <w:rPr>
                <w:rFonts w:asciiTheme="majorHAnsi" w:hAnsiTheme="majorHAnsi" w:cs="Arial"/>
                <w:b/>
                <w:bCs/>
                <w:sz w:val="22"/>
                <w:szCs w:val="22"/>
              </w:rPr>
              <w:t>.</w:t>
            </w:r>
            <w:r w:rsidRPr="00361EBF">
              <w:rPr>
                <w:rFonts w:asciiTheme="majorHAnsi" w:hAnsiTheme="majorHAnsi" w:cs="Arial"/>
                <w:b/>
                <w:bCs/>
                <w:sz w:val="22"/>
                <w:szCs w:val="22"/>
              </w:rPr>
              <w:t>89</w:t>
            </w:r>
          </w:p>
        </w:tc>
      </w:tr>
      <w:tr w:rsidR="0091470F" w:rsidRPr="00361EBF" w14:paraId="0DD75CA8" w14:textId="77777777" w:rsidTr="0091470F">
        <w:trPr>
          <w:trHeight w:val="255"/>
        </w:trPr>
        <w:tc>
          <w:tcPr>
            <w:tcW w:w="3260" w:type="dxa"/>
            <w:tcBorders>
              <w:top w:val="nil"/>
              <w:left w:val="single" w:sz="4" w:space="0" w:color="auto"/>
              <w:bottom w:val="single" w:sz="4" w:space="0" w:color="auto"/>
              <w:right w:val="single" w:sz="4" w:space="0" w:color="auto"/>
            </w:tcBorders>
            <w:vAlign w:val="bottom"/>
            <w:hideMark/>
          </w:tcPr>
          <w:p w14:paraId="65860E6D" w14:textId="77777777" w:rsidR="0091470F" w:rsidRPr="00361EBF" w:rsidRDefault="0091470F">
            <w:pPr>
              <w:rPr>
                <w:rFonts w:asciiTheme="majorHAnsi" w:hAnsiTheme="majorHAnsi" w:cs="Arial"/>
                <w:b/>
                <w:bCs/>
                <w:sz w:val="22"/>
                <w:szCs w:val="22"/>
              </w:rPr>
            </w:pPr>
            <w:r w:rsidRPr="00361EBF">
              <w:rPr>
                <w:rFonts w:asciiTheme="majorHAnsi" w:hAnsiTheme="majorHAnsi" w:cs="Arial"/>
                <w:b/>
                <w:bCs/>
                <w:sz w:val="22"/>
                <w:szCs w:val="22"/>
              </w:rPr>
              <w:t xml:space="preserve">Post Tax </w:t>
            </w:r>
            <w:proofErr w:type="spellStart"/>
            <w:r w:rsidRPr="00361EBF">
              <w:rPr>
                <w:rFonts w:asciiTheme="majorHAnsi" w:hAnsiTheme="majorHAnsi" w:cs="Arial"/>
                <w:b/>
                <w:bCs/>
                <w:sz w:val="22"/>
                <w:szCs w:val="22"/>
              </w:rPr>
              <w:t>RoE</w:t>
            </w:r>
            <w:proofErr w:type="spellEnd"/>
          </w:p>
        </w:tc>
        <w:tc>
          <w:tcPr>
            <w:tcW w:w="1740" w:type="dxa"/>
            <w:tcBorders>
              <w:top w:val="nil"/>
              <w:left w:val="nil"/>
              <w:bottom w:val="single" w:sz="4" w:space="0" w:color="auto"/>
              <w:right w:val="single" w:sz="4" w:space="0" w:color="auto"/>
            </w:tcBorders>
            <w:noWrap/>
            <w:vAlign w:val="center"/>
            <w:hideMark/>
          </w:tcPr>
          <w:p w14:paraId="62E46B0D" w14:textId="6AF2BC65" w:rsidR="0091470F" w:rsidRPr="00361EBF" w:rsidRDefault="0091470F">
            <w:pPr>
              <w:jc w:val="center"/>
              <w:rPr>
                <w:rFonts w:asciiTheme="majorHAnsi" w:hAnsiTheme="majorHAnsi" w:cs="Arial"/>
                <w:b/>
                <w:bCs/>
                <w:sz w:val="22"/>
                <w:szCs w:val="22"/>
              </w:rPr>
            </w:pPr>
            <w:r w:rsidRPr="00361EBF">
              <w:rPr>
                <w:rFonts w:asciiTheme="majorHAnsi" w:hAnsiTheme="majorHAnsi" w:cs="Arial"/>
                <w:b/>
                <w:bCs/>
                <w:sz w:val="22"/>
                <w:szCs w:val="22"/>
              </w:rPr>
              <w:t>120.42</w:t>
            </w:r>
          </w:p>
        </w:tc>
        <w:tc>
          <w:tcPr>
            <w:tcW w:w="1420" w:type="dxa"/>
            <w:tcBorders>
              <w:top w:val="nil"/>
              <w:left w:val="nil"/>
              <w:bottom w:val="single" w:sz="4" w:space="0" w:color="auto"/>
              <w:right w:val="single" w:sz="4" w:space="0" w:color="auto"/>
            </w:tcBorders>
            <w:noWrap/>
            <w:vAlign w:val="center"/>
            <w:hideMark/>
          </w:tcPr>
          <w:p w14:paraId="6FEBAA6F" w14:textId="650AEACF" w:rsidR="0091470F" w:rsidRPr="00361EBF" w:rsidRDefault="0091470F">
            <w:pPr>
              <w:jc w:val="center"/>
              <w:rPr>
                <w:rFonts w:asciiTheme="majorHAnsi" w:hAnsiTheme="majorHAnsi" w:cs="Arial"/>
                <w:b/>
                <w:bCs/>
                <w:sz w:val="22"/>
                <w:szCs w:val="22"/>
              </w:rPr>
            </w:pPr>
            <w:r w:rsidRPr="00361EBF">
              <w:rPr>
                <w:rFonts w:asciiTheme="majorHAnsi" w:hAnsiTheme="majorHAnsi" w:cs="Arial"/>
                <w:b/>
                <w:bCs/>
                <w:sz w:val="22"/>
                <w:szCs w:val="22"/>
              </w:rPr>
              <w:t>147</w:t>
            </w:r>
            <w:r w:rsidR="00AD7844" w:rsidRPr="00361EBF">
              <w:rPr>
                <w:rFonts w:asciiTheme="majorHAnsi" w:hAnsiTheme="majorHAnsi" w:cs="Arial"/>
                <w:b/>
                <w:bCs/>
                <w:sz w:val="22"/>
                <w:szCs w:val="22"/>
              </w:rPr>
              <w:t>.</w:t>
            </w:r>
            <w:r w:rsidRPr="00361EBF">
              <w:rPr>
                <w:rFonts w:asciiTheme="majorHAnsi" w:hAnsiTheme="majorHAnsi" w:cs="Arial"/>
                <w:b/>
                <w:bCs/>
                <w:sz w:val="22"/>
                <w:szCs w:val="22"/>
              </w:rPr>
              <w:t>6</w:t>
            </w:r>
            <w:r w:rsidR="00AD7844" w:rsidRPr="00361EBF">
              <w:rPr>
                <w:rFonts w:asciiTheme="majorHAnsi" w:hAnsiTheme="majorHAnsi" w:cs="Arial"/>
                <w:b/>
                <w:bCs/>
                <w:sz w:val="22"/>
                <w:szCs w:val="22"/>
              </w:rPr>
              <w:t>5</w:t>
            </w:r>
          </w:p>
        </w:tc>
        <w:tc>
          <w:tcPr>
            <w:tcW w:w="1880" w:type="dxa"/>
            <w:tcBorders>
              <w:top w:val="nil"/>
              <w:left w:val="nil"/>
              <w:bottom w:val="single" w:sz="4" w:space="0" w:color="auto"/>
              <w:right w:val="single" w:sz="4" w:space="0" w:color="auto"/>
            </w:tcBorders>
            <w:noWrap/>
            <w:vAlign w:val="center"/>
            <w:hideMark/>
          </w:tcPr>
          <w:p w14:paraId="3EF666ED" w14:textId="713AA312" w:rsidR="0091470F" w:rsidRPr="00361EBF" w:rsidRDefault="0091470F">
            <w:pPr>
              <w:jc w:val="center"/>
              <w:rPr>
                <w:rFonts w:asciiTheme="majorHAnsi" w:hAnsiTheme="majorHAnsi" w:cs="Arial"/>
                <w:b/>
                <w:bCs/>
                <w:sz w:val="22"/>
                <w:szCs w:val="22"/>
              </w:rPr>
            </w:pPr>
            <w:r w:rsidRPr="00361EBF">
              <w:rPr>
                <w:rFonts w:asciiTheme="majorHAnsi" w:hAnsiTheme="majorHAnsi" w:cs="Arial"/>
                <w:b/>
                <w:bCs/>
                <w:sz w:val="22"/>
                <w:szCs w:val="22"/>
              </w:rPr>
              <w:t>174</w:t>
            </w:r>
            <w:r w:rsidR="00AD7844" w:rsidRPr="00361EBF">
              <w:rPr>
                <w:rFonts w:asciiTheme="majorHAnsi" w:hAnsiTheme="majorHAnsi" w:cs="Arial"/>
                <w:b/>
                <w:bCs/>
                <w:sz w:val="22"/>
                <w:szCs w:val="22"/>
              </w:rPr>
              <w:t>.</w:t>
            </w:r>
            <w:r w:rsidRPr="00361EBF">
              <w:rPr>
                <w:rFonts w:asciiTheme="majorHAnsi" w:hAnsiTheme="majorHAnsi" w:cs="Arial"/>
                <w:b/>
                <w:bCs/>
                <w:sz w:val="22"/>
                <w:szCs w:val="22"/>
              </w:rPr>
              <w:t>89</w:t>
            </w:r>
          </w:p>
        </w:tc>
      </w:tr>
      <w:tr w:rsidR="0091470F" w:rsidRPr="00361EBF" w14:paraId="7CB1D15A" w14:textId="77777777" w:rsidTr="0091470F">
        <w:trPr>
          <w:trHeight w:val="255"/>
        </w:trPr>
        <w:tc>
          <w:tcPr>
            <w:tcW w:w="3260" w:type="dxa"/>
            <w:tcBorders>
              <w:top w:val="nil"/>
              <w:left w:val="single" w:sz="4" w:space="0" w:color="auto"/>
              <w:bottom w:val="single" w:sz="4" w:space="0" w:color="auto"/>
              <w:right w:val="single" w:sz="4" w:space="0" w:color="auto"/>
            </w:tcBorders>
            <w:noWrap/>
            <w:vAlign w:val="bottom"/>
            <w:hideMark/>
          </w:tcPr>
          <w:p w14:paraId="1A0A423F" w14:textId="77777777" w:rsidR="0091470F" w:rsidRPr="00361EBF" w:rsidRDefault="0091470F">
            <w:pPr>
              <w:rPr>
                <w:rFonts w:asciiTheme="majorHAnsi" w:hAnsiTheme="majorHAnsi" w:cs="Arial"/>
                <w:sz w:val="22"/>
                <w:szCs w:val="22"/>
              </w:rPr>
            </w:pPr>
            <w:r w:rsidRPr="00361EBF">
              <w:rPr>
                <w:rFonts w:asciiTheme="majorHAnsi" w:hAnsiTheme="majorHAnsi" w:cs="Arial"/>
                <w:sz w:val="22"/>
                <w:szCs w:val="22"/>
              </w:rPr>
              <w:t xml:space="preserve">Tax on </w:t>
            </w:r>
            <w:proofErr w:type="spellStart"/>
            <w:r w:rsidRPr="00361EBF">
              <w:rPr>
                <w:rFonts w:asciiTheme="majorHAnsi" w:hAnsiTheme="majorHAnsi" w:cs="Arial"/>
                <w:sz w:val="22"/>
                <w:szCs w:val="22"/>
              </w:rPr>
              <w:t>RoE</w:t>
            </w:r>
            <w:proofErr w:type="spellEnd"/>
            <w:r w:rsidRPr="00361EBF">
              <w:rPr>
                <w:rFonts w:asciiTheme="majorHAnsi" w:hAnsiTheme="majorHAnsi" w:cs="Arial"/>
                <w:sz w:val="22"/>
                <w:szCs w:val="22"/>
              </w:rPr>
              <w:t xml:space="preserve"> (%)</w:t>
            </w:r>
          </w:p>
        </w:tc>
        <w:tc>
          <w:tcPr>
            <w:tcW w:w="1740" w:type="dxa"/>
            <w:tcBorders>
              <w:top w:val="nil"/>
              <w:left w:val="nil"/>
              <w:bottom w:val="single" w:sz="4" w:space="0" w:color="auto"/>
              <w:right w:val="single" w:sz="4" w:space="0" w:color="auto"/>
            </w:tcBorders>
            <w:noWrap/>
            <w:vAlign w:val="bottom"/>
            <w:hideMark/>
          </w:tcPr>
          <w:p w14:paraId="169C1A9E" w14:textId="77777777"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25.168%</w:t>
            </w:r>
          </w:p>
        </w:tc>
        <w:tc>
          <w:tcPr>
            <w:tcW w:w="1420" w:type="dxa"/>
            <w:tcBorders>
              <w:top w:val="nil"/>
              <w:left w:val="nil"/>
              <w:bottom w:val="single" w:sz="4" w:space="0" w:color="auto"/>
              <w:right w:val="single" w:sz="4" w:space="0" w:color="auto"/>
            </w:tcBorders>
            <w:noWrap/>
            <w:vAlign w:val="bottom"/>
            <w:hideMark/>
          </w:tcPr>
          <w:p w14:paraId="7DB5EDEB" w14:textId="77777777"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25.168%</w:t>
            </w:r>
          </w:p>
        </w:tc>
        <w:tc>
          <w:tcPr>
            <w:tcW w:w="1880" w:type="dxa"/>
            <w:tcBorders>
              <w:top w:val="nil"/>
              <w:left w:val="nil"/>
              <w:bottom w:val="single" w:sz="4" w:space="0" w:color="auto"/>
              <w:right w:val="single" w:sz="4" w:space="0" w:color="auto"/>
            </w:tcBorders>
            <w:noWrap/>
            <w:vAlign w:val="bottom"/>
            <w:hideMark/>
          </w:tcPr>
          <w:p w14:paraId="47755E5C" w14:textId="77777777"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25.168%</w:t>
            </w:r>
          </w:p>
        </w:tc>
      </w:tr>
      <w:tr w:rsidR="0091470F" w:rsidRPr="00361EBF" w14:paraId="3E0D1613" w14:textId="77777777" w:rsidTr="0091470F">
        <w:trPr>
          <w:trHeight w:val="255"/>
        </w:trPr>
        <w:tc>
          <w:tcPr>
            <w:tcW w:w="3260" w:type="dxa"/>
            <w:tcBorders>
              <w:top w:val="nil"/>
              <w:left w:val="single" w:sz="4" w:space="0" w:color="auto"/>
              <w:bottom w:val="single" w:sz="4" w:space="0" w:color="auto"/>
              <w:right w:val="single" w:sz="4" w:space="0" w:color="auto"/>
            </w:tcBorders>
            <w:noWrap/>
            <w:vAlign w:val="bottom"/>
            <w:hideMark/>
          </w:tcPr>
          <w:p w14:paraId="4CB9530B" w14:textId="77777777" w:rsidR="0091470F" w:rsidRPr="00361EBF" w:rsidRDefault="0091470F">
            <w:pPr>
              <w:rPr>
                <w:rFonts w:asciiTheme="majorHAnsi" w:hAnsiTheme="majorHAnsi" w:cs="Arial"/>
                <w:b/>
                <w:bCs/>
                <w:sz w:val="22"/>
                <w:szCs w:val="22"/>
              </w:rPr>
            </w:pPr>
            <w:r w:rsidRPr="00361EBF">
              <w:rPr>
                <w:rFonts w:asciiTheme="majorHAnsi" w:hAnsiTheme="majorHAnsi" w:cs="Arial"/>
                <w:b/>
                <w:bCs/>
                <w:sz w:val="22"/>
                <w:szCs w:val="22"/>
              </w:rPr>
              <w:t xml:space="preserve">Pre Tax </w:t>
            </w:r>
            <w:proofErr w:type="spellStart"/>
            <w:r w:rsidRPr="00361EBF">
              <w:rPr>
                <w:rFonts w:asciiTheme="majorHAnsi" w:hAnsiTheme="majorHAnsi" w:cs="Arial"/>
                <w:b/>
                <w:bCs/>
                <w:sz w:val="22"/>
                <w:szCs w:val="22"/>
              </w:rPr>
              <w:t>RoE</w:t>
            </w:r>
            <w:proofErr w:type="spellEnd"/>
          </w:p>
        </w:tc>
        <w:tc>
          <w:tcPr>
            <w:tcW w:w="1740" w:type="dxa"/>
            <w:tcBorders>
              <w:top w:val="nil"/>
              <w:left w:val="nil"/>
              <w:bottom w:val="single" w:sz="4" w:space="0" w:color="auto"/>
              <w:right w:val="single" w:sz="4" w:space="0" w:color="auto"/>
            </w:tcBorders>
            <w:noWrap/>
            <w:vAlign w:val="bottom"/>
            <w:hideMark/>
          </w:tcPr>
          <w:p w14:paraId="7CB3B5D1" w14:textId="34136A39"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160.92</w:t>
            </w:r>
          </w:p>
        </w:tc>
        <w:tc>
          <w:tcPr>
            <w:tcW w:w="1420" w:type="dxa"/>
            <w:tcBorders>
              <w:top w:val="nil"/>
              <w:left w:val="nil"/>
              <w:bottom w:val="single" w:sz="4" w:space="0" w:color="auto"/>
              <w:right w:val="single" w:sz="4" w:space="0" w:color="auto"/>
            </w:tcBorders>
            <w:noWrap/>
            <w:vAlign w:val="bottom"/>
            <w:hideMark/>
          </w:tcPr>
          <w:p w14:paraId="1553178D" w14:textId="392CD9B1"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197</w:t>
            </w:r>
            <w:r w:rsidR="00AD7844" w:rsidRPr="00361EBF">
              <w:rPr>
                <w:rFonts w:asciiTheme="majorHAnsi" w:hAnsiTheme="majorHAnsi" w:cs="Arial"/>
                <w:sz w:val="22"/>
                <w:szCs w:val="22"/>
              </w:rPr>
              <w:t>.</w:t>
            </w:r>
            <w:r w:rsidRPr="00361EBF">
              <w:rPr>
                <w:rFonts w:asciiTheme="majorHAnsi" w:hAnsiTheme="majorHAnsi" w:cs="Arial"/>
                <w:sz w:val="22"/>
                <w:szCs w:val="22"/>
              </w:rPr>
              <w:t>3</w:t>
            </w:r>
            <w:r w:rsidR="00AD7844" w:rsidRPr="00361EBF">
              <w:rPr>
                <w:rFonts w:asciiTheme="majorHAnsi" w:hAnsiTheme="majorHAnsi" w:cs="Arial"/>
                <w:sz w:val="22"/>
                <w:szCs w:val="22"/>
              </w:rPr>
              <w:t>1</w:t>
            </w:r>
          </w:p>
        </w:tc>
        <w:tc>
          <w:tcPr>
            <w:tcW w:w="1880" w:type="dxa"/>
            <w:tcBorders>
              <w:top w:val="nil"/>
              <w:left w:val="nil"/>
              <w:bottom w:val="single" w:sz="4" w:space="0" w:color="auto"/>
              <w:right w:val="single" w:sz="4" w:space="0" w:color="auto"/>
            </w:tcBorders>
            <w:noWrap/>
            <w:vAlign w:val="bottom"/>
            <w:hideMark/>
          </w:tcPr>
          <w:p w14:paraId="2FBB432E" w14:textId="5E4E41F1" w:rsidR="0091470F" w:rsidRPr="00361EBF" w:rsidRDefault="0091470F">
            <w:pPr>
              <w:jc w:val="center"/>
              <w:rPr>
                <w:rFonts w:asciiTheme="majorHAnsi" w:hAnsiTheme="majorHAnsi" w:cs="Arial"/>
                <w:sz w:val="22"/>
                <w:szCs w:val="22"/>
              </w:rPr>
            </w:pPr>
            <w:r w:rsidRPr="00361EBF">
              <w:rPr>
                <w:rFonts w:asciiTheme="majorHAnsi" w:hAnsiTheme="majorHAnsi" w:cs="Arial"/>
                <w:sz w:val="22"/>
                <w:szCs w:val="22"/>
              </w:rPr>
              <w:t>233</w:t>
            </w:r>
            <w:r w:rsidR="00AD7844" w:rsidRPr="00361EBF">
              <w:rPr>
                <w:rFonts w:asciiTheme="majorHAnsi" w:hAnsiTheme="majorHAnsi" w:cs="Arial"/>
                <w:sz w:val="22"/>
                <w:szCs w:val="22"/>
              </w:rPr>
              <w:t>.</w:t>
            </w:r>
            <w:r w:rsidRPr="00361EBF">
              <w:rPr>
                <w:rFonts w:asciiTheme="majorHAnsi" w:hAnsiTheme="majorHAnsi" w:cs="Arial"/>
                <w:sz w:val="22"/>
                <w:szCs w:val="22"/>
              </w:rPr>
              <w:t>71</w:t>
            </w:r>
          </w:p>
        </w:tc>
      </w:tr>
      <w:tr w:rsidR="0091470F" w:rsidRPr="00361EBF" w14:paraId="58EE48E2" w14:textId="77777777" w:rsidTr="0091470F">
        <w:trPr>
          <w:trHeight w:val="255"/>
        </w:trPr>
        <w:tc>
          <w:tcPr>
            <w:tcW w:w="3260" w:type="dxa"/>
            <w:tcBorders>
              <w:top w:val="nil"/>
              <w:left w:val="single" w:sz="4" w:space="0" w:color="auto"/>
              <w:bottom w:val="single" w:sz="4" w:space="0" w:color="auto"/>
              <w:right w:val="single" w:sz="4" w:space="0" w:color="auto"/>
            </w:tcBorders>
            <w:noWrap/>
            <w:vAlign w:val="bottom"/>
            <w:hideMark/>
          </w:tcPr>
          <w:p w14:paraId="1714B2FE" w14:textId="77777777" w:rsidR="0091470F" w:rsidRPr="00361EBF" w:rsidRDefault="0091470F">
            <w:pPr>
              <w:rPr>
                <w:rFonts w:asciiTheme="majorHAnsi" w:hAnsiTheme="majorHAnsi" w:cs="Arial"/>
                <w:b/>
                <w:bCs/>
                <w:sz w:val="22"/>
                <w:szCs w:val="22"/>
              </w:rPr>
            </w:pPr>
            <w:r w:rsidRPr="00361EBF">
              <w:rPr>
                <w:rFonts w:asciiTheme="majorHAnsi" w:hAnsiTheme="majorHAnsi" w:cs="Arial"/>
                <w:b/>
                <w:bCs/>
                <w:sz w:val="22"/>
                <w:szCs w:val="22"/>
              </w:rPr>
              <w:t>Income Tax</w:t>
            </w:r>
          </w:p>
        </w:tc>
        <w:tc>
          <w:tcPr>
            <w:tcW w:w="1740" w:type="dxa"/>
            <w:tcBorders>
              <w:top w:val="nil"/>
              <w:left w:val="nil"/>
              <w:bottom w:val="single" w:sz="4" w:space="0" w:color="auto"/>
              <w:right w:val="single" w:sz="4" w:space="0" w:color="auto"/>
            </w:tcBorders>
            <w:noWrap/>
            <w:vAlign w:val="center"/>
            <w:hideMark/>
          </w:tcPr>
          <w:p w14:paraId="102376D2" w14:textId="3417B654" w:rsidR="0091470F" w:rsidRPr="00361EBF" w:rsidRDefault="0091470F">
            <w:pPr>
              <w:jc w:val="center"/>
              <w:rPr>
                <w:rFonts w:asciiTheme="majorHAnsi" w:hAnsiTheme="majorHAnsi" w:cs="Arial"/>
                <w:b/>
                <w:bCs/>
                <w:sz w:val="22"/>
                <w:szCs w:val="22"/>
              </w:rPr>
            </w:pPr>
            <w:r w:rsidRPr="00361EBF">
              <w:rPr>
                <w:rFonts w:asciiTheme="majorHAnsi" w:hAnsiTheme="majorHAnsi" w:cs="Arial"/>
                <w:b/>
                <w:bCs/>
                <w:sz w:val="22"/>
                <w:szCs w:val="22"/>
              </w:rPr>
              <w:t>40.50</w:t>
            </w:r>
          </w:p>
        </w:tc>
        <w:tc>
          <w:tcPr>
            <w:tcW w:w="1420" w:type="dxa"/>
            <w:tcBorders>
              <w:top w:val="nil"/>
              <w:left w:val="nil"/>
              <w:bottom w:val="single" w:sz="4" w:space="0" w:color="auto"/>
              <w:right w:val="single" w:sz="4" w:space="0" w:color="auto"/>
            </w:tcBorders>
            <w:noWrap/>
            <w:vAlign w:val="center"/>
            <w:hideMark/>
          </w:tcPr>
          <w:p w14:paraId="3B9200C6" w14:textId="362BF17E" w:rsidR="0091470F" w:rsidRPr="00361EBF" w:rsidRDefault="0091470F">
            <w:pPr>
              <w:jc w:val="center"/>
              <w:rPr>
                <w:rFonts w:asciiTheme="majorHAnsi" w:hAnsiTheme="majorHAnsi" w:cs="Arial"/>
                <w:b/>
                <w:bCs/>
                <w:sz w:val="22"/>
                <w:szCs w:val="22"/>
              </w:rPr>
            </w:pPr>
            <w:r w:rsidRPr="00361EBF">
              <w:rPr>
                <w:rFonts w:asciiTheme="majorHAnsi" w:hAnsiTheme="majorHAnsi" w:cs="Arial"/>
                <w:b/>
                <w:bCs/>
                <w:sz w:val="22"/>
                <w:szCs w:val="22"/>
              </w:rPr>
              <w:t>49</w:t>
            </w:r>
            <w:r w:rsidR="00AD7844" w:rsidRPr="00361EBF">
              <w:rPr>
                <w:rFonts w:asciiTheme="majorHAnsi" w:hAnsiTheme="majorHAnsi" w:cs="Arial"/>
                <w:b/>
                <w:bCs/>
                <w:sz w:val="22"/>
                <w:szCs w:val="22"/>
              </w:rPr>
              <w:t>.</w:t>
            </w:r>
            <w:r w:rsidRPr="00361EBF">
              <w:rPr>
                <w:rFonts w:asciiTheme="majorHAnsi" w:hAnsiTheme="majorHAnsi" w:cs="Arial"/>
                <w:b/>
                <w:bCs/>
                <w:sz w:val="22"/>
                <w:szCs w:val="22"/>
              </w:rPr>
              <w:t>6</w:t>
            </w:r>
            <w:r w:rsidR="00AD7844" w:rsidRPr="00361EBF">
              <w:rPr>
                <w:rFonts w:asciiTheme="majorHAnsi" w:hAnsiTheme="majorHAnsi" w:cs="Arial"/>
                <w:b/>
                <w:bCs/>
                <w:sz w:val="22"/>
                <w:szCs w:val="22"/>
              </w:rPr>
              <w:t>6</w:t>
            </w:r>
          </w:p>
        </w:tc>
        <w:tc>
          <w:tcPr>
            <w:tcW w:w="1880" w:type="dxa"/>
            <w:tcBorders>
              <w:top w:val="nil"/>
              <w:left w:val="nil"/>
              <w:bottom w:val="single" w:sz="4" w:space="0" w:color="auto"/>
              <w:right w:val="single" w:sz="4" w:space="0" w:color="auto"/>
            </w:tcBorders>
            <w:noWrap/>
            <w:vAlign w:val="center"/>
            <w:hideMark/>
          </w:tcPr>
          <w:p w14:paraId="6B348564" w14:textId="50B308E4" w:rsidR="0091470F" w:rsidRPr="00361EBF" w:rsidRDefault="0091470F">
            <w:pPr>
              <w:jc w:val="center"/>
              <w:rPr>
                <w:rFonts w:asciiTheme="majorHAnsi" w:hAnsiTheme="majorHAnsi" w:cs="Arial"/>
                <w:b/>
                <w:bCs/>
                <w:sz w:val="22"/>
                <w:szCs w:val="22"/>
              </w:rPr>
            </w:pPr>
            <w:r w:rsidRPr="00361EBF">
              <w:rPr>
                <w:rFonts w:asciiTheme="majorHAnsi" w:hAnsiTheme="majorHAnsi" w:cs="Arial"/>
                <w:b/>
                <w:bCs/>
                <w:sz w:val="22"/>
                <w:szCs w:val="22"/>
              </w:rPr>
              <w:t>58</w:t>
            </w:r>
            <w:r w:rsidR="00AD7844" w:rsidRPr="00361EBF">
              <w:rPr>
                <w:rFonts w:asciiTheme="majorHAnsi" w:hAnsiTheme="majorHAnsi" w:cs="Arial"/>
                <w:b/>
                <w:bCs/>
                <w:sz w:val="22"/>
                <w:szCs w:val="22"/>
              </w:rPr>
              <w:t>.</w:t>
            </w:r>
            <w:r w:rsidRPr="00361EBF">
              <w:rPr>
                <w:rFonts w:asciiTheme="majorHAnsi" w:hAnsiTheme="majorHAnsi" w:cs="Arial"/>
                <w:b/>
                <w:bCs/>
                <w:sz w:val="22"/>
                <w:szCs w:val="22"/>
              </w:rPr>
              <w:t>82</w:t>
            </w:r>
          </w:p>
        </w:tc>
      </w:tr>
    </w:tbl>
    <w:p w14:paraId="039BC47E" w14:textId="0D6AF11A" w:rsidR="00412F59" w:rsidRPr="008E6D2C" w:rsidRDefault="00AD7844" w:rsidP="00412F59">
      <w:pPr>
        <w:spacing w:beforeLines="100" w:before="240" w:afterLines="100" w:after="240" w:line="360" w:lineRule="auto"/>
        <w:jc w:val="both"/>
        <w:rPr>
          <w:rFonts w:asciiTheme="majorHAnsi" w:hAnsiTheme="majorHAnsi"/>
        </w:rPr>
      </w:pPr>
      <w:r>
        <w:rPr>
          <w:rFonts w:asciiTheme="majorHAnsi" w:hAnsiTheme="majorHAnsi"/>
        </w:rPr>
        <w:t xml:space="preserve">As can be seen from the above table, the Licensee </w:t>
      </w:r>
      <w:r w:rsidRPr="00F17F51">
        <w:rPr>
          <w:rFonts w:asciiTheme="majorHAnsi" w:hAnsiTheme="majorHAnsi"/>
          <w:b/>
          <w:bCs/>
        </w:rPr>
        <w:t xml:space="preserve">is proposing Return on Equity of Rs. </w:t>
      </w:r>
      <w:r w:rsidR="00F17F51" w:rsidRPr="00F17F51">
        <w:rPr>
          <w:rFonts w:asciiTheme="majorHAnsi" w:hAnsiTheme="majorHAnsi"/>
          <w:b/>
          <w:bCs/>
        </w:rPr>
        <w:t>174.89 Cr. on a normative basis for FY 26-27</w:t>
      </w:r>
      <w:r w:rsidR="00F17F51">
        <w:rPr>
          <w:rFonts w:asciiTheme="majorHAnsi" w:hAnsiTheme="majorHAnsi"/>
        </w:rPr>
        <w:t>.</w:t>
      </w:r>
    </w:p>
    <w:p w14:paraId="6E30794E" w14:textId="43989E77" w:rsidR="008E6D2C" w:rsidRPr="00904B4F" w:rsidRDefault="008E6D2C" w:rsidP="00172F52">
      <w:pPr>
        <w:pStyle w:val="Heading2"/>
        <w:numPr>
          <w:ilvl w:val="1"/>
          <w:numId w:val="1"/>
        </w:numPr>
        <w:shd w:val="clear" w:color="auto" w:fill="002060"/>
        <w:tabs>
          <w:tab w:val="clear" w:pos="432"/>
          <w:tab w:val="num" w:pos="426"/>
        </w:tabs>
        <w:ind w:hanging="574"/>
        <w:rPr>
          <w:rFonts w:asciiTheme="majorHAnsi" w:hAnsiTheme="majorHAnsi"/>
          <w:i w:val="0"/>
          <w:iCs w:val="0"/>
          <w:sz w:val="24"/>
          <w:szCs w:val="24"/>
        </w:rPr>
      </w:pPr>
      <w:bookmarkStart w:id="81" w:name="_Toc183204719"/>
      <w:bookmarkStart w:id="82" w:name="_Toc215250627"/>
      <w:r w:rsidRPr="00904B4F">
        <w:rPr>
          <w:rFonts w:asciiTheme="majorHAnsi" w:hAnsiTheme="majorHAnsi"/>
          <w:i w:val="0"/>
          <w:iCs w:val="0"/>
          <w:sz w:val="24"/>
          <w:szCs w:val="24"/>
        </w:rPr>
        <w:t>Carrying Cost</w:t>
      </w:r>
      <w:bookmarkEnd w:id="81"/>
      <w:r w:rsidR="00B862AD">
        <w:rPr>
          <w:rFonts w:asciiTheme="majorHAnsi" w:hAnsiTheme="majorHAnsi"/>
          <w:i w:val="0"/>
          <w:iCs w:val="0"/>
          <w:sz w:val="24"/>
          <w:szCs w:val="24"/>
        </w:rPr>
        <w:t xml:space="preserve"> on ASL</w:t>
      </w:r>
      <w:bookmarkEnd w:id="82"/>
    </w:p>
    <w:p w14:paraId="39FA11EF" w14:textId="0D4F4529" w:rsidR="00B862AD" w:rsidRPr="00C542C8" w:rsidRDefault="007914B3" w:rsidP="00B862AD">
      <w:pPr>
        <w:autoSpaceDE w:val="0"/>
        <w:autoSpaceDN w:val="0"/>
        <w:adjustRightInd w:val="0"/>
        <w:spacing w:beforeLines="100" w:before="240" w:afterLines="100" w:after="240" w:line="360" w:lineRule="auto"/>
        <w:jc w:val="both"/>
        <w:rPr>
          <w:rFonts w:ascii="Cambria" w:hAnsi="Cambria"/>
          <w:highlight w:val="yellow"/>
        </w:rPr>
      </w:pPr>
      <w:r>
        <w:rPr>
          <w:rFonts w:ascii="Cambria" w:hAnsi="Cambria"/>
        </w:rPr>
        <w:t>As per terms of Vesting Order, the Licensee has to ensure payment of past period liabilities transferred as ASL. Accordingly, t</w:t>
      </w:r>
      <w:r w:rsidR="00B862AD" w:rsidRPr="00B862AD">
        <w:rPr>
          <w:rFonts w:ascii="Cambria" w:hAnsi="Cambria"/>
        </w:rPr>
        <w:t>he Licensee</w:t>
      </w:r>
      <w:r>
        <w:rPr>
          <w:rFonts w:ascii="Cambria" w:hAnsi="Cambria"/>
        </w:rPr>
        <w:t xml:space="preserve"> is making payment towards ASL periodically as and when </w:t>
      </w:r>
      <w:r w:rsidRPr="00F17F51">
        <w:rPr>
          <w:rFonts w:ascii="Cambria" w:hAnsi="Cambria"/>
        </w:rPr>
        <w:t xml:space="preserve">claimed by the parties. As there </w:t>
      </w:r>
      <w:proofErr w:type="gramStart"/>
      <w:r w:rsidRPr="00F17F51">
        <w:rPr>
          <w:rFonts w:ascii="Cambria" w:hAnsi="Cambria"/>
        </w:rPr>
        <w:t>was</w:t>
      </w:r>
      <w:proofErr w:type="gramEnd"/>
      <w:r w:rsidRPr="00F17F51">
        <w:rPr>
          <w:rFonts w:ascii="Cambria" w:hAnsi="Cambria"/>
        </w:rPr>
        <w:t xml:space="preserve"> no such equivalent matching current assets the ASL amount paid through </w:t>
      </w:r>
      <w:r w:rsidR="00681DE8" w:rsidRPr="00F17F51">
        <w:rPr>
          <w:rFonts w:ascii="Cambria" w:hAnsi="Cambria"/>
        </w:rPr>
        <w:t>borrowing,</w:t>
      </w:r>
      <w:r w:rsidRPr="00F17F51">
        <w:rPr>
          <w:rFonts w:ascii="Cambria" w:hAnsi="Cambria"/>
        </w:rPr>
        <w:t xml:space="preserve"> for which the related</w:t>
      </w:r>
      <w:r w:rsidR="00B862AD" w:rsidRPr="00F17F51">
        <w:rPr>
          <w:rFonts w:ascii="Cambria" w:hAnsi="Cambria"/>
        </w:rPr>
        <w:t xml:space="preserve"> carrying cost on Additional serviceable liabilities (ASL) amounting to </w:t>
      </w:r>
      <w:r w:rsidR="00B862AD" w:rsidRPr="00F17F51">
        <w:rPr>
          <w:rFonts w:ascii="Cambria" w:hAnsi="Cambria"/>
          <w:b/>
        </w:rPr>
        <w:t xml:space="preserve">Rs. </w:t>
      </w:r>
      <w:r w:rsidR="009A5DB0">
        <w:rPr>
          <w:rFonts w:ascii="Cambria" w:hAnsi="Cambria"/>
          <w:b/>
        </w:rPr>
        <w:t xml:space="preserve">6.94 Cr. &amp; Rs. 7.07 </w:t>
      </w:r>
      <w:r w:rsidR="00B862AD" w:rsidRPr="00F17F51">
        <w:rPr>
          <w:rFonts w:ascii="Cambria" w:hAnsi="Cambria"/>
          <w:b/>
        </w:rPr>
        <w:t>Cr.</w:t>
      </w:r>
      <w:r w:rsidR="00B862AD" w:rsidRPr="00F17F51">
        <w:rPr>
          <w:rFonts w:ascii="Cambria" w:hAnsi="Cambria"/>
        </w:rPr>
        <w:t xml:space="preserve"> for FY 2</w:t>
      </w:r>
      <w:r w:rsidR="00F17F51" w:rsidRPr="00F17F51">
        <w:rPr>
          <w:rFonts w:ascii="Cambria" w:hAnsi="Cambria"/>
        </w:rPr>
        <w:t>5</w:t>
      </w:r>
      <w:r w:rsidR="00B862AD" w:rsidRPr="00F17F51">
        <w:rPr>
          <w:rFonts w:ascii="Cambria" w:hAnsi="Cambria"/>
        </w:rPr>
        <w:t>-2</w:t>
      </w:r>
      <w:r w:rsidR="00F17F51" w:rsidRPr="00F17F51">
        <w:rPr>
          <w:rFonts w:ascii="Cambria" w:hAnsi="Cambria"/>
        </w:rPr>
        <w:t>6</w:t>
      </w:r>
      <w:r w:rsidR="00B862AD" w:rsidRPr="00F17F51">
        <w:rPr>
          <w:rFonts w:ascii="Cambria" w:hAnsi="Cambria"/>
        </w:rPr>
        <w:t xml:space="preserve"> &amp; FY </w:t>
      </w:r>
      <w:r w:rsidR="007507C7" w:rsidRPr="00F17F51">
        <w:rPr>
          <w:rFonts w:ascii="Cambria" w:hAnsi="Cambria"/>
        </w:rPr>
        <w:t>26-27</w:t>
      </w:r>
      <w:r w:rsidR="00B862AD" w:rsidRPr="00F17F51">
        <w:rPr>
          <w:rFonts w:ascii="Cambria" w:hAnsi="Cambria"/>
        </w:rPr>
        <w:t xml:space="preserve"> </w:t>
      </w:r>
      <w:r w:rsidR="009A5DB0">
        <w:rPr>
          <w:rFonts w:ascii="Cambria" w:hAnsi="Cambria"/>
        </w:rPr>
        <w:t xml:space="preserve">respectively </w:t>
      </w:r>
      <w:r w:rsidR="00B862AD" w:rsidRPr="00F17F51">
        <w:rPr>
          <w:rFonts w:ascii="Cambria" w:hAnsi="Cambria"/>
        </w:rPr>
        <w:t>which has been claimed by the Licensee as under:</w:t>
      </w:r>
    </w:p>
    <w:tbl>
      <w:tblPr>
        <w:tblStyle w:val="TableGrid"/>
        <w:tblW w:w="0" w:type="auto"/>
        <w:jc w:val="center"/>
        <w:tblLook w:val="04A0" w:firstRow="1" w:lastRow="0" w:firstColumn="1" w:lastColumn="0" w:noHBand="0" w:noVBand="1"/>
      </w:tblPr>
      <w:tblGrid>
        <w:gridCol w:w="2548"/>
        <w:gridCol w:w="2172"/>
        <w:gridCol w:w="2328"/>
      </w:tblGrid>
      <w:tr w:rsidR="00B862AD" w:rsidRPr="00F17F51" w14:paraId="14712A62" w14:textId="73E35996" w:rsidTr="009C4BF0">
        <w:trPr>
          <w:trHeight w:val="231"/>
          <w:jc w:val="center"/>
        </w:trPr>
        <w:tc>
          <w:tcPr>
            <w:tcW w:w="2548" w:type="dxa"/>
            <w:shd w:val="clear" w:color="auto" w:fill="DBE5F1" w:themeFill="accent1" w:themeFillTint="33"/>
            <w:vAlign w:val="center"/>
          </w:tcPr>
          <w:p w14:paraId="498EC90D" w14:textId="77777777" w:rsidR="00B862AD" w:rsidRPr="00F17F51" w:rsidRDefault="00B862AD" w:rsidP="00713B6D">
            <w:pPr>
              <w:pStyle w:val="ListParagraph"/>
              <w:autoSpaceDE w:val="0"/>
              <w:autoSpaceDN w:val="0"/>
              <w:adjustRightInd w:val="0"/>
              <w:spacing w:after="0" w:line="240" w:lineRule="auto"/>
              <w:ind w:left="0"/>
              <w:rPr>
                <w:rFonts w:ascii="Cambria" w:hAnsi="Cambria"/>
                <w:b/>
                <w:bCs/>
              </w:rPr>
            </w:pPr>
            <w:r w:rsidRPr="00F17F51">
              <w:rPr>
                <w:rFonts w:ascii="Cambria" w:hAnsi="Cambria"/>
                <w:b/>
                <w:bCs/>
              </w:rPr>
              <w:t>Particulars</w:t>
            </w:r>
          </w:p>
        </w:tc>
        <w:tc>
          <w:tcPr>
            <w:tcW w:w="2172" w:type="dxa"/>
            <w:shd w:val="clear" w:color="auto" w:fill="DBE5F1" w:themeFill="accent1" w:themeFillTint="33"/>
            <w:vAlign w:val="center"/>
          </w:tcPr>
          <w:p w14:paraId="4667BAAC" w14:textId="5FDD4596" w:rsidR="00B862AD" w:rsidRPr="00F17F51" w:rsidRDefault="00B862AD" w:rsidP="00B862AD">
            <w:pPr>
              <w:pStyle w:val="ListParagraph"/>
              <w:autoSpaceDE w:val="0"/>
              <w:autoSpaceDN w:val="0"/>
              <w:adjustRightInd w:val="0"/>
              <w:spacing w:after="0" w:line="240" w:lineRule="auto"/>
              <w:ind w:left="0"/>
              <w:jc w:val="center"/>
              <w:rPr>
                <w:rFonts w:ascii="Cambria" w:hAnsi="Cambria"/>
                <w:b/>
                <w:bCs/>
              </w:rPr>
            </w:pPr>
            <w:r w:rsidRPr="00F17F51">
              <w:rPr>
                <w:rFonts w:ascii="Cambria" w:hAnsi="Cambria"/>
                <w:b/>
                <w:bCs/>
              </w:rPr>
              <w:t>FY 2</w:t>
            </w:r>
            <w:r w:rsidR="00F17F51" w:rsidRPr="00F17F51">
              <w:rPr>
                <w:rFonts w:ascii="Cambria" w:hAnsi="Cambria"/>
                <w:b/>
                <w:bCs/>
              </w:rPr>
              <w:t>5</w:t>
            </w:r>
            <w:r w:rsidRPr="00F17F51">
              <w:rPr>
                <w:rFonts w:ascii="Cambria" w:hAnsi="Cambria"/>
                <w:b/>
                <w:bCs/>
              </w:rPr>
              <w:t>-2</w:t>
            </w:r>
            <w:r w:rsidR="00F17F51" w:rsidRPr="00F17F51">
              <w:rPr>
                <w:rFonts w:ascii="Cambria" w:hAnsi="Cambria"/>
                <w:b/>
                <w:bCs/>
              </w:rPr>
              <w:t>6</w:t>
            </w:r>
            <w:r w:rsidRPr="00F17F51">
              <w:rPr>
                <w:rFonts w:ascii="Cambria" w:hAnsi="Cambria"/>
                <w:b/>
                <w:bCs/>
              </w:rPr>
              <w:t xml:space="preserve"> (Rs. Cr.)</w:t>
            </w:r>
          </w:p>
        </w:tc>
        <w:tc>
          <w:tcPr>
            <w:tcW w:w="2328" w:type="dxa"/>
            <w:shd w:val="clear" w:color="auto" w:fill="DBE5F1" w:themeFill="accent1" w:themeFillTint="33"/>
          </w:tcPr>
          <w:p w14:paraId="73F0B7B7" w14:textId="01B4A1FA" w:rsidR="00B862AD" w:rsidRPr="00F17F51" w:rsidRDefault="00B862AD" w:rsidP="00713B6D">
            <w:pPr>
              <w:pStyle w:val="ListParagraph"/>
              <w:autoSpaceDE w:val="0"/>
              <w:autoSpaceDN w:val="0"/>
              <w:adjustRightInd w:val="0"/>
              <w:spacing w:after="0" w:line="240" w:lineRule="auto"/>
              <w:ind w:left="0"/>
              <w:jc w:val="center"/>
              <w:rPr>
                <w:rFonts w:ascii="Cambria" w:hAnsi="Cambria"/>
                <w:b/>
                <w:bCs/>
              </w:rPr>
            </w:pPr>
            <w:r w:rsidRPr="00F17F51">
              <w:rPr>
                <w:rFonts w:ascii="Cambria" w:hAnsi="Cambria"/>
                <w:b/>
                <w:bCs/>
              </w:rPr>
              <w:t xml:space="preserve">FY </w:t>
            </w:r>
            <w:r w:rsidR="007507C7" w:rsidRPr="00F17F51">
              <w:rPr>
                <w:rFonts w:ascii="Cambria" w:hAnsi="Cambria"/>
                <w:b/>
                <w:bCs/>
              </w:rPr>
              <w:t>26-27</w:t>
            </w:r>
            <w:r w:rsidRPr="00F17F51">
              <w:rPr>
                <w:rFonts w:ascii="Cambria" w:hAnsi="Cambria"/>
                <w:b/>
                <w:bCs/>
              </w:rPr>
              <w:t xml:space="preserve"> (Rs. Cr.)</w:t>
            </w:r>
          </w:p>
        </w:tc>
      </w:tr>
      <w:tr w:rsidR="008F03B4" w:rsidRPr="00F17F51" w14:paraId="2C83D9BB" w14:textId="12BF6308" w:rsidTr="009C4BF0">
        <w:trPr>
          <w:trHeight w:val="220"/>
          <w:jc w:val="center"/>
        </w:trPr>
        <w:tc>
          <w:tcPr>
            <w:tcW w:w="2548" w:type="dxa"/>
            <w:vAlign w:val="center"/>
          </w:tcPr>
          <w:p w14:paraId="5473B988" w14:textId="77777777" w:rsidR="008F03B4" w:rsidRPr="00F17F51" w:rsidRDefault="008F03B4" w:rsidP="008F03B4">
            <w:pPr>
              <w:pStyle w:val="ListParagraph"/>
              <w:autoSpaceDE w:val="0"/>
              <w:autoSpaceDN w:val="0"/>
              <w:adjustRightInd w:val="0"/>
              <w:spacing w:after="0" w:line="240" w:lineRule="auto"/>
              <w:ind w:left="0"/>
              <w:rPr>
                <w:rFonts w:ascii="Cambria" w:hAnsi="Cambria"/>
              </w:rPr>
            </w:pPr>
            <w:r w:rsidRPr="00F17F51">
              <w:rPr>
                <w:rFonts w:ascii="Cambria" w:hAnsi="Cambria"/>
              </w:rPr>
              <w:t xml:space="preserve">Opening ASL </w:t>
            </w:r>
          </w:p>
        </w:tc>
        <w:tc>
          <w:tcPr>
            <w:tcW w:w="2172" w:type="dxa"/>
            <w:vAlign w:val="center"/>
          </w:tcPr>
          <w:p w14:paraId="76A17EA1" w14:textId="694AC61F" w:rsidR="008F03B4" w:rsidRPr="00F17F51" w:rsidRDefault="008F03B4" w:rsidP="008F03B4">
            <w:pPr>
              <w:pStyle w:val="ListParagraph"/>
              <w:autoSpaceDE w:val="0"/>
              <w:autoSpaceDN w:val="0"/>
              <w:adjustRightInd w:val="0"/>
              <w:spacing w:after="0" w:line="240" w:lineRule="auto"/>
              <w:ind w:left="0"/>
              <w:jc w:val="center"/>
              <w:rPr>
                <w:rFonts w:ascii="Cambria" w:hAnsi="Cambria"/>
              </w:rPr>
            </w:pPr>
            <w:r>
              <w:rPr>
                <w:rFonts w:ascii="Cambria" w:hAnsi="Cambria"/>
              </w:rPr>
              <w:t>90.90</w:t>
            </w:r>
          </w:p>
        </w:tc>
        <w:tc>
          <w:tcPr>
            <w:tcW w:w="2328" w:type="dxa"/>
            <w:vAlign w:val="center"/>
          </w:tcPr>
          <w:p w14:paraId="5346E0E7" w14:textId="2E68CD73" w:rsidR="008F03B4" w:rsidRPr="00F17F51" w:rsidRDefault="008F03B4" w:rsidP="008F03B4">
            <w:pPr>
              <w:pStyle w:val="ListParagraph"/>
              <w:autoSpaceDE w:val="0"/>
              <w:autoSpaceDN w:val="0"/>
              <w:adjustRightInd w:val="0"/>
              <w:spacing w:after="0" w:line="240" w:lineRule="auto"/>
              <w:ind w:left="0"/>
              <w:jc w:val="center"/>
              <w:rPr>
                <w:rFonts w:ascii="Cambria" w:hAnsi="Cambria"/>
              </w:rPr>
            </w:pPr>
            <w:r>
              <w:rPr>
                <w:rFonts w:ascii="Cambria" w:hAnsi="Cambria"/>
              </w:rPr>
              <w:t>90.90</w:t>
            </w:r>
          </w:p>
        </w:tc>
      </w:tr>
      <w:tr w:rsidR="008F03B4" w:rsidRPr="00F17F51" w14:paraId="52D8A5C2" w14:textId="7E4CD80A" w:rsidTr="009C4BF0">
        <w:trPr>
          <w:trHeight w:val="254"/>
          <w:jc w:val="center"/>
        </w:trPr>
        <w:tc>
          <w:tcPr>
            <w:tcW w:w="2548" w:type="dxa"/>
            <w:vAlign w:val="center"/>
          </w:tcPr>
          <w:p w14:paraId="59449C7F" w14:textId="7CD2D510" w:rsidR="008F03B4" w:rsidRPr="00F17F51" w:rsidRDefault="008F03B4" w:rsidP="008F03B4">
            <w:pPr>
              <w:pStyle w:val="ListParagraph"/>
              <w:autoSpaceDE w:val="0"/>
              <w:autoSpaceDN w:val="0"/>
              <w:adjustRightInd w:val="0"/>
              <w:spacing w:after="0" w:line="240" w:lineRule="auto"/>
              <w:ind w:left="0"/>
              <w:rPr>
                <w:rFonts w:ascii="Cambria" w:hAnsi="Cambria"/>
              </w:rPr>
            </w:pPr>
            <w:r>
              <w:rPr>
                <w:rFonts w:ascii="Cambria" w:hAnsi="Cambria"/>
              </w:rPr>
              <w:t>ASL</w:t>
            </w:r>
            <w:r w:rsidRPr="00F17F51">
              <w:rPr>
                <w:rFonts w:ascii="Cambria" w:hAnsi="Cambria"/>
              </w:rPr>
              <w:t xml:space="preserve"> during the year</w:t>
            </w:r>
          </w:p>
        </w:tc>
        <w:tc>
          <w:tcPr>
            <w:tcW w:w="2172" w:type="dxa"/>
            <w:vAlign w:val="center"/>
          </w:tcPr>
          <w:p w14:paraId="38348B81" w14:textId="6D1DFC01" w:rsidR="008F03B4" w:rsidRPr="00F17F51" w:rsidRDefault="008F03B4" w:rsidP="008F03B4">
            <w:pPr>
              <w:pStyle w:val="ListParagraph"/>
              <w:autoSpaceDE w:val="0"/>
              <w:autoSpaceDN w:val="0"/>
              <w:adjustRightInd w:val="0"/>
              <w:spacing w:after="0" w:line="240" w:lineRule="auto"/>
              <w:ind w:left="0"/>
              <w:jc w:val="center"/>
              <w:rPr>
                <w:rFonts w:ascii="Cambria" w:hAnsi="Cambria"/>
              </w:rPr>
            </w:pPr>
            <w:r>
              <w:rPr>
                <w:rFonts w:ascii="Cambria" w:hAnsi="Cambria"/>
              </w:rPr>
              <w:t>0</w:t>
            </w:r>
          </w:p>
        </w:tc>
        <w:tc>
          <w:tcPr>
            <w:tcW w:w="2328" w:type="dxa"/>
            <w:vAlign w:val="center"/>
          </w:tcPr>
          <w:p w14:paraId="6509040C" w14:textId="2D792497" w:rsidR="008F03B4" w:rsidRPr="00F17F51" w:rsidRDefault="008F03B4" w:rsidP="008F03B4">
            <w:pPr>
              <w:pStyle w:val="ListParagraph"/>
              <w:autoSpaceDE w:val="0"/>
              <w:autoSpaceDN w:val="0"/>
              <w:adjustRightInd w:val="0"/>
              <w:spacing w:after="0" w:line="240" w:lineRule="auto"/>
              <w:ind w:left="0"/>
              <w:jc w:val="center"/>
              <w:rPr>
                <w:rFonts w:ascii="Cambria" w:hAnsi="Cambria"/>
              </w:rPr>
            </w:pPr>
            <w:r>
              <w:rPr>
                <w:rFonts w:ascii="Cambria" w:hAnsi="Cambria"/>
              </w:rPr>
              <w:t>0</w:t>
            </w:r>
          </w:p>
        </w:tc>
      </w:tr>
      <w:tr w:rsidR="008F03B4" w:rsidRPr="00F17F51" w14:paraId="79E00A9F" w14:textId="147F279D" w:rsidTr="009C4BF0">
        <w:trPr>
          <w:trHeight w:val="231"/>
          <w:jc w:val="center"/>
        </w:trPr>
        <w:tc>
          <w:tcPr>
            <w:tcW w:w="2548" w:type="dxa"/>
            <w:vAlign w:val="center"/>
          </w:tcPr>
          <w:p w14:paraId="5C5BF1C5" w14:textId="77777777" w:rsidR="008F03B4" w:rsidRPr="00F17F51" w:rsidRDefault="008F03B4" w:rsidP="008F03B4">
            <w:pPr>
              <w:pStyle w:val="ListParagraph"/>
              <w:autoSpaceDE w:val="0"/>
              <w:autoSpaceDN w:val="0"/>
              <w:adjustRightInd w:val="0"/>
              <w:spacing w:after="0" w:line="240" w:lineRule="auto"/>
              <w:ind w:left="0"/>
              <w:rPr>
                <w:rFonts w:ascii="Cambria" w:hAnsi="Cambria"/>
              </w:rPr>
            </w:pPr>
            <w:r w:rsidRPr="00F17F51">
              <w:rPr>
                <w:rFonts w:ascii="Cambria" w:hAnsi="Cambria"/>
              </w:rPr>
              <w:t>Closing ASL</w:t>
            </w:r>
          </w:p>
        </w:tc>
        <w:tc>
          <w:tcPr>
            <w:tcW w:w="2172" w:type="dxa"/>
            <w:vAlign w:val="center"/>
          </w:tcPr>
          <w:p w14:paraId="4E56FACB" w14:textId="198AC0F3" w:rsidR="008F03B4" w:rsidRPr="00F17F51" w:rsidRDefault="008F03B4" w:rsidP="008F03B4">
            <w:pPr>
              <w:pStyle w:val="ListParagraph"/>
              <w:autoSpaceDE w:val="0"/>
              <w:autoSpaceDN w:val="0"/>
              <w:adjustRightInd w:val="0"/>
              <w:spacing w:after="0" w:line="240" w:lineRule="auto"/>
              <w:ind w:left="0"/>
              <w:jc w:val="center"/>
              <w:rPr>
                <w:rFonts w:ascii="Cambria" w:hAnsi="Cambria"/>
              </w:rPr>
            </w:pPr>
            <w:r>
              <w:rPr>
                <w:rFonts w:ascii="Cambria" w:hAnsi="Cambria"/>
              </w:rPr>
              <w:t>90.90</w:t>
            </w:r>
          </w:p>
        </w:tc>
        <w:tc>
          <w:tcPr>
            <w:tcW w:w="2328" w:type="dxa"/>
            <w:vAlign w:val="center"/>
          </w:tcPr>
          <w:p w14:paraId="6D1F7FF5" w14:textId="3A25DC5B" w:rsidR="008F03B4" w:rsidRPr="00F17F51" w:rsidRDefault="008F03B4" w:rsidP="008F03B4">
            <w:pPr>
              <w:pStyle w:val="ListParagraph"/>
              <w:autoSpaceDE w:val="0"/>
              <w:autoSpaceDN w:val="0"/>
              <w:adjustRightInd w:val="0"/>
              <w:spacing w:after="0" w:line="240" w:lineRule="auto"/>
              <w:ind w:left="0"/>
              <w:jc w:val="center"/>
              <w:rPr>
                <w:rFonts w:ascii="Cambria" w:hAnsi="Cambria"/>
              </w:rPr>
            </w:pPr>
            <w:r>
              <w:rPr>
                <w:rFonts w:ascii="Cambria" w:hAnsi="Cambria"/>
              </w:rPr>
              <w:t>90.90</w:t>
            </w:r>
          </w:p>
        </w:tc>
      </w:tr>
      <w:tr w:rsidR="008F03B4" w:rsidRPr="00F17F51" w14:paraId="080D8E53" w14:textId="5A4F06AE" w:rsidTr="001F21DF">
        <w:trPr>
          <w:trHeight w:val="231"/>
          <w:jc w:val="center"/>
        </w:trPr>
        <w:tc>
          <w:tcPr>
            <w:tcW w:w="2548" w:type="dxa"/>
            <w:vAlign w:val="center"/>
          </w:tcPr>
          <w:p w14:paraId="23045D8A" w14:textId="77777777" w:rsidR="008F03B4" w:rsidRPr="00F17F51" w:rsidRDefault="008F03B4" w:rsidP="008F03B4">
            <w:pPr>
              <w:pStyle w:val="ListParagraph"/>
              <w:autoSpaceDE w:val="0"/>
              <w:autoSpaceDN w:val="0"/>
              <w:adjustRightInd w:val="0"/>
              <w:spacing w:after="0" w:line="240" w:lineRule="auto"/>
              <w:ind w:left="0"/>
              <w:rPr>
                <w:rFonts w:ascii="Cambria" w:hAnsi="Cambria"/>
              </w:rPr>
            </w:pPr>
            <w:r w:rsidRPr="00F17F51">
              <w:rPr>
                <w:rFonts w:ascii="Cambria" w:hAnsi="Cambria"/>
              </w:rPr>
              <w:t xml:space="preserve">Rate </w:t>
            </w:r>
          </w:p>
        </w:tc>
        <w:tc>
          <w:tcPr>
            <w:tcW w:w="2172" w:type="dxa"/>
            <w:vAlign w:val="center"/>
          </w:tcPr>
          <w:p w14:paraId="798540A2" w14:textId="7A270724" w:rsidR="008F03B4" w:rsidRPr="00F17F51" w:rsidRDefault="009A5DB0" w:rsidP="008F03B4">
            <w:pPr>
              <w:pStyle w:val="ListParagraph"/>
              <w:autoSpaceDE w:val="0"/>
              <w:autoSpaceDN w:val="0"/>
              <w:adjustRightInd w:val="0"/>
              <w:spacing w:after="0" w:line="240" w:lineRule="auto"/>
              <w:ind w:left="0"/>
              <w:jc w:val="center"/>
              <w:rPr>
                <w:rFonts w:ascii="Cambria" w:hAnsi="Cambria"/>
              </w:rPr>
            </w:pPr>
            <w:r>
              <w:rPr>
                <w:rFonts w:ascii="Cambria" w:hAnsi="Cambria"/>
              </w:rPr>
              <w:t>7.63</w:t>
            </w:r>
            <w:r w:rsidR="008F03B4">
              <w:rPr>
                <w:rFonts w:ascii="Cambria" w:hAnsi="Cambria"/>
              </w:rPr>
              <w:t>%</w:t>
            </w:r>
          </w:p>
        </w:tc>
        <w:tc>
          <w:tcPr>
            <w:tcW w:w="2328" w:type="dxa"/>
            <w:vAlign w:val="center"/>
          </w:tcPr>
          <w:p w14:paraId="24C026AA" w14:textId="32500C46" w:rsidR="008F03B4" w:rsidRPr="00F17F51" w:rsidRDefault="009A5DB0" w:rsidP="008F03B4">
            <w:pPr>
              <w:pStyle w:val="ListParagraph"/>
              <w:autoSpaceDE w:val="0"/>
              <w:autoSpaceDN w:val="0"/>
              <w:adjustRightInd w:val="0"/>
              <w:spacing w:after="0" w:line="240" w:lineRule="auto"/>
              <w:ind w:left="0"/>
              <w:jc w:val="center"/>
              <w:rPr>
                <w:rFonts w:ascii="Cambria" w:hAnsi="Cambria"/>
              </w:rPr>
            </w:pPr>
            <w:r>
              <w:rPr>
                <w:rFonts w:ascii="Cambria" w:hAnsi="Cambria"/>
              </w:rPr>
              <w:t>7.78</w:t>
            </w:r>
            <w:r w:rsidR="008F03B4">
              <w:rPr>
                <w:rFonts w:ascii="Cambria" w:hAnsi="Cambria"/>
              </w:rPr>
              <w:t>%</w:t>
            </w:r>
          </w:p>
        </w:tc>
      </w:tr>
      <w:tr w:rsidR="008F03B4" w:rsidRPr="009C4BF0" w14:paraId="4868328B" w14:textId="09FB7A49" w:rsidTr="001F21DF">
        <w:trPr>
          <w:trHeight w:val="220"/>
          <w:jc w:val="center"/>
        </w:trPr>
        <w:tc>
          <w:tcPr>
            <w:tcW w:w="2548" w:type="dxa"/>
            <w:shd w:val="clear" w:color="auto" w:fill="F2F2F2" w:themeFill="background1" w:themeFillShade="F2"/>
            <w:vAlign w:val="center"/>
          </w:tcPr>
          <w:p w14:paraId="0B19C937" w14:textId="77777777" w:rsidR="008F03B4" w:rsidRPr="00F17F51" w:rsidRDefault="008F03B4" w:rsidP="008F03B4">
            <w:pPr>
              <w:pStyle w:val="ListParagraph"/>
              <w:autoSpaceDE w:val="0"/>
              <w:autoSpaceDN w:val="0"/>
              <w:adjustRightInd w:val="0"/>
              <w:spacing w:after="0" w:line="240" w:lineRule="auto"/>
              <w:ind w:left="0"/>
              <w:rPr>
                <w:rFonts w:ascii="Cambria" w:hAnsi="Cambria"/>
                <w:b/>
                <w:bCs/>
              </w:rPr>
            </w:pPr>
            <w:r w:rsidRPr="00F17F51">
              <w:rPr>
                <w:rFonts w:ascii="Cambria" w:hAnsi="Cambria"/>
                <w:b/>
                <w:bCs/>
              </w:rPr>
              <w:t>Carrying Cost</w:t>
            </w:r>
          </w:p>
        </w:tc>
        <w:tc>
          <w:tcPr>
            <w:tcW w:w="2172" w:type="dxa"/>
            <w:shd w:val="clear" w:color="auto" w:fill="F2F2F2" w:themeFill="background1" w:themeFillShade="F2"/>
            <w:vAlign w:val="center"/>
          </w:tcPr>
          <w:p w14:paraId="77490C42" w14:textId="70797A76" w:rsidR="008F03B4" w:rsidRPr="00F17F51" w:rsidRDefault="009A5DB0" w:rsidP="008F03B4">
            <w:pPr>
              <w:pStyle w:val="ListParagraph"/>
              <w:autoSpaceDE w:val="0"/>
              <w:autoSpaceDN w:val="0"/>
              <w:adjustRightInd w:val="0"/>
              <w:spacing w:after="0" w:line="240" w:lineRule="auto"/>
              <w:ind w:left="0"/>
              <w:jc w:val="center"/>
              <w:rPr>
                <w:rFonts w:ascii="Cambria" w:hAnsi="Cambria"/>
                <w:b/>
                <w:bCs/>
              </w:rPr>
            </w:pPr>
            <w:r>
              <w:rPr>
                <w:rFonts w:ascii="Cambria" w:hAnsi="Cambria"/>
                <w:b/>
                <w:bCs/>
              </w:rPr>
              <w:t>6.94</w:t>
            </w:r>
          </w:p>
        </w:tc>
        <w:tc>
          <w:tcPr>
            <w:tcW w:w="2328" w:type="dxa"/>
            <w:shd w:val="clear" w:color="auto" w:fill="F2F2F2" w:themeFill="background1" w:themeFillShade="F2"/>
            <w:vAlign w:val="center"/>
          </w:tcPr>
          <w:p w14:paraId="0F8F0582" w14:textId="26A6D6B2" w:rsidR="008F03B4" w:rsidRPr="009C4BF0" w:rsidRDefault="009A5DB0" w:rsidP="008F03B4">
            <w:pPr>
              <w:pStyle w:val="ListParagraph"/>
              <w:autoSpaceDE w:val="0"/>
              <w:autoSpaceDN w:val="0"/>
              <w:adjustRightInd w:val="0"/>
              <w:spacing w:after="0" w:line="240" w:lineRule="auto"/>
              <w:ind w:left="0"/>
              <w:jc w:val="center"/>
              <w:rPr>
                <w:rFonts w:ascii="Cambria" w:hAnsi="Cambria"/>
                <w:b/>
                <w:bCs/>
              </w:rPr>
            </w:pPr>
            <w:r>
              <w:rPr>
                <w:rFonts w:ascii="Cambria" w:hAnsi="Cambria"/>
                <w:b/>
                <w:bCs/>
              </w:rPr>
              <w:t>7.07</w:t>
            </w:r>
          </w:p>
        </w:tc>
      </w:tr>
    </w:tbl>
    <w:p w14:paraId="4E12B91A" w14:textId="77777777" w:rsidR="00161B28" w:rsidRDefault="00161B28" w:rsidP="00161B28">
      <w:pPr>
        <w:rPr>
          <w:rFonts w:ascii="Cambria" w:hAnsi="Cambria" w:cs="Arial"/>
          <w:bCs/>
          <w:kern w:val="32"/>
        </w:rPr>
      </w:pPr>
      <w:bookmarkStart w:id="83" w:name="_Toc183204728"/>
    </w:p>
    <w:p w14:paraId="3114F47A" w14:textId="19F7AF74" w:rsidR="009A5DB0" w:rsidRDefault="00CC7CEC" w:rsidP="00161B28">
      <w:pPr>
        <w:spacing w:line="360" w:lineRule="auto"/>
        <w:jc w:val="both"/>
        <w:rPr>
          <w:rFonts w:ascii="Cambria" w:hAnsi="Cambria" w:cs="Arial"/>
          <w:b/>
          <w:bCs/>
          <w:kern w:val="32"/>
        </w:rPr>
      </w:pPr>
      <w:r w:rsidRPr="00CC7CEC">
        <w:rPr>
          <w:rFonts w:ascii="Cambria" w:hAnsi="Cambria" w:cs="Arial"/>
          <w:bCs/>
          <w:kern w:val="32"/>
        </w:rPr>
        <w:t xml:space="preserve">The Licensee has also considered transfer to Tariff Balancing Reserve amounting to </w:t>
      </w:r>
      <w:r w:rsidRPr="00CC7CEC">
        <w:rPr>
          <w:rFonts w:ascii="Cambria" w:hAnsi="Cambria" w:cs="Arial"/>
          <w:b/>
          <w:bCs/>
          <w:kern w:val="32"/>
        </w:rPr>
        <w:t>Rs. 10.75 Cr. for FY 25-26 &amp; Rs. 11.50 Cr. for FY 26-27</w:t>
      </w:r>
      <w:r w:rsidRPr="00CC7CEC">
        <w:rPr>
          <w:rFonts w:ascii="Cambria" w:hAnsi="Cambria" w:cs="Arial"/>
          <w:bCs/>
          <w:kern w:val="32"/>
        </w:rPr>
        <w:t xml:space="preserve"> which may please be considered by the Hon’ble Commission while approving ARR for FY 26-27</w:t>
      </w:r>
      <w:r>
        <w:rPr>
          <w:rFonts w:ascii="Cambria" w:hAnsi="Cambria" w:cs="Arial"/>
          <w:b/>
          <w:bCs/>
          <w:kern w:val="32"/>
        </w:rPr>
        <w:t>.</w:t>
      </w:r>
    </w:p>
    <w:p w14:paraId="7B008D28" w14:textId="0238E284" w:rsidR="00525A91" w:rsidRPr="000577DE" w:rsidRDefault="00525A91" w:rsidP="009024A6">
      <w:pPr>
        <w:pStyle w:val="Heading1"/>
        <w:numPr>
          <w:ilvl w:val="0"/>
          <w:numId w:val="1"/>
        </w:numPr>
        <w:shd w:val="clear" w:color="auto" w:fill="002060"/>
        <w:spacing w:line="360" w:lineRule="auto"/>
        <w:jc w:val="both"/>
        <w:rPr>
          <w:rFonts w:ascii="Cambria" w:hAnsi="Cambria"/>
          <w:sz w:val="24"/>
          <w:szCs w:val="24"/>
        </w:rPr>
      </w:pPr>
      <w:bookmarkStart w:id="84" w:name="_Toc215250628"/>
      <w:r w:rsidRPr="000577DE">
        <w:rPr>
          <w:rFonts w:ascii="Cambria" w:hAnsi="Cambria"/>
          <w:sz w:val="24"/>
          <w:szCs w:val="24"/>
        </w:rPr>
        <w:t>Capital Expenditure Program</w:t>
      </w:r>
      <w:bookmarkEnd w:id="83"/>
      <w:bookmarkEnd w:id="84"/>
    </w:p>
    <w:p w14:paraId="5F34388E" w14:textId="77777777" w:rsidR="00525A91" w:rsidRPr="00904B4F" w:rsidRDefault="00525A91" w:rsidP="001D18B0">
      <w:pPr>
        <w:pStyle w:val="Heading2"/>
        <w:numPr>
          <w:ilvl w:val="1"/>
          <w:numId w:val="1"/>
        </w:numPr>
        <w:spacing w:after="120"/>
        <w:ind w:left="426"/>
        <w:rPr>
          <w:rFonts w:asciiTheme="majorHAnsi" w:hAnsiTheme="majorHAnsi"/>
          <w:i w:val="0"/>
          <w:iCs w:val="0"/>
          <w:sz w:val="24"/>
          <w:szCs w:val="24"/>
        </w:rPr>
      </w:pPr>
      <w:bookmarkStart w:id="85" w:name="_Toc152180108"/>
      <w:bookmarkStart w:id="86" w:name="_Toc183204729"/>
      <w:bookmarkStart w:id="87" w:name="_Toc333649241"/>
      <w:bookmarkStart w:id="88" w:name="_Toc490315053"/>
      <w:bookmarkStart w:id="89" w:name="_Toc215250629"/>
      <w:r w:rsidRPr="00904B4F">
        <w:rPr>
          <w:rFonts w:asciiTheme="majorHAnsi" w:hAnsiTheme="majorHAnsi"/>
          <w:i w:val="0"/>
          <w:iCs w:val="0"/>
          <w:sz w:val="24"/>
          <w:szCs w:val="24"/>
        </w:rPr>
        <w:t>CAPEX for current year</w:t>
      </w:r>
      <w:bookmarkEnd w:id="85"/>
      <w:bookmarkEnd w:id="86"/>
      <w:bookmarkEnd w:id="89"/>
    </w:p>
    <w:p w14:paraId="3E85786F" w14:textId="4A8BEEEC" w:rsidR="00525A91" w:rsidRPr="00887DDD" w:rsidRDefault="00525A91" w:rsidP="00D07AAA">
      <w:pPr>
        <w:spacing w:after="120" w:line="360" w:lineRule="auto"/>
        <w:jc w:val="both"/>
        <w:rPr>
          <w:rFonts w:ascii="Cambria" w:hAnsi="Cambria" w:cs="Arial"/>
          <w:b/>
        </w:rPr>
      </w:pPr>
      <w:r w:rsidRPr="00887DDD">
        <w:rPr>
          <w:rFonts w:asciiTheme="majorHAnsi" w:hAnsiTheme="majorHAnsi" w:cs="Arial"/>
          <w:color w:val="000000"/>
        </w:rPr>
        <w:t xml:space="preserve">As per commitment in the bid document and subsequent direction in the vesting order, </w:t>
      </w:r>
      <w:r w:rsidRPr="00887DDD">
        <w:rPr>
          <w:rFonts w:asciiTheme="majorHAnsi" w:hAnsiTheme="majorHAnsi" w:cs="Arial"/>
        </w:rPr>
        <w:t xml:space="preserve">TPWODL submitted </w:t>
      </w:r>
      <w:proofErr w:type="spellStart"/>
      <w:r w:rsidRPr="00887DDD">
        <w:rPr>
          <w:rFonts w:asciiTheme="majorHAnsi" w:hAnsiTheme="majorHAnsi" w:cs="Arial"/>
        </w:rPr>
        <w:t>it’s</w:t>
      </w:r>
      <w:proofErr w:type="spellEnd"/>
      <w:r w:rsidRPr="00887DDD">
        <w:rPr>
          <w:rFonts w:asciiTheme="majorHAnsi" w:hAnsiTheme="majorHAnsi" w:cs="Arial"/>
        </w:rPr>
        <w:t xml:space="preserve"> CAPEX plan before Hon’ble Commission on 10.02.2021 for an amount of Rs.462 Cr. Hon’ble Commission has approved the CAPEX plan of the licensee vide order dt. 18.09.2021 in case no. 07 of 2021 for an amount of Rs.333 Cr. Subsequently for FY 22-23</w:t>
      </w:r>
      <w:r w:rsidR="009B108F">
        <w:rPr>
          <w:rFonts w:asciiTheme="majorHAnsi" w:hAnsiTheme="majorHAnsi" w:cs="Arial"/>
        </w:rPr>
        <w:t xml:space="preserve">, </w:t>
      </w:r>
      <w:r w:rsidRPr="00887DDD">
        <w:rPr>
          <w:rFonts w:asciiTheme="majorHAnsi" w:hAnsiTheme="majorHAnsi" w:cs="Arial"/>
        </w:rPr>
        <w:t xml:space="preserve">FY 23-24, </w:t>
      </w:r>
      <w:r w:rsidR="009B108F" w:rsidRPr="00887DDD">
        <w:rPr>
          <w:rFonts w:asciiTheme="majorHAnsi" w:hAnsiTheme="majorHAnsi" w:cs="Arial"/>
        </w:rPr>
        <w:t>FY 2</w:t>
      </w:r>
      <w:r w:rsidR="009B108F">
        <w:rPr>
          <w:rFonts w:asciiTheme="majorHAnsi" w:hAnsiTheme="majorHAnsi" w:cs="Arial"/>
        </w:rPr>
        <w:t>4</w:t>
      </w:r>
      <w:r w:rsidR="009B108F" w:rsidRPr="00887DDD">
        <w:rPr>
          <w:rFonts w:asciiTheme="majorHAnsi" w:hAnsiTheme="majorHAnsi" w:cs="Arial"/>
        </w:rPr>
        <w:t>-2</w:t>
      </w:r>
      <w:r w:rsidR="009B108F">
        <w:rPr>
          <w:rFonts w:asciiTheme="majorHAnsi" w:hAnsiTheme="majorHAnsi" w:cs="Arial"/>
        </w:rPr>
        <w:t>5</w:t>
      </w:r>
      <w:r w:rsidR="00FD6FAF">
        <w:rPr>
          <w:rFonts w:asciiTheme="majorHAnsi" w:hAnsiTheme="majorHAnsi" w:cs="Arial"/>
        </w:rPr>
        <w:t xml:space="preserve"> &amp; FY 25-26</w:t>
      </w:r>
      <w:r w:rsidR="003B22F6">
        <w:rPr>
          <w:rFonts w:asciiTheme="majorHAnsi" w:hAnsiTheme="majorHAnsi" w:cs="Arial"/>
        </w:rPr>
        <w:t xml:space="preserve"> the</w:t>
      </w:r>
      <w:r w:rsidR="009B108F">
        <w:rPr>
          <w:rFonts w:asciiTheme="majorHAnsi" w:hAnsiTheme="majorHAnsi" w:cs="Arial"/>
        </w:rPr>
        <w:t xml:space="preserve"> </w:t>
      </w:r>
      <w:r w:rsidRPr="00887DDD">
        <w:rPr>
          <w:rFonts w:asciiTheme="majorHAnsi" w:hAnsiTheme="majorHAnsi" w:cs="Arial"/>
        </w:rPr>
        <w:t xml:space="preserve">Hon’ble Commission </w:t>
      </w:r>
      <w:r w:rsidR="00363604">
        <w:rPr>
          <w:rFonts w:asciiTheme="majorHAnsi" w:hAnsiTheme="majorHAnsi" w:cs="Arial"/>
          <w:lang w:eastAsia="en-IN"/>
        </w:rPr>
        <w:t xml:space="preserve">vide Order dated 18.09.2021, 08.07.2022, 21.06.2023, 12.12.2023 and 24.03.2025 </w:t>
      </w:r>
      <w:r w:rsidRPr="00887DDD">
        <w:rPr>
          <w:rFonts w:asciiTheme="majorHAnsi" w:hAnsiTheme="majorHAnsi" w:cs="Arial"/>
        </w:rPr>
        <w:t>has approved for an amount of Rs. 477.72 Cr.</w:t>
      </w:r>
      <w:r w:rsidR="006A3B1D">
        <w:rPr>
          <w:rFonts w:asciiTheme="majorHAnsi" w:hAnsiTheme="majorHAnsi" w:cs="Arial"/>
        </w:rPr>
        <w:t>,</w:t>
      </w:r>
      <w:r w:rsidRPr="00887DDD">
        <w:rPr>
          <w:rFonts w:asciiTheme="majorHAnsi" w:hAnsiTheme="majorHAnsi" w:cs="Arial"/>
        </w:rPr>
        <w:t xml:space="preserve"> Rs. 381.91 Cr.</w:t>
      </w:r>
      <w:r w:rsidR="006A3B1D">
        <w:rPr>
          <w:rFonts w:asciiTheme="majorHAnsi" w:hAnsiTheme="majorHAnsi" w:cs="Arial"/>
        </w:rPr>
        <w:t xml:space="preserve">, Rs. </w:t>
      </w:r>
      <w:r w:rsidR="006A3B1D" w:rsidRPr="006A3B1D">
        <w:rPr>
          <w:rFonts w:asciiTheme="majorHAnsi" w:hAnsiTheme="majorHAnsi" w:cs="Arial"/>
        </w:rPr>
        <w:t>493.77</w:t>
      </w:r>
      <w:r w:rsidR="006A3B1D">
        <w:rPr>
          <w:rFonts w:asciiTheme="majorHAnsi" w:hAnsiTheme="majorHAnsi" w:cs="Arial"/>
        </w:rPr>
        <w:t xml:space="preserve"> Cr.,</w:t>
      </w:r>
      <w:r w:rsidR="00B114C5">
        <w:rPr>
          <w:rFonts w:asciiTheme="majorHAnsi" w:hAnsiTheme="majorHAnsi" w:cs="Arial"/>
        </w:rPr>
        <w:t xml:space="preserve"> </w:t>
      </w:r>
      <w:r w:rsidR="006A3B1D" w:rsidRPr="006A3B1D">
        <w:rPr>
          <w:rFonts w:asciiTheme="majorHAnsi" w:hAnsiTheme="majorHAnsi" w:cs="Arial"/>
        </w:rPr>
        <w:t>336.6</w:t>
      </w:r>
      <w:r w:rsidR="00B114C5">
        <w:rPr>
          <w:rFonts w:asciiTheme="majorHAnsi" w:hAnsiTheme="majorHAnsi" w:cs="Arial"/>
        </w:rPr>
        <w:t xml:space="preserve">0 Cr. &amp; Rs. </w:t>
      </w:r>
      <w:r w:rsidR="006A3B1D" w:rsidRPr="006A3B1D">
        <w:rPr>
          <w:rFonts w:asciiTheme="majorHAnsi" w:hAnsiTheme="majorHAnsi" w:cs="Arial"/>
        </w:rPr>
        <w:t>111.13</w:t>
      </w:r>
      <w:r w:rsidR="00B114C5">
        <w:rPr>
          <w:rFonts w:asciiTheme="majorHAnsi" w:hAnsiTheme="majorHAnsi" w:cs="Arial"/>
        </w:rPr>
        <w:t xml:space="preserve"> Cr.</w:t>
      </w:r>
      <w:r w:rsidRPr="00887DDD">
        <w:rPr>
          <w:rFonts w:asciiTheme="majorHAnsi" w:hAnsiTheme="majorHAnsi" w:cs="Arial"/>
        </w:rPr>
        <w:t xml:space="preserve"> respectively. Cumulatively till FY 2</w:t>
      </w:r>
      <w:r w:rsidR="004C2F07">
        <w:rPr>
          <w:rFonts w:asciiTheme="majorHAnsi" w:hAnsiTheme="majorHAnsi" w:cs="Arial"/>
        </w:rPr>
        <w:t>5</w:t>
      </w:r>
      <w:r w:rsidRPr="00887DDD">
        <w:rPr>
          <w:rFonts w:asciiTheme="majorHAnsi" w:hAnsiTheme="majorHAnsi" w:cs="Arial"/>
        </w:rPr>
        <w:t>-2</w:t>
      </w:r>
      <w:r w:rsidR="004C2F07">
        <w:rPr>
          <w:rFonts w:asciiTheme="majorHAnsi" w:hAnsiTheme="majorHAnsi" w:cs="Arial"/>
        </w:rPr>
        <w:t>6</w:t>
      </w:r>
      <w:r w:rsidRPr="00887DDD">
        <w:rPr>
          <w:rFonts w:asciiTheme="majorHAnsi" w:hAnsiTheme="majorHAnsi" w:cs="Arial"/>
        </w:rPr>
        <w:t xml:space="preserve">, total CAPEX approved is Rs. </w:t>
      </w:r>
      <w:r w:rsidR="00E7188C">
        <w:rPr>
          <w:rFonts w:asciiTheme="majorHAnsi" w:hAnsiTheme="majorHAnsi" w:cs="Arial"/>
        </w:rPr>
        <w:t xml:space="preserve">2134.26 </w:t>
      </w:r>
      <w:r w:rsidR="005B369D" w:rsidRPr="00887DDD">
        <w:rPr>
          <w:rFonts w:asciiTheme="majorHAnsi" w:hAnsiTheme="majorHAnsi" w:cs="Arial"/>
        </w:rPr>
        <w:t>Cr.</w:t>
      </w:r>
      <w:r w:rsidR="00F57E5C">
        <w:rPr>
          <w:rFonts w:asciiTheme="majorHAnsi" w:hAnsiTheme="majorHAnsi" w:cs="Arial"/>
        </w:rPr>
        <w:t xml:space="preserve"> </w:t>
      </w:r>
      <w:r w:rsidRPr="00A74C22">
        <w:rPr>
          <w:rFonts w:ascii="Cambria" w:hAnsi="Cambria" w:cs="Arial"/>
        </w:rPr>
        <w:t>As per para 39 (b) of vesting order TPCL has capital investment plan for Rs.1663 Cr. in a span of 5 years in the following manner.</w:t>
      </w:r>
      <w:r w:rsidRPr="00A74C22">
        <w:rPr>
          <w:rFonts w:ascii="Cambria" w:hAnsi="Cambria" w:cs="Arial"/>
        </w:rPr>
        <w:tab/>
      </w:r>
      <w:r w:rsidRPr="00A74C22">
        <w:rPr>
          <w:rFonts w:ascii="Cambria" w:hAnsi="Cambria" w:cs="Arial"/>
        </w:rPr>
        <w:tab/>
      </w:r>
      <w:r w:rsidRPr="00A74C22">
        <w:rPr>
          <w:rFonts w:ascii="Cambria" w:hAnsi="Cambria" w:cs="Arial"/>
        </w:rPr>
        <w:tab/>
      </w:r>
      <w:r w:rsidRPr="00A74C22">
        <w:rPr>
          <w:rFonts w:ascii="Cambria" w:hAnsi="Cambria" w:cs="Arial"/>
        </w:rPr>
        <w:tab/>
      </w:r>
      <w:r w:rsidRPr="00A74C22">
        <w:rPr>
          <w:rFonts w:ascii="Cambria" w:hAnsi="Cambria" w:cs="Arial"/>
        </w:rPr>
        <w:tab/>
      </w:r>
      <w:r w:rsidRPr="00A74C22">
        <w:rPr>
          <w:rFonts w:ascii="Cambria" w:hAnsi="Cambria" w:cs="Arial"/>
        </w:rPr>
        <w:tab/>
      </w:r>
      <w:r w:rsidRPr="00A74C22">
        <w:rPr>
          <w:rFonts w:ascii="Cambria" w:hAnsi="Cambria" w:cs="Arial"/>
        </w:rPr>
        <w:tab/>
      </w:r>
      <w:r w:rsidR="00F57E5C">
        <w:rPr>
          <w:rFonts w:ascii="Cambria" w:hAnsi="Cambria" w:cs="Arial"/>
        </w:rPr>
        <w:t xml:space="preserve">                                       </w:t>
      </w:r>
      <w:r w:rsidR="00887DDD">
        <w:rPr>
          <w:rFonts w:ascii="Cambria" w:hAnsi="Cambria" w:cs="Arial"/>
          <w:b/>
        </w:rPr>
        <w:t xml:space="preserve">           </w:t>
      </w:r>
    </w:p>
    <w:tbl>
      <w:tblPr>
        <w:tblStyle w:val="TableGrid"/>
        <w:tblW w:w="6913" w:type="dxa"/>
        <w:jc w:val="center"/>
        <w:tblLook w:val="04A0" w:firstRow="1" w:lastRow="0" w:firstColumn="1" w:lastColumn="0" w:noHBand="0" w:noVBand="1"/>
      </w:tblPr>
      <w:tblGrid>
        <w:gridCol w:w="1211"/>
        <w:gridCol w:w="1132"/>
        <w:gridCol w:w="1183"/>
        <w:gridCol w:w="1128"/>
        <w:gridCol w:w="1128"/>
        <w:gridCol w:w="1131"/>
      </w:tblGrid>
      <w:tr w:rsidR="005B369D" w:rsidRPr="00361EBF" w14:paraId="2A3E5C9F" w14:textId="77777777" w:rsidTr="005B369D">
        <w:trPr>
          <w:trHeight w:val="346"/>
          <w:jc w:val="center"/>
        </w:trPr>
        <w:tc>
          <w:tcPr>
            <w:tcW w:w="6913" w:type="dxa"/>
            <w:gridSpan w:val="6"/>
            <w:vAlign w:val="center"/>
          </w:tcPr>
          <w:p w14:paraId="516EFF20" w14:textId="7559AAB9" w:rsidR="005B369D" w:rsidRPr="00361EBF" w:rsidRDefault="005B369D" w:rsidP="005B369D">
            <w:pPr>
              <w:spacing w:line="360" w:lineRule="auto"/>
              <w:jc w:val="right"/>
              <w:rPr>
                <w:rFonts w:ascii="Cambria" w:hAnsi="Cambria" w:cs="Arial"/>
                <w:bCs/>
                <w:i/>
                <w:iCs/>
                <w:sz w:val="22"/>
                <w:szCs w:val="22"/>
              </w:rPr>
            </w:pPr>
            <w:r w:rsidRPr="00361EBF">
              <w:rPr>
                <w:rFonts w:ascii="Cambria" w:hAnsi="Cambria" w:cs="Arial"/>
                <w:bCs/>
                <w:i/>
                <w:iCs/>
                <w:sz w:val="22"/>
                <w:szCs w:val="22"/>
              </w:rPr>
              <w:t>Rs. In Cr.</w:t>
            </w:r>
          </w:p>
        </w:tc>
      </w:tr>
      <w:tr w:rsidR="00525A91" w:rsidRPr="00361EBF" w14:paraId="02A7208E" w14:textId="77777777" w:rsidTr="005B369D">
        <w:trPr>
          <w:trHeight w:val="346"/>
          <w:jc w:val="center"/>
        </w:trPr>
        <w:tc>
          <w:tcPr>
            <w:tcW w:w="1211" w:type="dxa"/>
            <w:shd w:val="clear" w:color="auto" w:fill="C6D9F1" w:themeFill="text2" w:themeFillTint="33"/>
            <w:vAlign w:val="center"/>
          </w:tcPr>
          <w:p w14:paraId="216A1464" w14:textId="77777777" w:rsidR="00525A91" w:rsidRPr="00361EBF" w:rsidRDefault="00525A91" w:rsidP="00A01571">
            <w:pPr>
              <w:spacing w:line="360" w:lineRule="auto"/>
              <w:jc w:val="center"/>
              <w:rPr>
                <w:rFonts w:ascii="Cambria" w:hAnsi="Cambria" w:cs="Arial"/>
                <w:b/>
                <w:bCs/>
                <w:sz w:val="22"/>
                <w:szCs w:val="22"/>
              </w:rPr>
            </w:pPr>
            <w:r w:rsidRPr="00361EBF">
              <w:rPr>
                <w:rFonts w:ascii="Cambria" w:hAnsi="Cambria" w:cs="Arial"/>
                <w:b/>
                <w:bCs/>
                <w:sz w:val="22"/>
                <w:szCs w:val="22"/>
              </w:rPr>
              <w:t>FY 21-22</w:t>
            </w:r>
          </w:p>
        </w:tc>
        <w:tc>
          <w:tcPr>
            <w:tcW w:w="1132" w:type="dxa"/>
            <w:shd w:val="clear" w:color="auto" w:fill="C6D9F1" w:themeFill="text2" w:themeFillTint="33"/>
            <w:vAlign w:val="center"/>
          </w:tcPr>
          <w:p w14:paraId="7D9D008A" w14:textId="77777777" w:rsidR="00525A91" w:rsidRPr="00361EBF" w:rsidRDefault="00525A91" w:rsidP="00A01571">
            <w:pPr>
              <w:spacing w:line="360" w:lineRule="auto"/>
              <w:jc w:val="center"/>
              <w:rPr>
                <w:rFonts w:ascii="Cambria" w:hAnsi="Cambria" w:cs="Arial"/>
                <w:b/>
                <w:bCs/>
                <w:sz w:val="22"/>
                <w:szCs w:val="22"/>
              </w:rPr>
            </w:pPr>
            <w:r w:rsidRPr="00361EBF">
              <w:rPr>
                <w:rFonts w:ascii="Cambria" w:hAnsi="Cambria" w:cs="Arial"/>
                <w:b/>
                <w:bCs/>
                <w:sz w:val="22"/>
                <w:szCs w:val="22"/>
              </w:rPr>
              <w:t>FY 22-23</w:t>
            </w:r>
          </w:p>
        </w:tc>
        <w:tc>
          <w:tcPr>
            <w:tcW w:w="1183" w:type="dxa"/>
            <w:shd w:val="clear" w:color="auto" w:fill="C6D9F1" w:themeFill="text2" w:themeFillTint="33"/>
            <w:vAlign w:val="center"/>
          </w:tcPr>
          <w:p w14:paraId="0B2AA187" w14:textId="77777777" w:rsidR="00525A91" w:rsidRPr="00361EBF" w:rsidRDefault="00525A91" w:rsidP="00A01571">
            <w:pPr>
              <w:spacing w:line="360" w:lineRule="auto"/>
              <w:jc w:val="center"/>
              <w:rPr>
                <w:rFonts w:ascii="Cambria" w:hAnsi="Cambria" w:cs="Arial"/>
                <w:b/>
                <w:bCs/>
                <w:sz w:val="22"/>
                <w:szCs w:val="22"/>
              </w:rPr>
            </w:pPr>
            <w:r w:rsidRPr="00361EBF">
              <w:rPr>
                <w:rFonts w:ascii="Cambria" w:hAnsi="Cambria" w:cs="Arial"/>
                <w:b/>
                <w:bCs/>
                <w:sz w:val="22"/>
                <w:szCs w:val="22"/>
              </w:rPr>
              <w:t>FY 23-24</w:t>
            </w:r>
          </w:p>
        </w:tc>
        <w:tc>
          <w:tcPr>
            <w:tcW w:w="1128" w:type="dxa"/>
            <w:shd w:val="clear" w:color="auto" w:fill="C6D9F1" w:themeFill="text2" w:themeFillTint="33"/>
            <w:vAlign w:val="center"/>
          </w:tcPr>
          <w:p w14:paraId="7D836106" w14:textId="77777777" w:rsidR="00525A91" w:rsidRPr="00361EBF" w:rsidRDefault="00525A91" w:rsidP="00A01571">
            <w:pPr>
              <w:spacing w:line="360" w:lineRule="auto"/>
              <w:jc w:val="center"/>
              <w:rPr>
                <w:rFonts w:ascii="Cambria" w:hAnsi="Cambria" w:cs="Arial"/>
                <w:b/>
                <w:bCs/>
                <w:sz w:val="22"/>
                <w:szCs w:val="22"/>
              </w:rPr>
            </w:pPr>
            <w:r w:rsidRPr="00361EBF">
              <w:rPr>
                <w:rFonts w:ascii="Cambria" w:hAnsi="Cambria" w:cs="Arial"/>
                <w:b/>
                <w:bCs/>
                <w:sz w:val="22"/>
                <w:szCs w:val="22"/>
              </w:rPr>
              <w:t>FY 24-25</w:t>
            </w:r>
          </w:p>
        </w:tc>
        <w:tc>
          <w:tcPr>
            <w:tcW w:w="1128" w:type="dxa"/>
            <w:shd w:val="clear" w:color="auto" w:fill="C6D9F1" w:themeFill="text2" w:themeFillTint="33"/>
            <w:vAlign w:val="center"/>
          </w:tcPr>
          <w:p w14:paraId="342E3118" w14:textId="3E8208B1" w:rsidR="00525A91" w:rsidRPr="00361EBF" w:rsidRDefault="00525A91" w:rsidP="00A01571">
            <w:pPr>
              <w:spacing w:line="360" w:lineRule="auto"/>
              <w:jc w:val="center"/>
              <w:rPr>
                <w:rFonts w:ascii="Cambria" w:hAnsi="Cambria" w:cs="Arial"/>
                <w:b/>
                <w:bCs/>
                <w:sz w:val="22"/>
                <w:szCs w:val="22"/>
              </w:rPr>
            </w:pPr>
            <w:r w:rsidRPr="00361EBF">
              <w:rPr>
                <w:rFonts w:ascii="Cambria" w:hAnsi="Cambria" w:cs="Arial"/>
                <w:b/>
                <w:bCs/>
                <w:sz w:val="22"/>
                <w:szCs w:val="22"/>
              </w:rPr>
              <w:t xml:space="preserve">FY </w:t>
            </w:r>
            <w:r w:rsidR="007507C7" w:rsidRPr="00361EBF">
              <w:rPr>
                <w:rFonts w:ascii="Cambria" w:hAnsi="Cambria" w:cs="Arial"/>
                <w:b/>
                <w:bCs/>
                <w:sz w:val="22"/>
                <w:szCs w:val="22"/>
              </w:rPr>
              <w:t>26-27</w:t>
            </w:r>
          </w:p>
        </w:tc>
        <w:tc>
          <w:tcPr>
            <w:tcW w:w="1128" w:type="dxa"/>
            <w:shd w:val="clear" w:color="auto" w:fill="C6D9F1" w:themeFill="text2" w:themeFillTint="33"/>
            <w:vAlign w:val="center"/>
          </w:tcPr>
          <w:p w14:paraId="6B1E40C1" w14:textId="77777777" w:rsidR="00525A91" w:rsidRPr="00361EBF" w:rsidRDefault="00525A91" w:rsidP="00A01571">
            <w:pPr>
              <w:spacing w:line="360" w:lineRule="auto"/>
              <w:jc w:val="center"/>
              <w:rPr>
                <w:rFonts w:ascii="Cambria" w:hAnsi="Cambria" w:cs="Arial"/>
                <w:b/>
                <w:bCs/>
                <w:sz w:val="22"/>
                <w:szCs w:val="22"/>
              </w:rPr>
            </w:pPr>
            <w:r w:rsidRPr="00361EBF">
              <w:rPr>
                <w:rFonts w:ascii="Cambria" w:hAnsi="Cambria" w:cs="Arial"/>
                <w:b/>
                <w:bCs/>
                <w:sz w:val="22"/>
                <w:szCs w:val="22"/>
              </w:rPr>
              <w:t>TOTAL</w:t>
            </w:r>
          </w:p>
        </w:tc>
      </w:tr>
      <w:tr w:rsidR="00525A91" w:rsidRPr="00361EBF" w14:paraId="2A4288B7" w14:textId="77777777" w:rsidTr="005B369D">
        <w:trPr>
          <w:trHeight w:val="346"/>
          <w:jc w:val="center"/>
        </w:trPr>
        <w:tc>
          <w:tcPr>
            <w:tcW w:w="1211" w:type="dxa"/>
            <w:vAlign w:val="center"/>
          </w:tcPr>
          <w:p w14:paraId="6098A58D" w14:textId="77777777" w:rsidR="00525A91" w:rsidRPr="00361EBF" w:rsidRDefault="00525A91" w:rsidP="00A01571">
            <w:pPr>
              <w:spacing w:line="360" w:lineRule="auto"/>
              <w:jc w:val="center"/>
              <w:rPr>
                <w:rFonts w:ascii="Cambria" w:hAnsi="Cambria" w:cs="Arial"/>
                <w:sz w:val="22"/>
                <w:szCs w:val="22"/>
              </w:rPr>
            </w:pPr>
            <w:r w:rsidRPr="00361EBF">
              <w:rPr>
                <w:rFonts w:ascii="Cambria" w:hAnsi="Cambria" w:cs="Arial"/>
                <w:sz w:val="22"/>
                <w:szCs w:val="22"/>
              </w:rPr>
              <w:t>306</w:t>
            </w:r>
          </w:p>
        </w:tc>
        <w:tc>
          <w:tcPr>
            <w:tcW w:w="1132" w:type="dxa"/>
            <w:vAlign w:val="center"/>
          </w:tcPr>
          <w:p w14:paraId="5B13F461" w14:textId="77777777" w:rsidR="00525A91" w:rsidRPr="00361EBF" w:rsidRDefault="00525A91" w:rsidP="00A01571">
            <w:pPr>
              <w:spacing w:line="360" w:lineRule="auto"/>
              <w:jc w:val="center"/>
              <w:rPr>
                <w:rFonts w:ascii="Cambria" w:hAnsi="Cambria" w:cs="Arial"/>
                <w:sz w:val="22"/>
                <w:szCs w:val="22"/>
              </w:rPr>
            </w:pPr>
            <w:r w:rsidRPr="00361EBF">
              <w:rPr>
                <w:rFonts w:ascii="Cambria" w:hAnsi="Cambria" w:cs="Arial"/>
                <w:sz w:val="22"/>
                <w:szCs w:val="22"/>
              </w:rPr>
              <w:t>500</w:t>
            </w:r>
          </w:p>
        </w:tc>
        <w:tc>
          <w:tcPr>
            <w:tcW w:w="1183" w:type="dxa"/>
            <w:vAlign w:val="center"/>
          </w:tcPr>
          <w:p w14:paraId="27931C22" w14:textId="77777777" w:rsidR="00525A91" w:rsidRPr="00361EBF" w:rsidRDefault="00525A91" w:rsidP="00A01571">
            <w:pPr>
              <w:spacing w:line="360" w:lineRule="auto"/>
              <w:jc w:val="center"/>
              <w:rPr>
                <w:rFonts w:ascii="Cambria" w:hAnsi="Cambria" w:cs="Arial"/>
                <w:sz w:val="22"/>
                <w:szCs w:val="22"/>
              </w:rPr>
            </w:pPr>
            <w:r w:rsidRPr="00361EBF">
              <w:rPr>
                <w:rFonts w:ascii="Cambria" w:hAnsi="Cambria" w:cs="Arial"/>
                <w:sz w:val="22"/>
                <w:szCs w:val="22"/>
              </w:rPr>
              <w:t>333</w:t>
            </w:r>
          </w:p>
        </w:tc>
        <w:tc>
          <w:tcPr>
            <w:tcW w:w="1128" w:type="dxa"/>
            <w:vAlign w:val="center"/>
          </w:tcPr>
          <w:p w14:paraId="51AB1799" w14:textId="77777777" w:rsidR="00525A91" w:rsidRPr="00361EBF" w:rsidRDefault="00525A91" w:rsidP="00A01571">
            <w:pPr>
              <w:spacing w:line="360" w:lineRule="auto"/>
              <w:jc w:val="center"/>
              <w:rPr>
                <w:rFonts w:ascii="Cambria" w:hAnsi="Cambria" w:cs="Arial"/>
                <w:sz w:val="22"/>
                <w:szCs w:val="22"/>
              </w:rPr>
            </w:pPr>
            <w:r w:rsidRPr="00361EBF">
              <w:rPr>
                <w:rFonts w:ascii="Cambria" w:hAnsi="Cambria" w:cs="Arial"/>
                <w:sz w:val="22"/>
                <w:szCs w:val="22"/>
              </w:rPr>
              <w:t>322</w:t>
            </w:r>
          </w:p>
        </w:tc>
        <w:tc>
          <w:tcPr>
            <w:tcW w:w="1128" w:type="dxa"/>
            <w:vAlign w:val="center"/>
          </w:tcPr>
          <w:p w14:paraId="2BB51ADB" w14:textId="77777777" w:rsidR="00525A91" w:rsidRPr="00361EBF" w:rsidRDefault="00525A91" w:rsidP="00A01571">
            <w:pPr>
              <w:spacing w:line="360" w:lineRule="auto"/>
              <w:jc w:val="center"/>
              <w:rPr>
                <w:rFonts w:ascii="Cambria" w:hAnsi="Cambria" w:cs="Arial"/>
                <w:sz w:val="22"/>
                <w:szCs w:val="22"/>
              </w:rPr>
            </w:pPr>
            <w:r w:rsidRPr="00361EBF">
              <w:rPr>
                <w:rFonts w:ascii="Cambria" w:hAnsi="Cambria" w:cs="Arial"/>
                <w:sz w:val="22"/>
                <w:szCs w:val="22"/>
              </w:rPr>
              <w:t>202</w:t>
            </w:r>
          </w:p>
        </w:tc>
        <w:tc>
          <w:tcPr>
            <w:tcW w:w="1128" w:type="dxa"/>
            <w:vAlign w:val="center"/>
          </w:tcPr>
          <w:p w14:paraId="5DD407F7" w14:textId="77777777" w:rsidR="00525A91" w:rsidRPr="00361EBF" w:rsidRDefault="00525A91" w:rsidP="00A01571">
            <w:pPr>
              <w:spacing w:line="360" w:lineRule="auto"/>
              <w:jc w:val="center"/>
              <w:rPr>
                <w:rFonts w:ascii="Cambria" w:hAnsi="Cambria" w:cs="Arial"/>
                <w:sz w:val="22"/>
                <w:szCs w:val="22"/>
              </w:rPr>
            </w:pPr>
            <w:r w:rsidRPr="00361EBF">
              <w:rPr>
                <w:rFonts w:ascii="Cambria" w:hAnsi="Cambria" w:cs="Arial"/>
                <w:sz w:val="22"/>
                <w:szCs w:val="22"/>
              </w:rPr>
              <w:t>1663</w:t>
            </w:r>
          </w:p>
        </w:tc>
      </w:tr>
    </w:tbl>
    <w:p w14:paraId="5583A33B" w14:textId="77777777" w:rsidR="00525A91" w:rsidRPr="009223CF" w:rsidRDefault="00525A91" w:rsidP="00525A91">
      <w:pPr>
        <w:spacing w:line="360" w:lineRule="auto"/>
        <w:rPr>
          <w:rFonts w:ascii="Cambria" w:hAnsi="Cambria" w:cs="Arial"/>
          <w:highlight w:val="yellow"/>
        </w:rPr>
      </w:pPr>
    </w:p>
    <w:p w14:paraId="3619E49A" w14:textId="77777777" w:rsidR="00525A91" w:rsidRPr="00A74C22" w:rsidRDefault="00525A91" w:rsidP="00525A91">
      <w:pPr>
        <w:spacing w:line="360" w:lineRule="auto"/>
        <w:rPr>
          <w:rFonts w:asciiTheme="majorHAnsi" w:hAnsiTheme="majorHAnsi"/>
        </w:rPr>
      </w:pPr>
      <w:r w:rsidRPr="00A74C22">
        <w:rPr>
          <w:rFonts w:asciiTheme="majorHAnsi" w:hAnsiTheme="majorHAnsi"/>
        </w:rPr>
        <w:t>To allow flexibility Hon’ble Commission vide para 39(c) has permitted the cumulative capital expenditure plan in the following manner:</w:t>
      </w:r>
    </w:p>
    <w:tbl>
      <w:tblPr>
        <w:tblStyle w:val="TableGrid"/>
        <w:tblpPr w:leftFromText="180" w:rightFromText="180" w:vertAnchor="text" w:horzAnchor="margin" w:tblpXSpec="center" w:tblpY="359"/>
        <w:tblW w:w="7085" w:type="dxa"/>
        <w:tblLook w:val="04A0" w:firstRow="1" w:lastRow="0" w:firstColumn="1" w:lastColumn="0" w:noHBand="0" w:noVBand="1"/>
      </w:tblPr>
      <w:tblGrid>
        <w:gridCol w:w="1562"/>
        <w:gridCol w:w="1336"/>
        <w:gridCol w:w="1336"/>
        <w:gridCol w:w="1336"/>
        <w:gridCol w:w="1515"/>
      </w:tblGrid>
      <w:tr w:rsidR="0089746B" w:rsidRPr="00361EBF" w14:paraId="69E0F4ED" w14:textId="77777777" w:rsidTr="000F221E">
        <w:trPr>
          <w:trHeight w:val="223"/>
        </w:trPr>
        <w:tc>
          <w:tcPr>
            <w:tcW w:w="7085" w:type="dxa"/>
            <w:gridSpan w:val="5"/>
            <w:shd w:val="clear" w:color="auto" w:fill="C6D9F1" w:themeFill="text2" w:themeFillTint="33"/>
            <w:vAlign w:val="center"/>
          </w:tcPr>
          <w:p w14:paraId="3365F7D2" w14:textId="7621066E" w:rsidR="0089746B" w:rsidRPr="00361EBF" w:rsidRDefault="0089746B" w:rsidP="0089746B">
            <w:pPr>
              <w:jc w:val="right"/>
              <w:rPr>
                <w:rFonts w:ascii="Cambria" w:hAnsi="Cambria" w:cs="Arial"/>
                <w:b/>
                <w:bCs/>
                <w:sz w:val="22"/>
                <w:szCs w:val="22"/>
              </w:rPr>
            </w:pPr>
            <w:r w:rsidRPr="00361EBF">
              <w:rPr>
                <w:rFonts w:ascii="Cambria" w:hAnsi="Cambria" w:cs="Arial"/>
                <w:bCs/>
                <w:i/>
                <w:iCs/>
                <w:sz w:val="22"/>
                <w:szCs w:val="22"/>
              </w:rPr>
              <w:t>Rs. In Cr.</w:t>
            </w:r>
          </w:p>
        </w:tc>
      </w:tr>
      <w:tr w:rsidR="00525A91" w:rsidRPr="00361EBF" w14:paraId="54BF3967" w14:textId="77777777" w:rsidTr="00887DDD">
        <w:trPr>
          <w:trHeight w:val="223"/>
        </w:trPr>
        <w:tc>
          <w:tcPr>
            <w:tcW w:w="1562" w:type="dxa"/>
            <w:shd w:val="clear" w:color="auto" w:fill="C6D9F1" w:themeFill="text2" w:themeFillTint="33"/>
            <w:vAlign w:val="center"/>
          </w:tcPr>
          <w:p w14:paraId="5D47B18C" w14:textId="77777777" w:rsidR="00887DDD" w:rsidRPr="00361EBF" w:rsidRDefault="00525A91" w:rsidP="00887DDD">
            <w:pPr>
              <w:jc w:val="center"/>
              <w:rPr>
                <w:rFonts w:ascii="Cambria" w:hAnsi="Cambria" w:cs="Arial"/>
                <w:b/>
                <w:bCs/>
                <w:sz w:val="22"/>
                <w:szCs w:val="22"/>
              </w:rPr>
            </w:pPr>
            <w:r w:rsidRPr="00361EBF">
              <w:rPr>
                <w:rFonts w:ascii="Cambria" w:hAnsi="Cambria" w:cs="Arial"/>
                <w:b/>
                <w:bCs/>
                <w:sz w:val="22"/>
                <w:szCs w:val="22"/>
              </w:rPr>
              <w:t>Up to 31</w:t>
            </w:r>
            <w:r w:rsidRPr="00361EBF">
              <w:rPr>
                <w:rFonts w:ascii="Cambria" w:hAnsi="Cambria" w:cs="Arial"/>
                <w:b/>
                <w:bCs/>
                <w:sz w:val="22"/>
                <w:szCs w:val="22"/>
                <w:vertAlign w:val="superscript"/>
              </w:rPr>
              <w:t>st</w:t>
            </w:r>
            <w:r w:rsidRPr="00361EBF">
              <w:rPr>
                <w:rFonts w:ascii="Cambria" w:hAnsi="Cambria" w:cs="Arial"/>
                <w:b/>
                <w:bCs/>
                <w:sz w:val="22"/>
                <w:szCs w:val="22"/>
              </w:rPr>
              <w:t xml:space="preserve"> </w:t>
            </w:r>
          </w:p>
          <w:p w14:paraId="1A63BD71" w14:textId="51CDBFE6" w:rsidR="00525A91" w:rsidRPr="00361EBF" w:rsidRDefault="00525A91" w:rsidP="00887DDD">
            <w:pPr>
              <w:jc w:val="center"/>
              <w:rPr>
                <w:rFonts w:ascii="Cambria" w:hAnsi="Cambria" w:cs="Arial"/>
                <w:b/>
                <w:bCs/>
                <w:sz w:val="22"/>
                <w:szCs w:val="22"/>
              </w:rPr>
            </w:pPr>
            <w:r w:rsidRPr="00361EBF">
              <w:rPr>
                <w:rFonts w:ascii="Cambria" w:hAnsi="Cambria" w:cs="Arial"/>
                <w:b/>
                <w:bCs/>
                <w:sz w:val="22"/>
                <w:szCs w:val="22"/>
              </w:rPr>
              <w:t>March-22</w:t>
            </w:r>
          </w:p>
        </w:tc>
        <w:tc>
          <w:tcPr>
            <w:tcW w:w="1336" w:type="dxa"/>
            <w:shd w:val="clear" w:color="auto" w:fill="C6D9F1" w:themeFill="text2" w:themeFillTint="33"/>
            <w:vAlign w:val="center"/>
          </w:tcPr>
          <w:p w14:paraId="7F675530" w14:textId="77777777" w:rsidR="00525A91" w:rsidRPr="00361EBF" w:rsidRDefault="00525A91" w:rsidP="00887DDD">
            <w:pPr>
              <w:jc w:val="center"/>
              <w:rPr>
                <w:rFonts w:ascii="Cambria" w:hAnsi="Cambria" w:cs="Arial"/>
                <w:b/>
                <w:bCs/>
                <w:sz w:val="22"/>
                <w:szCs w:val="22"/>
              </w:rPr>
            </w:pPr>
            <w:r w:rsidRPr="00361EBF">
              <w:rPr>
                <w:rFonts w:ascii="Cambria" w:hAnsi="Cambria" w:cs="Arial"/>
                <w:b/>
                <w:bCs/>
                <w:sz w:val="22"/>
                <w:szCs w:val="22"/>
              </w:rPr>
              <w:t>Up to 31</w:t>
            </w:r>
            <w:r w:rsidRPr="00361EBF">
              <w:rPr>
                <w:rFonts w:ascii="Cambria" w:hAnsi="Cambria" w:cs="Arial"/>
                <w:b/>
                <w:bCs/>
                <w:sz w:val="22"/>
                <w:szCs w:val="22"/>
                <w:vertAlign w:val="superscript"/>
              </w:rPr>
              <w:t>st</w:t>
            </w:r>
            <w:r w:rsidRPr="00361EBF">
              <w:rPr>
                <w:rFonts w:ascii="Cambria" w:hAnsi="Cambria" w:cs="Arial"/>
                <w:b/>
                <w:bCs/>
                <w:sz w:val="22"/>
                <w:szCs w:val="22"/>
              </w:rPr>
              <w:t xml:space="preserve"> March-23</w:t>
            </w:r>
          </w:p>
        </w:tc>
        <w:tc>
          <w:tcPr>
            <w:tcW w:w="1336" w:type="dxa"/>
            <w:shd w:val="clear" w:color="auto" w:fill="C6D9F1" w:themeFill="text2" w:themeFillTint="33"/>
            <w:vAlign w:val="center"/>
          </w:tcPr>
          <w:p w14:paraId="3A3C1B08" w14:textId="77777777" w:rsidR="00525A91" w:rsidRPr="00361EBF" w:rsidRDefault="00525A91" w:rsidP="00887DDD">
            <w:pPr>
              <w:jc w:val="center"/>
              <w:rPr>
                <w:rFonts w:ascii="Cambria" w:hAnsi="Cambria" w:cs="Arial"/>
                <w:b/>
                <w:bCs/>
                <w:sz w:val="22"/>
                <w:szCs w:val="22"/>
              </w:rPr>
            </w:pPr>
            <w:r w:rsidRPr="00361EBF">
              <w:rPr>
                <w:rFonts w:ascii="Cambria" w:hAnsi="Cambria" w:cs="Arial"/>
                <w:b/>
                <w:bCs/>
                <w:sz w:val="22"/>
                <w:szCs w:val="22"/>
              </w:rPr>
              <w:t>Up to 31</w:t>
            </w:r>
            <w:r w:rsidRPr="00361EBF">
              <w:rPr>
                <w:rFonts w:ascii="Cambria" w:hAnsi="Cambria" w:cs="Arial"/>
                <w:b/>
                <w:bCs/>
                <w:sz w:val="22"/>
                <w:szCs w:val="22"/>
                <w:vertAlign w:val="superscript"/>
              </w:rPr>
              <w:t>st</w:t>
            </w:r>
            <w:r w:rsidRPr="00361EBF">
              <w:rPr>
                <w:rFonts w:ascii="Cambria" w:hAnsi="Cambria" w:cs="Arial"/>
                <w:b/>
                <w:bCs/>
                <w:sz w:val="22"/>
                <w:szCs w:val="22"/>
              </w:rPr>
              <w:t xml:space="preserve"> March-24</w:t>
            </w:r>
          </w:p>
        </w:tc>
        <w:tc>
          <w:tcPr>
            <w:tcW w:w="1336" w:type="dxa"/>
            <w:shd w:val="clear" w:color="auto" w:fill="C6D9F1" w:themeFill="text2" w:themeFillTint="33"/>
            <w:vAlign w:val="center"/>
          </w:tcPr>
          <w:p w14:paraId="2EE5E0D7" w14:textId="77777777" w:rsidR="00525A91" w:rsidRPr="00361EBF" w:rsidRDefault="00525A91" w:rsidP="00887DDD">
            <w:pPr>
              <w:jc w:val="center"/>
              <w:rPr>
                <w:rFonts w:ascii="Cambria" w:hAnsi="Cambria" w:cs="Arial"/>
                <w:b/>
                <w:bCs/>
                <w:sz w:val="22"/>
                <w:szCs w:val="22"/>
              </w:rPr>
            </w:pPr>
            <w:r w:rsidRPr="00361EBF">
              <w:rPr>
                <w:rFonts w:ascii="Cambria" w:hAnsi="Cambria" w:cs="Arial"/>
                <w:b/>
                <w:bCs/>
                <w:sz w:val="22"/>
                <w:szCs w:val="22"/>
              </w:rPr>
              <w:t>Up to 31</w:t>
            </w:r>
            <w:r w:rsidRPr="00361EBF">
              <w:rPr>
                <w:rFonts w:ascii="Cambria" w:hAnsi="Cambria" w:cs="Arial"/>
                <w:b/>
                <w:bCs/>
                <w:sz w:val="22"/>
                <w:szCs w:val="22"/>
                <w:vertAlign w:val="superscript"/>
              </w:rPr>
              <w:t>st</w:t>
            </w:r>
            <w:r w:rsidRPr="00361EBF">
              <w:rPr>
                <w:rFonts w:ascii="Cambria" w:hAnsi="Cambria" w:cs="Arial"/>
                <w:b/>
                <w:bCs/>
                <w:sz w:val="22"/>
                <w:szCs w:val="22"/>
              </w:rPr>
              <w:t xml:space="preserve"> March-25</w:t>
            </w:r>
          </w:p>
        </w:tc>
        <w:tc>
          <w:tcPr>
            <w:tcW w:w="1515" w:type="dxa"/>
            <w:shd w:val="clear" w:color="auto" w:fill="C6D9F1" w:themeFill="text2" w:themeFillTint="33"/>
            <w:vAlign w:val="center"/>
          </w:tcPr>
          <w:p w14:paraId="35370955" w14:textId="77777777" w:rsidR="00887DDD" w:rsidRPr="00361EBF" w:rsidRDefault="00525A91" w:rsidP="00887DDD">
            <w:pPr>
              <w:jc w:val="center"/>
              <w:rPr>
                <w:rFonts w:ascii="Cambria" w:hAnsi="Cambria" w:cs="Arial"/>
                <w:b/>
                <w:bCs/>
                <w:sz w:val="22"/>
                <w:szCs w:val="22"/>
              </w:rPr>
            </w:pPr>
            <w:r w:rsidRPr="00361EBF">
              <w:rPr>
                <w:rFonts w:ascii="Cambria" w:hAnsi="Cambria" w:cs="Arial"/>
                <w:b/>
                <w:bCs/>
                <w:sz w:val="22"/>
                <w:szCs w:val="22"/>
              </w:rPr>
              <w:t>Up to 31</w:t>
            </w:r>
            <w:r w:rsidRPr="00361EBF">
              <w:rPr>
                <w:rFonts w:ascii="Cambria" w:hAnsi="Cambria" w:cs="Arial"/>
                <w:b/>
                <w:bCs/>
                <w:sz w:val="22"/>
                <w:szCs w:val="22"/>
                <w:vertAlign w:val="superscript"/>
              </w:rPr>
              <w:t>st</w:t>
            </w:r>
            <w:r w:rsidRPr="00361EBF">
              <w:rPr>
                <w:rFonts w:ascii="Cambria" w:hAnsi="Cambria" w:cs="Arial"/>
                <w:b/>
                <w:bCs/>
                <w:sz w:val="22"/>
                <w:szCs w:val="22"/>
              </w:rPr>
              <w:t xml:space="preserve"> </w:t>
            </w:r>
          </w:p>
          <w:p w14:paraId="43EF7744" w14:textId="22731D48" w:rsidR="00525A91" w:rsidRPr="00361EBF" w:rsidRDefault="00525A91" w:rsidP="00887DDD">
            <w:pPr>
              <w:jc w:val="center"/>
              <w:rPr>
                <w:rFonts w:ascii="Cambria" w:hAnsi="Cambria" w:cs="Arial"/>
                <w:b/>
                <w:bCs/>
                <w:sz w:val="22"/>
                <w:szCs w:val="22"/>
              </w:rPr>
            </w:pPr>
            <w:r w:rsidRPr="00361EBF">
              <w:rPr>
                <w:rFonts w:ascii="Cambria" w:hAnsi="Cambria" w:cs="Arial"/>
                <w:b/>
                <w:bCs/>
                <w:sz w:val="22"/>
                <w:szCs w:val="22"/>
              </w:rPr>
              <w:t>March-26</w:t>
            </w:r>
          </w:p>
        </w:tc>
      </w:tr>
      <w:tr w:rsidR="00525A91" w:rsidRPr="00361EBF" w14:paraId="5D1729CC" w14:textId="77777777" w:rsidTr="00887DDD">
        <w:trPr>
          <w:trHeight w:val="169"/>
        </w:trPr>
        <w:tc>
          <w:tcPr>
            <w:tcW w:w="1562" w:type="dxa"/>
            <w:vAlign w:val="center"/>
          </w:tcPr>
          <w:p w14:paraId="470A0C1E" w14:textId="77777777" w:rsidR="00525A91" w:rsidRPr="00361EBF" w:rsidRDefault="00525A91" w:rsidP="00887DDD">
            <w:pPr>
              <w:spacing w:line="360" w:lineRule="auto"/>
              <w:jc w:val="center"/>
              <w:rPr>
                <w:rFonts w:ascii="Cambria" w:hAnsi="Cambria" w:cs="Arial"/>
                <w:sz w:val="22"/>
                <w:szCs w:val="22"/>
              </w:rPr>
            </w:pPr>
            <w:r w:rsidRPr="00361EBF">
              <w:rPr>
                <w:rFonts w:ascii="Cambria" w:hAnsi="Cambria" w:cs="Arial"/>
                <w:sz w:val="22"/>
                <w:szCs w:val="22"/>
              </w:rPr>
              <w:t>306</w:t>
            </w:r>
          </w:p>
        </w:tc>
        <w:tc>
          <w:tcPr>
            <w:tcW w:w="1336" w:type="dxa"/>
            <w:vAlign w:val="center"/>
          </w:tcPr>
          <w:p w14:paraId="677FC3B9" w14:textId="77777777" w:rsidR="00525A91" w:rsidRPr="00361EBF" w:rsidRDefault="00525A91" w:rsidP="00887DDD">
            <w:pPr>
              <w:spacing w:line="360" w:lineRule="auto"/>
              <w:jc w:val="center"/>
              <w:rPr>
                <w:rFonts w:ascii="Cambria" w:hAnsi="Cambria" w:cs="Arial"/>
                <w:sz w:val="22"/>
                <w:szCs w:val="22"/>
              </w:rPr>
            </w:pPr>
            <w:r w:rsidRPr="00361EBF">
              <w:rPr>
                <w:rFonts w:ascii="Cambria" w:hAnsi="Cambria" w:cs="Arial"/>
                <w:sz w:val="22"/>
                <w:szCs w:val="22"/>
              </w:rPr>
              <w:t>806</w:t>
            </w:r>
          </w:p>
        </w:tc>
        <w:tc>
          <w:tcPr>
            <w:tcW w:w="1336" w:type="dxa"/>
            <w:vAlign w:val="center"/>
          </w:tcPr>
          <w:p w14:paraId="2B846E78" w14:textId="77777777" w:rsidR="00525A91" w:rsidRPr="00361EBF" w:rsidRDefault="00525A91" w:rsidP="00887DDD">
            <w:pPr>
              <w:spacing w:line="360" w:lineRule="auto"/>
              <w:jc w:val="center"/>
              <w:rPr>
                <w:rFonts w:ascii="Cambria" w:hAnsi="Cambria" w:cs="Arial"/>
                <w:sz w:val="22"/>
                <w:szCs w:val="22"/>
              </w:rPr>
            </w:pPr>
            <w:r w:rsidRPr="00361EBF">
              <w:rPr>
                <w:rFonts w:ascii="Cambria" w:hAnsi="Cambria" w:cs="Arial"/>
                <w:sz w:val="22"/>
                <w:szCs w:val="22"/>
              </w:rPr>
              <w:t>1139</w:t>
            </w:r>
          </w:p>
        </w:tc>
        <w:tc>
          <w:tcPr>
            <w:tcW w:w="1336" w:type="dxa"/>
            <w:vAlign w:val="center"/>
          </w:tcPr>
          <w:p w14:paraId="128EB867" w14:textId="77777777" w:rsidR="00525A91" w:rsidRPr="00361EBF" w:rsidRDefault="00525A91" w:rsidP="00887DDD">
            <w:pPr>
              <w:spacing w:line="360" w:lineRule="auto"/>
              <w:jc w:val="center"/>
              <w:rPr>
                <w:rFonts w:ascii="Cambria" w:hAnsi="Cambria" w:cs="Arial"/>
                <w:sz w:val="22"/>
                <w:szCs w:val="22"/>
              </w:rPr>
            </w:pPr>
            <w:r w:rsidRPr="00361EBF">
              <w:rPr>
                <w:rFonts w:ascii="Cambria" w:hAnsi="Cambria" w:cs="Arial"/>
                <w:sz w:val="22"/>
                <w:szCs w:val="22"/>
              </w:rPr>
              <w:t>1461</w:t>
            </w:r>
          </w:p>
        </w:tc>
        <w:tc>
          <w:tcPr>
            <w:tcW w:w="1515" w:type="dxa"/>
            <w:vAlign w:val="center"/>
          </w:tcPr>
          <w:p w14:paraId="084513D9" w14:textId="77777777" w:rsidR="00525A91" w:rsidRPr="00361EBF" w:rsidRDefault="00525A91" w:rsidP="00887DDD">
            <w:pPr>
              <w:spacing w:line="360" w:lineRule="auto"/>
              <w:jc w:val="center"/>
              <w:rPr>
                <w:rFonts w:ascii="Cambria" w:hAnsi="Cambria" w:cs="Arial"/>
                <w:sz w:val="22"/>
                <w:szCs w:val="22"/>
              </w:rPr>
            </w:pPr>
            <w:r w:rsidRPr="00361EBF">
              <w:rPr>
                <w:rFonts w:ascii="Cambria" w:hAnsi="Cambria" w:cs="Arial"/>
                <w:sz w:val="22"/>
                <w:szCs w:val="22"/>
              </w:rPr>
              <w:t>1663</w:t>
            </w:r>
          </w:p>
        </w:tc>
      </w:tr>
    </w:tbl>
    <w:p w14:paraId="348C5D98" w14:textId="07A37E0B" w:rsidR="00525A91" w:rsidRPr="009223CF" w:rsidRDefault="00525A91" w:rsidP="00525A91">
      <w:pPr>
        <w:spacing w:line="360" w:lineRule="auto"/>
        <w:rPr>
          <w:rFonts w:asciiTheme="majorHAnsi" w:hAnsiTheme="majorHAnsi"/>
          <w:highlight w:val="yellow"/>
        </w:rPr>
      </w:pPr>
      <w:r w:rsidRPr="00A74C22">
        <w:tab/>
      </w:r>
      <w:r w:rsidRPr="00A74C22">
        <w:tab/>
      </w:r>
      <w:r w:rsidRPr="00A74C22">
        <w:tab/>
      </w:r>
      <w:r w:rsidRPr="00A74C22">
        <w:tab/>
      </w:r>
    </w:p>
    <w:p w14:paraId="59C75391" w14:textId="77777777" w:rsidR="007B66E8" w:rsidRDefault="007B66E8" w:rsidP="00525A91">
      <w:pPr>
        <w:spacing w:line="360" w:lineRule="auto"/>
        <w:jc w:val="both"/>
        <w:rPr>
          <w:rFonts w:asciiTheme="majorHAnsi" w:hAnsiTheme="majorHAnsi"/>
        </w:rPr>
      </w:pPr>
    </w:p>
    <w:p w14:paraId="3E0A92D8" w14:textId="77777777" w:rsidR="00887DDD" w:rsidRDefault="00887DDD" w:rsidP="007B66E8">
      <w:pPr>
        <w:spacing w:beforeLines="100" w:before="240" w:afterLines="100" w:after="240" w:line="360" w:lineRule="auto"/>
        <w:jc w:val="both"/>
        <w:rPr>
          <w:rFonts w:asciiTheme="majorHAnsi" w:hAnsiTheme="majorHAnsi"/>
        </w:rPr>
      </w:pPr>
    </w:p>
    <w:p w14:paraId="3D2BC408" w14:textId="3B6228AF" w:rsidR="004F17E6" w:rsidRDefault="004F17E6" w:rsidP="00536DEE">
      <w:pPr>
        <w:spacing w:after="120" w:line="360" w:lineRule="auto"/>
        <w:jc w:val="both"/>
        <w:rPr>
          <w:rFonts w:asciiTheme="majorHAnsi" w:hAnsiTheme="majorHAnsi"/>
        </w:rPr>
      </w:pPr>
      <w:r>
        <w:rPr>
          <w:rFonts w:asciiTheme="majorHAnsi" w:hAnsiTheme="majorHAnsi"/>
        </w:rPr>
        <w:t>Further, it is submitted that Hon’ble Commission has already approved Rs. 2</w:t>
      </w:r>
      <w:r w:rsidR="008C1F88">
        <w:rPr>
          <w:rFonts w:asciiTheme="majorHAnsi" w:hAnsiTheme="majorHAnsi"/>
        </w:rPr>
        <w:t>134</w:t>
      </w:r>
      <w:r>
        <w:rPr>
          <w:rFonts w:asciiTheme="majorHAnsi" w:hAnsiTheme="majorHAnsi"/>
        </w:rPr>
        <w:t xml:space="preserve"> Cr. cumulatively for five years till FY </w:t>
      </w:r>
      <w:r w:rsidR="007507C7">
        <w:rPr>
          <w:rFonts w:asciiTheme="majorHAnsi" w:hAnsiTheme="majorHAnsi"/>
        </w:rPr>
        <w:t>2</w:t>
      </w:r>
      <w:r w:rsidR="00C877CB">
        <w:rPr>
          <w:rFonts w:asciiTheme="majorHAnsi" w:hAnsiTheme="majorHAnsi"/>
        </w:rPr>
        <w:t>5</w:t>
      </w:r>
      <w:r w:rsidR="007507C7">
        <w:rPr>
          <w:rFonts w:asciiTheme="majorHAnsi" w:hAnsiTheme="majorHAnsi"/>
        </w:rPr>
        <w:t>-2</w:t>
      </w:r>
      <w:r w:rsidR="00C877CB">
        <w:rPr>
          <w:rFonts w:asciiTheme="majorHAnsi" w:hAnsiTheme="majorHAnsi"/>
        </w:rPr>
        <w:t>6</w:t>
      </w:r>
      <w:r>
        <w:rPr>
          <w:rFonts w:asciiTheme="majorHAnsi" w:hAnsiTheme="majorHAnsi"/>
        </w:rPr>
        <w:t xml:space="preserve"> as per table below:</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272"/>
        <w:gridCol w:w="1305"/>
        <w:gridCol w:w="2069"/>
      </w:tblGrid>
      <w:tr w:rsidR="007B6AD1" w:rsidRPr="00361EBF" w14:paraId="696ACBD2" w14:textId="77777777" w:rsidTr="00361EBF">
        <w:trPr>
          <w:trHeight w:val="290"/>
          <w:jc w:val="center"/>
        </w:trPr>
        <w:tc>
          <w:tcPr>
            <w:tcW w:w="1445" w:type="dxa"/>
            <w:shd w:val="clear" w:color="auto" w:fill="8DB3E2" w:themeFill="text2" w:themeFillTint="66"/>
            <w:noWrap/>
            <w:vAlign w:val="center"/>
            <w:hideMark/>
          </w:tcPr>
          <w:p w14:paraId="383AF1F4" w14:textId="5611CBC4" w:rsidR="007B6AD1" w:rsidRPr="00361EBF" w:rsidRDefault="000B6349" w:rsidP="00F95104">
            <w:pPr>
              <w:jc w:val="center"/>
              <w:rPr>
                <w:rFonts w:asciiTheme="majorHAnsi" w:hAnsiTheme="majorHAnsi" w:cs="Calibri"/>
                <w:b/>
                <w:bCs/>
                <w:color w:val="000000"/>
                <w:sz w:val="22"/>
                <w:szCs w:val="22"/>
                <w:lang w:val="en-IN" w:eastAsia="en-IN"/>
              </w:rPr>
            </w:pPr>
            <w:r w:rsidRPr="00361EBF">
              <w:rPr>
                <w:rFonts w:asciiTheme="majorHAnsi" w:hAnsiTheme="majorHAnsi" w:cs="Calibri"/>
                <w:b/>
                <w:bCs/>
                <w:color w:val="000000"/>
                <w:sz w:val="22"/>
                <w:szCs w:val="22"/>
              </w:rPr>
              <w:t>FY</w:t>
            </w:r>
          </w:p>
        </w:tc>
        <w:tc>
          <w:tcPr>
            <w:tcW w:w="1272" w:type="dxa"/>
            <w:shd w:val="clear" w:color="auto" w:fill="8DB3E2" w:themeFill="text2" w:themeFillTint="66"/>
            <w:noWrap/>
            <w:vAlign w:val="center"/>
            <w:hideMark/>
          </w:tcPr>
          <w:p w14:paraId="4860F29C" w14:textId="63AE24FB" w:rsidR="007B6AD1" w:rsidRPr="00361EBF" w:rsidRDefault="007B6AD1" w:rsidP="00F95104">
            <w:pPr>
              <w:jc w:val="center"/>
              <w:rPr>
                <w:rFonts w:asciiTheme="majorHAnsi" w:hAnsiTheme="majorHAnsi" w:cs="Calibri"/>
                <w:b/>
                <w:bCs/>
                <w:color w:val="000000"/>
                <w:sz w:val="22"/>
                <w:szCs w:val="22"/>
              </w:rPr>
            </w:pPr>
            <w:r w:rsidRPr="00361EBF">
              <w:rPr>
                <w:rFonts w:asciiTheme="majorHAnsi" w:hAnsiTheme="majorHAnsi" w:cs="Calibri"/>
                <w:b/>
                <w:bCs/>
                <w:color w:val="000000"/>
                <w:sz w:val="22"/>
                <w:szCs w:val="22"/>
              </w:rPr>
              <w:t>Proposed</w:t>
            </w:r>
            <w:r w:rsidR="00361EBF">
              <w:rPr>
                <w:rFonts w:asciiTheme="majorHAnsi" w:hAnsiTheme="majorHAnsi" w:cs="Calibri"/>
                <w:b/>
                <w:bCs/>
                <w:color w:val="000000"/>
                <w:sz w:val="22"/>
                <w:szCs w:val="22"/>
              </w:rPr>
              <w:t xml:space="preserve"> (Rs. Cr.)</w:t>
            </w:r>
          </w:p>
        </w:tc>
        <w:tc>
          <w:tcPr>
            <w:tcW w:w="1305" w:type="dxa"/>
            <w:shd w:val="clear" w:color="auto" w:fill="8DB3E2" w:themeFill="text2" w:themeFillTint="66"/>
            <w:noWrap/>
            <w:vAlign w:val="center"/>
            <w:hideMark/>
          </w:tcPr>
          <w:p w14:paraId="4A4823C3" w14:textId="41C70BE9" w:rsidR="007B6AD1" w:rsidRPr="00361EBF" w:rsidRDefault="007B6AD1" w:rsidP="00F95104">
            <w:pPr>
              <w:jc w:val="center"/>
              <w:rPr>
                <w:rFonts w:asciiTheme="majorHAnsi" w:hAnsiTheme="majorHAnsi" w:cs="Calibri"/>
                <w:b/>
                <w:bCs/>
                <w:color w:val="000000"/>
                <w:sz w:val="22"/>
                <w:szCs w:val="22"/>
              </w:rPr>
            </w:pPr>
            <w:r w:rsidRPr="00361EBF">
              <w:rPr>
                <w:rFonts w:asciiTheme="majorHAnsi" w:hAnsiTheme="majorHAnsi" w:cs="Calibri"/>
                <w:b/>
                <w:bCs/>
                <w:color w:val="000000"/>
                <w:sz w:val="22"/>
                <w:szCs w:val="22"/>
              </w:rPr>
              <w:t>Approved</w:t>
            </w:r>
            <w:r w:rsidR="00361EBF">
              <w:rPr>
                <w:rFonts w:asciiTheme="majorHAnsi" w:hAnsiTheme="majorHAnsi" w:cs="Calibri"/>
                <w:b/>
                <w:bCs/>
                <w:color w:val="000000"/>
                <w:sz w:val="22"/>
                <w:szCs w:val="22"/>
              </w:rPr>
              <w:t xml:space="preserve"> (Rs. Cr.)</w:t>
            </w:r>
          </w:p>
        </w:tc>
        <w:tc>
          <w:tcPr>
            <w:tcW w:w="2069" w:type="dxa"/>
            <w:shd w:val="clear" w:color="auto" w:fill="8DB3E2" w:themeFill="text2" w:themeFillTint="66"/>
            <w:noWrap/>
            <w:vAlign w:val="center"/>
            <w:hideMark/>
          </w:tcPr>
          <w:p w14:paraId="4C90C88E" w14:textId="3D6820B0" w:rsidR="007B6AD1" w:rsidRPr="00361EBF" w:rsidRDefault="007B6AD1" w:rsidP="00F95104">
            <w:pPr>
              <w:jc w:val="center"/>
              <w:rPr>
                <w:rFonts w:asciiTheme="majorHAnsi" w:hAnsiTheme="majorHAnsi" w:cs="Calibri"/>
                <w:b/>
                <w:bCs/>
                <w:color w:val="000000"/>
                <w:sz w:val="22"/>
                <w:szCs w:val="22"/>
              </w:rPr>
            </w:pPr>
            <w:r w:rsidRPr="00361EBF">
              <w:rPr>
                <w:rFonts w:asciiTheme="majorHAnsi" w:hAnsiTheme="majorHAnsi" w:cs="Calibri"/>
                <w:b/>
                <w:bCs/>
                <w:color w:val="000000"/>
                <w:sz w:val="22"/>
                <w:szCs w:val="22"/>
              </w:rPr>
              <w:t>Cumulative Approval</w:t>
            </w:r>
            <w:r w:rsidR="00361EBF">
              <w:rPr>
                <w:rFonts w:asciiTheme="majorHAnsi" w:hAnsiTheme="majorHAnsi" w:cs="Calibri"/>
                <w:b/>
                <w:bCs/>
                <w:color w:val="000000"/>
                <w:sz w:val="22"/>
                <w:szCs w:val="22"/>
              </w:rPr>
              <w:t xml:space="preserve"> (Rs. Cr.)</w:t>
            </w:r>
          </w:p>
        </w:tc>
      </w:tr>
      <w:tr w:rsidR="00BD065E" w:rsidRPr="00361EBF" w14:paraId="0302D7ED" w14:textId="77777777" w:rsidTr="00361EBF">
        <w:trPr>
          <w:trHeight w:val="290"/>
          <w:jc w:val="center"/>
        </w:trPr>
        <w:tc>
          <w:tcPr>
            <w:tcW w:w="1445" w:type="dxa"/>
            <w:noWrap/>
            <w:hideMark/>
          </w:tcPr>
          <w:p w14:paraId="411A2822" w14:textId="60029D2C" w:rsidR="00BD065E" w:rsidRPr="00361EBF" w:rsidRDefault="00BD065E" w:rsidP="00361EBF">
            <w:pPr>
              <w:jc w:val="center"/>
              <w:rPr>
                <w:rFonts w:asciiTheme="majorHAnsi" w:hAnsiTheme="majorHAnsi" w:cs="Calibri"/>
                <w:color w:val="000000"/>
                <w:sz w:val="22"/>
                <w:szCs w:val="22"/>
              </w:rPr>
            </w:pPr>
            <w:r w:rsidRPr="00361EBF">
              <w:rPr>
                <w:rFonts w:asciiTheme="majorHAnsi" w:hAnsiTheme="majorHAnsi"/>
                <w:sz w:val="22"/>
                <w:szCs w:val="22"/>
              </w:rPr>
              <w:t>2021-22</w:t>
            </w:r>
          </w:p>
        </w:tc>
        <w:tc>
          <w:tcPr>
            <w:tcW w:w="1272" w:type="dxa"/>
            <w:noWrap/>
            <w:vAlign w:val="bottom"/>
            <w:hideMark/>
          </w:tcPr>
          <w:p w14:paraId="238268F6" w14:textId="77777777" w:rsidR="00BD065E" w:rsidRPr="00361EBF" w:rsidRDefault="00BD065E" w:rsidP="00361EBF">
            <w:pPr>
              <w:jc w:val="center"/>
              <w:rPr>
                <w:rFonts w:asciiTheme="majorHAnsi" w:hAnsiTheme="majorHAnsi" w:cs="Calibri"/>
                <w:color w:val="000000"/>
                <w:sz w:val="22"/>
                <w:szCs w:val="22"/>
              </w:rPr>
            </w:pPr>
            <w:r w:rsidRPr="00361EBF">
              <w:rPr>
                <w:rFonts w:asciiTheme="majorHAnsi" w:hAnsiTheme="majorHAnsi" w:cs="Calibri"/>
                <w:color w:val="000000"/>
                <w:sz w:val="22"/>
                <w:szCs w:val="22"/>
              </w:rPr>
              <w:t>462</w:t>
            </w:r>
          </w:p>
        </w:tc>
        <w:tc>
          <w:tcPr>
            <w:tcW w:w="1305" w:type="dxa"/>
            <w:noWrap/>
            <w:hideMark/>
          </w:tcPr>
          <w:p w14:paraId="5D015937" w14:textId="295118F3" w:rsidR="00BD065E" w:rsidRPr="00361EBF" w:rsidRDefault="00BD065E" w:rsidP="00361EBF">
            <w:pPr>
              <w:jc w:val="center"/>
              <w:rPr>
                <w:rFonts w:asciiTheme="majorHAnsi" w:hAnsiTheme="majorHAnsi" w:cs="Calibri"/>
                <w:color w:val="000000"/>
                <w:sz w:val="22"/>
                <w:szCs w:val="22"/>
              </w:rPr>
            </w:pPr>
            <w:r w:rsidRPr="00361EBF">
              <w:rPr>
                <w:rFonts w:asciiTheme="majorHAnsi" w:hAnsiTheme="majorHAnsi"/>
                <w:sz w:val="22"/>
                <w:szCs w:val="22"/>
              </w:rPr>
              <w:t>333.13</w:t>
            </w:r>
          </w:p>
        </w:tc>
        <w:tc>
          <w:tcPr>
            <w:tcW w:w="2069" w:type="dxa"/>
            <w:noWrap/>
            <w:vAlign w:val="bottom"/>
            <w:hideMark/>
          </w:tcPr>
          <w:p w14:paraId="17C8877F" w14:textId="77777777" w:rsidR="00BD065E" w:rsidRPr="00361EBF" w:rsidRDefault="00BD065E" w:rsidP="00361EBF">
            <w:pPr>
              <w:jc w:val="center"/>
              <w:rPr>
                <w:rFonts w:asciiTheme="majorHAnsi" w:hAnsiTheme="majorHAnsi" w:cs="Calibri"/>
                <w:color w:val="000000"/>
                <w:sz w:val="22"/>
                <w:szCs w:val="22"/>
              </w:rPr>
            </w:pPr>
            <w:r w:rsidRPr="00361EBF">
              <w:rPr>
                <w:rFonts w:asciiTheme="majorHAnsi" w:hAnsiTheme="majorHAnsi" w:cs="Calibri"/>
                <w:color w:val="000000"/>
                <w:sz w:val="22"/>
                <w:szCs w:val="22"/>
              </w:rPr>
              <w:t>333</w:t>
            </w:r>
          </w:p>
        </w:tc>
      </w:tr>
      <w:tr w:rsidR="0042040D" w:rsidRPr="00361EBF" w14:paraId="1F3687AD" w14:textId="77777777" w:rsidTr="00361EBF">
        <w:trPr>
          <w:trHeight w:val="290"/>
          <w:jc w:val="center"/>
        </w:trPr>
        <w:tc>
          <w:tcPr>
            <w:tcW w:w="1445" w:type="dxa"/>
            <w:noWrap/>
            <w:hideMark/>
          </w:tcPr>
          <w:p w14:paraId="1F2248D6" w14:textId="4A097F05" w:rsidR="0042040D" w:rsidRPr="00361EBF" w:rsidRDefault="0042040D" w:rsidP="00361EBF">
            <w:pPr>
              <w:jc w:val="center"/>
              <w:rPr>
                <w:rFonts w:asciiTheme="majorHAnsi" w:hAnsiTheme="majorHAnsi" w:cs="Calibri"/>
                <w:color w:val="000000"/>
                <w:sz w:val="22"/>
                <w:szCs w:val="22"/>
              </w:rPr>
            </w:pPr>
            <w:r w:rsidRPr="00361EBF">
              <w:rPr>
                <w:rFonts w:asciiTheme="majorHAnsi" w:hAnsiTheme="majorHAnsi"/>
                <w:sz w:val="22"/>
                <w:szCs w:val="22"/>
              </w:rPr>
              <w:t>2022-23</w:t>
            </w:r>
          </w:p>
        </w:tc>
        <w:tc>
          <w:tcPr>
            <w:tcW w:w="1272" w:type="dxa"/>
            <w:noWrap/>
            <w:vAlign w:val="bottom"/>
            <w:hideMark/>
          </w:tcPr>
          <w:p w14:paraId="0150F3E5" w14:textId="77777777" w:rsidR="0042040D" w:rsidRPr="00361EBF" w:rsidRDefault="0042040D" w:rsidP="00361EBF">
            <w:pPr>
              <w:jc w:val="center"/>
              <w:rPr>
                <w:rFonts w:asciiTheme="majorHAnsi" w:hAnsiTheme="majorHAnsi" w:cs="Calibri"/>
                <w:color w:val="000000"/>
                <w:sz w:val="22"/>
                <w:szCs w:val="22"/>
              </w:rPr>
            </w:pPr>
            <w:r w:rsidRPr="00361EBF">
              <w:rPr>
                <w:rFonts w:asciiTheme="majorHAnsi" w:hAnsiTheme="majorHAnsi" w:cs="Calibri"/>
                <w:color w:val="000000"/>
                <w:sz w:val="22"/>
                <w:szCs w:val="22"/>
              </w:rPr>
              <w:t>582.18</w:t>
            </w:r>
          </w:p>
        </w:tc>
        <w:tc>
          <w:tcPr>
            <w:tcW w:w="1305" w:type="dxa"/>
            <w:noWrap/>
            <w:hideMark/>
          </w:tcPr>
          <w:p w14:paraId="19A93A83" w14:textId="7F4E2C4A" w:rsidR="0042040D" w:rsidRPr="00361EBF" w:rsidRDefault="0042040D" w:rsidP="00361EBF">
            <w:pPr>
              <w:jc w:val="center"/>
              <w:rPr>
                <w:rFonts w:asciiTheme="majorHAnsi" w:hAnsiTheme="majorHAnsi" w:cs="Calibri"/>
                <w:color w:val="000000"/>
                <w:sz w:val="22"/>
                <w:szCs w:val="22"/>
              </w:rPr>
            </w:pPr>
            <w:r w:rsidRPr="00361EBF">
              <w:rPr>
                <w:rFonts w:asciiTheme="majorHAnsi" w:hAnsiTheme="majorHAnsi"/>
                <w:sz w:val="22"/>
                <w:szCs w:val="22"/>
              </w:rPr>
              <w:t>477.72</w:t>
            </w:r>
          </w:p>
        </w:tc>
        <w:tc>
          <w:tcPr>
            <w:tcW w:w="2069" w:type="dxa"/>
            <w:noWrap/>
            <w:hideMark/>
          </w:tcPr>
          <w:p w14:paraId="0C366E6A" w14:textId="2598014E" w:rsidR="0042040D" w:rsidRPr="00361EBF" w:rsidRDefault="0042040D" w:rsidP="00361EBF">
            <w:pPr>
              <w:jc w:val="center"/>
              <w:rPr>
                <w:rFonts w:asciiTheme="majorHAnsi" w:hAnsiTheme="majorHAnsi" w:cs="Calibri"/>
                <w:color w:val="000000"/>
                <w:sz w:val="22"/>
                <w:szCs w:val="22"/>
              </w:rPr>
            </w:pPr>
            <w:r w:rsidRPr="00361EBF">
              <w:rPr>
                <w:rFonts w:asciiTheme="majorHAnsi" w:hAnsiTheme="majorHAnsi"/>
                <w:sz w:val="22"/>
                <w:szCs w:val="22"/>
              </w:rPr>
              <w:t>810.85</w:t>
            </w:r>
          </w:p>
        </w:tc>
      </w:tr>
      <w:tr w:rsidR="0042040D" w:rsidRPr="00361EBF" w14:paraId="2FF89625" w14:textId="77777777" w:rsidTr="00361EBF">
        <w:trPr>
          <w:trHeight w:val="290"/>
          <w:jc w:val="center"/>
        </w:trPr>
        <w:tc>
          <w:tcPr>
            <w:tcW w:w="1445" w:type="dxa"/>
            <w:noWrap/>
            <w:hideMark/>
          </w:tcPr>
          <w:p w14:paraId="09FFCBA9" w14:textId="57130113" w:rsidR="0042040D" w:rsidRPr="00361EBF" w:rsidRDefault="0042040D" w:rsidP="00361EBF">
            <w:pPr>
              <w:jc w:val="center"/>
              <w:rPr>
                <w:rFonts w:asciiTheme="majorHAnsi" w:hAnsiTheme="majorHAnsi" w:cs="Calibri"/>
                <w:color w:val="000000"/>
                <w:sz w:val="22"/>
                <w:szCs w:val="22"/>
              </w:rPr>
            </w:pPr>
            <w:r w:rsidRPr="00361EBF">
              <w:rPr>
                <w:rFonts w:asciiTheme="majorHAnsi" w:hAnsiTheme="majorHAnsi"/>
                <w:sz w:val="22"/>
                <w:szCs w:val="22"/>
              </w:rPr>
              <w:t>2023-24</w:t>
            </w:r>
          </w:p>
        </w:tc>
        <w:tc>
          <w:tcPr>
            <w:tcW w:w="1272" w:type="dxa"/>
            <w:noWrap/>
            <w:vAlign w:val="bottom"/>
            <w:hideMark/>
          </w:tcPr>
          <w:p w14:paraId="3534B905" w14:textId="2300A452" w:rsidR="0042040D" w:rsidRPr="00361EBF" w:rsidRDefault="0042040D" w:rsidP="00361EBF">
            <w:pPr>
              <w:jc w:val="center"/>
              <w:rPr>
                <w:rFonts w:asciiTheme="majorHAnsi" w:hAnsiTheme="majorHAnsi" w:cs="Calibri"/>
                <w:color w:val="000000"/>
                <w:sz w:val="22"/>
                <w:szCs w:val="22"/>
              </w:rPr>
            </w:pPr>
            <w:r w:rsidRPr="00361EBF">
              <w:rPr>
                <w:rFonts w:asciiTheme="majorHAnsi" w:hAnsiTheme="majorHAnsi" w:cs="Calibri"/>
                <w:color w:val="000000"/>
                <w:sz w:val="22"/>
                <w:szCs w:val="22"/>
              </w:rPr>
              <w:t>98.84</w:t>
            </w:r>
          </w:p>
        </w:tc>
        <w:tc>
          <w:tcPr>
            <w:tcW w:w="1305" w:type="dxa"/>
            <w:noWrap/>
            <w:hideMark/>
          </w:tcPr>
          <w:p w14:paraId="42AAD3DD" w14:textId="02F1FD5F" w:rsidR="0042040D" w:rsidRPr="00361EBF" w:rsidRDefault="0042040D" w:rsidP="00361EBF">
            <w:pPr>
              <w:jc w:val="center"/>
              <w:rPr>
                <w:rFonts w:asciiTheme="majorHAnsi" w:hAnsiTheme="majorHAnsi" w:cs="Calibri"/>
                <w:color w:val="000000"/>
                <w:sz w:val="22"/>
                <w:szCs w:val="22"/>
              </w:rPr>
            </w:pPr>
            <w:r w:rsidRPr="00361EBF">
              <w:rPr>
                <w:rFonts w:asciiTheme="majorHAnsi" w:hAnsiTheme="majorHAnsi"/>
                <w:sz w:val="22"/>
                <w:szCs w:val="22"/>
              </w:rPr>
              <w:t>381.91</w:t>
            </w:r>
          </w:p>
        </w:tc>
        <w:tc>
          <w:tcPr>
            <w:tcW w:w="2069" w:type="dxa"/>
            <w:noWrap/>
            <w:hideMark/>
          </w:tcPr>
          <w:p w14:paraId="2E8E9BB7" w14:textId="10F49907" w:rsidR="0042040D" w:rsidRPr="00361EBF" w:rsidRDefault="0042040D" w:rsidP="00361EBF">
            <w:pPr>
              <w:jc w:val="center"/>
              <w:rPr>
                <w:rFonts w:asciiTheme="majorHAnsi" w:hAnsiTheme="majorHAnsi" w:cs="Calibri"/>
                <w:color w:val="000000"/>
                <w:sz w:val="22"/>
                <w:szCs w:val="22"/>
              </w:rPr>
            </w:pPr>
            <w:r w:rsidRPr="00361EBF">
              <w:rPr>
                <w:rFonts w:asciiTheme="majorHAnsi" w:hAnsiTheme="majorHAnsi"/>
                <w:sz w:val="22"/>
                <w:szCs w:val="22"/>
              </w:rPr>
              <w:t>1192.76</w:t>
            </w:r>
          </w:p>
        </w:tc>
      </w:tr>
      <w:tr w:rsidR="0042040D" w:rsidRPr="00361EBF" w14:paraId="404749E4" w14:textId="77777777" w:rsidTr="00361EBF">
        <w:trPr>
          <w:trHeight w:val="290"/>
          <w:jc w:val="center"/>
        </w:trPr>
        <w:tc>
          <w:tcPr>
            <w:tcW w:w="1445" w:type="dxa"/>
            <w:noWrap/>
            <w:hideMark/>
          </w:tcPr>
          <w:p w14:paraId="6EA4DB09" w14:textId="6C3BF7CD" w:rsidR="0042040D" w:rsidRPr="00361EBF" w:rsidRDefault="0042040D" w:rsidP="00361EBF">
            <w:pPr>
              <w:jc w:val="center"/>
              <w:rPr>
                <w:rFonts w:asciiTheme="majorHAnsi" w:hAnsiTheme="majorHAnsi" w:cs="Calibri"/>
                <w:color w:val="000000"/>
                <w:sz w:val="22"/>
                <w:szCs w:val="22"/>
              </w:rPr>
            </w:pPr>
            <w:r w:rsidRPr="00361EBF">
              <w:rPr>
                <w:rFonts w:asciiTheme="majorHAnsi" w:hAnsiTheme="majorHAnsi"/>
                <w:sz w:val="22"/>
                <w:szCs w:val="22"/>
              </w:rPr>
              <w:t>2024-25*</w:t>
            </w:r>
          </w:p>
        </w:tc>
        <w:tc>
          <w:tcPr>
            <w:tcW w:w="1272" w:type="dxa"/>
            <w:noWrap/>
            <w:vAlign w:val="bottom"/>
            <w:hideMark/>
          </w:tcPr>
          <w:p w14:paraId="4573E10E" w14:textId="77777777" w:rsidR="0042040D" w:rsidRPr="00361EBF" w:rsidRDefault="0042040D" w:rsidP="00361EBF">
            <w:pPr>
              <w:jc w:val="center"/>
              <w:rPr>
                <w:rFonts w:asciiTheme="majorHAnsi" w:hAnsiTheme="majorHAnsi" w:cs="Calibri"/>
                <w:color w:val="000000"/>
                <w:sz w:val="22"/>
                <w:szCs w:val="22"/>
              </w:rPr>
            </w:pPr>
            <w:r w:rsidRPr="00361EBF">
              <w:rPr>
                <w:rFonts w:asciiTheme="majorHAnsi" w:hAnsiTheme="majorHAnsi" w:cs="Calibri"/>
                <w:color w:val="000000"/>
                <w:sz w:val="22"/>
                <w:szCs w:val="22"/>
              </w:rPr>
              <w:t>571.97</w:t>
            </w:r>
          </w:p>
        </w:tc>
        <w:tc>
          <w:tcPr>
            <w:tcW w:w="1305" w:type="dxa"/>
            <w:noWrap/>
            <w:hideMark/>
          </w:tcPr>
          <w:p w14:paraId="098DA870" w14:textId="2B69D42D" w:rsidR="0042040D" w:rsidRPr="00361EBF" w:rsidRDefault="0042040D" w:rsidP="00361EBF">
            <w:pPr>
              <w:jc w:val="center"/>
              <w:rPr>
                <w:rFonts w:asciiTheme="majorHAnsi" w:hAnsiTheme="majorHAnsi" w:cs="Calibri"/>
                <w:color w:val="000000"/>
                <w:sz w:val="22"/>
                <w:szCs w:val="22"/>
              </w:rPr>
            </w:pPr>
            <w:r w:rsidRPr="00361EBF">
              <w:rPr>
                <w:rFonts w:asciiTheme="majorHAnsi" w:hAnsiTheme="majorHAnsi"/>
                <w:sz w:val="22"/>
                <w:szCs w:val="22"/>
              </w:rPr>
              <w:t>566.11</w:t>
            </w:r>
          </w:p>
        </w:tc>
        <w:tc>
          <w:tcPr>
            <w:tcW w:w="2069" w:type="dxa"/>
            <w:noWrap/>
            <w:hideMark/>
          </w:tcPr>
          <w:p w14:paraId="1A8375B4" w14:textId="05093871" w:rsidR="0042040D" w:rsidRPr="00361EBF" w:rsidRDefault="0042040D" w:rsidP="00361EBF">
            <w:pPr>
              <w:jc w:val="center"/>
              <w:rPr>
                <w:rFonts w:asciiTheme="majorHAnsi" w:hAnsiTheme="majorHAnsi" w:cs="Calibri"/>
                <w:color w:val="000000"/>
                <w:sz w:val="22"/>
                <w:szCs w:val="22"/>
              </w:rPr>
            </w:pPr>
            <w:r w:rsidRPr="00361EBF">
              <w:rPr>
                <w:rFonts w:asciiTheme="majorHAnsi" w:hAnsiTheme="majorHAnsi"/>
                <w:sz w:val="22"/>
                <w:szCs w:val="22"/>
              </w:rPr>
              <w:t>1758.87</w:t>
            </w:r>
          </w:p>
        </w:tc>
      </w:tr>
      <w:tr w:rsidR="0042040D" w:rsidRPr="00361EBF" w14:paraId="753A3289" w14:textId="77777777" w:rsidTr="00361EBF">
        <w:trPr>
          <w:trHeight w:val="290"/>
          <w:jc w:val="center"/>
        </w:trPr>
        <w:tc>
          <w:tcPr>
            <w:tcW w:w="1445" w:type="dxa"/>
            <w:noWrap/>
            <w:hideMark/>
          </w:tcPr>
          <w:p w14:paraId="09EA7EF5" w14:textId="7DFCC5DE" w:rsidR="0042040D" w:rsidRPr="00361EBF" w:rsidRDefault="0042040D" w:rsidP="00361EBF">
            <w:pPr>
              <w:jc w:val="center"/>
              <w:rPr>
                <w:rFonts w:asciiTheme="majorHAnsi" w:hAnsiTheme="majorHAnsi" w:cs="Calibri"/>
                <w:color w:val="000000"/>
                <w:sz w:val="22"/>
                <w:szCs w:val="22"/>
              </w:rPr>
            </w:pPr>
            <w:r w:rsidRPr="00361EBF">
              <w:rPr>
                <w:rFonts w:asciiTheme="majorHAnsi" w:hAnsiTheme="majorHAnsi"/>
                <w:sz w:val="22"/>
                <w:szCs w:val="22"/>
              </w:rPr>
              <w:t>2025-26*</w:t>
            </w:r>
          </w:p>
        </w:tc>
        <w:tc>
          <w:tcPr>
            <w:tcW w:w="1272" w:type="dxa"/>
            <w:noWrap/>
            <w:vAlign w:val="bottom"/>
            <w:hideMark/>
          </w:tcPr>
          <w:p w14:paraId="0415294A" w14:textId="77777777" w:rsidR="0042040D" w:rsidRPr="00361EBF" w:rsidRDefault="0042040D" w:rsidP="00361EBF">
            <w:pPr>
              <w:jc w:val="center"/>
              <w:rPr>
                <w:rFonts w:asciiTheme="majorHAnsi" w:hAnsiTheme="majorHAnsi" w:cs="Calibri"/>
                <w:color w:val="000000"/>
                <w:sz w:val="22"/>
                <w:szCs w:val="22"/>
              </w:rPr>
            </w:pPr>
            <w:r w:rsidRPr="00361EBF">
              <w:rPr>
                <w:rFonts w:asciiTheme="majorHAnsi" w:hAnsiTheme="majorHAnsi" w:cs="Calibri"/>
                <w:color w:val="000000"/>
                <w:sz w:val="22"/>
                <w:szCs w:val="22"/>
              </w:rPr>
              <w:t>403.13</w:t>
            </w:r>
          </w:p>
        </w:tc>
        <w:tc>
          <w:tcPr>
            <w:tcW w:w="1305" w:type="dxa"/>
            <w:noWrap/>
            <w:hideMark/>
          </w:tcPr>
          <w:p w14:paraId="3ADDBCC5" w14:textId="3B66A5BE" w:rsidR="0042040D" w:rsidRPr="00361EBF" w:rsidRDefault="0042040D" w:rsidP="00361EBF">
            <w:pPr>
              <w:jc w:val="center"/>
              <w:rPr>
                <w:rFonts w:asciiTheme="majorHAnsi" w:hAnsiTheme="majorHAnsi" w:cs="Calibri"/>
                <w:color w:val="000000"/>
                <w:sz w:val="22"/>
                <w:szCs w:val="22"/>
              </w:rPr>
            </w:pPr>
            <w:r w:rsidRPr="00361EBF">
              <w:rPr>
                <w:rFonts w:asciiTheme="majorHAnsi" w:hAnsiTheme="majorHAnsi"/>
                <w:sz w:val="22"/>
                <w:szCs w:val="22"/>
              </w:rPr>
              <w:t>375.39</w:t>
            </w:r>
          </w:p>
        </w:tc>
        <w:tc>
          <w:tcPr>
            <w:tcW w:w="2069" w:type="dxa"/>
            <w:noWrap/>
            <w:hideMark/>
          </w:tcPr>
          <w:p w14:paraId="679FB6F1" w14:textId="651E635E" w:rsidR="0042040D" w:rsidRPr="00361EBF" w:rsidRDefault="0042040D" w:rsidP="00361EBF">
            <w:pPr>
              <w:jc w:val="center"/>
              <w:rPr>
                <w:rFonts w:asciiTheme="majorHAnsi" w:hAnsiTheme="majorHAnsi" w:cs="Calibri"/>
                <w:color w:val="000000"/>
                <w:sz w:val="22"/>
                <w:szCs w:val="22"/>
              </w:rPr>
            </w:pPr>
            <w:r w:rsidRPr="00361EBF">
              <w:rPr>
                <w:rFonts w:asciiTheme="majorHAnsi" w:hAnsiTheme="majorHAnsi"/>
                <w:sz w:val="22"/>
                <w:szCs w:val="22"/>
              </w:rPr>
              <w:t>2134.26</w:t>
            </w:r>
          </w:p>
        </w:tc>
      </w:tr>
      <w:tr w:rsidR="00BD065E" w:rsidRPr="00361EBF" w14:paraId="007F2D65" w14:textId="77777777" w:rsidTr="00361EBF">
        <w:trPr>
          <w:trHeight w:val="290"/>
          <w:jc w:val="center"/>
        </w:trPr>
        <w:tc>
          <w:tcPr>
            <w:tcW w:w="1445" w:type="dxa"/>
            <w:noWrap/>
            <w:vAlign w:val="bottom"/>
            <w:hideMark/>
          </w:tcPr>
          <w:p w14:paraId="54B19CB1" w14:textId="77777777" w:rsidR="00BD065E" w:rsidRPr="00361EBF" w:rsidRDefault="00BD065E" w:rsidP="00361EBF">
            <w:pPr>
              <w:jc w:val="center"/>
              <w:rPr>
                <w:rFonts w:asciiTheme="majorHAnsi" w:hAnsiTheme="majorHAnsi" w:cs="Calibri"/>
                <w:b/>
                <w:bCs/>
                <w:color w:val="000000"/>
                <w:sz w:val="22"/>
                <w:szCs w:val="22"/>
              </w:rPr>
            </w:pPr>
            <w:r w:rsidRPr="00361EBF">
              <w:rPr>
                <w:rFonts w:asciiTheme="majorHAnsi" w:hAnsiTheme="majorHAnsi" w:cs="Calibri"/>
                <w:b/>
                <w:bCs/>
                <w:color w:val="000000"/>
                <w:sz w:val="22"/>
                <w:szCs w:val="22"/>
              </w:rPr>
              <w:t>Total</w:t>
            </w:r>
          </w:p>
        </w:tc>
        <w:tc>
          <w:tcPr>
            <w:tcW w:w="1272" w:type="dxa"/>
            <w:noWrap/>
            <w:vAlign w:val="bottom"/>
            <w:hideMark/>
          </w:tcPr>
          <w:p w14:paraId="3CD513EF" w14:textId="77777777" w:rsidR="00BD065E" w:rsidRPr="00361EBF" w:rsidRDefault="00BD065E" w:rsidP="00361EBF">
            <w:pPr>
              <w:jc w:val="center"/>
              <w:rPr>
                <w:rFonts w:asciiTheme="majorHAnsi" w:hAnsiTheme="majorHAnsi" w:cs="Calibri"/>
                <w:b/>
                <w:bCs/>
                <w:color w:val="000000"/>
                <w:sz w:val="22"/>
                <w:szCs w:val="22"/>
              </w:rPr>
            </w:pPr>
            <w:r w:rsidRPr="00361EBF">
              <w:rPr>
                <w:rFonts w:asciiTheme="majorHAnsi" w:hAnsiTheme="majorHAnsi" w:cs="Calibri"/>
                <w:b/>
                <w:bCs/>
                <w:color w:val="000000"/>
                <w:sz w:val="22"/>
                <w:szCs w:val="22"/>
              </w:rPr>
              <w:t>2418.12</w:t>
            </w:r>
          </w:p>
        </w:tc>
        <w:tc>
          <w:tcPr>
            <w:tcW w:w="1305" w:type="dxa"/>
            <w:noWrap/>
            <w:hideMark/>
          </w:tcPr>
          <w:p w14:paraId="556A854D" w14:textId="208BF50E" w:rsidR="00BD065E" w:rsidRPr="00361EBF" w:rsidRDefault="00BD065E" w:rsidP="00361EBF">
            <w:pPr>
              <w:jc w:val="center"/>
              <w:rPr>
                <w:rFonts w:asciiTheme="majorHAnsi" w:hAnsiTheme="majorHAnsi" w:cs="Calibri"/>
                <w:b/>
                <w:bCs/>
                <w:color w:val="000000"/>
                <w:sz w:val="22"/>
                <w:szCs w:val="22"/>
              </w:rPr>
            </w:pPr>
            <w:r w:rsidRPr="00361EBF">
              <w:rPr>
                <w:rFonts w:asciiTheme="majorHAnsi" w:hAnsiTheme="majorHAnsi"/>
                <w:b/>
                <w:bCs/>
                <w:sz w:val="22"/>
                <w:szCs w:val="22"/>
              </w:rPr>
              <w:t>2134.26</w:t>
            </w:r>
          </w:p>
        </w:tc>
        <w:tc>
          <w:tcPr>
            <w:tcW w:w="2069" w:type="dxa"/>
            <w:noWrap/>
            <w:vAlign w:val="bottom"/>
            <w:hideMark/>
          </w:tcPr>
          <w:p w14:paraId="7288ADC4" w14:textId="3CDF9D23" w:rsidR="00BD065E" w:rsidRPr="00361EBF" w:rsidRDefault="0042040D" w:rsidP="00361EBF">
            <w:pPr>
              <w:jc w:val="center"/>
              <w:rPr>
                <w:rFonts w:asciiTheme="majorHAnsi" w:hAnsiTheme="majorHAnsi" w:cs="Calibri"/>
                <w:b/>
                <w:bCs/>
                <w:color w:val="000000"/>
                <w:sz w:val="22"/>
                <w:szCs w:val="22"/>
              </w:rPr>
            </w:pPr>
            <w:r w:rsidRPr="00361EBF">
              <w:rPr>
                <w:rFonts w:asciiTheme="majorHAnsi" w:hAnsiTheme="majorHAnsi"/>
                <w:b/>
                <w:bCs/>
                <w:sz w:val="22"/>
                <w:szCs w:val="22"/>
              </w:rPr>
              <w:t>2134.26</w:t>
            </w:r>
          </w:p>
        </w:tc>
      </w:tr>
    </w:tbl>
    <w:p w14:paraId="21D775AC" w14:textId="29D532A6" w:rsidR="00CF6A28" w:rsidRPr="00CF6A28" w:rsidRDefault="00CF6A28" w:rsidP="007B66E8">
      <w:pPr>
        <w:spacing w:beforeLines="100" w:before="240" w:afterLines="100" w:after="240" w:line="360" w:lineRule="auto"/>
        <w:jc w:val="both"/>
        <w:rPr>
          <w:rFonts w:asciiTheme="majorHAnsi" w:hAnsiTheme="majorHAnsi"/>
          <w:i/>
          <w:iCs/>
          <w:u w:val="single"/>
        </w:rPr>
      </w:pPr>
      <w:r w:rsidRPr="00CF6A28">
        <w:rPr>
          <w:rFonts w:asciiTheme="majorHAnsi" w:hAnsiTheme="majorHAnsi"/>
          <w:i/>
          <w:iCs/>
          <w:u w:val="single"/>
        </w:rPr>
        <w:t>* including Additional Approval of Rs. 72.34 Cr. &amp; Rs. 38.79 Cr. for FY 2024-25 &amp; 2025-26 respectively in Case no 50 of 2024</w:t>
      </w:r>
    </w:p>
    <w:p w14:paraId="28E30044" w14:textId="77777777" w:rsidR="00C00A77" w:rsidRDefault="00C00A77" w:rsidP="00C00A77">
      <w:pPr>
        <w:spacing w:beforeLines="100" w:before="240" w:afterLines="100" w:after="240" w:line="360" w:lineRule="auto"/>
        <w:jc w:val="both"/>
        <w:rPr>
          <w:rFonts w:asciiTheme="majorHAnsi" w:hAnsiTheme="majorHAnsi"/>
        </w:rPr>
      </w:pPr>
      <w:r w:rsidRPr="00887DDD">
        <w:rPr>
          <w:rFonts w:asciiTheme="majorHAnsi" w:hAnsiTheme="majorHAnsi"/>
        </w:rPr>
        <w:t xml:space="preserve">The progress of CAPEX and the capitalization status for FY 2021-22, FY 2022-23, FY 2023-24, FY 2024-25 and </w:t>
      </w:r>
      <w:r>
        <w:rPr>
          <w:rFonts w:asciiTheme="majorHAnsi" w:hAnsiTheme="majorHAnsi"/>
        </w:rPr>
        <w:t xml:space="preserve">FY 2025-26 </w:t>
      </w:r>
      <w:r w:rsidRPr="00887DDD">
        <w:rPr>
          <w:rFonts w:asciiTheme="majorHAnsi" w:hAnsiTheme="majorHAnsi"/>
        </w:rPr>
        <w:t>as of Q2 of FY 202</w:t>
      </w:r>
      <w:r>
        <w:rPr>
          <w:rFonts w:asciiTheme="majorHAnsi" w:hAnsiTheme="majorHAnsi"/>
        </w:rPr>
        <w:t>5</w:t>
      </w:r>
      <w:r w:rsidRPr="00887DDD">
        <w:rPr>
          <w:rFonts w:asciiTheme="majorHAnsi" w:hAnsiTheme="majorHAnsi"/>
        </w:rPr>
        <w:t>-2</w:t>
      </w:r>
      <w:r>
        <w:rPr>
          <w:rFonts w:asciiTheme="majorHAnsi" w:hAnsiTheme="majorHAnsi"/>
        </w:rPr>
        <w:t>6</w:t>
      </w:r>
      <w:r w:rsidRPr="00887DDD">
        <w:rPr>
          <w:rFonts w:asciiTheme="majorHAnsi" w:hAnsiTheme="majorHAnsi"/>
        </w:rPr>
        <w:t xml:space="preserve"> is summarized below for the kind perusal of the Hon’ble Commission.</w:t>
      </w:r>
    </w:p>
    <w:p w14:paraId="278DE6BA" w14:textId="77777777" w:rsidR="00C00A77" w:rsidRPr="00912B86" w:rsidRDefault="00C00A77" w:rsidP="006C4CE7">
      <w:pPr>
        <w:spacing w:line="360" w:lineRule="auto"/>
        <w:ind w:left="-567"/>
        <w:jc w:val="both"/>
        <w:rPr>
          <w:rFonts w:asciiTheme="majorHAnsi" w:hAnsiTheme="majorHAnsi"/>
          <w:b/>
          <w:bCs/>
          <w:u w:val="single"/>
        </w:rPr>
      </w:pPr>
      <w:r w:rsidRPr="00912B86">
        <w:rPr>
          <w:rFonts w:asciiTheme="majorHAnsi" w:hAnsiTheme="majorHAnsi"/>
          <w:b/>
          <w:bCs/>
          <w:u w:val="single"/>
        </w:rPr>
        <w:t>FY 21-22</w:t>
      </w:r>
    </w:p>
    <w:tbl>
      <w:tblPr>
        <w:tblW w:w="9814" w:type="dxa"/>
        <w:jc w:val="center"/>
        <w:tblLook w:val="04A0" w:firstRow="1" w:lastRow="0" w:firstColumn="1" w:lastColumn="0" w:noHBand="0" w:noVBand="1"/>
      </w:tblPr>
      <w:tblGrid>
        <w:gridCol w:w="1471"/>
        <w:gridCol w:w="1781"/>
        <w:gridCol w:w="1033"/>
        <w:gridCol w:w="961"/>
        <w:gridCol w:w="1136"/>
        <w:gridCol w:w="821"/>
        <w:gridCol w:w="821"/>
        <w:gridCol w:w="904"/>
        <w:gridCol w:w="888"/>
      </w:tblGrid>
      <w:tr w:rsidR="00ED3EC8" w:rsidRPr="00361EBF" w14:paraId="7C117F5B" w14:textId="77777777" w:rsidTr="00304420">
        <w:trPr>
          <w:trHeight w:val="902"/>
          <w:tblHeader/>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6723015C" w14:textId="77777777" w:rsidR="008D68D1" w:rsidRPr="00361EBF" w:rsidRDefault="008D68D1" w:rsidP="000F221E">
            <w:pPr>
              <w:jc w:val="center"/>
              <w:rPr>
                <w:rFonts w:asciiTheme="majorHAnsi" w:hAnsiTheme="majorHAnsi" w:cs="Calibri"/>
                <w:b/>
                <w:bCs/>
                <w:sz w:val="18"/>
                <w:szCs w:val="18"/>
                <w:lang w:val="en-IN" w:eastAsia="en-IN"/>
              </w:rPr>
            </w:pPr>
            <w:bookmarkStart w:id="90" w:name="RANGE!A1:H27"/>
            <w:r w:rsidRPr="00361EBF">
              <w:rPr>
                <w:rFonts w:asciiTheme="majorHAnsi" w:hAnsiTheme="majorHAnsi" w:cs="Calibri"/>
                <w:b/>
                <w:bCs/>
                <w:sz w:val="18"/>
                <w:szCs w:val="18"/>
                <w:lang w:val="en-IN" w:eastAsia="en-IN"/>
              </w:rPr>
              <w:t>Particulars</w:t>
            </w:r>
            <w:bookmarkEnd w:id="90"/>
          </w:p>
        </w:tc>
        <w:tc>
          <w:tcPr>
            <w:tcW w:w="1781" w:type="dxa"/>
            <w:tcBorders>
              <w:top w:val="single" w:sz="4" w:space="0" w:color="auto"/>
              <w:left w:val="nil"/>
              <w:bottom w:val="single" w:sz="4" w:space="0" w:color="auto"/>
              <w:right w:val="single" w:sz="4" w:space="0" w:color="auto"/>
            </w:tcBorders>
            <w:vAlign w:val="center"/>
            <w:hideMark/>
          </w:tcPr>
          <w:p w14:paraId="44F81205" w14:textId="77777777" w:rsidR="008D68D1" w:rsidRPr="00361EBF" w:rsidRDefault="008D68D1" w:rsidP="000F221E">
            <w:pPr>
              <w:jc w:val="center"/>
              <w:rPr>
                <w:rFonts w:asciiTheme="majorHAnsi" w:hAnsiTheme="majorHAnsi" w:cs="Calibri"/>
                <w:b/>
                <w:bCs/>
                <w:sz w:val="18"/>
                <w:szCs w:val="18"/>
                <w:lang w:val="en-IN" w:eastAsia="en-IN"/>
              </w:rPr>
            </w:pPr>
            <w:r w:rsidRPr="00361EBF">
              <w:rPr>
                <w:rFonts w:asciiTheme="majorHAnsi" w:hAnsiTheme="majorHAnsi" w:cs="Calibri"/>
                <w:b/>
                <w:bCs/>
                <w:sz w:val="18"/>
                <w:szCs w:val="18"/>
                <w:lang w:val="en-IN" w:eastAsia="en-IN"/>
              </w:rPr>
              <w:t>Description</w:t>
            </w:r>
          </w:p>
        </w:tc>
        <w:tc>
          <w:tcPr>
            <w:tcW w:w="1031" w:type="dxa"/>
            <w:tcBorders>
              <w:top w:val="single" w:sz="4" w:space="0" w:color="auto"/>
              <w:left w:val="nil"/>
              <w:bottom w:val="single" w:sz="4" w:space="0" w:color="auto"/>
              <w:right w:val="single" w:sz="4" w:space="0" w:color="auto"/>
            </w:tcBorders>
            <w:vAlign w:val="center"/>
            <w:hideMark/>
          </w:tcPr>
          <w:p w14:paraId="7BD81D5C" w14:textId="77777777" w:rsidR="008D68D1" w:rsidRPr="00361EBF" w:rsidRDefault="008D68D1" w:rsidP="000F221E">
            <w:pPr>
              <w:jc w:val="center"/>
              <w:rPr>
                <w:rFonts w:asciiTheme="majorHAnsi" w:hAnsiTheme="majorHAnsi" w:cs="Calibri"/>
                <w:b/>
                <w:bCs/>
                <w:sz w:val="18"/>
                <w:szCs w:val="18"/>
                <w:lang w:val="en-IN" w:eastAsia="en-IN"/>
              </w:rPr>
            </w:pPr>
            <w:r w:rsidRPr="00361EBF">
              <w:rPr>
                <w:rFonts w:asciiTheme="majorHAnsi" w:hAnsiTheme="majorHAnsi" w:cs="Calibri"/>
                <w:b/>
                <w:bCs/>
                <w:sz w:val="18"/>
                <w:szCs w:val="18"/>
                <w:lang w:val="en-IN" w:eastAsia="en-IN"/>
              </w:rPr>
              <w:t>OERC Approved Budget</w:t>
            </w:r>
          </w:p>
        </w:tc>
        <w:tc>
          <w:tcPr>
            <w:tcW w:w="961" w:type="dxa"/>
            <w:tcBorders>
              <w:top w:val="single" w:sz="4" w:space="0" w:color="auto"/>
              <w:left w:val="nil"/>
              <w:bottom w:val="single" w:sz="4" w:space="0" w:color="auto"/>
              <w:right w:val="single" w:sz="4" w:space="0" w:color="auto"/>
            </w:tcBorders>
            <w:vAlign w:val="center"/>
            <w:hideMark/>
          </w:tcPr>
          <w:p w14:paraId="2CEB4091" w14:textId="77777777" w:rsidR="008D68D1" w:rsidRPr="00361EBF" w:rsidRDefault="008D68D1" w:rsidP="000F221E">
            <w:pPr>
              <w:jc w:val="center"/>
              <w:rPr>
                <w:rFonts w:asciiTheme="majorHAnsi" w:hAnsiTheme="majorHAnsi" w:cs="Calibri"/>
                <w:b/>
                <w:bCs/>
                <w:sz w:val="18"/>
                <w:szCs w:val="18"/>
                <w:lang w:val="en-IN" w:eastAsia="en-IN"/>
              </w:rPr>
            </w:pPr>
            <w:r w:rsidRPr="00361EBF">
              <w:rPr>
                <w:rFonts w:asciiTheme="majorHAnsi" w:hAnsiTheme="majorHAnsi" w:cs="Calibri"/>
                <w:b/>
                <w:bCs/>
                <w:sz w:val="18"/>
                <w:szCs w:val="18"/>
                <w:lang w:val="en-IN" w:eastAsia="en-IN"/>
              </w:rPr>
              <w:t>Adjust</w:t>
            </w:r>
          </w:p>
          <w:p w14:paraId="5818D51D" w14:textId="77777777" w:rsidR="008D68D1" w:rsidRPr="00361EBF" w:rsidRDefault="008D68D1" w:rsidP="000F221E">
            <w:pPr>
              <w:jc w:val="center"/>
              <w:rPr>
                <w:rFonts w:asciiTheme="majorHAnsi" w:hAnsiTheme="majorHAnsi" w:cs="Calibri"/>
                <w:b/>
                <w:bCs/>
                <w:sz w:val="18"/>
                <w:szCs w:val="18"/>
                <w:lang w:val="en-IN" w:eastAsia="en-IN"/>
              </w:rPr>
            </w:pPr>
            <w:proofErr w:type="spellStart"/>
            <w:r w:rsidRPr="00361EBF">
              <w:rPr>
                <w:rFonts w:asciiTheme="majorHAnsi" w:hAnsiTheme="majorHAnsi" w:cs="Calibri"/>
                <w:b/>
                <w:bCs/>
                <w:sz w:val="18"/>
                <w:szCs w:val="18"/>
                <w:lang w:val="en-IN" w:eastAsia="en-IN"/>
              </w:rPr>
              <w:t>ment</w:t>
            </w:r>
            <w:proofErr w:type="spellEnd"/>
            <w:r w:rsidRPr="00361EBF">
              <w:rPr>
                <w:rFonts w:asciiTheme="majorHAnsi" w:hAnsiTheme="majorHAnsi" w:cs="Calibri"/>
                <w:b/>
                <w:bCs/>
                <w:sz w:val="18"/>
                <w:szCs w:val="18"/>
                <w:lang w:val="en-IN" w:eastAsia="en-IN"/>
              </w:rPr>
              <w:t xml:space="preserve"> </w:t>
            </w:r>
            <w:r w:rsidRPr="00361EBF">
              <w:rPr>
                <w:rFonts w:asciiTheme="majorHAnsi" w:hAnsiTheme="majorHAnsi" w:cs="Calibri"/>
                <w:b/>
                <w:bCs/>
                <w:sz w:val="18"/>
                <w:szCs w:val="18"/>
                <w:lang w:val="en-IN" w:eastAsia="en-IN"/>
              </w:rPr>
              <w:br/>
              <w:t>(if any)</w:t>
            </w:r>
          </w:p>
        </w:tc>
        <w:tc>
          <w:tcPr>
            <w:tcW w:w="1136" w:type="dxa"/>
            <w:tcBorders>
              <w:top w:val="single" w:sz="4" w:space="0" w:color="auto"/>
              <w:left w:val="nil"/>
              <w:bottom w:val="single" w:sz="4" w:space="0" w:color="auto"/>
              <w:right w:val="single" w:sz="4" w:space="0" w:color="auto"/>
            </w:tcBorders>
            <w:vAlign w:val="center"/>
            <w:hideMark/>
          </w:tcPr>
          <w:p w14:paraId="4BB49C97" w14:textId="77777777" w:rsidR="008D68D1" w:rsidRPr="00361EBF" w:rsidRDefault="008D68D1" w:rsidP="000F221E">
            <w:pPr>
              <w:jc w:val="center"/>
              <w:rPr>
                <w:rFonts w:asciiTheme="majorHAnsi" w:hAnsiTheme="majorHAnsi" w:cs="Calibri"/>
                <w:b/>
                <w:bCs/>
                <w:sz w:val="18"/>
                <w:szCs w:val="18"/>
                <w:lang w:val="en-IN" w:eastAsia="en-IN"/>
              </w:rPr>
            </w:pPr>
            <w:r w:rsidRPr="00361EBF">
              <w:rPr>
                <w:rFonts w:asciiTheme="majorHAnsi" w:hAnsiTheme="majorHAnsi" w:cs="Calibri"/>
                <w:b/>
                <w:bCs/>
                <w:sz w:val="18"/>
                <w:szCs w:val="18"/>
                <w:lang w:val="en-IN" w:eastAsia="en-IN"/>
              </w:rPr>
              <w:t>Allocated/ Actual Budget Used</w:t>
            </w:r>
          </w:p>
        </w:tc>
        <w:tc>
          <w:tcPr>
            <w:tcW w:w="821" w:type="dxa"/>
            <w:tcBorders>
              <w:top w:val="single" w:sz="4" w:space="0" w:color="auto"/>
              <w:left w:val="nil"/>
              <w:bottom w:val="single" w:sz="4" w:space="0" w:color="auto"/>
              <w:right w:val="single" w:sz="4" w:space="0" w:color="auto"/>
            </w:tcBorders>
            <w:vAlign w:val="center"/>
            <w:hideMark/>
          </w:tcPr>
          <w:p w14:paraId="6AE82BA3" w14:textId="77777777" w:rsidR="008D68D1" w:rsidRPr="00361EBF" w:rsidRDefault="008D68D1" w:rsidP="000F221E">
            <w:pPr>
              <w:jc w:val="center"/>
              <w:rPr>
                <w:rFonts w:asciiTheme="majorHAnsi" w:hAnsiTheme="majorHAnsi" w:cs="Calibri"/>
                <w:b/>
                <w:bCs/>
                <w:sz w:val="18"/>
                <w:szCs w:val="18"/>
                <w:lang w:val="en-IN" w:eastAsia="en-IN"/>
              </w:rPr>
            </w:pPr>
            <w:r w:rsidRPr="00361EBF">
              <w:rPr>
                <w:rFonts w:asciiTheme="majorHAnsi" w:hAnsiTheme="majorHAnsi" w:cs="Calibri"/>
                <w:b/>
                <w:bCs/>
                <w:sz w:val="18"/>
                <w:szCs w:val="18"/>
                <w:lang w:val="en-IN" w:eastAsia="en-IN"/>
              </w:rPr>
              <w:t>Actual CAPEX</w:t>
            </w:r>
          </w:p>
        </w:tc>
        <w:tc>
          <w:tcPr>
            <w:tcW w:w="821" w:type="dxa"/>
            <w:tcBorders>
              <w:top w:val="single" w:sz="4" w:space="0" w:color="auto"/>
              <w:left w:val="nil"/>
              <w:bottom w:val="single" w:sz="4" w:space="0" w:color="auto"/>
              <w:right w:val="single" w:sz="4" w:space="0" w:color="auto"/>
            </w:tcBorders>
            <w:vAlign w:val="center"/>
            <w:hideMark/>
          </w:tcPr>
          <w:p w14:paraId="67DF03CC" w14:textId="77777777" w:rsidR="008D68D1" w:rsidRPr="00361EBF" w:rsidRDefault="008D68D1" w:rsidP="000F221E">
            <w:pPr>
              <w:jc w:val="center"/>
              <w:rPr>
                <w:rFonts w:asciiTheme="majorHAnsi" w:hAnsiTheme="majorHAnsi" w:cs="Calibri"/>
                <w:b/>
                <w:bCs/>
                <w:sz w:val="18"/>
                <w:szCs w:val="18"/>
                <w:lang w:val="en-IN" w:eastAsia="en-IN"/>
              </w:rPr>
            </w:pPr>
            <w:r w:rsidRPr="00361EBF">
              <w:rPr>
                <w:rFonts w:asciiTheme="majorHAnsi" w:hAnsiTheme="majorHAnsi" w:cs="Calibri"/>
                <w:b/>
                <w:bCs/>
                <w:sz w:val="18"/>
                <w:szCs w:val="18"/>
                <w:lang w:val="en-IN" w:eastAsia="en-IN"/>
              </w:rPr>
              <w:t>WIP</w:t>
            </w:r>
          </w:p>
        </w:tc>
        <w:tc>
          <w:tcPr>
            <w:tcW w:w="904" w:type="dxa"/>
            <w:tcBorders>
              <w:top w:val="single" w:sz="4" w:space="0" w:color="auto"/>
              <w:left w:val="nil"/>
              <w:bottom w:val="single" w:sz="4" w:space="0" w:color="auto"/>
              <w:right w:val="single" w:sz="4" w:space="0" w:color="auto"/>
            </w:tcBorders>
            <w:vAlign w:val="center"/>
            <w:hideMark/>
          </w:tcPr>
          <w:p w14:paraId="71A1A56A" w14:textId="77777777" w:rsidR="008D68D1" w:rsidRPr="00361EBF" w:rsidRDefault="008D68D1" w:rsidP="000F221E">
            <w:pPr>
              <w:jc w:val="center"/>
              <w:rPr>
                <w:rFonts w:asciiTheme="majorHAnsi" w:hAnsiTheme="majorHAnsi" w:cs="Calibri"/>
                <w:b/>
                <w:bCs/>
                <w:sz w:val="18"/>
                <w:szCs w:val="18"/>
                <w:lang w:val="en-IN" w:eastAsia="en-IN"/>
              </w:rPr>
            </w:pPr>
            <w:r w:rsidRPr="00361EBF">
              <w:rPr>
                <w:rFonts w:asciiTheme="majorHAnsi" w:hAnsiTheme="majorHAnsi" w:cs="Calibri"/>
                <w:b/>
                <w:bCs/>
                <w:sz w:val="18"/>
                <w:szCs w:val="18"/>
                <w:lang w:val="en-IN" w:eastAsia="en-IN"/>
              </w:rPr>
              <w:t>Balance</w:t>
            </w:r>
          </w:p>
        </w:tc>
        <w:tc>
          <w:tcPr>
            <w:tcW w:w="888" w:type="dxa"/>
            <w:tcBorders>
              <w:top w:val="single" w:sz="4" w:space="0" w:color="auto"/>
              <w:left w:val="nil"/>
              <w:bottom w:val="single" w:sz="4" w:space="0" w:color="auto"/>
              <w:right w:val="single" w:sz="4" w:space="0" w:color="auto"/>
            </w:tcBorders>
            <w:vAlign w:val="center"/>
            <w:hideMark/>
          </w:tcPr>
          <w:p w14:paraId="6153BA75" w14:textId="77777777" w:rsidR="008D68D1" w:rsidRPr="00361EBF" w:rsidRDefault="008D68D1" w:rsidP="000F221E">
            <w:pPr>
              <w:jc w:val="center"/>
              <w:rPr>
                <w:rFonts w:asciiTheme="majorHAnsi" w:hAnsiTheme="majorHAnsi" w:cs="Calibri"/>
                <w:b/>
                <w:bCs/>
                <w:sz w:val="18"/>
                <w:szCs w:val="18"/>
                <w:lang w:val="en-IN" w:eastAsia="en-IN"/>
              </w:rPr>
            </w:pPr>
            <w:proofErr w:type="spellStart"/>
            <w:r w:rsidRPr="00361EBF">
              <w:rPr>
                <w:rFonts w:asciiTheme="majorHAnsi" w:hAnsiTheme="majorHAnsi" w:cs="Calibri"/>
                <w:b/>
                <w:bCs/>
                <w:sz w:val="18"/>
                <w:szCs w:val="18"/>
                <w:lang w:val="en-IN" w:eastAsia="en-IN"/>
              </w:rPr>
              <w:t>Capitali</w:t>
            </w:r>
            <w:proofErr w:type="spellEnd"/>
          </w:p>
          <w:p w14:paraId="64250A85" w14:textId="77777777" w:rsidR="008D68D1" w:rsidRPr="00361EBF" w:rsidRDefault="008D68D1" w:rsidP="000F221E">
            <w:pPr>
              <w:jc w:val="center"/>
              <w:rPr>
                <w:rFonts w:asciiTheme="majorHAnsi" w:hAnsiTheme="majorHAnsi" w:cs="Calibri"/>
                <w:b/>
                <w:bCs/>
                <w:sz w:val="18"/>
                <w:szCs w:val="18"/>
                <w:lang w:val="en-IN" w:eastAsia="en-IN"/>
              </w:rPr>
            </w:pPr>
            <w:proofErr w:type="spellStart"/>
            <w:r w:rsidRPr="00361EBF">
              <w:rPr>
                <w:rFonts w:asciiTheme="majorHAnsi" w:hAnsiTheme="majorHAnsi" w:cs="Calibri"/>
                <w:b/>
                <w:bCs/>
                <w:sz w:val="18"/>
                <w:szCs w:val="18"/>
                <w:lang w:val="en-IN" w:eastAsia="en-IN"/>
              </w:rPr>
              <w:t>zation</w:t>
            </w:r>
            <w:proofErr w:type="spellEnd"/>
          </w:p>
        </w:tc>
      </w:tr>
      <w:tr w:rsidR="00ED3EC8" w:rsidRPr="00361EBF" w14:paraId="556C17C7" w14:textId="77777777" w:rsidTr="00304420">
        <w:trPr>
          <w:trHeight w:val="300"/>
          <w:tblHeader/>
          <w:jc w:val="center"/>
        </w:trPr>
        <w:tc>
          <w:tcPr>
            <w:tcW w:w="1471" w:type="dxa"/>
            <w:tcBorders>
              <w:top w:val="nil"/>
              <w:left w:val="single" w:sz="4" w:space="0" w:color="auto"/>
              <w:bottom w:val="single" w:sz="4" w:space="0" w:color="auto"/>
              <w:right w:val="single" w:sz="4" w:space="0" w:color="auto"/>
            </w:tcBorders>
            <w:vAlign w:val="center"/>
            <w:hideMark/>
          </w:tcPr>
          <w:p w14:paraId="464FCD9B" w14:textId="77777777" w:rsidR="008D68D1" w:rsidRPr="00361EBF" w:rsidRDefault="008D68D1" w:rsidP="000F221E">
            <w:pPr>
              <w:jc w:val="center"/>
              <w:rPr>
                <w:rFonts w:asciiTheme="majorHAnsi" w:hAnsiTheme="majorHAnsi" w:cs="Calibri"/>
                <w:b/>
                <w:bCs/>
                <w:sz w:val="18"/>
                <w:szCs w:val="18"/>
                <w:lang w:val="en-IN" w:eastAsia="en-IN"/>
              </w:rPr>
            </w:pPr>
            <w:r w:rsidRPr="00361EBF">
              <w:rPr>
                <w:rFonts w:asciiTheme="majorHAnsi" w:hAnsiTheme="majorHAnsi" w:cs="Calibri"/>
                <w:b/>
                <w:bCs/>
                <w:sz w:val="18"/>
                <w:szCs w:val="18"/>
                <w:lang w:val="en-IN" w:eastAsia="en-IN"/>
              </w:rPr>
              <w:t>A</w:t>
            </w:r>
          </w:p>
        </w:tc>
        <w:tc>
          <w:tcPr>
            <w:tcW w:w="1781" w:type="dxa"/>
            <w:tcBorders>
              <w:top w:val="nil"/>
              <w:left w:val="nil"/>
              <w:bottom w:val="single" w:sz="4" w:space="0" w:color="auto"/>
              <w:right w:val="single" w:sz="4" w:space="0" w:color="auto"/>
            </w:tcBorders>
            <w:vAlign w:val="center"/>
            <w:hideMark/>
          </w:tcPr>
          <w:p w14:paraId="7E8F7D69" w14:textId="77777777" w:rsidR="008D68D1" w:rsidRPr="00361EBF" w:rsidRDefault="008D68D1" w:rsidP="000F221E">
            <w:pPr>
              <w:jc w:val="center"/>
              <w:rPr>
                <w:rFonts w:asciiTheme="majorHAnsi" w:hAnsiTheme="majorHAnsi" w:cs="Calibri"/>
                <w:b/>
                <w:bCs/>
                <w:sz w:val="18"/>
                <w:szCs w:val="18"/>
                <w:lang w:val="en-IN" w:eastAsia="en-IN"/>
              </w:rPr>
            </w:pPr>
            <w:r w:rsidRPr="00361EBF">
              <w:rPr>
                <w:rFonts w:asciiTheme="majorHAnsi" w:hAnsiTheme="majorHAnsi" w:cs="Calibri"/>
                <w:b/>
                <w:bCs/>
                <w:sz w:val="18"/>
                <w:szCs w:val="18"/>
                <w:lang w:val="en-IN" w:eastAsia="en-IN"/>
              </w:rPr>
              <w:t>B</w:t>
            </w:r>
          </w:p>
        </w:tc>
        <w:tc>
          <w:tcPr>
            <w:tcW w:w="1031" w:type="dxa"/>
            <w:tcBorders>
              <w:top w:val="nil"/>
              <w:left w:val="nil"/>
              <w:bottom w:val="single" w:sz="4" w:space="0" w:color="auto"/>
              <w:right w:val="single" w:sz="4" w:space="0" w:color="auto"/>
            </w:tcBorders>
            <w:vAlign w:val="center"/>
            <w:hideMark/>
          </w:tcPr>
          <w:p w14:paraId="61CB17A2" w14:textId="77777777" w:rsidR="008D68D1" w:rsidRPr="00361EBF" w:rsidRDefault="008D68D1" w:rsidP="000F221E">
            <w:pPr>
              <w:jc w:val="center"/>
              <w:rPr>
                <w:rFonts w:asciiTheme="majorHAnsi" w:hAnsiTheme="majorHAnsi" w:cs="Calibri"/>
                <w:b/>
                <w:bCs/>
                <w:sz w:val="18"/>
                <w:szCs w:val="18"/>
                <w:lang w:val="en-IN" w:eastAsia="en-IN"/>
              </w:rPr>
            </w:pPr>
            <w:r w:rsidRPr="00361EBF">
              <w:rPr>
                <w:rFonts w:asciiTheme="majorHAnsi" w:hAnsiTheme="majorHAnsi" w:cs="Calibri"/>
                <w:b/>
                <w:bCs/>
                <w:sz w:val="18"/>
                <w:szCs w:val="18"/>
                <w:lang w:val="en-IN" w:eastAsia="en-IN"/>
              </w:rPr>
              <w:t>C</w:t>
            </w:r>
          </w:p>
        </w:tc>
        <w:tc>
          <w:tcPr>
            <w:tcW w:w="961" w:type="dxa"/>
            <w:tcBorders>
              <w:top w:val="nil"/>
              <w:left w:val="nil"/>
              <w:bottom w:val="single" w:sz="4" w:space="0" w:color="auto"/>
              <w:right w:val="single" w:sz="4" w:space="0" w:color="auto"/>
            </w:tcBorders>
            <w:vAlign w:val="center"/>
            <w:hideMark/>
          </w:tcPr>
          <w:p w14:paraId="475690AC" w14:textId="77777777" w:rsidR="008D68D1" w:rsidRPr="00361EBF" w:rsidRDefault="008D68D1" w:rsidP="000F221E">
            <w:pPr>
              <w:jc w:val="center"/>
              <w:rPr>
                <w:rFonts w:asciiTheme="majorHAnsi" w:hAnsiTheme="majorHAnsi" w:cs="Calibri"/>
                <w:b/>
                <w:bCs/>
                <w:sz w:val="18"/>
                <w:szCs w:val="18"/>
                <w:lang w:val="en-IN" w:eastAsia="en-IN"/>
              </w:rPr>
            </w:pPr>
            <w:r w:rsidRPr="00361EBF">
              <w:rPr>
                <w:rFonts w:asciiTheme="majorHAnsi" w:hAnsiTheme="majorHAnsi" w:cs="Calibri"/>
                <w:b/>
                <w:bCs/>
                <w:sz w:val="18"/>
                <w:szCs w:val="18"/>
                <w:lang w:val="en-IN" w:eastAsia="en-IN"/>
              </w:rPr>
              <w:t>D</w:t>
            </w:r>
          </w:p>
        </w:tc>
        <w:tc>
          <w:tcPr>
            <w:tcW w:w="1136" w:type="dxa"/>
            <w:tcBorders>
              <w:top w:val="nil"/>
              <w:left w:val="nil"/>
              <w:bottom w:val="single" w:sz="4" w:space="0" w:color="auto"/>
              <w:right w:val="single" w:sz="4" w:space="0" w:color="auto"/>
            </w:tcBorders>
            <w:vAlign w:val="center"/>
            <w:hideMark/>
          </w:tcPr>
          <w:p w14:paraId="5EF8E2C3" w14:textId="77777777" w:rsidR="008D68D1" w:rsidRPr="00361EBF" w:rsidRDefault="008D68D1" w:rsidP="000F221E">
            <w:pPr>
              <w:jc w:val="center"/>
              <w:rPr>
                <w:rFonts w:asciiTheme="majorHAnsi" w:hAnsiTheme="majorHAnsi" w:cs="Calibri"/>
                <w:b/>
                <w:bCs/>
                <w:sz w:val="18"/>
                <w:szCs w:val="18"/>
                <w:lang w:val="en-IN" w:eastAsia="en-IN"/>
              </w:rPr>
            </w:pPr>
            <w:r w:rsidRPr="00361EBF">
              <w:rPr>
                <w:rFonts w:asciiTheme="majorHAnsi" w:hAnsiTheme="majorHAnsi" w:cs="Calibri"/>
                <w:b/>
                <w:bCs/>
                <w:sz w:val="18"/>
                <w:szCs w:val="18"/>
                <w:lang w:val="en-IN" w:eastAsia="en-IN"/>
              </w:rPr>
              <w:t>E</w:t>
            </w:r>
          </w:p>
        </w:tc>
        <w:tc>
          <w:tcPr>
            <w:tcW w:w="821" w:type="dxa"/>
            <w:tcBorders>
              <w:top w:val="nil"/>
              <w:left w:val="nil"/>
              <w:bottom w:val="single" w:sz="4" w:space="0" w:color="auto"/>
              <w:right w:val="single" w:sz="4" w:space="0" w:color="auto"/>
            </w:tcBorders>
            <w:vAlign w:val="center"/>
            <w:hideMark/>
          </w:tcPr>
          <w:p w14:paraId="0D20293C" w14:textId="77777777" w:rsidR="008D68D1" w:rsidRPr="00361EBF" w:rsidRDefault="008D68D1" w:rsidP="000F221E">
            <w:pPr>
              <w:jc w:val="center"/>
              <w:rPr>
                <w:rFonts w:asciiTheme="majorHAnsi" w:hAnsiTheme="majorHAnsi" w:cs="Calibri"/>
                <w:b/>
                <w:bCs/>
                <w:sz w:val="18"/>
                <w:szCs w:val="18"/>
                <w:lang w:val="en-IN" w:eastAsia="en-IN"/>
              </w:rPr>
            </w:pPr>
            <w:r w:rsidRPr="00361EBF">
              <w:rPr>
                <w:rFonts w:asciiTheme="majorHAnsi" w:hAnsiTheme="majorHAnsi" w:cs="Calibri"/>
                <w:b/>
                <w:bCs/>
                <w:sz w:val="18"/>
                <w:szCs w:val="18"/>
                <w:lang w:val="en-IN" w:eastAsia="en-IN"/>
              </w:rPr>
              <w:t>F</w:t>
            </w:r>
          </w:p>
        </w:tc>
        <w:tc>
          <w:tcPr>
            <w:tcW w:w="821" w:type="dxa"/>
            <w:tcBorders>
              <w:top w:val="nil"/>
              <w:left w:val="nil"/>
              <w:bottom w:val="single" w:sz="4" w:space="0" w:color="auto"/>
              <w:right w:val="single" w:sz="4" w:space="0" w:color="auto"/>
            </w:tcBorders>
            <w:vAlign w:val="center"/>
            <w:hideMark/>
          </w:tcPr>
          <w:p w14:paraId="25DAA6D5" w14:textId="77777777" w:rsidR="008D68D1" w:rsidRPr="00361EBF" w:rsidRDefault="008D68D1" w:rsidP="000F221E">
            <w:pPr>
              <w:jc w:val="center"/>
              <w:rPr>
                <w:rFonts w:asciiTheme="majorHAnsi" w:hAnsiTheme="majorHAnsi" w:cs="Calibri"/>
                <w:b/>
                <w:bCs/>
                <w:sz w:val="18"/>
                <w:szCs w:val="18"/>
                <w:lang w:val="en-IN" w:eastAsia="en-IN"/>
              </w:rPr>
            </w:pPr>
            <w:r w:rsidRPr="00361EBF">
              <w:rPr>
                <w:rFonts w:asciiTheme="majorHAnsi" w:hAnsiTheme="majorHAnsi" w:cs="Calibri"/>
                <w:b/>
                <w:bCs/>
                <w:sz w:val="18"/>
                <w:szCs w:val="18"/>
                <w:lang w:val="en-IN" w:eastAsia="en-IN"/>
              </w:rPr>
              <w:t>G=F-I</w:t>
            </w:r>
          </w:p>
        </w:tc>
        <w:tc>
          <w:tcPr>
            <w:tcW w:w="904" w:type="dxa"/>
            <w:tcBorders>
              <w:top w:val="nil"/>
              <w:left w:val="nil"/>
              <w:bottom w:val="single" w:sz="4" w:space="0" w:color="auto"/>
              <w:right w:val="single" w:sz="4" w:space="0" w:color="auto"/>
            </w:tcBorders>
            <w:vAlign w:val="center"/>
            <w:hideMark/>
          </w:tcPr>
          <w:p w14:paraId="503F1085" w14:textId="77777777" w:rsidR="008D68D1" w:rsidRPr="00361EBF" w:rsidRDefault="008D68D1" w:rsidP="000F221E">
            <w:pPr>
              <w:jc w:val="center"/>
              <w:rPr>
                <w:rFonts w:asciiTheme="majorHAnsi" w:hAnsiTheme="majorHAnsi" w:cs="Calibri"/>
                <w:b/>
                <w:bCs/>
                <w:sz w:val="18"/>
                <w:szCs w:val="18"/>
                <w:lang w:val="en-IN" w:eastAsia="en-IN"/>
              </w:rPr>
            </w:pPr>
            <w:r w:rsidRPr="00361EBF">
              <w:rPr>
                <w:rFonts w:asciiTheme="majorHAnsi" w:hAnsiTheme="majorHAnsi" w:cs="Calibri"/>
                <w:b/>
                <w:bCs/>
                <w:sz w:val="18"/>
                <w:szCs w:val="18"/>
                <w:lang w:val="en-IN" w:eastAsia="en-IN"/>
              </w:rPr>
              <w:t>H=E-F</w:t>
            </w:r>
          </w:p>
        </w:tc>
        <w:tc>
          <w:tcPr>
            <w:tcW w:w="888" w:type="dxa"/>
            <w:tcBorders>
              <w:top w:val="nil"/>
              <w:left w:val="nil"/>
              <w:bottom w:val="single" w:sz="4" w:space="0" w:color="auto"/>
              <w:right w:val="single" w:sz="4" w:space="0" w:color="auto"/>
            </w:tcBorders>
            <w:vAlign w:val="center"/>
            <w:hideMark/>
          </w:tcPr>
          <w:p w14:paraId="1E69A1AC" w14:textId="77777777" w:rsidR="008D68D1" w:rsidRPr="00361EBF" w:rsidRDefault="008D68D1" w:rsidP="000F221E">
            <w:pPr>
              <w:jc w:val="center"/>
              <w:rPr>
                <w:rFonts w:asciiTheme="majorHAnsi" w:hAnsiTheme="majorHAnsi" w:cs="Calibri"/>
                <w:b/>
                <w:bCs/>
                <w:sz w:val="18"/>
                <w:szCs w:val="18"/>
                <w:lang w:val="en-IN" w:eastAsia="en-IN"/>
              </w:rPr>
            </w:pPr>
            <w:r w:rsidRPr="00361EBF">
              <w:rPr>
                <w:rFonts w:asciiTheme="majorHAnsi" w:hAnsiTheme="majorHAnsi" w:cs="Calibri"/>
                <w:b/>
                <w:bCs/>
                <w:sz w:val="18"/>
                <w:szCs w:val="18"/>
                <w:lang w:val="en-IN" w:eastAsia="en-IN"/>
              </w:rPr>
              <w:t>I</w:t>
            </w:r>
          </w:p>
        </w:tc>
      </w:tr>
      <w:tr w:rsidR="00ED3EC8" w:rsidRPr="00361EBF" w14:paraId="7293705E" w14:textId="77777777" w:rsidTr="00304420">
        <w:trPr>
          <w:trHeight w:val="281"/>
          <w:jc w:val="center"/>
        </w:trPr>
        <w:tc>
          <w:tcPr>
            <w:tcW w:w="1471" w:type="dxa"/>
            <w:vMerge w:val="restart"/>
            <w:tcBorders>
              <w:top w:val="nil"/>
              <w:left w:val="single" w:sz="4" w:space="0" w:color="auto"/>
              <w:bottom w:val="single" w:sz="4" w:space="0" w:color="auto"/>
              <w:right w:val="single" w:sz="4" w:space="0" w:color="auto"/>
            </w:tcBorders>
            <w:vAlign w:val="center"/>
            <w:hideMark/>
          </w:tcPr>
          <w:p w14:paraId="2ED91465"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lang w:val="en-IN" w:eastAsia="en-IN"/>
              </w:rPr>
              <w:t>Statutory, Safety and Security</w:t>
            </w:r>
          </w:p>
        </w:tc>
        <w:tc>
          <w:tcPr>
            <w:tcW w:w="1781" w:type="dxa"/>
            <w:tcBorders>
              <w:top w:val="nil"/>
              <w:left w:val="nil"/>
              <w:bottom w:val="single" w:sz="4" w:space="0" w:color="auto"/>
              <w:right w:val="single" w:sz="4" w:space="0" w:color="auto"/>
            </w:tcBorders>
            <w:vAlign w:val="center"/>
            <w:hideMark/>
          </w:tcPr>
          <w:p w14:paraId="58F03E22" w14:textId="77777777" w:rsidR="008D68D1" w:rsidRPr="00361EBF" w:rsidRDefault="008D68D1" w:rsidP="000F221E">
            <w:pP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lang w:val="en-IN" w:eastAsia="en-IN"/>
              </w:rPr>
              <w:t>Earthing, Fencing and boundary wall</w:t>
            </w:r>
          </w:p>
        </w:tc>
        <w:tc>
          <w:tcPr>
            <w:tcW w:w="1031" w:type="dxa"/>
            <w:tcBorders>
              <w:top w:val="nil"/>
              <w:left w:val="nil"/>
              <w:bottom w:val="single" w:sz="4" w:space="0" w:color="auto"/>
              <w:right w:val="single" w:sz="4" w:space="0" w:color="auto"/>
            </w:tcBorders>
            <w:noWrap/>
            <w:vAlign w:val="center"/>
            <w:hideMark/>
          </w:tcPr>
          <w:p w14:paraId="138C7738"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55.54</w:t>
            </w:r>
          </w:p>
        </w:tc>
        <w:tc>
          <w:tcPr>
            <w:tcW w:w="961" w:type="dxa"/>
            <w:tcBorders>
              <w:top w:val="nil"/>
              <w:left w:val="nil"/>
              <w:bottom w:val="single" w:sz="4" w:space="0" w:color="auto"/>
              <w:right w:val="single" w:sz="4" w:space="0" w:color="auto"/>
            </w:tcBorders>
            <w:noWrap/>
            <w:vAlign w:val="center"/>
            <w:hideMark/>
          </w:tcPr>
          <w:p w14:paraId="0EC66328"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1136" w:type="dxa"/>
            <w:tcBorders>
              <w:top w:val="nil"/>
              <w:left w:val="nil"/>
              <w:bottom w:val="single" w:sz="4" w:space="0" w:color="auto"/>
              <w:right w:val="single" w:sz="4" w:space="0" w:color="auto"/>
            </w:tcBorders>
            <w:noWrap/>
            <w:vAlign w:val="center"/>
            <w:hideMark/>
          </w:tcPr>
          <w:p w14:paraId="6BD6B7C4"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55.54</w:t>
            </w:r>
          </w:p>
        </w:tc>
        <w:tc>
          <w:tcPr>
            <w:tcW w:w="821" w:type="dxa"/>
            <w:tcBorders>
              <w:top w:val="nil"/>
              <w:left w:val="nil"/>
              <w:bottom w:val="single" w:sz="4" w:space="0" w:color="auto"/>
              <w:right w:val="single" w:sz="4" w:space="0" w:color="auto"/>
            </w:tcBorders>
            <w:noWrap/>
            <w:vAlign w:val="center"/>
            <w:hideMark/>
          </w:tcPr>
          <w:p w14:paraId="2754C9EC"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55.53</w:t>
            </w:r>
          </w:p>
        </w:tc>
        <w:tc>
          <w:tcPr>
            <w:tcW w:w="821" w:type="dxa"/>
            <w:tcBorders>
              <w:top w:val="nil"/>
              <w:left w:val="nil"/>
              <w:bottom w:val="single" w:sz="4" w:space="0" w:color="auto"/>
              <w:right w:val="single" w:sz="4" w:space="0" w:color="auto"/>
            </w:tcBorders>
            <w:noWrap/>
            <w:vAlign w:val="center"/>
            <w:hideMark/>
          </w:tcPr>
          <w:p w14:paraId="7AD335FA"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904" w:type="dxa"/>
            <w:tcBorders>
              <w:top w:val="nil"/>
              <w:left w:val="nil"/>
              <w:bottom w:val="single" w:sz="4" w:space="0" w:color="auto"/>
              <w:right w:val="single" w:sz="4" w:space="0" w:color="auto"/>
            </w:tcBorders>
            <w:noWrap/>
            <w:vAlign w:val="center"/>
            <w:hideMark/>
          </w:tcPr>
          <w:p w14:paraId="13CAB075"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0.01</w:t>
            </w:r>
          </w:p>
        </w:tc>
        <w:tc>
          <w:tcPr>
            <w:tcW w:w="888" w:type="dxa"/>
            <w:tcBorders>
              <w:top w:val="nil"/>
              <w:left w:val="nil"/>
              <w:bottom w:val="single" w:sz="4" w:space="0" w:color="auto"/>
              <w:right w:val="single" w:sz="4" w:space="0" w:color="auto"/>
            </w:tcBorders>
            <w:noWrap/>
            <w:vAlign w:val="center"/>
            <w:hideMark/>
          </w:tcPr>
          <w:p w14:paraId="61E03D10"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55.53</w:t>
            </w:r>
          </w:p>
        </w:tc>
      </w:tr>
      <w:tr w:rsidR="00ED3EC8" w:rsidRPr="00361EBF" w14:paraId="299D71C4" w14:textId="77777777" w:rsidTr="00304420">
        <w:trPr>
          <w:trHeight w:val="563"/>
          <w:jc w:val="center"/>
        </w:trPr>
        <w:tc>
          <w:tcPr>
            <w:tcW w:w="1471" w:type="dxa"/>
            <w:vMerge/>
            <w:tcBorders>
              <w:top w:val="nil"/>
              <w:left w:val="single" w:sz="4" w:space="0" w:color="auto"/>
              <w:bottom w:val="single" w:sz="4" w:space="0" w:color="auto"/>
              <w:right w:val="single" w:sz="4" w:space="0" w:color="auto"/>
            </w:tcBorders>
            <w:vAlign w:val="center"/>
            <w:hideMark/>
          </w:tcPr>
          <w:p w14:paraId="1D4AB306" w14:textId="77777777" w:rsidR="008D68D1" w:rsidRPr="00361EBF" w:rsidRDefault="008D68D1" w:rsidP="000F221E">
            <w:pPr>
              <w:rPr>
                <w:rFonts w:asciiTheme="majorHAnsi" w:hAnsiTheme="majorHAnsi" w:cs="Calibri"/>
                <w:b/>
                <w:bCs/>
                <w:color w:val="000000"/>
                <w:sz w:val="18"/>
                <w:szCs w:val="18"/>
                <w:lang w:val="en-IN" w:eastAsia="en-IN"/>
              </w:rPr>
            </w:pPr>
          </w:p>
        </w:tc>
        <w:tc>
          <w:tcPr>
            <w:tcW w:w="1781" w:type="dxa"/>
            <w:tcBorders>
              <w:top w:val="nil"/>
              <w:left w:val="nil"/>
              <w:bottom w:val="single" w:sz="4" w:space="0" w:color="auto"/>
              <w:right w:val="single" w:sz="4" w:space="0" w:color="auto"/>
            </w:tcBorders>
            <w:vAlign w:val="center"/>
            <w:hideMark/>
          </w:tcPr>
          <w:p w14:paraId="55C29DCF" w14:textId="77777777" w:rsidR="008D68D1" w:rsidRPr="00361EBF" w:rsidRDefault="008D68D1" w:rsidP="000F221E">
            <w:pP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lang w:val="en-IN" w:eastAsia="en-IN"/>
              </w:rPr>
              <w:t>Life enhancement of feeder network in respect of maintaining safe horizontal / vertical clearances</w:t>
            </w:r>
          </w:p>
        </w:tc>
        <w:tc>
          <w:tcPr>
            <w:tcW w:w="1031" w:type="dxa"/>
            <w:tcBorders>
              <w:top w:val="nil"/>
              <w:left w:val="nil"/>
              <w:bottom w:val="single" w:sz="4" w:space="0" w:color="auto"/>
              <w:right w:val="single" w:sz="4" w:space="0" w:color="auto"/>
            </w:tcBorders>
            <w:noWrap/>
            <w:vAlign w:val="center"/>
            <w:hideMark/>
          </w:tcPr>
          <w:p w14:paraId="262CE39F"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20.54</w:t>
            </w:r>
          </w:p>
        </w:tc>
        <w:tc>
          <w:tcPr>
            <w:tcW w:w="961" w:type="dxa"/>
            <w:tcBorders>
              <w:top w:val="nil"/>
              <w:left w:val="nil"/>
              <w:bottom w:val="single" w:sz="4" w:space="0" w:color="auto"/>
              <w:right w:val="single" w:sz="4" w:space="0" w:color="auto"/>
            </w:tcBorders>
            <w:noWrap/>
            <w:vAlign w:val="center"/>
            <w:hideMark/>
          </w:tcPr>
          <w:p w14:paraId="232500F0"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-0.07</w:t>
            </w:r>
          </w:p>
        </w:tc>
        <w:tc>
          <w:tcPr>
            <w:tcW w:w="1136" w:type="dxa"/>
            <w:tcBorders>
              <w:top w:val="nil"/>
              <w:left w:val="nil"/>
              <w:bottom w:val="single" w:sz="4" w:space="0" w:color="auto"/>
              <w:right w:val="single" w:sz="4" w:space="0" w:color="auto"/>
            </w:tcBorders>
            <w:noWrap/>
            <w:vAlign w:val="center"/>
            <w:hideMark/>
          </w:tcPr>
          <w:p w14:paraId="5DA1B72D"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20.47</w:t>
            </w:r>
          </w:p>
        </w:tc>
        <w:tc>
          <w:tcPr>
            <w:tcW w:w="821" w:type="dxa"/>
            <w:tcBorders>
              <w:top w:val="nil"/>
              <w:left w:val="nil"/>
              <w:bottom w:val="single" w:sz="4" w:space="0" w:color="auto"/>
              <w:right w:val="single" w:sz="4" w:space="0" w:color="auto"/>
            </w:tcBorders>
            <w:noWrap/>
            <w:vAlign w:val="center"/>
            <w:hideMark/>
          </w:tcPr>
          <w:p w14:paraId="1FFD17D6"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20.44</w:t>
            </w:r>
          </w:p>
        </w:tc>
        <w:tc>
          <w:tcPr>
            <w:tcW w:w="821" w:type="dxa"/>
            <w:tcBorders>
              <w:top w:val="nil"/>
              <w:left w:val="nil"/>
              <w:bottom w:val="single" w:sz="4" w:space="0" w:color="auto"/>
              <w:right w:val="single" w:sz="4" w:space="0" w:color="auto"/>
            </w:tcBorders>
            <w:noWrap/>
            <w:vAlign w:val="center"/>
            <w:hideMark/>
          </w:tcPr>
          <w:p w14:paraId="4B882217"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0.05</w:t>
            </w:r>
          </w:p>
        </w:tc>
        <w:tc>
          <w:tcPr>
            <w:tcW w:w="904" w:type="dxa"/>
            <w:tcBorders>
              <w:top w:val="nil"/>
              <w:left w:val="nil"/>
              <w:bottom w:val="single" w:sz="4" w:space="0" w:color="auto"/>
              <w:right w:val="single" w:sz="4" w:space="0" w:color="auto"/>
            </w:tcBorders>
            <w:noWrap/>
            <w:vAlign w:val="center"/>
            <w:hideMark/>
          </w:tcPr>
          <w:p w14:paraId="4090B2C8"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0.03</w:t>
            </w:r>
          </w:p>
        </w:tc>
        <w:tc>
          <w:tcPr>
            <w:tcW w:w="888" w:type="dxa"/>
            <w:tcBorders>
              <w:top w:val="nil"/>
              <w:left w:val="nil"/>
              <w:bottom w:val="single" w:sz="4" w:space="0" w:color="auto"/>
              <w:right w:val="single" w:sz="4" w:space="0" w:color="auto"/>
            </w:tcBorders>
            <w:noWrap/>
            <w:vAlign w:val="center"/>
            <w:hideMark/>
          </w:tcPr>
          <w:p w14:paraId="0A27881D"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20.39</w:t>
            </w:r>
          </w:p>
        </w:tc>
      </w:tr>
      <w:tr w:rsidR="00ED3EC8" w:rsidRPr="00361EBF" w14:paraId="558579EE" w14:textId="77777777" w:rsidTr="00304420">
        <w:trPr>
          <w:trHeight w:val="281"/>
          <w:jc w:val="center"/>
        </w:trPr>
        <w:tc>
          <w:tcPr>
            <w:tcW w:w="1471" w:type="dxa"/>
            <w:vMerge/>
            <w:tcBorders>
              <w:top w:val="nil"/>
              <w:left w:val="single" w:sz="4" w:space="0" w:color="auto"/>
              <w:bottom w:val="single" w:sz="4" w:space="0" w:color="auto"/>
              <w:right w:val="single" w:sz="4" w:space="0" w:color="auto"/>
            </w:tcBorders>
            <w:vAlign w:val="center"/>
            <w:hideMark/>
          </w:tcPr>
          <w:p w14:paraId="18222CA5" w14:textId="77777777" w:rsidR="008D68D1" w:rsidRPr="00361EBF" w:rsidRDefault="008D68D1" w:rsidP="000F221E">
            <w:pPr>
              <w:rPr>
                <w:rFonts w:asciiTheme="majorHAnsi" w:hAnsiTheme="majorHAnsi" w:cs="Calibri"/>
                <w:b/>
                <w:bCs/>
                <w:color w:val="000000"/>
                <w:sz w:val="18"/>
                <w:szCs w:val="18"/>
                <w:lang w:val="en-IN" w:eastAsia="en-IN"/>
              </w:rPr>
            </w:pPr>
          </w:p>
        </w:tc>
        <w:tc>
          <w:tcPr>
            <w:tcW w:w="1781" w:type="dxa"/>
            <w:tcBorders>
              <w:top w:val="nil"/>
              <w:left w:val="nil"/>
              <w:bottom w:val="single" w:sz="4" w:space="0" w:color="auto"/>
              <w:right w:val="single" w:sz="4" w:space="0" w:color="auto"/>
            </w:tcBorders>
            <w:vAlign w:val="center"/>
            <w:hideMark/>
          </w:tcPr>
          <w:p w14:paraId="72177182" w14:textId="77777777" w:rsidR="008D68D1" w:rsidRPr="00361EBF" w:rsidRDefault="008D68D1" w:rsidP="000F221E">
            <w:pP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lang w:val="en-IN" w:eastAsia="en-IN"/>
              </w:rPr>
              <w:t>Meter Testing Lab</w:t>
            </w:r>
          </w:p>
        </w:tc>
        <w:tc>
          <w:tcPr>
            <w:tcW w:w="1031" w:type="dxa"/>
            <w:tcBorders>
              <w:top w:val="nil"/>
              <w:left w:val="nil"/>
              <w:bottom w:val="single" w:sz="4" w:space="0" w:color="auto"/>
              <w:right w:val="single" w:sz="4" w:space="0" w:color="auto"/>
            </w:tcBorders>
            <w:noWrap/>
            <w:vAlign w:val="center"/>
            <w:hideMark/>
          </w:tcPr>
          <w:p w14:paraId="086A7194"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10.35</w:t>
            </w:r>
          </w:p>
        </w:tc>
        <w:tc>
          <w:tcPr>
            <w:tcW w:w="961" w:type="dxa"/>
            <w:tcBorders>
              <w:top w:val="nil"/>
              <w:left w:val="nil"/>
              <w:bottom w:val="single" w:sz="4" w:space="0" w:color="auto"/>
              <w:right w:val="single" w:sz="4" w:space="0" w:color="auto"/>
            </w:tcBorders>
            <w:noWrap/>
            <w:vAlign w:val="center"/>
            <w:hideMark/>
          </w:tcPr>
          <w:p w14:paraId="7693FD39"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0.05</w:t>
            </w:r>
          </w:p>
        </w:tc>
        <w:tc>
          <w:tcPr>
            <w:tcW w:w="1136" w:type="dxa"/>
            <w:tcBorders>
              <w:top w:val="nil"/>
              <w:left w:val="nil"/>
              <w:bottom w:val="single" w:sz="4" w:space="0" w:color="auto"/>
              <w:right w:val="single" w:sz="4" w:space="0" w:color="auto"/>
            </w:tcBorders>
            <w:noWrap/>
            <w:vAlign w:val="center"/>
            <w:hideMark/>
          </w:tcPr>
          <w:p w14:paraId="26667855"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10.40</w:t>
            </w:r>
          </w:p>
        </w:tc>
        <w:tc>
          <w:tcPr>
            <w:tcW w:w="821" w:type="dxa"/>
            <w:tcBorders>
              <w:top w:val="nil"/>
              <w:left w:val="nil"/>
              <w:bottom w:val="single" w:sz="4" w:space="0" w:color="auto"/>
              <w:right w:val="single" w:sz="4" w:space="0" w:color="auto"/>
            </w:tcBorders>
            <w:noWrap/>
            <w:vAlign w:val="center"/>
            <w:hideMark/>
          </w:tcPr>
          <w:p w14:paraId="44231BD6"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10.38</w:t>
            </w:r>
          </w:p>
        </w:tc>
        <w:tc>
          <w:tcPr>
            <w:tcW w:w="821" w:type="dxa"/>
            <w:tcBorders>
              <w:top w:val="nil"/>
              <w:left w:val="nil"/>
              <w:bottom w:val="single" w:sz="4" w:space="0" w:color="auto"/>
              <w:right w:val="single" w:sz="4" w:space="0" w:color="auto"/>
            </w:tcBorders>
            <w:noWrap/>
            <w:vAlign w:val="center"/>
            <w:hideMark/>
          </w:tcPr>
          <w:p w14:paraId="11EFBB1C"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904" w:type="dxa"/>
            <w:tcBorders>
              <w:top w:val="nil"/>
              <w:left w:val="nil"/>
              <w:bottom w:val="single" w:sz="4" w:space="0" w:color="auto"/>
              <w:right w:val="single" w:sz="4" w:space="0" w:color="auto"/>
            </w:tcBorders>
            <w:noWrap/>
            <w:vAlign w:val="center"/>
            <w:hideMark/>
          </w:tcPr>
          <w:p w14:paraId="34E9D6E5"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0.02</w:t>
            </w:r>
          </w:p>
        </w:tc>
        <w:tc>
          <w:tcPr>
            <w:tcW w:w="888" w:type="dxa"/>
            <w:tcBorders>
              <w:top w:val="nil"/>
              <w:left w:val="nil"/>
              <w:bottom w:val="single" w:sz="4" w:space="0" w:color="auto"/>
              <w:right w:val="single" w:sz="4" w:space="0" w:color="auto"/>
            </w:tcBorders>
            <w:noWrap/>
            <w:vAlign w:val="center"/>
            <w:hideMark/>
          </w:tcPr>
          <w:p w14:paraId="09E5F21A"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10.38</w:t>
            </w:r>
          </w:p>
        </w:tc>
      </w:tr>
      <w:tr w:rsidR="00ED3EC8" w:rsidRPr="00361EBF" w14:paraId="7E9A7445" w14:textId="77777777" w:rsidTr="00304420">
        <w:trPr>
          <w:trHeight w:val="281"/>
          <w:jc w:val="center"/>
        </w:trPr>
        <w:tc>
          <w:tcPr>
            <w:tcW w:w="1471" w:type="dxa"/>
            <w:vMerge/>
            <w:tcBorders>
              <w:top w:val="nil"/>
              <w:left w:val="single" w:sz="4" w:space="0" w:color="auto"/>
              <w:bottom w:val="single" w:sz="4" w:space="0" w:color="auto"/>
              <w:right w:val="single" w:sz="4" w:space="0" w:color="auto"/>
            </w:tcBorders>
            <w:vAlign w:val="center"/>
            <w:hideMark/>
          </w:tcPr>
          <w:p w14:paraId="7CA378EC" w14:textId="77777777" w:rsidR="008D68D1" w:rsidRPr="00361EBF" w:rsidRDefault="008D68D1" w:rsidP="000F221E">
            <w:pPr>
              <w:rPr>
                <w:rFonts w:asciiTheme="majorHAnsi" w:hAnsiTheme="majorHAnsi" w:cs="Calibri"/>
                <w:b/>
                <w:bCs/>
                <w:color w:val="000000"/>
                <w:sz w:val="18"/>
                <w:szCs w:val="18"/>
                <w:lang w:val="en-IN" w:eastAsia="en-IN"/>
              </w:rPr>
            </w:pPr>
          </w:p>
        </w:tc>
        <w:tc>
          <w:tcPr>
            <w:tcW w:w="1781" w:type="dxa"/>
            <w:tcBorders>
              <w:top w:val="nil"/>
              <w:left w:val="nil"/>
              <w:bottom w:val="single" w:sz="4" w:space="0" w:color="auto"/>
              <w:right w:val="single" w:sz="4" w:space="0" w:color="auto"/>
            </w:tcBorders>
            <w:vAlign w:val="center"/>
            <w:hideMark/>
          </w:tcPr>
          <w:p w14:paraId="2662F14B" w14:textId="77777777" w:rsidR="008D68D1" w:rsidRPr="00361EBF" w:rsidRDefault="008D68D1" w:rsidP="000F221E">
            <w:pP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lang w:val="en-IN" w:eastAsia="en-IN"/>
              </w:rPr>
              <w:t>Provision of Safety Equipment &amp; PPEs to workforce</w:t>
            </w:r>
          </w:p>
        </w:tc>
        <w:tc>
          <w:tcPr>
            <w:tcW w:w="1031" w:type="dxa"/>
            <w:tcBorders>
              <w:top w:val="nil"/>
              <w:left w:val="nil"/>
              <w:bottom w:val="single" w:sz="4" w:space="0" w:color="auto"/>
              <w:right w:val="single" w:sz="4" w:space="0" w:color="auto"/>
            </w:tcBorders>
            <w:noWrap/>
            <w:vAlign w:val="center"/>
            <w:hideMark/>
          </w:tcPr>
          <w:p w14:paraId="3CCF91F4"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12.05</w:t>
            </w:r>
          </w:p>
        </w:tc>
        <w:tc>
          <w:tcPr>
            <w:tcW w:w="961" w:type="dxa"/>
            <w:tcBorders>
              <w:top w:val="nil"/>
              <w:left w:val="nil"/>
              <w:bottom w:val="single" w:sz="4" w:space="0" w:color="auto"/>
              <w:right w:val="single" w:sz="4" w:space="0" w:color="auto"/>
            </w:tcBorders>
            <w:noWrap/>
            <w:vAlign w:val="center"/>
            <w:hideMark/>
          </w:tcPr>
          <w:p w14:paraId="021F10F7"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0.02</w:t>
            </w:r>
          </w:p>
        </w:tc>
        <w:tc>
          <w:tcPr>
            <w:tcW w:w="1136" w:type="dxa"/>
            <w:tcBorders>
              <w:top w:val="nil"/>
              <w:left w:val="nil"/>
              <w:bottom w:val="single" w:sz="4" w:space="0" w:color="auto"/>
              <w:right w:val="single" w:sz="4" w:space="0" w:color="auto"/>
            </w:tcBorders>
            <w:noWrap/>
            <w:vAlign w:val="center"/>
            <w:hideMark/>
          </w:tcPr>
          <w:p w14:paraId="7CDA869A"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12.08</w:t>
            </w:r>
          </w:p>
        </w:tc>
        <w:tc>
          <w:tcPr>
            <w:tcW w:w="821" w:type="dxa"/>
            <w:tcBorders>
              <w:top w:val="nil"/>
              <w:left w:val="nil"/>
              <w:bottom w:val="single" w:sz="4" w:space="0" w:color="auto"/>
              <w:right w:val="single" w:sz="4" w:space="0" w:color="auto"/>
            </w:tcBorders>
            <w:noWrap/>
            <w:vAlign w:val="center"/>
            <w:hideMark/>
          </w:tcPr>
          <w:p w14:paraId="666ACEF6"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12.07</w:t>
            </w:r>
          </w:p>
        </w:tc>
        <w:tc>
          <w:tcPr>
            <w:tcW w:w="821" w:type="dxa"/>
            <w:tcBorders>
              <w:top w:val="nil"/>
              <w:left w:val="nil"/>
              <w:bottom w:val="single" w:sz="4" w:space="0" w:color="auto"/>
              <w:right w:val="single" w:sz="4" w:space="0" w:color="auto"/>
            </w:tcBorders>
            <w:noWrap/>
            <w:vAlign w:val="center"/>
            <w:hideMark/>
          </w:tcPr>
          <w:p w14:paraId="2A929E71"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0.03</w:t>
            </w:r>
          </w:p>
        </w:tc>
        <w:tc>
          <w:tcPr>
            <w:tcW w:w="904" w:type="dxa"/>
            <w:tcBorders>
              <w:top w:val="nil"/>
              <w:left w:val="nil"/>
              <w:bottom w:val="single" w:sz="4" w:space="0" w:color="auto"/>
              <w:right w:val="single" w:sz="4" w:space="0" w:color="auto"/>
            </w:tcBorders>
            <w:noWrap/>
            <w:vAlign w:val="center"/>
            <w:hideMark/>
          </w:tcPr>
          <w:p w14:paraId="55D51E2E"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888" w:type="dxa"/>
            <w:tcBorders>
              <w:top w:val="nil"/>
              <w:left w:val="nil"/>
              <w:bottom w:val="single" w:sz="4" w:space="0" w:color="auto"/>
              <w:right w:val="single" w:sz="4" w:space="0" w:color="auto"/>
            </w:tcBorders>
            <w:noWrap/>
            <w:vAlign w:val="center"/>
            <w:hideMark/>
          </w:tcPr>
          <w:p w14:paraId="6BF3AF56"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12.05</w:t>
            </w:r>
          </w:p>
        </w:tc>
      </w:tr>
      <w:tr w:rsidR="00ED3EC8" w:rsidRPr="00361EBF" w14:paraId="71C5C212" w14:textId="77777777" w:rsidTr="00304420">
        <w:trPr>
          <w:trHeight w:val="300"/>
          <w:jc w:val="center"/>
        </w:trPr>
        <w:tc>
          <w:tcPr>
            <w:tcW w:w="1471" w:type="dxa"/>
            <w:vMerge/>
            <w:tcBorders>
              <w:top w:val="nil"/>
              <w:left w:val="single" w:sz="4" w:space="0" w:color="auto"/>
              <w:bottom w:val="single" w:sz="4" w:space="0" w:color="auto"/>
              <w:right w:val="single" w:sz="4" w:space="0" w:color="auto"/>
            </w:tcBorders>
            <w:vAlign w:val="center"/>
            <w:hideMark/>
          </w:tcPr>
          <w:p w14:paraId="066B68FD" w14:textId="77777777" w:rsidR="008D68D1" w:rsidRPr="00361EBF" w:rsidRDefault="008D68D1" w:rsidP="000F221E">
            <w:pPr>
              <w:rPr>
                <w:rFonts w:asciiTheme="majorHAnsi" w:hAnsiTheme="majorHAnsi" w:cs="Calibri"/>
                <w:b/>
                <w:bCs/>
                <w:color w:val="000000"/>
                <w:sz w:val="18"/>
                <w:szCs w:val="18"/>
                <w:lang w:val="en-IN" w:eastAsia="en-IN"/>
              </w:rPr>
            </w:pPr>
          </w:p>
        </w:tc>
        <w:tc>
          <w:tcPr>
            <w:tcW w:w="1781" w:type="dxa"/>
            <w:tcBorders>
              <w:top w:val="nil"/>
              <w:left w:val="nil"/>
              <w:bottom w:val="single" w:sz="4" w:space="0" w:color="auto"/>
              <w:right w:val="single" w:sz="4" w:space="0" w:color="auto"/>
            </w:tcBorders>
            <w:vAlign w:val="center"/>
            <w:hideMark/>
          </w:tcPr>
          <w:p w14:paraId="61A7775E"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lang w:val="en-IN" w:eastAsia="en-IN"/>
              </w:rPr>
              <w:t>TOTAL</w:t>
            </w:r>
          </w:p>
        </w:tc>
        <w:tc>
          <w:tcPr>
            <w:tcW w:w="1031" w:type="dxa"/>
            <w:tcBorders>
              <w:top w:val="nil"/>
              <w:left w:val="nil"/>
              <w:bottom w:val="single" w:sz="4" w:space="0" w:color="auto"/>
              <w:right w:val="single" w:sz="4" w:space="0" w:color="auto"/>
            </w:tcBorders>
            <w:noWrap/>
            <w:vAlign w:val="center"/>
            <w:hideMark/>
          </w:tcPr>
          <w:p w14:paraId="709B3999"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98.48</w:t>
            </w:r>
          </w:p>
        </w:tc>
        <w:tc>
          <w:tcPr>
            <w:tcW w:w="961" w:type="dxa"/>
            <w:tcBorders>
              <w:top w:val="nil"/>
              <w:left w:val="nil"/>
              <w:bottom w:val="single" w:sz="4" w:space="0" w:color="auto"/>
              <w:right w:val="single" w:sz="4" w:space="0" w:color="auto"/>
            </w:tcBorders>
            <w:noWrap/>
            <w:vAlign w:val="center"/>
            <w:hideMark/>
          </w:tcPr>
          <w:p w14:paraId="0DFD845E"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0.00</w:t>
            </w:r>
          </w:p>
        </w:tc>
        <w:tc>
          <w:tcPr>
            <w:tcW w:w="1136" w:type="dxa"/>
            <w:tcBorders>
              <w:top w:val="nil"/>
              <w:left w:val="nil"/>
              <w:bottom w:val="single" w:sz="4" w:space="0" w:color="auto"/>
              <w:right w:val="single" w:sz="4" w:space="0" w:color="auto"/>
            </w:tcBorders>
            <w:noWrap/>
            <w:vAlign w:val="center"/>
            <w:hideMark/>
          </w:tcPr>
          <w:p w14:paraId="51CBBF46"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98.48</w:t>
            </w:r>
          </w:p>
        </w:tc>
        <w:tc>
          <w:tcPr>
            <w:tcW w:w="821" w:type="dxa"/>
            <w:tcBorders>
              <w:top w:val="nil"/>
              <w:left w:val="nil"/>
              <w:bottom w:val="single" w:sz="4" w:space="0" w:color="auto"/>
              <w:right w:val="single" w:sz="4" w:space="0" w:color="auto"/>
            </w:tcBorders>
            <w:noWrap/>
            <w:vAlign w:val="center"/>
            <w:hideMark/>
          </w:tcPr>
          <w:p w14:paraId="1075B1F4"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98.42</w:t>
            </w:r>
          </w:p>
        </w:tc>
        <w:tc>
          <w:tcPr>
            <w:tcW w:w="821" w:type="dxa"/>
            <w:tcBorders>
              <w:top w:val="nil"/>
              <w:left w:val="nil"/>
              <w:bottom w:val="single" w:sz="4" w:space="0" w:color="auto"/>
              <w:right w:val="single" w:sz="4" w:space="0" w:color="auto"/>
            </w:tcBorders>
            <w:noWrap/>
            <w:vAlign w:val="center"/>
            <w:hideMark/>
          </w:tcPr>
          <w:p w14:paraId="0E38A919"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0.08</w:t>
            </w:r>
          </w:p>
        </w:tc>
        <w:tc>
          <w:tcPr>
            <w:tcW w:w="904" w:type="dxa"/>
            <w:tcBorders>
              <w:top w:val="nil"/>
              <w:left w:val="nil"/>
              <w:bottom w:val="single" w:sz="4" w:space="0" w:color="auto"/>
              <w:right w:val="single" w:sz="4" w:space="0" w:color="auto"/>
            </w:tcBorders>
            <w:noWrap/>
            <w:vAlign w:val="center"/>
            <w:hideMark/>
          </w:tcPr>
          <w:p w14:paraId="2EBBD430"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0.06</w:t>
            </w:r>
          </w:p>
        </w:tc>
        <w:tc>
          <w:tcPr>
            <w:tcW w:w="888" w:type="dxa"/>
            <w:tcBorders>
              <w:top w:val="nil"/>
              <w:left w:val="nil"/>
              <w:bottom w:val="single" w:sz="4" w:space="0" w:color="auto"/>
              <w:right w:val="single" w:sz="4" w:space="0" w:color="auto"/>
            </w:tcBorders>
            <w:noWrap/>
            <w:vAlign w:val="center"/>
            <w:hideMark/>
          </w:tcPr>
          <w:p w14:paraId="76C80070"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98.35</w:t>
            </w:r>
          </w:p>
        </w:tc>
      </w:tr>
      <w:tr w:rsidR="00ED3EC8" w:rsidRPr="00361EBF" w14:paraId="30EF5E98" w14:textId="77777777" w:rsidTr="00304420">
        <w:trPr>
          <w:trHeight w:val="281"/>
          <w:jc w:val="center"/>
        </w:trPr>
        <w:tc>
          <w:tcPr>
            <w:tcW w:w="1471" w:type="dxa"/>
            <w:vMerge w:val="restart"/>
            <w:tcBorders>
              <w:top w:val="nil"/>
              <w:left w:val="single" w:sz="4" w:space="0" w:color="auto"/>
              <w:bottom w:val="single" w:sz="4" w:space="0" w:color="auto"/>
              <w:right w:val="single" w:sz="4" w:space="0" w:color="auto"/>
            </w:tcBorders>
            <w:vAlign w:val="center"/>
            <w:hideMark/>
          </w:tcPr>
          <w:p w14:paraId="4AB31045"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lang w:val="en-IN" w:eastAsia="en-IN"/>
              </w:rPr>
              <w:t>Loss Reduction</w:t>
            </w:r>
          </w:p>
        </w:tc>
        <w:tc>
          <w:tcPr>
            <w:tcW w:w="1781" w:type="dxa"/>
            <w:tcBorders>
              <w:top w:val="nil"/>
              <w:left w:val="nil"/>
              <w:bottom w:val="single" w:sz="4" w:space="0" w:color="auto"/>
              <w:right w:val="single" w:sz="4" w:space="0" w:color="auto"/>
            </w:tcBorders>
            <w:vAlign w:val="center"/>
            <w:hideMark/>
          </w:tcPr>
          <w:p w14:paraId="5283F7EA" w14:textId="77777777" w:rsidR="008D68D1" w:rsidRPr="00361EBF" w:rsidRDefault="008D68D1" w:rsidP="000F221E">
            <w:pP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lang w:val="en-IN" w:eastAsia="en-IN"/>
              </w:rPr>
              <w:t>Energy Meter replacement</w:t>
            </w:r>
          </w:p>
        </w:tc>
        <w:tc>
          <w:tcPr>
            <w:tcW w:w="1031" w:type="dxa"/>
            <w:tcBorders>
              <w:top w:val="nil"/>
              <w:left w:val="nil"/>
              <w:bottom w:val="single" w:sz="4" w:space="0" w:color="auto"/>
              <w:right w:val="single" w:sz="4" w:space="0" w:color="auto"/>
            </w:tcBorders>
            <w:noWrap/>
            <w:vAlign w:val="center"/>
            <w:hideMark/>
          </w:tcPr>
          <w:p w14:paraId="2BCAA579"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4.08</w:t>
            </w:r>
          </w:p>
        </w:tc>
        <w:tc>
          <w:tcPr>
            <w:tcW w:w="961" w:type="dxa"/>
            <w:tcBorders>
              <w:top w:val="nil"/>
              <w:left w:val="nil"/>
              <w:bottom w:val="single" w:sz="4" w:space="0" w:color="auto"/>
              <w:right w:val="single" w:sz="4" w:space="0" w:color="auto"/>
            </w:tcBorders>
            <w:noWrap/>
            <w:vAlign w:val="center"/>
            <w:hideMark/>
          </w:tcPr>
          <w:p w14:paraId="183AE827"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1136" w:type="dxa"/>
            <w:tcBorders>
              <w:top w:val="nil"/>
              <w:left w:val="nil"/>
              <w:bottom w:val="single" w:sz="4" w:space="0" w:color="auto"/>
              <w:right w:val="single" w:sz="4" w:space="0" w:color="auto"/>
            </w:tcBorders>
            <w:noWrap/>
            <w:vAlign w:val="center"/>
            <w:hideMark/>
          </w:tcPr>
          <w:p w14:paraId="26E8E7CD"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4.08</w:t>
            </w:r>
          </w:p>
        </w:tc>
        <w:tc>
          <w:tcPr>
            <w:tcW w:w="821" w:type="dxa"/>
            <w:tcBorders>
              <w:top w:val="nil"/>
              <w:left w:val="nil"/>
              <w:bottom w:val="single" w:sz="4" w:space="0" w:color="auto"/>
              <w:right w:val="single" w:sz="4" w:space="0" w:color="auto"/>
            </w:tcBorders>
            <w:noWrap/>
            <w:vAlign w:val="center"/>
            <w:hideMark/>
          </w:tcPr>
          <w:p w14:paraId="50116FD3"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4.08</w:t>
            </w:r>
          </w:p>
        </w:tc>
        <w:tc>
          <w:tcPr>
            <w:tcW w:w="821" w:type="dxa"/>
            <w:tcBorders>
              <w:top w:val="nil"/>
              <w:left w:val="nil"/>
              <w:bottom w:val="single" w:sz="4" w:space="0" w:color="auto"/>
              <w:right w:val="single" w:sz="4" w:space="0" w:color="auto"/>
            </w:tcBorders>
            <w:noWrap/>
            <w:vAlign w:val="center"/>
            <w:hideMark/>
          </w:tcPr>
          <w:p w14:paraId="47FBCF03"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0.09</w:t>
            </w:r>
          </w:p>
        </w:tc>
        <w:tc>
          <w:tcPr>
            <w:tcW w:w="904" w:type="dxa"/>
            <w:tcBorders>
              <w:top w:val="nil"/>
              <w:left w:val="nil"/>
              <w:bottom w:val="single" w:sz="4" w:space="0" w:color="auto"/>
              <w:right w:val="single" w:sz="4" w:space="0" w:color="auto"/>
            </w:tcBorders>
            <w:noWrap/>
            <w:vAlign w:val="center"/>
            <w:hideMark/>
          </w:tcPr>
          <w:p w14:paraId="22418C5E"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888" w:type="dxa"/>
            <w:tcBorders>
              <w:top w:val="nil"/>
              <w:left w:val="nil"/>
              <w:bottom w:val="single" w:sz="4" w:space="0" w:color="auto"/>
              <w:right w:val="single" w:sz="4" w:space="0" w:color="auto"/>
            </w:tcBorders>
            <w:noWrap/>
            <w:vAlign w:val="center"/>
            <w:hideMark/>
          </w:tcPr>
          <w:p w14:paraId="47B2C9AA"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3.99</w:t>
            </w:r>
          </w:p>
        </w:tc>
      </w:tr>
      <w:tr w:rsidR="00ED3EC8" w:rsidRPr="00361EBF" w14:paraId="46A95CCC" w14:textId="77777777" w:rsidTr="00304420">
        <w:trPr>
          <w:trHeight w:val="281"/>
          <w:jc w:val="center"/>
        </w:trPr>
        <w:tc>
          <w:tcPr>
            <w:tcW w:w="1471" w:type="dxa"/>
            <w:vMerge/>
            <w:tcBorders>
              <w:top w:val="nil"/>
              <w:left w:val="single" w:sz="4" w:space="0" w:color="auto"/>
              <w:bottom w:val="single" w:sz="4" w:space="0" w:color="auto"/>
              <w:right w:val="single" w:sz="4" w:space="0" w:color="auto"/>
            </w:tcBorders>
            <w:vAlign w:val="center"/>
            <w:hideMark/>
          </w:tcPr>
          <w:p w14:paraId="6A0CACE8" w14:textId="77777777" w:rsidR="008D68D1" w:rsidRPr="00361EBF" w:rsidRDefault="008D68D1" w:rsidP="000F221E">
            <w:pPr>
              <w:rPr>
                <w:rFonts w:asciiTheme="majorHAnsi" w:hAnsiTheme="majorHAnsi" w:cs="Calibri"/>
                <w:b/>
                <w:bCs/>
                <w:color w:val="000000"/>
                <w:sz w:val="18"/>
                <w:szCs w:val="18"/>
                <w:lang w:val="en-IN" w:eastAsia="en-IN"/>
              </w:rPr>
            </w:pPr>
          </w:p>
        </w:tc>
        <w:tc>
          <w:tcPr>
            <w:tcW w:w="1781" w:type="dxa"/>
            <w:tcBorders>
              <w:top w:val="nil"/>
              <w:left w:val="nil"/>
              <w:bottom w:val="single" w:sz="4" w:space="0" w:color="auto"/>
              <w:right w:val="single" w:sz="4" w:space="0" w:color="auto"/>
            </w:tcBorders>
            <w:vAlign w:val="center"/>
            <w:hideMark/>
          </w:tcPr>
          <w:p w14:paraId="03522943" w14:textId="77777777" w:rsidR="008D68D1" w:rsidRPr="00361EBF" w:rsidRDefault="008D68D1" w:rsidP="000F221E">
            <w:pP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lang w:val="en-IN" w:eastAsia="en-IN"/>
              </w:rPr>
              <w:t>Refurbishment /augmentation of 33 kV/ 11 kV/ 0.415 kV network to reduce Losses</w:t>
            </w:r>
          </w:p>
        </w:tc>
        <w:tc>
          <w:tcPr>
            <w:tcW w:w="1031" w:type="dxa"/>
            <w:tcBorders>
              <w:top w:val="nil"/>
              <w:left w:val="nil"/>
              <w:bottom w:val="single" w:sz="4" w:space="0" w:color="auto"/>
              <w:right w:val="single" w:sz="4" w:space="0" w:color="auto"/>
            </w:tcBorders>
            <w:noWrap/>
            <w:vAlign w:val="center"/>
            <w:hideMark/>
          </w:tcPr>
          <w:p w14:paraId="02058ED0"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38.40</w:t>
            </w:r>
          </w:p>
        </w:tc>
        <w:tc>
          <w:tcPr>
            <w:tcW w:w="961" w:type="dxa"/>
            <w:tcBorders>
              <w:top w:val="nil"/>
              <w:left w:val="nil"/>
              <w:bottom w:val="single" w:sz="4" w:space="0" w:color="auto"/>
              <w:right w:val="single" w:sz="4" w:space="0" w:color="auto"/>
            </w:tcBorders>
            <w:noWrap/>
            <w:vAlign w:val="center"/>
            <w:hideMark/>
          </w:tcPr>
          <w:p w14:paraId="2A448022"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1136" w:type="dxa"/>
            <w:tcBorders>
              <w:top w:val="nil"/>
              <w:left w:val="nil"/>
              <w:bottom w:val="single" w:sz="4" w:space="0" w:color="auto"/>
              <w:right w:val="single" w:sz="4" w:space="0" w:color="auto"/>
            </w:tcBorders>
            <w:noWrap/>
            <w:vAlign w:val="center"/>
            <w:hideMark/>
          </w:tcPr>
          <w:p w14:paraId="20F4562A"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38.40</w:t>
            </w:r>
          </w:p>
        </w:tc>
        <w:tc>
          <w:tcPr>
            <w:tcW w:w="821" w:type="dxa"/>
            <w:tcBorders>
              <w:top w:val="nil"/>
              <w:left w:val="nil"/>
              <w:bottom w:val="single" w:sz="4" w:space="0" w:color="auto"/>
              <w:right w:val="single" w:sz="4" w:space="0" w:color="auto"/>
            </w:tcBorders>
            <w:noWrap/>
            <w:vAlign w:val="center"/>
            <w:hideMark/>
          </w:tcPr>
          <w:p w14:paraId="589A55D5"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38.31</w:t>
            </w:r>
          </w:p>
        </w:tc>
        <w:tc>
          <w:tcPr>
            <w:tcW w:w="821" w:type="dxa"/>
            <w:tcBorders>
              <w:top w:val="nil"/>
              <w:left w:val="nil"/>
              <w:bottom w:val="single" w:sz="4" w:space="0" w:color="auto"/>
              <w:right w:val="single" w:sz="4" w:space="0" w:color="auto"/>
            </w:tcBorders>
            <w:noWrap/>
            <w:vAlign w:val="center"/>
            <w:hideMark/>
          </w:tcPr>
          <w:p w14:paraId="33DBBEA5"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0.02</w:t>
            </w:r>
          </w:p>
        </w:tc>
        <w:tc>
          <w:tcPr>
            <w:tcW w:w="904" w:type="dxa"/>
            <w:tcBorders>
              <w:top w:val="nil"/>
              <w:left w:val="nil"/>
              <w:bottom w:val="single" w:sz="4" w:space="0" w:color="auto"/>
              <w:right w:val="single" w:sz="4" w:space="0" w:color="auto"/>
            </w:tcBorders>
            <w:noWrap/>
            <w:vAlign w:val="center"/>
            <w:hideMark/>
          </w:tcPr>
          <w:p w14:paraId="102D99DC"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0.09</w:t>
            </w:r>
          </w:p>
        </w:tc>
        <w:tc>
          <w:tcPr>
            <w:tcW w:w="888" w:type="dxa"/>
            <w:tcBorders>
              <w:top w:val="nil"/>
              <w:left w:val="nil"/>
              <w:bottom w:val="single" w:sz="4" w:space="0" w:color="auto"/>
              <w:right w:val="single" w:sz="4" w:space="0" w:color="auto"/>
            </w:tcBorders>
            <w:noWrap/>
            <w:vAlign w:val="center"/>
            <w:hideMark/>
          </w:tcPr>
          <w:p w14:paraId="40743F33"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38.29</w:t>
            </w:r>
          </w:p>
        </w:tc>
      </w:tr>
      <w:tr w:rsidR="00ED3EC8" w:rsidRPr="00361EBF" w14:paraId="6181653C" w14:textId="77777777" w:rsidTr="00304420">
        <w:trPr>
          <w:trHeight w:val="300"/>
          <w:jc w:val="center"/>
        </w:trPr>
        <w:tc>
          <w:tcPr>
            <w:tcW w:w="1471" w:type="dxa"/>
            <w:vMerge/>
            <w:tcBorders>
              <w:top w:val="nil"/>
              <w:left w:val="single" w:sz="4" w:space="0" w:color="auto"/>
              <w:bottom w:val="single" w:sz="4" w:space="0" w:color="auto"/>
              <w:right w:val="single" w:sz="4" w:space="0" w:color="auto"/>
            </w:tcBorders>
            <w:vAlign w:val="center"/>
            <w:hideMark/>
          </w:tcPr>
          <w:p w14:paraId="6A59CCB5" w14:textId="77777777" w:rsidR="008D68D1" w:rsidRPr="00361EBF" w:rsidRDefault="008D68D1" w:rsidP="000F221E">
            <w:pPr>
              <w:rPr>
                <w:rFonts w:asciiTheme="majorHAnsi" w:hAnsiTheme="majorHAnsi" w:cs="Calibri"/>
                <w:b/>
                <w:bCs/>
                <w:color w:val="000000"/>
                <w:sz w:val="18"/>
                <w:szCs w:val="18"/>
                <w:lang w:val="en-IN" w:eastAsia="en-IN"/>
              </w:rPr>
            </w:pPr>
          </w:p>
        </w:tc>
        <w:tc>
          <w:tcPr>
            <w:tcW w:w="1781" w:type="dxa"/>
            <w:tcBorders>
              <w:top w:val="nil"/>
              <w:left w:val="nil"/>
              <w:bottom w:val="single" w:sz="4" w:space="0" w:color="auto"/>
              <w:right w:val="single" w:sz="4" w:space="0" w:color="auto"/>
            </w:tcBorders>
            <w:vAlign w:val="center"/>
            <w:hideMark/>
          </w:tcPr>
          <w:p w14:paraId="120F2A5A"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lang w:val="en-IN" w:eastAsia="en-IN"/>
              </w:rPr>
              <w:t>TOTAL</w:t>
            </w:r>
          </w:p>
        </w:tc>
        <w:tc>
          <w:tcPr>
            <w:tcW w:w="1031" w:type="dxa"/>
            <w:tcBorders>
              <w:top w:val="nil"/>
              <w:left w:val="nil"/>
              <w:bottom w:val="single" w:sz="4" w:space="0" w:color="auto"/>
              <w:right w:val="single" w:sz="4" w:space="0" w:color="auto"/>
            </w:tcBorders>
            <w:noWrap/>
            <w:vAlign w:val="center"/>
            <w:hideMark/>
          </w:tcPr>
          <w:p w14:paraId="6AD87611"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42.48</w:t>
            </w:r>
          </w:p>
        </w:tc>
        <w:tc>
          <w:tcPr>
            <w:tcW w:w="961" w:type="dxa"/>
            <w:tcBorders>
              <w:top w:val="nil"/>
              <w:left w:val="nil"/>
              <w:bottom w:val="single" w:sz="4" w:space="0" w:color="auto"/>
              <w:right w:val="single" w:sz="4" w:space="0" w:color="auto"/>
            </w:tcBorders>
            <w:noWrap/>
            <w:vAlign w:val="center"/>
            <w:hideMark/>
          </w:tcPr>
          <w:p w14:paraId="0D364CEF"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0.00</w:t>
            </w:r>
          </w:p>
        </w:tc>
        <w:tc>
          <w:tcPr>
            <w:tcW w:w="1136" w:type="dxa"/>
            <w:tcBorders>
              <w:top w:val="nil"/>
              <w:left w:val="nil"/>
              <w:bottom w:val="single" w:sz="4" w:space="0" w:color="auto"/>
              <w:right w:val="single" w:sz="4" w:space="0" w:color="auto"/>
            </w:tcBorders>
            <w:noWrap/>
            <w:vAlign w:val="center"/>
            <w:hideMark/>
          </w:tcPr>
          <w:p w14:paraId="77322FE2"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42.48</w:t>
            </w:r>
          </w:p>
        </w:tc>
        <w:tc>
          <w:tcPr>
            <w:tcW w:w="821" w:type="dxa"/>
            <w:tcBorders>
              <w:top w:val="nil"/>
              <w:left w:val="nil"/>
              <w:bottom w:val="single" w:sz="4" w:space="0" w:color="auto"/>
              <w:right w:val="single" w:sz="4" w:space="0" w:color="auto"/>
            </w:tcBorders>
            <w:noWrap/>
            <w:vAlign w:val="center"/>
            <w:hideMark/>
          </w:tcPr>
          <w:p w14:paraId="5B63E0BE"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42.39</w:t>
            </w:r>
          </w:p>
        </w:tc>
        <w:tc>
          <w:tcPr>
            <w:tcW w:w="821" w:type="dxa"/>
            <w:tcBorders>
              <w:top w:val="nil"/>
              <w:left w:val="nil"/>
              <w:bottom w:val="single" w:sz="4" w:space="0" w:color="auto"/>
              <w:right w:val="single" w:sz="4" w:space="0" w:color="auto"/>
            </w:tcBorders>
            <w:noWrap/>
            <w:vAlign w:val="center"/>
            <w:hideMark/>
          </w:tcPr>
          <w:p w14:paraId="21B1CBBE"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0.11</w:t>
            </w:r>
          </w:p>
        </w:tc>
        <w:tc>
          <w:tcPr>
            <w:tcW w:w="904" w:type="dxa"/>
            <w:tcBorders>
              <w:top w:val="nil"/>
              <w:left w:val="nil"/>
              <w:bottom w:val="single" w:sz="4" w:space="0" w:color="auto"/>
              <w:right w:val="single" w:sz="4" w:space="0" w:color="auto"/>
            </w:tcBorders>
            <w:noWrap/>
            <w:vAlign w:val="center"/>
            <w:hideMark/>
          </w:tcPr>
          <w:p w14:paraId="3CE1EF05"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0.09</w:t>
            </w:r>
          </w:p>
        </w:tc>
        <w:tc>
          <w:tcPr>
            <w:tcW w:w="888" w:type="dxa"/>
            <w:tcBorders>
              <w:top w:val="nil"/>
              <w:left w:val="nil"/>
              <w:bottom w:val="single" w:sz="4" w:space="0" w:color="auto"/>
              <w:right w:val="single" w:sz="4" w:space="0" w:color="auto"/>
            </w:tcBorders>
            <w:noWrap/>
            <w:vAlign w:val="center"/>
            <w:hideMark/>
          </w:tcPr>
          <w:p w14:paraId="429B7918"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42.28</w:t>
            </w:r>
          </w:p>
        </w:tc>
      </w:tr>
      <w:tr w:rsidR="00ED3EC8" w:rsidRPr="00361EBF" w14:paraId="26B3BA4D" w14:textId="77777777" w:rsidTr="00304420">
        <w:trPr>
          <w:trHeight w:val="281"/>
          <w:jc w:val="center"/>
        </w:trPr>
        <w:tc>
          <w:tcPr>
            <w:tcW w:w="1471" w:type="dxa"/>
            <w:vMerge w:val="restart"/>
            <w:tcBorders>
              <w:top w:val="nil"/>
              <w:left w:val="single" w:sz="4" w:space="0" w:color="auto"/>
              <w:bottom w:val="single" w:sz="4" w:space="0" w:color="auto"/>
              <w:right w:val="single" w:sz="4" w:space="0" w:color="auto"/>
            </w:tcBorders>
            <w:vAlign w:val="center"/>
            <w:hideMark/>
          </w:tcPr>
          <w:p w14:paraId="3C158EA1"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lang w:val="en-IN" w:eastAsia="en-IN"/>
              </w:rPr>
              <w:t>Network Reliability</w:t>
            </w:r>
          </w:p>
        </w:tc>
        <w:tc>
          <w:tcPr>
            <w:tcW w:w="1781" w:type="dxa"/>
            <w:tcBorders>
              <w:top w:val="nil"/>
              <w:left w:val="nil"/>
              <w:bottom w:val="single" w:sz="4" w:space="0" w:color="auto"/>
              <w:right w:val="single" w:sz="4" w:space="0" w:color="auto"/>
            </w:tcBorders>
            <w:vAlign w:val="center"/>
            <w:hideMark/>
          </w:tcPr>
          <w:p w14:paraId="220D9C8B" w14:textId="77777777" w:rsidR="008D68D1" w:rsidRPr="00361EBF" w:rsidRDefault="008D68D1" w:rsidP="000F221E">
            <w:pP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lang w:val="en-IN" w:eastAsia="en-IN"/>
              </w:rPr>
              <w:t>Augmentation of LV side protection System along with DT LA</w:t>
            </w:r>
          </w:p>
        </w:tc>
        <w:tc>
          <w:tcPr>
            <w:tcW w:w="1031" w:type="dxa"/>
            <w:tcBorders>
              <w:top w:val="nil"/>
              <w:left w:val="nil"/>
              <w:bottom w:val="single" w:sz="4" w:space="0" w:color="auto"/>
              <w:right w:val="single" w:sz="4" w:space="0" w:color="auto"/>
            </w:tcBorders>
            <w:noWrap/>
            <w:vAlign w:val="center"/>
            <w:hideMark/>
          </w:tcPr>
          <w:p w14:paraId="7F3B431B"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12.45</w:t>
            </w:r>
          </w:p>
        </w:tc>
        <w:tc>
          <w:tcPr>
            <w:tcW w:w="961" w:type="dxa"/>
            <w:tcBorders>
              <w:top w:val="nil"/>
              <w:left w:val="nil"/>
              <w:bottom w:val="single" w:sz="4" w:space="0" w:color="auto"/>
              <w:right w:val="single" w:sz="4" w:space="0" w:color="auto"/>
            </w:tcBorders>
            <w:noWrap/>
            <w:vAlign w:val="center"/>
            <w:hideMark/>
          </w:tcPr>
          <w:p w14:paraId="1F8A4F02"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0.01</w:t>
            </w:r>
          </w:p>
        </w:tc>
        <w:tc>
          <w:tcPr>
            <w:tcW w:w="1136" w:type="dxa"/>
            <w:tcBorders>
              <w:top w:val="nil"/>
              <w:left w:val="nil"/>
              <w:bottom w:val="single" w:sz="4" w:space="0" w:color="auto"/>
              <w:right w:val="single" w:sz="4" w:space="0" w:color="auto"/>
            </w:tcBorders>
            <w:noWrap/>
            <w:vAlign w:val="center"/>
            <w:hideMark/>
          </w:tcPr>
          <w:p w14:paraId="1805BE4B"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12.46</w:t>
            </w:r>
          </w:p>
        </w:tc>
        <w:tc>
          <w:tcPr>
            <w:tcW w:w="821" w:type="dxa"/>
            <w:tcBorders>
              <w:top w:val="nil"/>
              <w:left w:val="nil"/>
              <w:bottom w:val="single" w:sz="4" w:space="0" w:color="auto"/>
              <w:right w:val="single" w:sz="4" w:space="0" w:color="auto"/>
            </w:tcBorders>
            <w:noWrap/>
            <w:vAlign w:val="center"/>
            <w:hideMark/>
          </w:tcPr>
          <w:p w14:paraId="2F62106C"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12.46</w:t>
            </w:r>
          </w:p>
        </w:tc>
        <w:tc>
          <w:tcPr>
            <w:tcW w:w="821" w:type="dxa"/>
            <w:tcBorders>
              <w:top w:val="nil"/>
              <w:left w:val="nil"/>
              <w:bottom w:val="single" w:sz="4" w:space="0" w:color="auto"/>
              <w:right w:val="single" w:sz="4" w:space="0" w:color="auto"/>
            </w:tcBorders>
            <w:noWrap/>
            <w:vAlign w:val="center"/>
            <w:hideMark/>
          </w:tcPr>
          <w:p w14:paraId="601CDC85"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904" w:type="dxa"/>
            <w:tcBorders>
              <w:top w:val="nil"/>
              <w:left w:val="nil"/>
              <w:bottom w:val="single" w:sz="4" w:space="0" w:color="auto"/>
              <w:right w:val="single" w:sz="4" w:space="0" w:color="auto"/>
            </w:tcBorders>
            <w:noWrap/>
            <w:vAlign w:val="center"/>
            <w:hideMark/>
          </w:tcPr>
          <w:p w14:paraId="4E44B9A0"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888" w:type="dxa"/>
            <w:tcBorders>
              <w:top w:val="nil"/>
              <w:left w:val="nil"/>
              <w:bottom w:val="single" w:sz="4" w:space="0" w:color="auto"/>
              <w:right w:val="single" w:sz="4" w:space="0" w:color="auto"/>
            </w:tcBorders>
            <w:noWrap/>
            <w:vAlign w:val="center"/>
            <w:hideMark/>
          </w:tcPr>
          <w:p w14:paraId="3D920AC3"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12.46</w:t>
            </w:r>
          </w:p>
        </w:tc>
      </w:tr>
      <w:tr w:rsidR="00ED3EC8" w:rsidRPr="00361EBF" w14:paraId="7634A3BC" w14:textId="77777777" w:rsidTr="00304420">
        <w:trPr>
          <w:trHeight w:val="281"/>
          <w:jc w:val="center"/>
        </w:trPr>
        <w:tc>
          <w:tcPr>
            <w:tcW w:w="1471" w:type="dxa"/>
            <w:vMerge/>
            <w:tcBorders>
              <w:top w:val="nil"/>
              <w:left w:val="single" w:sz="4" w:space="0" w:color="auto"/>
              <w:bottom w:val="single" w:sz="4" w:space="0" w:color="auto"/>
              <w:right w:val="single" w:sz="4" w:space="0" w:color="auto"/>
            </w:tcBorders>
            <w:vAlign w:val="center"/>
            <w:hideMark/>
          </w:tcPr>
          <w:p w14:paraId="57FEDF2F" w14:textId="77777777" w:rsidR="008D68D1" w:rsidRPr="00361EBF" w:rsidRDefault="008D68D1" w:rsidP="000F221E">
            <w:pPr>
              <w:rPr>
                <w:rFonts w:asciiTheme="majorHAnsi" w:hAnsiTheme="majorHAnsi" w:cs="Calibri"/>
                <w:b/>
                <w:bCs/>
                <w:color w:val="000000"/>
                <w:sz w:val="18"/>
                <w:szCs w:val="18"/>
                <w:lang w:val="en-IN" w:eastAsia="en-IN"/>
              </w:rPr>
            </w:pPr>
          </w:p>
        </w:tc>
        <w:tc>
          <w:tcPr>
            <w:tcW w:w="1781" w:type="dxa"/>
            <w:tcBorders>
              <w:top w:val="nil"/>
              <w:left w:val="nil"/>
              <w:bottom w:val="single" w:sz="4" w:space="0" w:color="auto"/>
              <w:right w:val="single" w:sz="4" w:space="0" w:color="auto"/>
            </w:tcBorders>
            <w:vAlign w:val="center"/>
            <w:hideMark/>
          </w:tcPr>
          <w:p w14:paraId="67C4E54A" w14:textId="77777777" w:rsidR="008D68D1" w:rsidRPr="00361EBF" w:rsidRDefault="008D68D1" w:rsidP="000F221E">
            <w:pP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lang w:val="en-IN" w:eastAsia="en-IN"/>
              </w:rPr>
              <w:t>Installation of AB switches/ Isolators/Insulators on 33 kV and 11 kV Network</w:t>
            </w:r>
          </w:p>
        </w:tc>
        <w:tc>
          <w:tcPr>
            <w:tcW w:w="1031" w:type="dxa"/>
            <w:tcBorders>
              <w:top w:val="nil"/>
              <w:left w:val="nil"/>
              <w:bottom w:val="single" w:sz="4" w:space="0" w:color="auto"/>
              <w:right w:val="single" w:sz="4" w:space="0" w:color="auto"/>
            </w:tcBorders>
            <w:noWrap/>
            <w:vAlign w:val="center"/>
            <w:hideMark/>
          </w:tcPr>
          <w:p w14:paraId="079D3236"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14.30</w:t>
            </w:r>
          </w:p>
        </w:tc>
        <w:tc>
          <w:tcPr>
            <w:tcW w:w="961" w:type="dxa"/>
            <w:tcBorders>
              <w:top w:val="nil"/>
              <w:left w:val="nil"/>
              <w:bottom w:val="single" w:sz="4" w:space="0" w:color="auto"/>
              <w:right w:val="single" w:sz="4" w:space="0" w:color="auto"/>
            </w:tcBorders>
            <w:noWrap/>
            <w:vAlign w:val="center"/>
            <w:hideMark/>
          </w:tcPr>
          <w:p w14:paraId="349BEB6E"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0.05</w:t>
            </w:r>
          </w:p>
        </w:tc>
        <w:tc>
          <w:tcPr>
            <w:tcW w:w="1136" w:type="dxa"/>
            <w:tcBorders>
              <w:top w:val="nil"/>
              <w:left w:val="nil"/>
              <w:bottom w:val="single" w:sz="4" w:space="0" w:color="auto"/>
              <w:right w:val="single" w:sz="4" w:space="0" w:color="auto"/>
            </w:tcBorders>
            <w:noWrap/>
            <w:vAlign w:val="center"/>
            <w:hideMark/>
          </w:tcPr>
          <w:p w14:paraId="5CA39C12"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14.35</w:t>
            </w:r>
          </w:p>
        </w:tc>
        <w:tc>
          <w:tcPr>
            <w:tcW w:w="821" w:type="dxa"/>
            <w:tcBorders>
              <w:top w:val="nil"/>
              <w:left w:val="nil"/>
              <w:bottom w:val="single" w:sz="4" w:space="0" w:color="auto"/>
              <w:right w:val="single" w:sz="4" w:space="0" w:color="auto"/>
            </w:tcBorders>
            <w:noWrap/>
            <w:vAlign w:val="center"/>
            <w:hideMark/>
          </w:tcPr>
          <w:p w14:paraId="0BA758D3"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14.24</w:t>
            </w:r>
          </w:p>
        </w:tc>
        <w:tc>
          <w:tcPr>
            <w:tcW w:w="821" w:type="dxa"/>
            <w:tcBorders>
              <w:top w:val="nil"/>
              <w:left w:val="nil"/>
              <w:bottom w:val="single" w:sz="4" w:space="0" w:color="auto"/>
              <w:right w:val="single" w:sz="4" w:space="0" w:color="auto"/>
            </w:tcBorders>
            <w:noWrap/>
            <w:vAlign w:val="center"/>
            <w:hideMark/>
          </w:tcPr>
          <w:p w14:paraId="2E075AEA"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904" w:type="dxa"/>
            <w:tcBorders>
              <w:top w:val="nil"/>
              <w:left w:val="nil"/>
              <w:bottom w:val="single" w:sz="4" w:space="0" w:color="auto"/>
              <w:right w:val="single" w:sz="4" w:space="0" w:color="auto"/>
            </w:tcBorders>
            <w:noWrap/>
            <w:vAlign w:val="center"/>
            <w:hideMark/>
          </w:tcPr>
          <w:p w14:paraId="6B3788B0"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0.11</w:t>
            </w:r>
          </w:p>
        </w:tc>
        <w:tc>
          <w:tcPr>
            <w:tcW w:w="888" w:type="dxa"/>
            <w:tcBorders>
              <w:top w:val="nil"/>
              <w:left w:val="nil"/>
              <w:bottom w:val="single" w:sz="4" w:space="0" w:color="auto"/>
              <w:right w:val="single" w:sz="4" w:space="0" w:color="auto"/>
            </w:tcBorders>
            <w:noWrap/>
            <w:vAlign w:val="center"/>
            <w:hideMark/>
          </w:tcPr>
          <w:p w14:paraId="4C83C54B"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14.24</w:t>
            </w:r>
          </w:p>
        </w:tc>
      </w:tr>
      <w:tr w:rsidR="00ED3EC8" w:rsidRPr="00361EBF" w14:paraId="55C3C749" w14:textId="77777777" w:rsidTr="00304420">
        <w:trPr>
          <w:trHeight w:val="281"/>
          <w:jc w:val="center"/>
        </w:trPr>
        <w:tc>
          <w:tcPr>
            <w:tcW w:w="1471" w:type="dxa"/>
            <w:vMerge/>
            <w:tcBorders>
              <w:top w:val="nil"/>
              <w:left w:val="single" w:sz="4" w:space="0" w:color="auto"/>
              <w:bottom w:val="single" w:sz="4" w:space="0" w:color="auto"/>
              <w:right w:val="single" w:sz="4" w:space="0" w:color="auto"/>
            </w:tcBorders>
            <w:vAlign w:val="center"/>
            <w:hideMark/>
          </w:tcPr>
          <w:p w14:paraId="5C7A6D2A" w14:textId="77777777" w:rsidR="008D68D1" w:rsidRPr="00361EBF" w:rsidRDefault="008D68D1" w:rsidP="000F221E">
            <w:pPr>
              <w:rPr>
                <w:rFonts w:asciiTheme="majorHAnsi" w:hAnsiTheme="majorHAnsi" w:cs="Calibri"/>
                <w:b/>
                <w:bCs/>
                <w:color w:val="000000"/>
                <w:sz w:val="18"/>
                <w:szCs w:val="18"/>
                <w:lang w:val="en-IN" w:eastAsia="en-IN"/>
              </w:rPr>
            </w:pPr>
          </w:p>
        </w:tc>
        <w:tc>
          <w:tcPr>
            <w:tcW w:w="1781" w:type="dxa"/>
            <w:tcBorders>
              <w:top w:val="nil"/>
              <w:left w:val="nil"/>
              <w:bottom w:val="single" w:sz="4" w:space="0" w:color="auto"/>
              <w:right w:val="single" w:sz="4" w:space="0" w:color="auto"/>
            </w:tcBorders>
            <w:vAlign w:val="center"/>
            <w:hideMark/>
          </w:tcPr>
          <w:p w14:paraId="5FBAC67D" w14:textId="77777777" w:rsidR="008D68D1" w:rsidRPr="00361EBF" w:rsidRDefault="008D68D1" w:rsidP="000F221E">
            <w:pP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lang w:val="en-IN" w:eastAsia="en-IN"/>
              </w:rPr>
              <w:t>Pilot Project for Installation of Fault Passage Indicator (FPI)</w:t>
            </w:r>
          </w:p>
        </w:tc>
        <w:tc>
          <w:tcPr>
            <w:tcW w:w="1031" w:type="dxa"/>
            <w:tcBorders>
              <w:top w:val="nil"/>
              <w:left w:val="nil"/>
              <w:bottom w:val="single" w:sz="4" w:space="0" w:color="auto"/>
              <w:right w:val="single" w:sz="4" w:space="0" w:color="auto"/>
            </w:tcBorders>
            <w:noWrap/>
            <w:vAlign w:val="center"/>
            <w:hideMark/>
          </w:tcPr>
          <w:p w14:paraId="1B5D8846"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2.00</w:t>
            </w:r>
          </w:p>
        </w:tc>
        <w:tc>
          <w:tcPr>
            <w:tcW w:w="961" w:type="dxa"/>
            <w:tcBorders>
              <w:top w:val="nil"/>
              <w:left w:val="nil"/>
              <w:bottom w:val="single" w:sz="4" w:space="0" w:color="auto"/>
              <w:right w:val="single" w:sz="4" w:space="0" w:color="auto"/>
            </w:tcBorders>
            <w:noWrap/>
            <w:vAlign w:val="center"/>
            <w:hideMark/>
          </w:tcPr>
          <w:p w14:paraId="6E419741"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1136" w:type="dxa"/>
            <w:tcBorders>
              <w:top w:val="nil"/>
              <w:left w:val="nil"/>
              <w:bottom w:val="single" w:sz="4" w:space="0" w:color="auto"/>
              <w:right w:val="single" w:sz="4" w:space="0" w:color="auto"/>
            </w:tcBorders>
            <w:noWrap/>
            <w:vAlign w:val="center"/>
            <w:hideMark/>
          </w:tcPr>
          <w:p w14:paraId="655490CC"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2.00</w:t>
            </w:r>
          </w:p>
        </w:tc>
        <w:tc>
          <w:tcPr>
            <w:tcW w:w="821" w:type="dxa"/>
            <w:tcBorders>
              <w:top w:val="nil"/>
              <w:left w:val="nil"/>
              <w:bottom w:val="single" w:sz="4" w:space="0" w:color="auto"/>
              <w:right w:val="single" w:sz="4" w:space="0" w:color="auto"/>
            </w:tcBorders>
            <w:noWrap/>
            <w:vAlign w:val="center"/>
            <w:hideMark/>
          </w:tcPr>
          <w:p w14:paraId="7843C96F"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1.99</w:t>
            </w:r>
          </w:p>
        </w:tc>
        <w:tc>
          <w:tcPr>
            <w:tcW w:w="821" w:type="dxa"/>
            <w:tcBorders>
              <w:top w:val="nil"/>
              <w:left w:val="nil"/>
              <w:bottom w:val="single" w:sz="4" w:space="0" w:color="auto"/>
              <w:right w:val="single" w:sz="4" w:space="0" w:color="auto"/>
            </w:tcBorders>
            <w:noWrap/>
            <w:vAlign w:val="center"/>
            <w:hideMark/>
          </w:tcPr>
          <w:p w14:paraId="5B9393AB"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904" w:type="dxa"/>
            <w:tcBorders>
              <w:top w:val="nil"/>
              <w:left w:val="nil"/>
              <w:bottom w:val="single" w:sz="4" w:space="0" w:color="auto"/>
              <w:right w:val="single" w:sz="4" w:space="0" w:color="auto"/>
            </w:tcBorders>
            <w:noWrap/>
            <w:vAlign w:val="center"/>
            <w:hideMark/>
          </w:tcPr>
          <w:p w14:paraId="4794FA23"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0.01</w:t>
            </w:r>
          </w:p>
        </w:tc>
        <w:tc>
          <w:tcPr>
            <w:tcW w:w="888" w:type="dxa"/>
            <w:tcBorders>
              <w:top w:val="nil"/>
              <w:left w:val="nil"/>
              <w:bottom w:val="single" w:sz="4" w:space="0" w:color="auto"/>
              <w:right w:val="single" w:sz="4" w:space="0" w:color="auto"/>
            </w:tcBorders>
            <w:noWrap/>
            <w:vAlign w:val="center"/>
            <w:hideMark/>
          </w:tcPr>
          <w:p w14:paraId="394CE396"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1.99</w:t>
            </w:r>
          </w:p>
        </w:tc>
      </w:tr>
      <w:tr w:rsidR="00ED3EC8" w:rsidRPr="00361EBF" w14:paraId="1C96995F" w14:textId="77777777" w:rsidTr="00304420">
        <w:trPr>
          <w:trHeight w:val="281"/>
          <w:jc w:val="center"/>
        </w:trPr>
        <w:tc>
          <w:tcPr>
            <w:tcW w:w="1471" w:type="dxa"/>
            <w:vMerge/>
            <w:tcBorders>
              <w:top w:val="nil"/>
              <w:left w:val="single" w:sz="4" w:space="0" w:color="auto"/>
              <w:bottom w:val="single" w:sz="4" w:space="0" w:color="auto"/>
              <w:right w:val="single" w:sz="4" w:space="0" w:color="auto"/>
            </w:tcBorders>
            <w:vAlign w:val="center"/>
            <w:hideMark/>
          </w:tcPr>
          <w:p w14:paraId="52C11489" w14:textId="77777777" w:rsidR="008D68D1" w:rsidRPr="00361EBF" w:rsidRDefault="008D68D1" w:rsidP="000F221E">
            <w:pPr>
              <w:rPr>
                <w:rFonts w:asciiTheme="majorHAnsi" w:hAnsiTheme="majorHAnsi" w:cs="Calibri"/>
                <w:b/>
                <w:bCs/>
                <w:color w:val="000000"/>
                <w:sz w:val="18"/>
                <w:szCs w:val="18"/>
                <w:lang w:val="en-IN" w:eastAsia="en-IN"/>
              </w:rPr>
            </w:pPr>
          </w:p>
        </w:tc>
        <w:tc>
          <w:tcPr>
            <w:tcW w:w="1781" w:type="dxa"/>
            <w:tcBorders>
              <w:top w:val="nil"/>
              <w:left w:val="nil"/>
              <w:bottom w:val="single" w:sz="4" w:space="0" w:color="auto"/>
              <w:right w:val="single" w:sz="4" w:space="0" w:color="auto"/>
            </w:tcBorders>
            <w:vAlign w:val="center"/>
            <w:hideMark/>
          </w:tcPr>
          <w:p w14:paraId="543D9D84" w14:textId="77777777" w:rsidR="008D68D1" w:rsidRPr="00361EBF" w:rsidRDefault="008D68D1" w:rsidP="000F221E">
            <w:pP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lang w:val="en-IN" w:eastAsia="en-IN"/>
              </w:rPr>
              <w:t>Refurbishment/Life enhancement of 33/11 kV Primary Substation /Additional New Substations</w:t>
            </w:r>
          </w:p>
        </w:tc>
        <w:tc>
          <w:tcPr>
            <w:tcW w:w="1031" w:type="dxa"/>
            <w:tcBorders>
              <w:top w:val="nil"/>
              <w:left w:val="nil"/>
              <w:bottom w:val="single" w:sz="4" w:space="0" w:color="auto"/>
              <w:right w:val="single" w:sz="4" w:space="0" w:color="auto"/>
            </w:tcBorders>
            <w:noWrap/>
            <w:vAlign w:val="center"/>
            <w:hideMark/>
          </w:tcPr>
          <w:p w14:paraId="5AD0B14F"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20.16</w:t>
            </w:r>
          </w:p>
        </w:tc>
        <w:tc>
          <w:tcPr>
            <w:tcW w:w="961" w:type="dxa"/>
            <w:tcBorders>
              <w:top w:val="nil"/>
              <w:left w:val="nil"/>
              <w:bottom w:val="single" w:sz="4" w:space="0" w:color="auto"/>
              <w:right w:val="single" w:sz="4" w:space="0" w:color="auto"/>
            </w:tcBorders>
            <w:noWrap/>
            <w:vAlign w:val="center"/>
            <w:hideMark/>
          </w:tcPr>
          <w:p w14:paraId="132F142B"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-0.05</w:t>
            </w:r>
          </w:p>
        </w:tc>
        <w:tc>
          <w:tcPr>
            <w:tcW w:w="1136" w:type="dxa"/>
            <w:tcBorders>
              <w:top w:val="nil"/>
              <w:left w:val="nil"/>
              <w:bottom w:val="single" w:sz="4" w:space="0" w:color="auto"/>
              <w:right w:val="single" w:sz="4" w:space="0" w:color="auto"/>
            </w:tcBorders>
            <w:noWrap/>
            <w:vAlign w:val="center"/>
            <w:hideMark/>
          </w:tcPr>
          <w:p w14:paraId="102581C0"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20.11</w:t>
            </w:r>
          </w:p>
        </w:tc>
        <w:tc>
          <w:tcPr>
            <w:tcW w:w="821" w:type="dxa"/>
            <w:tcBorders>
              <w:top w:val="nil"/>
              <w:left w:val="nil"/>
              <w:bottom w:val="single" w:sz="4" w:space="0" w:color="auto"/>
              <w:right w:val="single" w:sz="4" w:space="0" w:color="auto"/>
            </w:tcBorders>
            <w:noWrap/>
            <w:vAlign w:val="center"/>
            <w:hideMark/>
          </w:tcPr>
          <w:p w14:paraId="09EF6B36"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19.87</w:t>
            </w:r>
          </w:p>
        </w:tc>
        <w:tc>
          <w:tcPr>
            <w:tcW w:w="821" w:type="dxa"/>
            <w:tcBorders>
              <w:top w:val="nil"/>
              <w:left w:val="nil"/>
              <w:bottom w:val="single" w:sz="4" w:space="0" w:color="auto"/>
              <w:right w:val="single" w:sz="4" w:space="0" w:color="auto"/>
            </w:tcBorders>
            <w:noWrap/>
            <w:vAlign w:val="center"/>
            <w:hideMark/>
          </w:tcPr>
          <w:p w14:paraId="40F09C88"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0.02</w:t>
            </w:r>
          </w:p>
        </w:tc>
        <w:tc>
          <w:tcPr>
            <w:tcW w:w="904" w:type="dxa"/>
            <w:tcBorders>
              <w:top w:val="nil"/>
              <w:left w:val="nil"/>
              <w:bottom w:val="single" w:sz="4" w:space="0" w:color="auto"/>
              <w:right w:val="single" w:sz="4" w:space="0" w:color="auto"/>
            </w:tcBorders>
            <w:noWrap/>
            <w:vAlign w:val="center"/>
            <w:hideMark/>
          </w:tcPr>
          <w:p w14:paraId="69B1E3CC"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0.24</w:t>
            </w:r>
          </w:p>
        </w:tc>
        <w:tc>
          <w:tcPr>
            <w:tcW w:w="888" w:type="dxa"/>
            <w:tcBorders>
              <w:top w:val="nil"/>
              <w:left w:val="nil"/>
              <w:bottom w:val="single" w:sz="4" w:space="0" w:color="auto"/>
              <w:right w:val="single" w:sz="4" w:space="0" w:color="auto"/>
            </w:tcBorders>
            <w:noWrap/>
            <w:vAlign w:val="center"/>
            <w:hideMark/>
          </w:tcPr>
          <w:p w14:paraId="687CF381"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19.85</w:t>
            </w:r>
          </w:p>
        </w:tc>
      </w:tr>
      <w:tr w:rsidR="00ED3EC8" w:rsidRPr="00361EBF" w14:paraId="5A6CEC96" w14:textId="77777777" w:rsidTr="00304420">
        <w:trPr>
          <w:trHeight w:val="300"/>
          <w:jc w:val="center"/>
        </w:trPr>
        <w:tc>
          <w:tcPr>
            <w:tcW w:w="1471" w:type="dxa"/>
            <w:vMerge/>
            <w:tcBorders>
              <w:top w:val="nil"/>
              <w:left w:val="single" w:sz="4" w:space="0" w:color="auto"/>
              <w:bottom w:val="single" w:sz="4" w:space="0" w:color="auto"/>
              <w:right w:val="single" w:sz="4" w:space="0" w:color="auto"/>
            </w:tcBorders>
            <w:vAlign w:val="center"/>
            <w:hideMark/>
          </w:tcPr>
          <w:p w14:paraId="58868E81" w14:textId="77777777" w:rsidR="008D68D1" w:rsidRPr="00361EBF" w:rsidRDefault="008D68D1" w:rsidP="000F221E">
            <w:pPr>
              <w:rPr>
                <w:rFonts w:asciiTheme="majorHAnsi" w:hAnsiTheme="majorHAnsi" w:cs="Calibri"/>
                <w:b/>
                <w:bCs/>
                <w:color w:val="000000"/>
                <w:sz w:val="18"/>
                <w:szCs w:val="18"/>
                <w:lang w:val="en-IN" w:eastAsia="en-IN"/>
              </w:rPr>
            </w:pPr>
          </w:p>
        </w:tc>
        <w:tc>
          <w:tcPr>
            <w:tcW w:w="1781" w:type="dxa"/>
            <w:tcBorders>
              <w:top w:val="nil"/>
              <w:left w:val="nil"/>
              <w:bottom w:val="single" w:sz="4" w:space="0" w:color="auto"/>
              <w:right w:val="single" w:sz="4" w:space="0" w:color="auto"/>
            </w:tcBorders>
            <w:vAlign w:val="center"/>
            <w:hideMark/>
          </w:tcPr>
          <w:p w14:paraId="3D15BF28"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lang w:val="en-IN" w:eastAsia="en-IN"/>
              </w:rPr>
              <w:t>TOTAL</w:t>
            </w:r>
          </w:p>
        </w:tc>
        <w:tc>
          <w:tcPr>
            <w:tcW w:w="1031" w:type="dxa"/>
            <w:tcBorders>
              <w:top w:val="nil"/>
              <w:left w:val="nil"/>
              <w:bottom w:val="single" w:sz="4" w:space="0" w:color="auto"/>
              <w:right w:val="single" w:sz="4" w:space="0" w:color="auto"/>
            </w:tcBorders>
            <w:noWrap/>
            <w:vAlign w:val="center"/>
            <w:hideMark/>
          </w:tcPr>
          <w:p w14:paraId="065348A3"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48.91</w:t>
            </w:r>
          </w:p>
        </w:tc>
        <w:tc>
          <w:tcPr>
            <w:tcW w:w="961" w:type="dxa"/>
            <w:tcBorders>
              <w:top w:val="nil"/>
              <w:left w:val="nil"/>
              <w:bottom w:val="single" w:sz="4" w:space="0" w:color="auto"/>
              <w:right w:val="single" w:sz="4" w:space="0" w:color="auto"/>
            </w:tcBorders>
            <w:noWrap/>
            <w:vAlign w:val="center"/>
            <w:hideMark/>
          </w:tcPr>
          <w:p w14:paraId="4416464B"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0.00</w:t>
            </w:r>
          </w:p>
        </w:tc>
        <w:tc>
          <w:tcPr>
            <w:tcW w:w="1136" w:type="dxa"/>
            <w:tcBorders>
              <w:top w:val="nil"/>
              <w:left w:val="nil"/>
              <w:bottom w:val="single" w:sz="4" w:space="0" w:color="auto"/>
              <w:right w:val="single" w:sz="4" w:space="0" w:color="auto"/>
            </w:tcBorders>
            <w:noWrap/>
            <w:vAlign w:val="center"/>
            <w:hideMark/>
          </w:tcPr>
          <w:p w14:paraId="2593841D"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48.91</w:t>
            </w:r>
          </w:p>
        </w:tc>
        <w:tc>
          <w:tcPr>
            <w:tcW w:w="821" w:type="dxa"/>
            <w:tcBorders>
              <w:top w:val="nil"/>
              <w:left w:val="nil"/>
              <w:bottom w:val="single" w:sz="4" w:space="0" w:color="auto"/>
              <w:right w:val="single" w:sz="4" w:space="0" w:color="auto"/>
            </w:tcBorders>
            <w:noWrap/>
            <w:vAlign w:val="center"/>
            <w:hideMark/>
          </w:tcPr>
          <w:p w14:paraId="27401059"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48.55</w:t>
            </w:r>
          </w:p>
        </w:tc>
        <w:tc>
          <w:tcPr>
            <w:tcW w:w="821" w:type="dxa"/>
            <w:tcBorders>
              <w:top w:val="nil"/>
              <w:left w:val="nil"/>
              <w:bottom w:val="single" w:sz="4" w:space="0" w:color="auto"/>
              <w:right w:val="single" w:sz="4" w:space="0" w:color="auto"/>
            </w:tcBorders>
            <w:noWrap/>
            <w:vAlign w:val="center"/>
            <w:hideMark/>
          </w:tcPr>
          <w:p w14:paraId="5FBFE891"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0.02</w:t>
            </w:r>
          </w:p>
        </w:tc>
        <w:tc>
          <w:tcPr>
            <w:tcW w:w="904" w:type="dxa"/>
            <w:tcBorders>
              <w:top w:val="nil"/>
              <w:left w:val="nil"/>
              <w:bottom w:val="single" w:sz="4" w:space="0" w:color="auto"/>
              <w:right w:val="single" w:sz="4" w:space="0" w:color="auto"/>
            </w:tcBorders>
            <w:noWrap/>
            <w:vAlign w:val="center"/>
            <w:hideMark/>
          </w:tcPr>
          <w:p w14:paraId="6049F264"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0.36</w:t>
            </w:r>
          </w:p>
        </w:tc>
        <w:tc>
          <w:tcPr>
            <w:tcW w:w="888" w:type="dxa"/>
            <w:tcBorders>
              <w:top w:val="nil"/>
              <w:left w:val="nil"/>
              <w:bottom w:val="single" w:sz="4" w:space="0" w:color="auto"/>
              <w:right w:val="single" w:sz="4" w:space="0" w:color="auto"/>
            </w:tcBorders>
            <w:noWrap/>
            <w:vAlign w:val="center"/>
            <w:hideMark/>
          </w:tcPr>
          <w:p w14:paraId="0FE4DFDD"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48.53</w:t>
            </w:r>
          </w:p>
        </w:tc>
      </w:tr>
      <w:tr w:rsidR="00ED3EC8" w:rsidRPr="00361EBF" w14:paraId="2BCC37C6" w14:textId="77777777" w:rsidTr="00304420">
        <w:trPr>
          <w:trHeight w:val="281"/>
          <w:jc w:val="center"/>
        </w:trPr>
        <w:tc>
          <w:tcPr>
            <w:tcW w:w="1471" w:type="dxa"/>
            <w:vMerge w:val="restart"/>
            <w:tcBorders>
              <w:top w:val="nil"/>
              <w:left w:val="single" w:sz="4" w:space="0" w:color="auto"/>
              <w:bottom w:val="single" w:sz="4" w:space="0" w:color="auto"/>
              <w:right w:val="single" w:sz="4" w:space="0" w:color="auto"/>
            </w:tcBorders>
            <w:vAlign w:val="center"/>
            <w:hideMark/>
          </w:tcPr>
          <w:p w14:paraId="1FBD2563"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lang w:val="en-IN" w:eastAsia="en-IN"/>
              </w:rPr>
              <w:t>Load Growth</w:t>
            </w:r>
          </w:p>
        </w:tc>
        <w:tc>
          <w:tcPr>
            <w:tcW w:w="1781" w:type="dxa"/>
            <w:tcBorders>
              <w:top w:val="nil"/>
              <w:left w:val="nil"/>
              <w:bottom w:val="single" w:sz="4" w:space="0" w:color="auto"/>
              <w:right w:val="single" w:sz="4" w:space="0" w:color="auto"/>
            </w:tcBorders>
            <w:vAlign w:val="center"/>
            <w:hideMark/>
          </w:tcPr>
          <w:p w14:paraId="36501A36" w14:textId="77777777" w:rsidR="008D68D1" w:rsidRPr="00361EBF" w:rsidRDefault="008D68D1" w:rsidP="000F221E">
            <w:pP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lang w:val="en-IN" w:eastAsia="en-IN"/>
              </w:rPr>
              <w:t>Network enhancement / Unforeseen emergency Capex requirement</w:t>
            </w:r>
          </w:p>
        </w:tc>
        <w:tc>
          <w:tcPr>
            <w:tcW w:w="1031" w:type="dxa"/>
            <w:tcBorders>
              <w:top w:val="nil"/>
              <w:left w:val="nil"/>
              <w:bottom w:val="single" w:sz="4" w:space="0" w:color="auto"/>
              <w:right w:val="single" w:sz="4" w:space="0" w:color="auto"/>
            </w:tcBorders>
            <w:noWrap/>
            <w:vAlign w:val="center"/>
            <w:hideMark/>
          </w:tcPr>
          <w:p w14:paraId="3A0A5BE4"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39.71</w:t>
            </w:r>
          </w:p>
        </w:tc>
        <w:tc>
          <w:tcPr>
            <w:tcW w:w="961" w:type="dxa"/>
            <w:tcBorders>
              <w:top w:val="nil"/>
              <w:left w:val="nil"/>
              <w:bottom w:val="single" w:sz="4" w:space="0" w:color="auto"/>
              <w:right w:val="single" w:sz="4" w:space="0" w:color="auto"/>
            </w:tcBorders>
            <w:noWrap/>
            <w:vAlign w:val="center"/>
            <w:hideMark/>
          </w:tcPr>
          <w:p w14:paraId="3A73FE3D"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1136" w:type="dxa"/>
            <w:tcBorders>
              <w:top w:val="nil"/>
              <w:left w:val="nil"/>
              <w:bottom w:val="single" w:sz="4" w:space="0" w:color="auto"/>
              <w:right w:val="single" w:sz="4" w:space="0" w:color="auto"/>
            </w:tcBorders>
            <w:noWrap/>
            <w:vAlign w:val="center"/>
            <w:hideMark/>
          </w:tcPr>
          <w:p w14:paraId="0EED3DC9"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39.71</w:t>
            </w:r>
          </w:p>
        </w:tc>
        <w:tc>
          <w:tcPr>
            <w:tcW w:w="821" w:type="dxa"/>
            <w:tcBorders>
              <w:top w:val="nil"/>
              <w:left w:val="nil"/>
              <w:bottom w:val="single" w:sz="4" w:space="0" w:color="auto"/>
              <w:right w:val="single" w:sz="4" w:space="0" w:color="auto"/>
            </w:tcBorders>
            <w:noWrap/>
            <w:vAlign w:val="center"/>
            <w:hideMark/>
          </w:tcPr>
          <w:p w14:paraId="3E67F068"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39.67</w:t>
            </w:r>
          </w:p>
        </w:tc>
        <w:tc>
          <w:tcPr>
            <w:tcW w:w="821" w:type="dxa"/>
            <w:tcBorders>
              <w:top w:val="nil"/>
              <w:left w:val="nil"/>
              <w:bottom w:val="single" w:sz="4" w:space="0" w:color="auto"/>
              <w:right w:val="single" w:sz="4" w:space="0" w:color="auto"/>
            </w:tcBorders>
            <w:noWrap/>
            <w:vAlign w:val="center"/>
            <w:hideMark/>
          </w:tcPr>
          <w:p w14:paraId="347E9BF3"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0.05</w:t>
            </w:r>
          </w:p>
        </w:tc>
        <w:tc>
          <w:tcPr>
            <w:tcW w:w="904" w:type="dxa"/>
            <w:tcBorders>
              <w:top w:val="nil"/>
              <w:left w:val="nil"/>
              <w:bottom w:val="single" w:sz="4" w:space="0" w:color="auto"/>
              <w:right w:val="single" w:sz="4" w:space="0" w:color="auto"/>
            </w:tcBorders>
            <w:noWrap/>
            <w:vAlign w:val="center"/>
            <w:hideMark/>
          </w:tcPr>
          <w:p w14:paraId="78318EC4"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0.04</w:t>
            </w:r>
          </w:p>
        </w:tc>
        <w:tc>
          <w:tcPr>
            <w:tcW w:w="888" w:type="dxa"/>
            <w:tcBorders>
              <w:top w:val="nil"/>
              <w:left w:val="nil"/>
              <w:bottom w:val="single" w:sz="4" w:space="0" w:color="auto"/>
              <w:right w:val="single" w:sz="4" w:space="0" w:color="auto"/>
            </w:tcBorders>
            <w:noWrap/>
            <w:vAlign w:val="center"/>
            <w:hideMark/>
          </w:tcPr>
          <w:p w14:paraId="203EFF13"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39.62</w:t>
            </w:r>
          </w:p>
        </w:tc>
      </w:tr>
      <w:tr w:rsidR="00ED3EC8" w:rsidRPr="00361EBF" w14:paraId="436ABD4F" w14:textId="77777777" w:rsidTr="00304420">
        <w:trPr>
          <w:trHeight w:val="300"/>
          <w:jc w:val="center"/>
        </w:trPr>
        <w:tc>
          <w:tcPr>
            <w:tcW w:w="1471" w:type="dxa"/>
            <w:vMerge/>
            <w:tcBorders>
              <w:top w:val="nil"/>
              <w:left w:val="single" w:sz="4" w:space="0" w:color="auto"/>
              <w:bottom w:val="single" w:sz="4" w:space="0" w:color="auto"/>
              <w:right w:val="single" w:sz="4" w:space="0" w:color="auto"/>
            </w:tcBorders>
            <w:vAlign w:val="center"/>
            <w:hideMark/>
          </w:tcPr>
          <w:p w14:paraId="54845F6D" w14:textId="77777777" w:rsidR="008D68D1" w:rsidRPr="00361EBF" w:rsidRDefault="008D68D1" w:rsidP="000F221E">
            <w:pPr>
              <w:rPr>
                <w:rFonts w:asciiTheme="majorHAnsi" w:hAnsiTheme="majorHAnsi" w:cs="Calibri"/>
                <w:b/>
                <w:bCs/>
                <w:color w:val="000000"/>
                <w:sz w:val="18"/>
                <w:szCs w:val="18"/>
                <w:lang w:val="en-IN" w:eastAsia="en-IN"/>
              </w:rPr>
            </w:pPr>
          </w:p>
        </w:tc>
        <w:tc>
          <w:tcPr>
            <w:tcW w:w="1781" w:type="dxa"/>
            <w:tcBorders>
              <w:top w:val="nil"/>
              <w:left w:val="nil"/>
              <w:bottom w:val="single" w:sz="4" w:space="0" w:color="auto"/>
              <w:right w:val="single" w:sz="4" w:space="0" w:color="auto"/>
            </w:tcBorders>
            <w:vAlign w:val="center"/>
            <w:hideMark/>
          </w:tcPr>
          <w:p w14:paraId="754DB0C9"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lang w:val="en-IN" w:eastAsia="en-IN"/>
              </w:rPr>
              <w:t>TOTAL</w:t>
            </w:r>
          </w:p>
        </w:tc>
        <w:tc>
          <w:tcPr>
            <w:tcW w:w="1031" w:type="dxa"/>
            <w:tcBorders>
              <w:top w:val="nil"/>
              <w:left w:val="nil"/>
              <w:bottom w:val="single" w:sz="4" w:space="0" w:color="auto"/>
              <w:right w:val="single" w:sz="4" w:space="0" w:color="auto"/>
            </w:tcBorders>
            <w:noWrap/>
            <w:vAlign w:val="center"/>
            <w:hideMark/>
          </w:tcPr>
          <w:p w14:paraId="40840734"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39.71</w:t>
            </w:r>
          </w:p>
        </w:tc>
        <w:tc>
          <w:tcPr>
            <w:tcW w:w="961" w:type="dxa"/>
            <w:tcBorders>
              <w:top w:val="nil"/>
              <w:left w:val="nil"/>
              <w:bottom w:val="single" w:sz="4" w:space="0" w:color="auto"/>
              <w:right w:val="single" w:sz="4" w:space="0" w:color="auto"/>
            </w:tcBorders>
            <w:noWrap/>
            <w:vAlign w:val="center"/>
            <w:hideMark/>
          </w:tcPr>
          <w:p w14:paraId="24153D38"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0.00</w:t>
            </w:r>
          </w:p>
        </w:tc>
        <w:tc>
          <w:tcPr>
            <w:tcW w:w="1136" w:type="dxa"/>
            <w:tcBorders>
              <w:top w:val="nil"/>
              <w:left w:val="nil"/>
              <w:bottom w:val="single" w:sz="4" w:space="0" w:color="auto"/>
              <w:right w:val="single" w:sz="4" w:space="0" w:color="auto"/>
            </w:tcBorders>
            <w:noWrap/>
            <w:vAlign w:val="center"/>
            <w:hideMark/>
          </w:tcPr>
          <w:p w14:paraId="5DDA5353"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39.71</w:t>
            </w:r>
          </w:p>
        </w:tc>
        <w:tc>
          <w:tcPr>
            <w:tcW w:w="821" w:type="dxa"/>
            <w:tcBorders>
              <w:top w:val="nil"/>
              <w:left w:val="nil"/>
              <w:bottom w:val="single" w:sz="4" w:space="0" w:color="auto"/>
              <w:right w:val="single" w:sz="4" w:space="0" w:color="auto"/>
            </w:tcBorders>
            <w:noWrap/>
            <w:vAlign w:val="center"/>
            <w:hideMark/>
          </w:tcPr>
          <w:p w14:paraId="1BBB8A05"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39.67</w:t>
            </w:r>
          </w:p>
        </w:tc>
        <w:tc>
          <w:tcPr>
            <w:tcW w:w="821" w:type="dxa"/>
            <w:tcBorders>
              <w:top w:val="nil"/>
              <w:left w:val="nil"/>
              <w:bottom w:val="single" w:sz="4" w:space="0" w:color="auto"/>
              <w:right w:val="single" w:sz="4" w:space="0" w:color="auto"/>
            </w:tcBorders>
            <w:noWrap/>
            <w:vAlign w:val="center"/>
            <w:hideMark/>
          </w:tcPr>
          <w:p w14:paraId="04AAA6C1"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0.05</w:t>
            </w:r>
          </w:p>
        </w:tc>
        <w:tc>
          <w:tcPr>
            <w:tcW w:w="904" w:type="dxa"/>
            <w:tcBorders>
              <w:top w:val="nil"/>
              <w:left w:val="nil"/>
              <w:bottom w:val="single" w:sz="4" w:space="0" w:color="auto"/>
              <w:right w:val="single" w:sz="4" w:space="0" w:color="auto"/>
            </w:tcBorders>
            <w:noWrap/>
            <w:vAlign w:val="center"/>
            <w:hideMark/>
          </w:tcPr>
          <w:p w14:paraId="21CBF1CA"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0.04</w:t>
            </w:r>
          </w:p>
        </w:tc>
        <w:tc>
          <w:tcPr>
            <w:tcW w:w="888" w:type="dxa"/>
            <w:tcBorders>
              <w:top w:val="nil"/>
              <w:left w:val="nil"/>
              <w:bottom w:val="single" w:sz="4" w:space="0" w:color="auto"/>
              <w:right w:val="single" w:sz="4" w:space="0" w:color="auto"/>
            </w:tcBorders>
            <w:noWrap/>
            <w:vAlign w:val="center"/>
            <w:hideMark/>
          </w:tcPr>
          <w:p w14:paraId="28078449"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39.62</w:t>
            </w:r>
          </w:p>
        </w:tc>
      </w:tr>
      <w:tr w:rsidR="00ED3EC8" w:rsidRPr="00361EBF" w14:paraId="3543EB4D" w14:textId="77777777" w:rsidTr="00304420">
        <w:trPr>
          <w:trHeight w:val="941"/>
          <w:jc w:val="center"/>
        </w:trPr>
        <w:tc>
          <w:tcPr>
            <w:tcW w:w="1471" w:type="dxa"/>
            <w:vMerge w:val="restart"/>
            <w:tcBorders>
              <w:top w:val="nil"/>
              <w:left w:val="single" w:sz="4" w:space="0" w:color="auto"/>
              <w:bottom w:val="single" w:sz="4" w:space="0" w:color="000000"/>
              <w:right w:val="single" w:sz="4" w:space="0" w:color="auto"/>
            </w:tcBorders>
            <w:vAlign w:val="center"/>
            <w:hideMark/>
          </w:tcPr>
          <w:p w14:paraId="70ED62E7"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lang w:val="en-IN" w:eastAsia="en-IN"/>
              </w:rPr>
              <w:t>Technology and Civil Infrastructure</w:t>
            </w:r>
          </w:p>
        </w:tc>
        <w:tc>
          <w:tcPr>
            <w:tcW w:w="1781" w:type="dxa"/>
            <w:tcBorders>
              <w:top w:val="nil"/>
              <w:left w:val="nil"/>
              <w:bottom w:val="single" w:sz="4" w:space="0" w:color="auto"/>
              <w:right w:val="single" w:sz="4" w:space="0" w:color="auto"/>
            </w:tcBorders>
            <w:vAlign w:val="center"/>
            <w:hideMark/>
          </w:tcPr>
          <w:p w14:paraId="5DF824A3" w14:textId="77777777" w:rsidR="008D68D1" w:rsidRPr="00361EBF" w:rsidRDefault="008D68D1" w:rsidP="000F221E">
            <w:pP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lang w:val="en-IN" w:eastAsia="en-IN"/>
              </w:rPr>
              <w:t>Infrastructure for Customer Care, Call Centre, Payment Centre, and Section Offices</w:t>
            </w:r>
          </w:p>
        </w:tc>
        <w:tc>
          <w:tcPr>
            <w:tcW w:w="1031" w:type="dxa"/>
            <w:tcBorders>
              <w:top w:val="nil"/>
              <w:left w:val="nil"/>
              <w:bottom w:val="single" w:sz="4" w:space="0" w:color="auto"/>
              <w:right w:val="single" w:sz="4" w:space="0" w:color="auto"/>
            </w:tcBorders>
            <w:noWrap/>
            <w:vAlign w:val="center"/>
          </w:tcPr>
          <w:p w14:paraId="13A270A3"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2.04</w:t>
            </w:r>
          </w:p>
        </w:tc>
        <w:tc>
          <w:tcPr>
            <w:tcW w:w="961" w:type="dxa"/>
            <w:tcBorders>
              <w:top w:val="nil"/>
              <w:left w:val="nil"/>
              <w:bottom w:val="single" w:sz="4" w:space="0" w:color="auto"/>
              <w:right w:val="single" w:sz="4" w:space="0" w:color="auto"/>
            </w:tcBorders>
            <w:noWrap/>
            <w:vAlign w:val="center"/>
          </w:tcPr>
          <w:p w14:paraId="59C7D483"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-2.04</w:t>
            </w:r>
          </w:p>
        </w:tc>
        <w:tc>
          <w:tcPr>
            <w:tcW w:w="1136" w:type="dxa"/>
            <w:tcBorders>
              <w:top w:val="nil"/>
              <w:left w:val="nil"/>
              <w:bottom w:val="single" w:sz="4" w:space="0" w:color="auto"/>
              <w:right w:val="single" w:sz="4" w:space="0" w:color="auto"/>
            </w:tcBorders>
            <w:noWrap/>
            <w:vAlign w:val="center"/>
          </w:tcPr>
          <w:p w14:paraId="62308160"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821" w:type="dxa"/>
            <w:tcBorders>
              <w:top w:val="nil"/>
              <w:left w:val="nil"/>
              <w:bottom w:val="single" w:sz="4" w:space="0" w:color="auto"/>
              <w:right w:val="single" w:sz="4" w:space="0" w:color="auto"/>
            </w:tcBorders>
            <w:noWrap/>
            <w:vAlign w:val="center"/>
          </w:tcPr>
          <w:p w14:paraId="79E02D44"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821" w:type="dxa"/>
            <w:tcBorders>
              <w:top w:val="nil"/>
              <w:left w:val="nil"/>
              <w:bottom w:val="single" w:sz="4" w:space="0" w:color="auto"/>
              <w:right w:val="single" w:sz="4" w:space="0" w:color="auto"/>
            </w:tcBorders>
            <w:noWrap/>
            <w:vAlign w:val="center"/>
          </w:tcPr>
          <w:p w14:paraId="28359166"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904" w:type="dxa"/>
            <w:tcBorders>
              <w:top w:val="nil"/>
              <w:left w:val="nil"/>
              <w:bottom w:val="single" w:sz="4" w:space="0" w:color="auto"/>
              <w:right w:val="single" w:sz="4" w:space="0" w:color="auto"/>
            </w:tcBorders>
            <w:noWrap/>
            <w:vAlign w:val="center"/>
          </w:tcPr>
          <w:p w14:paraId="2A17CE19"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888" w:type="dxa"/>
            <w:tcBorders>
              <w:top w:val="nil"/>
              <w:left w:val="nil"/>
              <w:bottom w:val="single" w:sz="4" w:space="0" w:color="auto"/>
              <w:right w:val="single" w:sz="4" w:space="0" w:color="auto"/>
            </w:tcBorders>
            <w:noWrap/>
            <w:vAlign w:val="center"/>
          </w:tcPr>
          <w:p w14:paraId="6E4A58F7"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r>
      <w:tr w:rsidR="00ED3EC8" w:rsidRPr="00361EBF" w14:paraId="402C8404" w14:textId="77777777" w:rsidTr="00304420">
        <w:trPr>
          <w:trHeight w:val="281"/>
          <w:jc w:val="center"/>
        </w:trPr>
        <w:tc>
          <w:tcPr>
            <w:tcW w:w="1471" w:type="dxa"/>
            <w:vMerge/>
            <w:tcBorders>
              <w:top w:val="nil"/>
              <w:left w:val="single" w:sz="4" w:space="0" w:color="auto"/>
              <w:bottom w:val="single" w:sz="4" w:space="0" w:color="000000"/>
              <w:right w:val="single" w:sz="4" w:space="0" w:color="auto"/>
            </w:tcBorders>
            <w:vAlign w:val="center"/>
            <w:hideMark/>
          </w:tcPr>
          <w:p w14:paraId="09A6AE49" w14:textId="77777777" w:rsidR="008D68D1" w:rsidRPr="00361EBF" w:rsidRDefault="008D68D1" w:rsidP="000F221E">
            <w:pPr>
              <w:rPr>
                <w:rFonts w:asciiTheme="majorHAnsi" w:hAnsiTheme="majorHAnsi" w:cs="Calibri"/>
                <w:b/>
                <w:bCs/>
                <w:color w:val="000000"/>
                <w:sz w:val="18"/>
                <w:szCs w:val="18"/>
                <w:lang w:val="en-IN" w:eastAsia="en-IN"/>
              </w:rPr>
            </w:pPr>
          </w:p>
        </w:tc>
        <w:tc>
          <w:tcPr>
            <w:tcW w:w="1781" w:type="dxa"/>
            <w:tcBorders>
              <w:top w:val="nil"/>
              <w:left w:val="nil"/>
              <w:bottom w:val="single" w:sz="4" w:space="0" w:color="auto"/>
              <w:right w:val="single" w:sz="4" w:space="0" w:color="auto"/>
            </w:tcBorders>
            <w:vAlign w:val="center"/>
            <w:hideMark/>
          </w:tcPr>
          <w:p w14:paraId="5A78DAAB" w14:textId="77777777" w:rsidR="008D68D1" w:rsidRPr="00361EBF" w:rsidRDefault="008D68D1" w:rsidP="000F221E">
            <w:pP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lang w:val="en-IN" w:eastAsia="en-IN"/>
              </w:rPr>
              <w:t>Admin</w:t>
            </w:r>
          </w:p>
        </w:tc>
        <w:tc>
          <w:tcPr>
            <w:tcW w:w="1031" w:type="dxa"/>
            <w:tcBorders>
              <w:top w:val="nil"/>
              <w:left w:val="nil"/>
              <w:bottom w:val="single" w:sz="4" w:space="0" w:color="auto"/>
              <w:right w:val="single" w:sz="4" w:space="0" w:color="auto"/>
            </w:tcBorders>
            <w:noWrap/>
            <w:vAlign w:val="center"/>
          </w:tcPr>
          <w:p w14:paraId="6969BC24"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5.00</w:t>
            </w:r>
          </w:p>
        </w:tc>
        <w:tc>
          <w:tcPr>
            <w:tcW w:w="961" w:type="dxa"/>
            <w:tcBorders>
              <w:top w:val="nil"/>
              <w:left w:val="nil"/>
              <w:bottom w:val="single" w:sz="4" w:space="0" w:color="auto"/>
              <w:right w:val="single" w:sz="4" w:space="0" w:color="auto"/>
            </w:tcBorders>
            <w:noWrap/>
            <w:vAlign w:val="center"/>
          </w:tcPr>
          <w:p w14:paraId="1863B21B"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0.17</w:t>
            </w:r>
          </w:p>
        </w:tc>
        <w:tc>
          <w:tcPr>
            <w:tcW w:w="1136" w:type="dxa"/>
            <w:tcBorders>
              <w:top w:val="nil"/>
              <w:left w:val="nil"/>
              <w:bottom w:val="single" w:sz="4" w:space="0" w:color="auto"/>
              <w:right w:val="single" w:sz="4" w:space="0" w:color="auto"/>
            </w:tcBorders>
            <w:noWrap/>
            <w:vAlign w:val="center"/>
          </w:tcPr>
          <w:p w14:paraId="43B48768"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5.17</w:t>
            </w:r>
          </w:p>
        </w:tc>
        <w:tc>
          <w:tcPr>
            <w:tcW w:w="821" w:type="dxa"/>
            <w:tcBorders>
              <w:top w:val="nil"/>
              <w:left w:val="nil"/>
              <w:bottom w:val="single" w:sz="4" w:space="0" w:color="auto"/>
              <w:right w:val="single" w:sz="4" w:space="0" w:color="auto"/>
            </w:tcBorders>
            <w:noWrap/>
            <w:vAlign w:val="center"/>
          </w:tcPr>
          <w:p w14:paraId="7FBB7333"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5.17</w:t>
            </w:r>
          </w:p>
        </w:tc>
        <w:tc>
          <w:tcPr>
            <w:tcW w:w="821" w:type="dxa"/>
            <w:tcBorders>
              <w:top w:val="nil"/>
              <w:left w:val="nil"/>
              <w:bottom w:val="single" w:sz="4" w:space="0" w:color="auto"/>
              <w:right w:val="single" w:sz="4" w:space="0" w:color="auto"/>
            </w:tcBorders>
            <w:noWrap/>
            <w:vAlign w:val="center"/>
          </w:tcPr>
          <w:p w14:paraId="553F643C"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0.01</w:t>
            </w:r>
          </w:p>
        </w:tc>
        <w:tc>
          <w:tcPr>
            <w:tcW w:w="904" w:type="dxa"/>
            <w:tcBorders>
              <w:top w:val="nil"/>
              <w:left w:val="nil"/>
              <w:bottom w:val="single" w:sz="4" w:space="0" w:color="auto"/>
              <w:right w:val="single" w:sz="4" w:space="0" w:color="auto"/>
            </w:tcBorders>
            <w:noWrap/>
            <w:vAlign w:val="center"/>
          </w:tcPr>
          <w:p w14:paraId="7BF5439C"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888" w:type="dxa"/>
            <w:tcBorders>
              <w:top w:val="nil"/>
              <w:left w:val="nil"/>
              <w:bottom w:val="single" w:sz="4" w:space="0" w:color="auto"/>
              <w:right w:val="single" w:sz="4" w:space="0" w:color="auto"/>
            </w:tcBorders>
            <w:noWrap/>
            <w:vAlign w:val="center"/>
          </w:tcPr>
          <w:p w14:paraId="0B2FB482"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5.16</w:t>
            </w:r>
          </w:p>
        </w:tc>
      </w:tr>
      <w:tr w:rsidR="00ED3EC8" w:rsidRPr="00361EBF" w14:paraId="524A2C67" w14:textId="77777777" w:rsidTr="00304420">
        <w:trPr>
          <w:trHeight w:val="281"/>
          <w:jc w:val="center"/>
        </w:trPr>
        <w:tc>
          <w:tcPr>
            <w:tcW w:w="1471" w:type="dxa"/>
            <w:vMerge/>
            <w:tcBorders>
              <w:top w:val="nil"/>
              <w:left w:val="single" w:sz="4" w:space="0" w:color="auto"/>
              <w:bottom w:val="single" w:sz="4" w:space="0" w:color="000000"/>
              <w:right w:val="single" w:sz="4" w:space="0" w:color="auto"/>
            </w:tcBorders>
            <w:vAlign w:val="center"/>
            <w:hideMark/>
          </w:tcPr>
          <w:p w14:paraId="06D16E6A" w14:textId="77777777" w:rsidR="008D68D1" w:rsidRPr="00361EBF" w:rsidRDefault="008D68D1" w:rsidP="000F221E">
            <w:pPr>
              <w:rPr>
                <w:rFonts w:asciiTheme="majorHAnsi" w:hAnsiTheme="majorHAnsi" w:cs="Calibri"/>
                <w:b/>
                <w:bCs/>
                <w:color w:val="000000"/>
                <w:sz w:val="18"/>
                <w:szCs w:val="18"/>
                <w:lang w:val="en-IN" w:eastAsia="en-IN"/>
              </w:rPr>
            </w:pPr>
          </w:p>
        </w:tc>
        <w:tc>
          <w:tcPr>
            <w:tcW w:w="1781" w:type="dxa"/>
            <w:tcBorders>
              <w:top w:val="nil"/>
              <w:left w:val="nil"/>
              <w:bottom w:val="single" w:sz="4" w:space="0" w:color="auto"/>
              <w:right w:val="single" w:sz="4" w:space="0" w:color="auto"/>
            </w:tcBorders>
            <w:vAlign w:val="center"/>
            <w:hideMark/>
          </w:tcPr>
          <w:p w14:paraId="2B858DA2" w14:textId="77777777" w:rsidR="008D68D1" w:rsidRPr="00361EBF" w:rsidRDefault="008D68D1" w:rsidP="000F221E">
            <w:pP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lang w:val="en-IN" w:eastAsia="en-IN"/>
              </w:rPr>
              <w:t>CIVIL</w:t>
            </w:r>
          </w:p>
        </w:tc>
        <w:tc>
          <w:tcPr>
            <w:tcW w:w="1031" w:type="dxa"/>
            <w:tcBorders>
              <w:top w:val="nil"/>
              <w:left w:val="nil"/>
              <w:bottom w:val="single" w:sz="4" w:space="0" w:color="auto"/>
              <w:right w:val="single" w:sz="4" w:space="0" w:color="auto"/>
            </w:tcBorders>
            <w:noWrap/>
            <w:vAlign w:val="center"/>
          </w:tcPr>
          <w:p w14:paraId="3D975160"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23.62</w:t>
            </w:r>
          </w:p>
        </w:tc>
        <w:tc>
          <w:tcPr>
            <w:tcW w:w="961" w:type="dxa"/>
            <w:tcBorders>
              <w:top w:val="nil"/>
              <w:left w:val="nil"/>
              <w:bottom w:val="single" w:sz="4" w:space="0" w:color="auto"/>
              <w:right w:val="single" w:sz="4" w:space="0" w:color="auto"/>
            </w:tcBorders>
            <w:noWrap/>
            <w:vAlign w:val="center"/>
          </w:tcPr>
          <w:p w14:paraId="71199B53"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-0.02</w:t>
            </w:r>
          </w:p>
        </w:tc>
        <w:tc>
          <w:tcPr>
            <w:tcW w:w="1136" w:type="dxa"/>
            <w:tcBorders>
              <w:top w:val="nil"/>
              <w:left w:val="nil"/>
              <w:bottom w:val="single" w:sz="4" w:space="0" w:color="auto"/>
              <w:right w:val="single" w:sz="4" w:space="0" w:color="auto"/>
            </w:tcBorders>
            <w:noWrap/>
            <w:vAlign w:val="center"/>
          </w:tcPr>
          <w:p w14:paraId="7E68BBFB"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23.60</w:t>
            </w:r>
          </w:p>
        </w:tc>
        <w:tc>
          <w:tcPr>
            <w:tcW w:w="821" w:type="dxa"/>
            <w:tcBorders>
              <w:top w:val="nil"/>
              <w:left w:val="nil"/>
              <w:bottom w:val="single" w:sz="4" w:space="0" w:color="auto"/>
              <w:right w:val="single" w:sz="4" w:space="0" w:color="auto"/>
            </w:tcBorders>
            <w:noWrap/>
            <w:vAlign w:val="center"/>
          </w:tcPr>
          <w:p w14:paraId="13007DB4"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23.60</w:t>
            </w:r>
          </w:p>
        </w:tc>
        <w:tc>
          <w:tcPr>
            <w:tcW w:w="821" w:type="dxa"/>
            <w:tcBorders>
              <w:top w:val="nil"/>
              <w:left w:val="nil"/>
              <w:bottom w:val="single" w:sz="4" w:space="0" w:color="auto"/>
              <w:right w:val="single" w:sz="4" w:space="0" w:color="auto"/>
            </w:tcBorders>
            <w:noWrap/>
            <w:vAlign w:val="center"/>
          </w:tcPr>
          <w:p w14:paraId="14E31D10"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904" w:type="dxa"/>
            <w:tcBorders>
              <w:top w:val="nil"/>
              <w:left w:val="nil"/>
              <w:bottom w:val="single" w:sz="4" w:space="0" w:color="auto"/>
              <w:right w:val="single" w:sz="4" w:space="0" w:color="auto"/>
            </w:tcBorders>
            <w:noWrap/>
            <w:vAlign w:val="center"/>
          </w:tcPr>
          <w:p w14:paraId="67DEAAE7"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888" w:type="dxa"/>
            <w:tcBorders>
              <w:top w:val="nil"/>
              <w:left w:val="nil"/>
              <w:bottom w:val="single" w:sz="4" w:space="0" w:color="auto"/>
              <w:right w:val="single" w:sz="4" w:space="0" w:color="auto"/>
            </w:tcBorders>
            <w:noWrap/>
            <w:vAlign w:val="center"/>
          </w:tcPr>
          <w:p w14:paraId="644F53AE"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23.60</w:t>
            </w:r>
          </w:p>
        </w:tc>
      </w:tr>
      <w:tr w:rsidR="00ED3EC8" w:rsidRPr="00361EBF" w14:paraId="7ED84994" w14:textId="77777777" w:rsidTr="00304420">
        <w:trPr>
          <w:trHeight w:val="281"/>
          <w:jc w:val="center"/>
        </w:trPr>
        <w:tc>
          <w:tcPr>
            <w:tcW w:w="1471" w:type="dxa"/>
            <w:vMerge/>
            <w:tcBorders>
              <w:top w:val="nil"/>
              <w:left w:val="single" w:sz="4" w:space="0" w:color="auto"/>
              <w:bottom w:val="single" w:sz="4" w:space="0" w:color="000000"/>
              <w:right w:val="single" w:sz="4" w:space="0" w:color="auto"/>
            </w:tcBorders>
            <w:vAlign w:val="center"/>
            <w:hideMark/>
          </w:tcPr>
          <w:p w14:paraId="02963E5E" w14:textId="77777777" w:rsidR="008D68D1" w:rsidRPr="00361EBF" w:rsidRDefault="008D68D1" w:rsidP="000F221E">
            <w:pPr>
              <w:rPr>
                <w:rFonts w:asciiTheme="majorHAnsi" w:hAnsiTheme="majorHAnsi" w:cs="Calibri"/>
                <w:b/>
                <w:bCs/>
                <w:color w:val="000000"/>
                <w:sz w:val="18"/>
                <w:szCs w:val="18"/>
                <w:lang w:val="en-IN" w:eastAsia="en-IN"/>
              </w:rPr>
            </w:pPr>
          </w:p>
        </w:tc>
        <w:tc>
          <w:tcPr>
            <w:tcW w:w="1781" w:type="dxa"/>
            <w:tcBorders>
              <w:top w:val="nil"/>
              <w:left w:val="nil"/>
              <w:bottom w:val="single" w:sz="4" w:space="0" w:color="auto"/>
              <w:right w:val="single" w:sz="4" w:space="0" w:color="auto"/>
            </w:tcBorders>
            <w:vAlign w:val="center"/>
            <w:hideMark/>
          </w:tcPr>
          <w:p w14:paraId="58E3528C" w14:textId="77777777" w:rsidR="008D68D1" w:rsidRPr="00361EBF" w:rsidRDefault="008D68D1" w:rsidP="000F221E">
            <w:pP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lang w:val="en-IN" w:eastAsia="en-IN"/>
              </w:rPr>
              <w:t>GIS Implementation</w:t>
            </w:r>
          </w:p>
        </w:tc>
        <w:tc>
          <w:tcPr>
            <w:tcW w:w="1031" w:type="dxa"/>
            <w:tcBorders>
              <w:top w:val="nil"/>
              <w:left w:val="nil"/>
              <w:bottom w:val="single" w:sz="4" w:space="0" w:color="auto"/>
              <w:right w:val="single" w:sz="4" w:space="0" w:color="auto"/>
            </w:tcBorders>
            <w:noWrap/>
            <w:vAlign w:val="center"/>
          </w:tcPr>
          <w:p w14:paraId="23E299C2"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5.00</w:t>
            </w:r>
          </w:p>
        </w:tc>
        <w:tc>
          <w:tcPr>
            <w:tcW w:w="961" w:type="dxa"/>
            <w:tcBorders>
              <w:top w:val="nil"/>
              <w:left w:val="nil"/>
              <w:bottom w:val="single" w:sz="4" w:space="0" w:color="auto"/>
              <w:right w:val="single" w:sz="4" w:space="0" w:color="auto"/>
            </w:tcBorders>
            <w:noWrap/>
            <w:vAlign w:val="center"/>
          </w:tcPr>
          <w:p w14:paraId="47316A3D"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1.44</w:t>
            </w:r>
          </w:p>
        </w:tc>
        <w:tc>
          <w:tcPr>
            <w:tcW w:w="1136" w:type="dxa"/>
            <w:tcBorders>
              <w:top w:val="nil"/>
              <w:left w:val="nil"/>
              <w:bottom w:val="single" w:sz="4" w:space="0" w:color="auto"/>
              <w:right w:val="single" w:sz="4" w:space="0" w:color="auto"/>
            </w:tcBorders>
            <w:noWrap/>
            <w:vAlign w:val="center"/>
          </w:tcPr>
          <w:p w14:paraId="4DC579EE"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6.44</w:t>
            </w:r>
          </w:p>
        </w:tc>
        <w:tc>
          <w:tcPr>
            <w:tcW w:w="821" w:type="dxa"/>
            <w:tcBorders>
              <w:top w:val="nil"/>
              <w:left w:val="nil"/>
              <w:bottom w:val="single" w:sz="4" w:space="0" w:color="auto"/>
              <w:right w:val="single" w:sz="4" w:space="0" w:color="auto"/>
            </w:tcBorders>
            <w:noWrap/>
            <w:vAlign w:val="center"/>
          </w:tcPr>
          <w:p w14:paraId="2BE37C26"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6.44</w:t>
            </w:r>
          </w:p>
        </w:tc>
        <w:tc>
          <w:tcPr>
            <w:tcW w:w="821" w:type="dxa"/>
            <w:tcBorders>
              <w:top w:val="nil"/>
              <w:left w:val="nil"/>
              <w:bottom w:val="single" w:sz="4" w:space="0" w:color="auto"/>
              <w:right w:val="single" w:sz="4" w:space="0" w:color="auto"/>
            </w:tcBorders>
            <w:noWrap/>
            <w:vAlign w:val="center"/>
          </w:tcPr>
          <w:p w14:paraId="511E8BBB"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904" w:type="dxa"/>
            <w:tcBorders>
              <w:top w:val="nil"/>
              <w:left w:val="nil"/>
              <w:bottom w:val="single" w:sz="4" w:space="0" w:color="auto"/>
              <w:right w:val="single" w:sz="4" w:space="0" w:color="auto"/>
            </w:tcBorders>
            <w:noWrap/>
            <w:vAlign w:val="center"/>
          </w:tcPr>
          <w:p w14:paraId="1BE35B2E"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888" w:type="dxa"/>
            <w:tcBorders>
              <w:top w:val="nil"/>
              <w:left w:val="nil"/>
              <w:bottom w:val="single" w:sz="4" w:space="0" w:color="auto"/>
              <w:right w:val="single" w:sz="4" w:space="0" w:color="auto"/>
            </w:tcBorders>
            <w:noWrap/>
            <w:vAlign w:val="center"/>
          </w:tcPr>
          <w:p w14:paraId="7C2DA9CE"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6.44</w:t>
            </w:r>
          </w:p>
        </w:tc>
      </w:tr>
      <w:tr w:rsidR="00ED3EC8" w:rsidRPr="00361EBF" w14:paraId="48ED1DAA" w14:textId="77777777" w:rsidTr="00304420">
        <w:trPr>
          <w:trHeight w:val="281"/>
          <w:jc w:val="center"/>
        </w:trPr>
        <w:tc>
          <w:tcPr>
            <w:tcW w:w="1471" w:type="dxa"/>
            <w:vMerge/>
            <w:tcBorders>
              <w:top w:val="nil"/>
              <w:left w:val="single" w:sz="4" w:space="0" w:color="auto"/>
              <w:bottom w:val="single" w:sz="4" w:space="0" w:color="000000"/>
              <w:right w:val="single" w:sz="4" w:space="0" w:color="auto"/>
            </w:tcBorders>
            <w:vAlign w:val="center"/>
            <w:hideMark/>
          </w:tcPr>
          <w:p w14:paraId="4A8BBBCF" w14:textId="77777777" w:rsidR="008D68D1" w:rsidRPr="00361EBF" w:rsidRDefault="008D68D1" w:rsidP="000F221E">
            <w:pPr>
              <w:rPr>
                <w:rFonts w:asciiTheme="majorHAnsi" w:hAnsiTheme="majorHAnsi" w:cs="Calibri"/>
                <w:b/>
                <w:bCs/>
                <w:color w:val="000000"/>
                <w:sz w:val="18"/>
                <w:szCs w:val="18"/>
                <w:lang w:val="en-IN" w:eastAsia="en-IN"/>
              </w:rPr>
            </w:pPr>
          </w:p>
        </w:tc>
        <w:tc>
          <w:tcPr>
            <w:tcW w:w="1781" w:type="dxa"/>
            <w:tcBorders>
              <w:top w:val="nil"/>
              <w:left w:val="nil"/>
              <w:bottom w:val="single" w:sz="4" w:space="0" w:color="auto"/>
              <w:right w:val="single" w:sz="4" w:space="0" w:color="auto"/>
            </w:tcBorders>
            <w:vAlign w:val="center"/>
            <w:hideMark/>
          </w:tcPr>
          <w:p w14:paraId="6DB0D694" w14:textId="77777777" w:rsidR="008D68D1" w:rsidRPr="00361EBF" w:rsidRDefault="008D68D1" w:rsidP="000F221E">
            <w:pP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lang w:val="en-IN" w:eastAsia="en-IN"/>
              </w:rPr>
              <w:t>GSAS</w:t>
            </w:r>
          </w:p>
        </w:tc>
        <w:tc>
          <w:tcPr>
            <w:tcW w:w="1031" w:type="dxa"/>
            <w:tcBorders>
              <w:top w:val="nil"/>
              <w:left w:val="nil"/>
              <w:bottom w:val="single" w:sz="4" w:space="0" w:color="auto"/>
              <w:right w:val="single" w:sz="4" w:space="0" w:color="auto"/>
            </w:tcBorders>
            <w:noWrap/>
            <w:vAlign w:val="center"/>
          </w:tcPr>
          <w:p w14:paraId="3424D890"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9.52</w:t>
            </w:r>
          </w:p>
        </w:tc>
        <w:tc>
          <w:tcPr>
            <w:tcW w:w="961" w:type="dxa"/>
            <w:tcBorders>
              <w:top w:val="nil"/>
              <w:left w:val="nil"/>
              <w:bottom w:val="single" w:sz="4" w:space="0" w:color="auto"/>
              <w:right w:val="single" w:sz="4" w:space="0" w:color="auto"/>
            </w:tcBorders>
            <w:noWrap/>
            <w:vAlign w:val="center"/>
          </w:tcPr>
          <w:p w14:paraId="0494DC44"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-2.22</w:t>
            </w:r>
          </w:p>
        </w:tc>
        <w:tc>
          <w:tcPr>
            <w:tcW w:w="1136" w:type="dxa"/>
            <w:tcBorders>
              <w:top w:val="nil"/>
              <w:left w:val="nil"/>
              <w:bottom w:val="single" w:sz="4" w:space="0" w:color="auto"/>
              <w:right w:val="single" w:sz="4" w:space="0" w:color="auto"/>
            </w:tcBorders>
            <w:noWrap/>
            <w:vAlign w:val="center"/>
          </w:tcPr>
          <w:p w14:paraId="5DD2C8E9"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7.30</w:t>
            </w:r>
          </w:p>
        </w:tc>
        <w:tc>
          <w:tcPr>
            <w:tcW w:w="821" w:type="dxa"/>
            <w:tcBorders>
              <w:top w:val="nil"/>
              <w:left w:val="nil"/>
              <w:bottom w:val="single" w:sz="4" w:space="0" w:color="auto"/>
              <w:right w:val="single" w:sz="4" w:space="0" w:color="auto"/>
            </w:tcBorders>
            <w:noWrap/>
            <w:vAlign w:val="center"/>
          </w:tcPr>
          <w:p w14:paraId="7A7272ED"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7.30</w:t>
            </w:r>
          </w:p>
        </w:tc>
        <w:tc>
          <w:tcPr>
            <w:tcW w:w="821" w:type="dxa"/>
            <w:tcBorders>
              <w:top w:val="nil"/>
              <w:left w:val="nil"/>
              <w:bottom w:val="single" w:sz="4" w:space="0" w:color="auto"/>
              <w:right w:val="single" w:sz="4" w:space="0" w:color="auto"/>
            </w:tcBorders>
            <w:noWrap/>
            <w:vAlign w:val="center"/>
          </w:tcPr>
          <w:p w14:paraId="13AFD79A"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904" w:type="dxa"/>
            <w:tcBorders>
              <w:top w:val="nil"/>
              <w:left w:val="nil"/>
              <w:bottom w:val="single" w:sz="4" w:space="0" w:color="auto"/>
              <w:right w:val="single" w:sz="4" w:space="0" w:color="auto"/>
            </w:tcBorders>
            <w:noWrap/>
            <w:vAlign w:val="center"/>
          </w:tcPr>
          <w:p w14:paraId="5BEED8D4"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888" w:type="dxa"/>
            <w:tcBorders>
              <w:top w:val="nil"/>
              <w:left w:val="nil"/>
              <w:bottom w:val="single" w:sz="4" w:space="0" w:color="auto"/>
              <w:right w:val="single" w:sz="4" w:space="0" w:color="auto"/>
            </w:tcBorders>
            <w:noWrap/>
            <w:vAlign w:val="center"/>
          </w:tcPr>
          <w:p w14:paraId="75012B75"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7.29</w:t>
            </w:r>
          </w:p>
        </w:tc>
      </w:tr>
      <w:tr w:rsidR="00ED3EC8" w:rsidRPr="00361EBF" w14:paraId="08D91E8B" w14:textId="77777777" w:rsidTr="00304420">
        <w:trPr>
          <w:trHeight w:val="281"/>
          <w:jc w:val="center"/>
        </w:trPr>
        <w:tc>
          <w:tcPr>
            <w:tcW w:w="1471" w:type="dxa"/>
            <w:vMerge/>
            <w:tcBorders>
              <w:top w:val="nil"/>
              <w:left w:val="single" w:sz="4" w:space="0" w:color="auto"/>
              <w:bottom w:val="single" w:sz="4" w:space="0" w:color="000000"/>
              <w:right w:val="single" w:sz="4" w:space="0" w:color="auto"/>
            </w:tcBorders>
            <w:vAlign w:val="center"/>
            <w:hideMark/>
          </w:tcPr>
          <w:p w14:paraId="4B97EDD4" w14:textId="77777777" w:rsidR="008D68D1" w:rsidRPr="00361EBF" w:rsidRDefault="008D68D1" w:rsidP="000F221E">
            <w:pPr>
              <w:rPr>
                <w:rFonts w:asciiTheme="majorHAnsi" w:hAnsiTheme="majorHAnsi" w:cs="Calibri"/>
                <w:b/>
                <w:bCs/>
                <w:color w:val="000000"/>
                <w:sz w:val="18"/>
                <w:szCs w:val="18"/>
                <w:lang w:val="en-IN" w:eastAsia="en-IN"/>
              </w:rPr>
            </w:pPr>
          </w:p>
        </w:tc>
        <w:tc>
          <w:tcPr>
            <w:tcW w:w="1781" w:type="dxa"/>
            <w:tcBorders>
              <w:top w:val="nil"/>
              <w:left w:val="nil"/>
              <w:bottom w:val="single" w:sz="4" w:space="0" w:color="auto"/>
              <w:right w:val="single" w:sz="4" w:space="0" w:color="auto"/>
            </w:tcBorders>
            <w:vAlign w:val="center"/>
            <w:hideMark/>
          </w:tcPr>
          <w:p w14:paraId="1E8BCD83" w14:textId="77777777" w:rsidR="008D68D1" w:rsidRPr="00361EBF" w:rsidRDefault="008D68D1" w:rsidP="000F221E">
            <w:pP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lang w:val="en-IN" w:eastAsia="en-IN"/>
              </w:rPr>
              <w:t>IT &amp; Technology for process efficiency</w:t>
            </w:r>
          </w:p>
        </w:tc>
        <w:tc>
          <w:tcPr>
            <w:tcW w:w="1031" w:type="dxa"/>
            <w:tcBorders>
              <w:top w:val="nil"/>
              <w:left w:val="nil"/>
              <w:bottom w:val="single" w:sz="4" w:space="0" w:color="auto"/>
              <w:right w:val="single" w:sz="4" w:space="0" w:color="auto"/>
            </w:tcBorders>
            <w:noWrap/>
            <w:vAlign w:val="center"/>
          </w:tcPr>
          <w:p w14:paraId="7457D8DA"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42.02</w:t>
            </w:r>
          </w:p>
        </w:tc>
        <w:tc>
          <w:tcPr>
            <w:tcW w:w="961" w:type="dxa"/>
            <w:tcBorders>
              <w:top w:val="nil"/>
              <w:left w:val="nil"/>
              <w:bottom w:val="single" w:sz="4" w:space="0" w:color="auto"/>
              <w:right w:val="single" w:sz="4" w:space="0" w:color="auto"/>
            </w:tcBorders>
            <w:noWrap/>
            <w:vAlign w:val="center"/>
          </w:tcPr>
          <w:p w14:paraId="69272139"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3.60</w:t>
            </w:r>
          </w:p>
        </w:tc>
        <w:tc>
          <w:tcPr>
            <w:tcW w:w="1136" w:type="dxa"/>
            <w:tcBorders>
              <w:top w:val="nil"/>
              <w:left w:val="nil"/>
              <w:bottom w:val="single" w:sz="4" w:space="0" w:color="auto"/>
              <w:right w:val="single" w:sz="4" w:space="0" w:color="auto"/>
            </w:tcBorders>
            <w:noWrap/>
            <w:vAlign w:val="center"/>
          </w:tcPr>
          <w:p w14:paraId="1D3275A1"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45.62</w:t>
            </w:r>
          </w:p>
        </w:tc>
        <w:tc>
          <w:tcPr>
            <w:tcW w:w="821" w:type="dxa"/>
            <w:tcBorders>
              <w:top w:val="nil"/>
              <w:left w:val="nil"/>
              <w:bottom w:val="single" w:sz="4" w:space="0" w:color="auto"/>
              <w:right w:val="single" w:sz="4" w:space="0" w:color="auto"/>
            </w:tcBorders>
            <w:noWrap/>
            <w:vAlign w:val="center"/>
          </w:tcPr>
          <w:p w14:paraId="33D766DF"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45.62</w:t>
            </w:r>
          </w:p>
        </w:tc>
        <w:tc>
          <w:tcPr>
            <w:tcW w:w="821" w:type="dxa"/>
            <w:tcBorders>
              <w:top w:val="nil"/>
              <w:left w:val="nil"/>
              <w:bottom w:val="single" w:sz="4" w:space="0" w:color="auto"/>
              <w:right w:val="single" w:sz="4" w:space="0" w:color="auto"/>
            </w:tcBorders>
            <w:noWrap/>
            <w:vAlign w:val="center"/>
          </w:tcPr>
          <w:p w14:paraId="69925A7E"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904" w:type="dxa"/>
            <w:tcBorders>
              <w:top w:val="nil"/>
              <w:left w:val="nil"/>
              <w:bottom w:val="single" w:sz="4" w:space="0" w:color="auto"/>
              <w:right w:val="single" w:sz="4" w:space="0" w:color="auto"/>
            </w:tcBorders>
            <w:noWrap/>
            <w:vAlign w:val="center"/>
          </w:tcPr>
          <w:p w14:paraId="2EA679AD"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888" w:type="dxa"/>
            <w:tcBorders>
              <w:top w:val="nil"/>
              <w:left w:val="nil"/>
              <w:bottom w:val="single" w:sz="4" w:space="0" w:color="auto"/>
              <w:right w:val="single" w:sz="4" w:space="0" w:color="auto"/>
            </w:tcBorders>
            <w:noWrap/>
            <w:vAlign w:val="center"/>
          </w:tcPr>
          <w:p w14:paraId="4396BCE3"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45.62</w:t>
            </w:r>
          </w:p>
        </w:tc>
      </w:tr>
      <w:tr w:rsidR="00ED3EC8" w:rsidRPr="00361EBF" w14:paraId="76B018F0" w14:textId="77777777" w:rsidTr="00304420">
        <w:trPr>
          <w:trHeight w:val="281"/>
          <w:jc w:val="center"/>
        </w:trPr>
        <w:tc>
          <w:tcPr>
            <w:tcW w:w="1471" w:type="dxa"/>
            <w:vMerge/>
            <w:tcBorders>
              <w:top w:val="nil"/>
              <w:left w:val="single" w:sz="4" w:space="0" w:color="auto"/>
              <w:bottom w:val="single" w:sz="4" w:space="0" w:color="000000"/>
              <w:right w:val="single" w:sz="4" w:space="0" w:color="auto"/>
            </w:tcBorders>
            <w:vAlign w:val="center"/>
            <w:hideMark/>
          </w:tcPr>
          <w:p w14:paraId="0C757851" w14:textId="77777777" w:rsidR="008D68D1" w:rsidRPr="00361EBF" w:rsidRDefault="008D68D1" w:rsidP="000F221E">
            <w:pPr>
              <w:rPr>
                <w:rFonts w:asciiTheme="majorHAnsi" w:hAnsiTheme="majorHAnsi" w:cs="Calibri"/>
                <w:b/>
                <w:bCs/>
                <w:color w:val="000000"/>
                <w:sz w:val="18"/>
                <w:szCs w:val="18"/>
                <w:lang w:val="en-IN" w:eastAsia="en-IN"/>
              </w:rPr>
            </w:pPr>
          </w:p>
        </w:tc>
        <w:tc>
          <w:tcPr>
            <w:tcW w:w="1781" w:type="dxa"/>
            <w:tcBorders>
              <w:top w:val="nil"/>
              <w:left w:val="nil"/>
              <w:bottom w:val="single" w:sz="4" w:space="0" w:color="auto"/>
              <w:right w:val="single" w:sz="4" w:space="0" w:color="auto"/>
            </w:tcBorders>
            <w:vAlign w:val="center"/>
            <w:hideMark/>
          </w:tcPr>
          <w:p w14:paraId="11956949" w14:textId="77777777" w:rsidR="008D68D1" w:rsidRPr="00361EBF" w:rsidRDefault="008D68D1" w:rsidP="000F221E">
            <w:pP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lang w:val="en-IN" w:eastAsia="en-IN"/>
              </w:rPr>
              <w:t>SCADA Implementation</w:t>
            </w:r>
          </w:p>
        </w:tc>
        <w:tc>
          <w:tcPr>
            <w:tcW w:w="1031" w:type="dxa"/>
            <w:tcBorders>
              <w:top w:val="nil"/>
              <w:left w:val="nil"/>
              <w:bottom w:val="single" w:sz="4" w:space="0" w:color="auto"/>
              <w:right w:val="single" w:sz="4" w:space="0" w:color="auto"/>
            </w:tcBorders>
            <w:noWrap/>
            <w:vAlign w:val="center"/>
          </w:tcPr>
          <w:p w14:paraId="2BF4CF4A"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15.30</w:t>
            </w:r>
          </w:p>
        </w:tc>
        <w:tc>
          <w:tcPr>
            <w:tcW w:w="961" w:type="dxa"/>
            <w:tcBorders>
              <w:top w:val="nil"/>
              <w:left w:val="nil"/>
              <w:bottom w:val="single" w:sz="4" w:space="0" w:color="auto"/>
              <w:right w:val="single" w:sz="4" w:space="0" w:color="auto"/>
            </w:tcBorders>
            <w:noWrap/>
            <w:vAlign w:val="center"/>
          </w:tcPr>
          <w:p w14:paraId="69C12571"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1136" w:type="dxa"/>
            <w:tcBorders>
              <w:top w:val="nil"/>
              <w:left w:val="nil"/>
              <w:bottom w:val="single" w:sz="4" w:space="0" w:color="auto"/>
              <w:right w:val="single" w:sz="4" w:space="0" w:color="auto"/>
            </w:tcBorders>
            <w:noWrap/>
            <w:vAlign w:val="center"/>
          </w:tcPr>
          <w:p w14:paraId="31C65EE8"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15.30</w:t>
            </w:r>
          </w:p>
        </w:tc>
        <w:tc>
          <w:tcPr>
            <w:tcW w:w="821" w:type="dxa"/>
            <w:tcBorders>
              <w:top w:val="nil"/>
              <w:left w:val="nil"/>
              <w:bottom w:val="single" w:sz="4" w:space="0" w:color="auto"/>
              <w:right w:val="single" w:sz="4" w:space="0" w:color="auto"/>
            </w:tcBorders>
            <w:noWrap/>
            <w:vAlign w:val="center"/>
          </w:tcPr>
          <w:p w14:paraId="2233B19D"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15.30</w:t>
            </w:r>
          </w:p>
        </w:tc>
        <w:tc>
          <w:tcPr>
            <w:tcW w:w="821" w:type="dxa"/>
            <w:tcBorders>
              <w:top w:val="nil"/>
              <w:left w:val="nil"/>
              <w:bottom w:val="single" w:sz="4" w:space="0" w:color="auto"/>
              <w:right w:val="single" w:sz="4" w:space="0" w:color="auto"/>
            </w:tcBorders>
            <w:noWrap/>
            <w:vAlign w:val="center"/>
          </w:tcPr>
          <w:p w14:paraId="3431AAE1"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904" w:type="dxa"/>
            <w:tcBorders>
              <w:top w:val="nil"/>
              <w:left w:val="nil"/>
              <w:bottom w:val="single" w:sz="4" w:space="0" w:color="auto"/>
              <w:right w:val="single" w:sz="4" w:space="0" w:color="auto"/>
            </w:tcBorders>
            <w:noWrap/>
            <w:vAlign w:val="center"/>
          </w:tcPr>
          <w:p w14:paraId="70754138"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888" w:type="dxa"/>
            <w:tcBorders>
              <w:top w:val="nil"/>
              <w:left w:val="nil"/>
              <w:bottom w:val="single" w:sz="4" w:space="0" w:color="auto"/>
              <w:right w:val="single" w:sz="4" w:space="0" w:color="auto"/>
            </w:tcBorders>
            <w:noWrap/>
            <w:vAlign w:val="center"/>
          </w:tcPr>
          <w:p w14:paraId="5D53E61F"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15.30</w:t>
            </w:r>
          </w:p>
        </w:tc>
      </w:tr>
      <w:tr w:rsidR="00ED3EC8" w:rsidRPr="00361EBF" w14:paraId="366C2758" w14:textId="77777777" w:rsidTr="00304420">
        <w:trPr>
          <w:trHeight w:val="281"/>
          <w:jc w:val="center"/>
        </w:trPr>
        <w:tc>
          <w:tcPr>
            <w:tcW w:w="1471" w:type="dxa"/>
            <w:vMerge/>
            <w:tcBorders>
              <w:top w:val="nil"/>
              <w:left w:val="single" w:sz="4" w:space="0" w:color="auto"/>
              <w:bottom w:val="single" w:sz="4" w:space="0" w:color="000000"/>
              <w:right w:val="single" w:sz="4" w:space="0" w:color="auto"/>
            </w:tcBorders>
            <w:vAlign w:val="center"/>
            <w:hideMark/>
          </w:tcPr>
          <w:p w14:paraId="5CB99BAF" w14:textId="77777777" w:rsidR="008D68D1" w:rsidRPr="00361EBF" w:rsidRDefault="008D68D1" w:rsidP="000F221E">
            <w:pPr>
              <w:rPr>
                <w:rFonts w:asciiTheme="majorHAnsi" w:hAnsiTheme="majorHAnsi" w:cs="Calibri"/>
                <w:b/>
                <w:bCs/>
                <w:color w:val="000000"/>
                <w:sz w:val="18"/>
                <w:szCs w:val="18"/>
                <w:lang w:val="en-IN" w:eastAsia="en-IN"/>
              </w:rPr>
            </w:pPr>
          </w:p>
        </w:tc>
        <w:tc>
          <w:tcPr>
            <w:tcW w:w="1781" w:type="dxa"/>
            <w:tcBorders>
              <w:top w:val="nil"/>
              <w:left w:val="nil"/>
              <w:bottom w:val="single" w:sz="4" w:space="0" w:color="auto"/>
              <w:right w:val="single" w:sz="4" w:space="0" w:color="auto"/>
            </w:tcBorders>
            <w:vAlign w:val="center"/>
            <w:hideMark/>
          </w:tcPr>
          <w:p w14:paraId="57966303" w14:textId="77777777" w:rsidR="008D68D1" w:rsidRPr="00361EBF" w:rsidRDefault="008D68D1" w:rsidP="000F221E">
            <w:pP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lang w:val="en-IN" w:eastAsia="en-IN"/>
              </w:rPr>
              <w:t>Security system in Central stores</w:t>
            </w:r>
          </w:p>
        </w:tc>
        <w:tc>
          <w:tcPr>
            <w:tcW w:w="1031" w:type="dxa"/>
            <w:tcBorders>
              <w:top w:val="nil"/>
              <w:left w:val="nil"/>
              <w:bottom w:val="single" w:sz="4" w:space="0" w:color="auto"/>
              <w:right w:val="single" w:sz="4" w:space="0" w:color="auto"/>
            </w:tcBorders>
            <w:noWrap/>
            <w:vAlign w:val="center"/>
          </w:tcPr>
          <w:p w14:paraId="3F614D25"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1.05</w:t>
            </w:r>
          </w:p>
        </w:tc>
        <w:tc>
          <w:tcPr>
            <w:tcW w:w="961" w:type="dxa"/>
            <w:tcBorders>
              <w:top w:val="nil"/>
              <w:left w:val="nil"/>
              <w:bottom w:val="single" w:sz="4" w:space="0" w:color="auto"/>
              <w:right w:val="single" w:sz="4" w:space="0" w:color="auto"/>
            </w:tcBorders>
            <w:noWrap/>
            <w:vAlign w:val="center"/>
          </w:tcPr>
          <w:p w14:paraId="12D9633B"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-0.04</w:t>
            </w:r>
          </w:p>
        </w:tc>
        <w:tc>
          <w:tcPr>
            <w:tcW w:w="1136" w:type="dxa"/>
            <w:tcBorders>
              <w:top w:val="nil"/>
              <w:left w:val="nil"/>
              <w:bottom w:val="single" w:sz="4" w:space="0" w:color="auto"/>
              <w:right w:val="single" w:sz="4" w:space="0" w:color="auto"/>
            </w:tcBorders>
            <w:noWrap/>
            <w:vAlign w:val="center"/>
          </w:tcPr>
          <w:p w14:paraId="38C0794B"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1.01</w:t>
            </w:r>
          </w:p>
        </w:tc>
        <w:tc>
          <w:tcPr>
            <w:tcW w:w="821" w:type="dxa"/>
            <w:tcBorders>
              <w:top w:val="nil"/>
              <w:left w:val="nil"/>
              <w:bottom w:val="single" w:sz="4" w:space="0" w:color="auto"/>
              <w:right w:val="single" w:sz="4" w:space="0" w:color="auto"/>
            </w:tcBorders>
            <w:noWrap/>
            <w:vAlign w:val="center"/>
          </w:tcPr>
          <w:p w14:paraId="4AFA0830"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1.01</w:t>
            </w:r>
          </w:p>
        </w:tc>
        <w:tc>
          <w:tcPr>
            <w:tcW w:w="821" w:type="dxa"/>
            <w:tcBorders>
              <w:top w:val="nil"/>
              <w:left w:val="nil"/>
              <w:bottom w:val="single" w:sz="4" w:space="0" w:color="auto"/>
              <w:right w:val="single" w:sz="4" w:space="0" w:color="auto"/>
            </w:tcBorders>
            <w:noWrap/>
            <w:vAlign w:val="center"/>
          </w:tcPr>
          <w:p w14:paraId="75190063"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904" w:type="dxa"/>
            <w:tcBorders>
              <w:top w:val="nil"/>
              <w:left w:val="nil"/>
              <w:bottom w:val="single" w:sz="4" w:space="0" w:color="auto"/>
              <w:right w:val="single" w:sz="4" w:space="0" w:color="auto"/>
            </w:tcBorders>
            <w:noWrap/>
            <w:vAlign w:val="center"/>
          </w:tcPr>
          <w:p w14:paraId="5B30C5D5"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0.00</w:t>
            </w:r>
          </w:p>
        </w:tc>
        <w:tc>
          <w:tcPr>
            <w:tcW w:w="888" w:type="dxa"/>
            <w:tcBorders>
              <w:top w:val="nil"/>
              <w:left w:val="nil"/>
              <w:bottom w:val="single" w:sz="4" w:space="0" w:color="auto"/>
              <w:right w:val="single" w:sz="4" w:space="0" w:color="auto"/>
            </w:tcBorders>
            <w:noWrap/>
            <w:vAlign w:val="center"/>
          </w:tcPr>
          <w:p w14:paraId="79225D8F" w14:textId="77777777" w:rsidR="008D68D1" w:rsidRPr="00361EBF" w:rsidRDefault="008D68D1" w:rsidP="000F221E">
            <w:pPr>
              <w:jc w:val="center"/>
              <w:rPr>
                <w:rFonts w:asciiTheme="majorHAnsi" w:hAnsiTheme="majorHAnsi" w:cs="Calibri"/>
                <w:color w:val="000000"/>
                <w:sz w:val="18"/>
                <w:szCs w:val="18"/>
                <w:lang w:val="en-IN" w:eastAsia="en-IN"/>
              </w:rPr>
            </w:pPr>
            <w:r w:rsidRPr="00361EBF">
              <w:rPr>
                <w:rFonts w:asciiTheme="majorHAnsi" w:hAnsiTheme="majorHAnsi" w:cs="Calibri"/>
                <w:color w:val="000000"/>
                <w:sz w:val="18"/>
                <w:szCs w:val="18"/>
              </w:rPr>
              <w:t>1.01</w:t>
            </w:r>
          </w:p>
        </w:tc>
      </w:tr>
      <w:tr w:rsidR="00ED3EC8" w:rsidRPr="00361EBF" w14:paraId="3C4BF2D2" w14:textId="77777777" w:rsidTr="00304420">
        <w:trPr>
          <w:trHeight w:val="300"/>
          <w:jc w:val="center"/>
        </w:trPr>
        <w:tc>
          <w:tcPr>
            <w:tcW w:w="1471" w:type="dxa"/>
            <w:vMerge/>
            <w:tcBorders>
              <w:top w:val="nil"/>
              <w:left w:val="single" w:sz="4" w:space="0" w:color="auto"/>
              <w:bottom w:val="single" w:sz="4" w:space="0" w:color="000000"/>
              <w:right w:val="single" w:sz="4" w:space="0" w:color="auto"/>
            </w:tcBorders>
            <w:vAlign w:val="center"/>
            <w:hideMark/>
          </w:tcPr>
          <w:p w14:paraId="6E2E2020" w14:textId="77777777" w:rsidR="008D68D1" w:rsidRPr="00361EBF" w:rsidRDefault="008D68D1" w:rsidP="000F221E">
            <w:pPr>
              <w:rPr>
                <w:rFonts w:asciiTheme="majorHAnsi" w:hAnsiTheme="majorHAnsi" w:cs="Calibri"/>
                <w:b/>
                <w:bCs/>
                <w:color w:val="000000"/>
                <w:sz w:val="18"/>
                <w:szCs w:val="18"/>
                <w:lang w:val="en-IN" w:eastAsia="en-IN"/>
              </w:rPr>
            </w:pPr>
          </w:p>
        </w:tc>
        <w:tc>
          <w:tcPr>
            <w:tcW w:w="1781" w:type="dxa"/>
            <w:tcBorders>
              <w:top w:val="nil"/>
              <w:left w:val="nil"/>
              <w:bottom w:val="single" w:sz="4" w:space="0" w:color="auto"/>
              <w:right w:val="single" w:sz="4" w:space="0" w:color="auto"/>
            </w:tcBorders>
            <w:vAlign w:val="center"/>
            <w:hideMark/>
          </w:tcPr>
          <w:p w14:paraId="7A935E90"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lang w:val="en-IN" w:eastAsia="en-IN"/>
              </w:rPr>
              <w:t>TOTAL</w:t>
            </w:r>
          </w:p>
        </w:tc>
        <w:tc>
          <w:tcPr>
            <w:tcW w:w="1031" w:type="dxa"/>
            <w:tcBorders>
              <w:top w:val="nil"/>
              <w:left w:val="nil"/>
              <w:bottom w:val="single" w:sz="4" w:space="0" w:color="auto"/>
              <w:right w:val="single" w:sz="4" w:space="0" w:color="auto"/>
            </w:tcBorders>
            <w:noWrap/>
            <w:vAlign w:val="center"/>
          </w:tcPr>
          <w:p w14:paraId="029FACBB"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103.55</w:t>
            </w:r>
          </w:p>
        </w:tc>
        <w:tc>
          <w:tcPr>
            <w:tcW w:w="961" w:type="dxa"/>
            <w:tcBorders>
              <w:top w:val="nil"/>
              <w:left w:val="nil"/>
              <w:bottom w:val="single" w:sz="4" w:space="0" w:color="auto"/>
              <w:right w:val="single" w:sz="4" w:space="0" w:color="auto"/>
            </w:tcBorders>
            <w:noWrap/>
            <w:vAlign w:val="center"/>
          </w:tcPr>
          <w:p w14:paraId="42B2437F"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0.89</w:t>
            </w:r>
          </w:p>
        </w:tc>
        <w:tc>
          <w:tcPr>
            <w:tcW w:w="1136" w:type="dxa"/>
            <w:tcBorders>
              <w:top w:val="nil"/>
              <w:left w:val="nil"/>
              <w:bottom w:val="single" w:sz="4" w:space="0" w:color="auto"/>
              <w:right w:val="single" w:sz="4" w:space="0" w:color="auto"/>
            </w:tcBorders>
            <w:noWrap/>
            <w:vAlign w:val="center"/>
          </w:tcPr>
          <w:p w14:paraId="4BD43681"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104.44</w:t>
            </w:r>
          </w:p>
        </w:tc>
        <w:tc>
          <w:tcPr>
            <w:tcW w:w="821" w:type="dxa"/>
            <w:tcBorders>
              <w:top w:val="nil"/>
              <w:left w:val="nil"/>
              <w:bottom w:val="single" w:sz="4" w:space="0" w:color="auto"/>
              <w:right w:val="single" w:sz="4" w:space="0" w:color="auto"/>
            </w:tcBorders>
            <w:noWrap/>
            <w:vAlign w:val="center"/>
          </w:tcPr>
          <w:p w14:paraId="273BDBC4"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104.44</w:t>
            </w:r>
          </w:p>
        </w:tc>
        <w:tc>
          <w:tcPr>
            <w:tcW w:w="821" w:type="dxa"/>
            <w:tcBorders>
              <w:top w:val="nil"/>
              <w:left w:val="nil"/>
              <w:bottom w:val="single" w:sz="4" w:space="0" w:color="auto"/>
              <w:right w:val="single" w:sz="4" w:space="0" w:color="auto"/>
            </w:tcBorders>
            <w:noWrap/>
            <w:vAlign w:val="center"/>
          </w:tcPr>
          <w:p w14:paraId="3E6AAD12"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0.02</w:t>
            </w:r>
          </w:p>
        </w:tc>
        <w:tc>
          <w:tcPr>
            <w:tcW w:w="904" w:type="dxa"/>
            <w:tcBorders>
              <w:top w:val="nil"/>
              <w:left w:val="nil"/>
              <w:bottom w:val="single" w:sz="4" w:space="0" w:color="auto"/>
              <w:right w:val="single" w:sz="4" w:space="0" w:color="auto"/>
            </w:tcBorders>
            <w:noWrap/>
            <w:vAlign w:val="center"/>
          </w:tcPr>
          <w:p w14:paraId="1D7E4E3A"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0.00</w:t>
            </w:r>
          </w:p>
        </w:tc>
        <w:tc>
          <w:tcPr>
            <w:tcW w:w="888" w:type="dxa"/>
            <w:tcBorders>
              <w:top w:val="nil"/>
              <w:left w:val="nil"/>
              <w:bottom w:val="single" w:sz="4" w:space="0" w:color="auto"/>
              <w:right w:val="single" w:sz="4" w:space="0" w:color="auto"/>
            </w:tcBorders>
            <w:noWrap/>
            <w:vAlign w:val="center"/>
          </w:tcPr>
          <w:p w14:paraId="118BD3E0" w14:textId="77777777" w:rsidR="008D68D1" w:rsidRPr="00361EBF" w:rsidRDefault="008D68D1" w:rsidP="000F221E">
            <w:pPr>
              <w:jc w:val="center"/>
              <w:rPr>
                <w:rFonts w:asciiTheme="majorHAnsi" w:hAnsiTheme="majorHAnsi" w:cs="Calibri"/>
                <w:b/>
                <w:bCs/>
                <w:color w:val="000000"/>
                <w:sz w:val="18"/>
                <w:szCs w:val="18"/>
                <w:lang w:val="en-IN" w:eastAsia="en-IN"/>
              </w:rPr>
            </w:pPr>
            <w:r w:rsidRPr="00361EBF">
              <w:rPr>
                <w:rFonts w:asciiTheme="majorHAnsi" w:hAnsiTheme="majorHAnsi" w:cs="Calibri"/>
                <w:b/>
                <w:bCs/>
                <w:color w:val="000000"/>
                <w:sz w:val="18"/>
                <w:szCs w:val="18"/>
              </w:rPr>
              <w:t>104.42</w:t>
            </w:r>
          </w:p>
        </w:tc>
      </w:tr>
      <w:tr w:rsidR="00A47956" w:rsidRPr="00361EBF" w14:paraId="49F13656" w14:textId="77777777" w:rsidTr="00304420">
        <w:trPr>
          <w:trHeight w:val="359"/>
          <w:jc w:val="center"/>
        </w:trPr>
        <w:tc>
          <w:tcPr>
            <w:tcW w:w="3252" w:type="dxa"/>
            <w:gridSpan w:val="2"/>
            <w:tcBorders>
              <w:top w:val="single" w:sz="4" w:space="0" w:color="auto"/>
              <w:left w:val="single" w:sz="4" w:space="0" w:color="auto"/>
              <w:bottom w:val="single" w:sz="4" w:space="0" w:color="auto"/>
              <w:right w:val="single" w:sz="4" w:space="0" w:color="auto"/>
            </w:tcBorders>
            <w:noWrap/>
            <w:vAlign w:val="center"/>
            <w:hideMark/>
          </w:tcPr>
          <w:p w14:paraId="48AF2FD7" w14:textId="77777777" w:rsidR="008D68D1" w:rsidRPr="00361EBF" w:rsidRDefault="008D68D1" w:rsidP="000F221E">
            <w:pPr>
              <w:jc w:val="center"/>
              <w:rPr>
                <w:rFonts w:asciiTheme="majorHAnsi" w:hAnsiTheme="majorHAnsi" w:cs="Calibri"/>
                <w:b/>
                <w:bCs/>
                <w:sz w:val="18"/>
                <w:szCs w:val="18"/>
                <w:lang w:val="en-IN" w:eastAsia="en-IN"/>
              </w:rPr>
            </w:pPr>
            <w:r w:rsidRPr="00361EBF">
              <w:rPr>
                <w:rFonts w:asciiTheme="majorHAnsi" w:hAnsiTheme="majorHAnsi" w:cs="Calibri"/>
                <w:b/>
                <w:bCs/>
                <w:sz w:val="18"/>
                <w:szCs w:val="18"/>
                <w:lang w:val="en-IN" w:eastAsia="en-IN"/>
              </w:rPr>
              <w:t>Grand Total</w:t>
            </w:r>
          </w:p>
        </w:tc>
        <w:tc>
          <w:tcPr>
            <w:tcW w:w="1031" w:type="dxa"/>
            <w:tcBorders>
              <w:top w:val="nil"/>
              <w:left w:val="nil"/>
              <w:bottom w:val="single" w:sz="4" w:space="0" w:color="auto"/>
              <w:right w:val="single" w:sz="4" w:space="0" w:color="auto"/>
            </w:tcBorders>
            <w:noWrap/>
            <w:vAlign w:val="center"/>
          </w:tcPr>
          <w:p w14:paraId="03CB24E0" w14:textId="77777777" w:rsidR="008D68D1" w:rsidRPr="00361EBF" w:rsidRDefault="008D68D1" w:rsidP="000F221E">
            <w:pPr>
              <w:jc w:val="center"/>
              <w:rPr>
                <w:rFonts w:asciiTheme="majorHAnsi" w:hAnsiTheme="majorHAnsi" w:cs="Calibri"/>
                <w:b/>
                <w:bCs/>
                <w:sz w:val="18"/>
                <w:szCs w:val="18"/>
              </w:rPr>
            </w:pPr>
            <w:r w:rsidRPr="00361EBF">
              <w:rPr>
                <w:rFonts w:asciiTheme="majorHAnsi" w:hAnsiTheme="majorHAnsi" w:cs="Calibri"/>
                <w:b/>
                <w:bCs/>
                <w:sz w:val="18"/>
                <w:szCs w:val="18"/>
              </w:rPr>
              <w:t>333.13</w:t>
            </w:r>
          </w:p>
        </w:tc>
        <w:tc>
          <w:tcPr>
            <w:tcW w:w="961" w:type="dxa"/>
            <w:tcBorders>
              <w:top w:val="nil"/>
              <w:left w:val="nil"/>
              <w:bottom w:val="single" w:sz="4" w:space="0" w:color="auto"/>
              <w:right w:val="single" w:sz="4" w:space="0" w:color="auto"/>
            </w:tcBorders>
            <w:noWrap/>
            <w:vAlign w:val="center"/>
          </w:tcPr>
          <w:p w14:paraId="235249B8" w14:textId="77777777" w:rsidR="008D68D1" w:rsidRPr="00361EBF" w:rsidRDefault="008D68D1" w:rsidP="000F221E">
            <w:pPr>
              <w:jc w:val="center"/>
              <w:rPr>
                <w:rFonts w:asciiTheme="majorHAnsi" w:hAnsiTheme="majorHAnsi" w:cs="Calibri"/>
                <w:b/>
                <w:bCs/>
                <w:sz w:val="18"/>
                <w:szCs w:val="18"/>
              </w:rPr>
            </w:pPr>
            <w:r w:rsidRPr="00361EBF">
              <w:rPr>
                <w:rFonts w:asciiTheme="majorHAnsi" w:hAnsiTheme="majorHAnsi" w:cs="Calibri"/>
                <w:b/>
                <w:bCs/>
                <w:sz w:val="18"/>
                <w:szCs w:val="18"/>
              </w:rPr>
              <w:t>0.89</w:t>
            </w:r>
          </w:p>
        </w:tc>
        <w:tc>
          <w:tcPr>
            <w:tcW w:w="1136" w:type="dxa"/>
            <w:tcBorders>
              <w:top w:val="nil"/>
              <w:left w:val="nil"/>
              <w:bottom w:val="single" w:sz="4" w:space="0" w:color="auto"/>
              <w:right w:val="single" w:sz="4" w:space="0" w:color="auto"/>
            </w:tcBorders>
            <w:noWrap/>
            <w:vAlign w:val="center"/>
          </w:tcPr>
          <w:p w14:paraId="26E2CEFE" w14:textId="77777777" w:rsidR="008D68D1" w:rsidRPr="00361EBF" w:rsidRDefault="008D68D1" w:rsidP="000F221E">
            <w:pPr>
              <w:jc w:val="center"/>
              <w:rPr>
                <w:rFonts w:asciiTheme="majorHAnsi" w:hAnsiTheme="majorHAnsi" w:cs="Calibri"/>
                <w:b/>
                <w:bCs/>
                <w:sz w:val="18"/>
                <w:szCs w:val="18"/>
              </w:rPr>
            </w:pPr>
            <w:r w:rsidRPr="00361EBF">
              <w:rPr>
                <w:rFonts w:asciiTheme="majorHAnsi" w:hAnsiTheme="majorHAnsi" w:cs="Calibri"/>
                <w:b/>
                <w:bCs/>
                <w:sz w:val="18"/>
                <w:szCs w:val="18"/>
              </w:rPr>
              <w:t>334.02</w:t>
            </w:r>
          </w:p>
        </w:tc>
        <w:tc>
          <w:tcPr>
            <w:tcW w:w="821" w:type="dxa"/>
            <w:tcBorders>
              <w:top w:val="nil"/>
              <w:left w:val="nil"/>
              <w:bottom w:val="single" w:sz="4" w:space="0" w:color="auto"/>
              <w:right w:val="single" w:sz="4" w:space="0" w:color="auto"/>
            </w:tcBorders>
            <w:noWrap/>
            <w:vAlign w:val="center"/>
          </w:tcPr>
          <w:p w14:paraId="662BB41F" w14:textId="77777777" w:rsidR="008D68D1" w:rsidRPr="00361EBF" w:rsidRDefault="008D68D1" w:rsidP="000F221E">
            <w:pPr>
              <w:jc w:val="center"/>
              <w:rPr>
                <w:rFonts w:asciiTheme="majorHAnsi" w:hAnsiTheme="majorHAnsi" w:cs="Calibri"/>
                <w:b/>
                <w:bCs/>
                <w:sz w:val="18"/>
                <w:szCs w:val="18"/>
              </w:rPr>
            </w:pPr>
            <w:r w:rsidRPr="00361EBF">
              <w:rPr>
                <w:rFonts w:asciiTheme="majorHAnsi" w:hAnsiTheme="majorHAnsi" w:cs="Calibri"/>
                <w:b/>
                <w:bCs/>
                <w:sz w:val="18"/>
                <w:szCs w:val="18"/>
              </w:rPr>
              <w:t>333.48</w:t>
            </w:r>
          </w:p>
        </w:tc>
        <w:tc>
          <w:tcPr>
            <w:tcW w:w="821" w:type="dxa"/>
            <w:tcBorders>
              <w:top w:val="nil"/>
              <w:left w:val="nil"/>
              <w:bottom w:val="single" w:sz="4" w:space="0" w:color="auto"/>
              <w:right w:val="single" w:sz="4" w:space="0" w:color="auto"/>
            </w:tcBorders>
            <w:noWrap/>
            <w:vAlign w:val="center"/>
          </w:tcPr>
          <w:p w14:paraId="35A9FEE6" w14:textId="77777777" w:rsidR="008D68D1" w:rsidRPr="00361EBF" w:rsidRDefault="008D68D1" w:rsidP="000F221E">
            <w:pPr>
              <w:jc w:val="center"/>
              <w:rPr>
                <w:rFonts w:asciiTheme="majorHAnsi" w:hAnsiTheme="majorHAnsi" w:cs="Calibri"/>
                <w:b/>
                <w:bCs/>
                <w:sz w:val="18"/>
                <w:szCs w:val="18"/>
              </w:rPr>
            </w:pPr>
            <w:r w:rsidRPr="00361EBF">
              <w:rPr>
                <w:rFonts w:asciiTheme="majorHAnsi" w:hAnsiTheme="majorHAnsi" w:cs="Calibri"/>
                <w:b/>
                <w:bCs/>
                <w:sz w:val="18"/>
                <w:szCs w:val="18"/>
              </w:rPr>
              <w:t>0.28</w:t>
            </w:r>
          </w:p>
        </w:tc>
        <w:tc>
          <w:tcPr>
            <w:tcW w:w="904" w:type="dxa"/>
            <w:tcBorders>
              <w:top w:val="nil"/>
              <w:left w:val="nil"/>
              <w:bottom w:val="single" w:sz="4" w:space="0" w:color="auto"/>
              <w:right w:val="single" w:sz="4" w:space="0" w:color="auto"/>
            </w:tcBorders>
            <w:noWrap/>
            <w:vAlign w:val="center"/>
          </w:tcPr>
          <w:p w14:paraId="55A49E23" w14:textId="77777777" w:rsidR="008D68D1" w:rsidRPr="00361EBF" w:rsidRDefault="008D68D1" w:rsidP="000F221E">
            <w:pPr>
              <w:jc w:val="center"/>
              <w:rPr>
                <w:rFonts w:asciiTheme="majorHAnsi" w:hAnsiTheme="majorHAnsi" w:cs="Calibri"/>
                <w:b/>
                <w:bCs/>
                <w:sz w:val="18"/>
                <w:szCs w:val="18"/>
              </w:rPr>
            </w:pPr>
            <w:r w:rsidRPr="00361EBF">
              <w:rPr>
                <w:rFonts w:asciiTheme="majorHAnsi" w:hAnsiTheme="majorHAnsi" w:cs="Calibri"/>
                <w:b/>
                <w:bCs/>
                <w:sz w:val="18"/>
                <w:szCs w:val="18"/>
              </w:rPr>
              <w:t>0.54</w:t>
            </w:r>
          </w:p>
        </w:tc>
        <w:tc>
          <w:tcPr>
            <w:tcW w:w="888" w:type="dxa"/>
            <w:tcBorders>
              <w:top w:val="nil"/>
              <w:left w:val="nil"/>
              <w:bottom w:val="single" w:sz="4" w:space="0" w:color="auto"/>
              <w:right w:val="single" w:sz="4" w:space="0" w:color="auto"/>
            </w:tcBorders>
            <w:noWrap/>
            <w:vAlign w:val="center"/>
          </w:tcPr>
          <w:p w14:paraId="275383BA" w14:textId="77777777" w:rsidR="008D68D1" w:rsidRPr="00361EBF" w:rsidRDefault="008D68D1" w:rsidP="000F221E">
            <w:pPr>
              <w:jc w:val="center"/>
              <w:rPr>
                <w:rFonts w:asciiTheme="majorHAnsi" w:hAnsiTheme="majorHAnsi" w:cs="Calibri"/>
                <w:b/>
                <w:bCs/>
                <w:sz w:val="18"/>
                <w:szCs w:val="18"/>
              </w:rPr>
            </w:pPr>
            <w:r w:rsidRPr="00361EBF">
              <w:rPr>
                <w:rFonts w:asciiTheme="majorHAnsi" w:hAnsiTheme="majorHAnsi" w:cs="Calibri"/>
                <w:b/>
                <w:bCs/>
                <w:sz w:val="18"/>
                <w:szCs w:val="18"/>
              </w:rPr>
              <w:t>333.20</w:t>
            </w:r>
          </w:p>
        </w:tc>
      </w:tr>
    </w:tbl>
    <w:p w14:paraId="4B0DCD2A" w14:textId="77777777" w:rsidR="00C00A77" w:rsidRPr="008D68D1" w:rsidRDefault="00C00A77" w:rsidP="00C00A77">
      <w:pPr>
        <w:spacing w:line="360" w:lineRule="auto"/>
        <w:jc w:val="both"/>
        <w:rPr>
          <w:rFonts w:asciiTheme="majorHAnsi" w:hAnsiTheme="majorHAnsi"/>
          <w:b/>
          <w:bCs/>
          <w:sz w:val="20"/>
          <w:szCs w:val="20"/>
          <w:u w:val="single"/>
        </w:rPr>
      </w:pPr>
    </w:p>
    <w:p w14:paraId="2D7C5C44" w14:textId="77777777" w:rsidR="00C00A77" w:rsidRPr="00912B86" w:rsidRDefault="00C00A77" w:rsidP="00C00A77">
      <w:pPr>
        <w:spacing w:line="360" w:lineRule="auto"/>
        <w:jc w:val="both"/>
        <w:rPr>
          <w:rFonts w:asciiTheme="majorHAnsi" w:hAnsiTheme="majorHAnsi"/>
          <w:b/>
          <w:bCs/>
          <w:u w:val="single"/>
        </w:rPr>
      </w:pPr>
      <w:r w:rsidRPr="00912B86">
        <w:rPr>
          <w:rFonts w:asciiTheme="majorHAnsi" w:hAnsiTheme="majorHAnsi"/>
          <w:b/>
          <w:bCs/>
          <w:u w:val="single"/>
        </w:rPr>
        <w:t>FY 2022-23</w:t>
      </w:r>
    </w:p>
    <w:tbl>
      <w:tblPr>
        <w:tblW w:w="9858" w:type="dxa"/>
        <w:jc w:val="center"/>
        <w:tblLayout w:type="fixed"/>
        <w:tblLook w:val="04A0" w:firstRow="1" w:lastRow="0" w:firstColumn="1" w:lastColumn="0" w:noHBand="0" w:noVBand="1"/>
      </w:tblPr>
      <w:tblGrid>
        <w:gridCol w:w="1271"/>
        <w:gridCol w:w="1706"/>
        <w:gridCol w:w="1124"/>
        <w:gridCol w:w="1080"/>
        <w:gridCol w:w="1184"/>
        <w:gridCol w:w="855"/>
        <w:gridCol w:w="855"/>
        <w:gridCol w:w="825"/>
        <w:gridCol w:w="958"/>
      </w:tblGrid>
      <w:tr w:rsidR="00145397" w:rsidRPr="00A47956" w14:paraId="0D792E79" w14:textId="77777777" w:rsidTr="00304420">
        <w:trPr>
          <w:trHeight w:val="431"/>
          <w:tblHeade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5A5E1060" w14:textId="77777777" w:rsidR="00145397" w:rsidRPr="00A47956" w:rsidRDefault="00145397" w:rsidP="000F221E">
            <w:pPr>
              <w:jc w:val="center"/>
              <w:rPr>
                <w:rFonts w:asciiTheme="majorHAnsi" w:hAnsiTheme="majorHAnsi" w:cs="Calibri"/>
                <w:b/>
                <w:bCs/>
                <w:sz w:val="18"/>
                <w:szCs w:val="18"/>
                <w:lang w:val="en-IN" w:eastAsia="en-IN"/>
              </w:rPr>
            </w:pPr>
            <w:bookmarkStart w:id="91" w:name="RANGE!A1:H25"/>
            <w:r w:rsidRPr="00A47956">
              <w:rPr>
                <w:rFonts w:asciiTheme="majorHAnsi" w:hAnsiTheme="majorHAnsi" w:cs="Calibri"/>
                <w:b/>
                <w:bCs/>
                <w:sz w:val="18"/>
                <w:szCs w:val="18"/>
                <w:lang w:val="en-IN" w:eastAsia="en-IN"/>
              </w:rPr>
              <w:t>Particulars</w:t>
            </w:r>
            <w:bookmarkEnd w:id="91"/>
          </w:p>
        </w:tc>
        <w:tc>
          <w:tcPr>
            <w:tcW w:w="1706" w:type="dxa"/>
            <w:tcBorders>
              <w:top w:val="single" w:sz="4" w:space="0" w:color="auto"/>
              <w:left w:val="nil"/>
              <w:bottom w:val="single" w:sz="4" w:space="0" w:color="auto"/>
              <w:right w:val="single" w:sz="4" w:space="0" w:color="auto"/>
            </w:tcBorders>
            <w:vAlign w:val="center"/>
            <w:hideMark/>
          </w:tcPr>
          <w:p w14:paraId="65A72B95" w14:textId="77777777" w:rsidR="00145397" w:rsidRPr="00A47956" w:rsidRDefault="00145397" w:rsidP="000F221E">
            <w:pPr>
              <w:jc w:val="center"/>
              <w:rPr>
                <w:rFonts w:asciiTheme="majorHAnsi" w:hAnsiTheme="majorHAnsi" w:cs="Calibri"/>
                <w:b/>
                <w:bCs/>
                <w:sz w:val="18"/>
                <w:szCs w:val="18"/>
                <w:lang w:val="en-IN" w:eastAsia="en-IN"/>
              </w:rPr>
            </w:pPr>
            <w:r w:rsidRPr="00A47956">
              <w:rPr>
                <w:rFonts w:asciiTheme="majorHAnsi" w:hAnsiTheme="majorHAnsi" w:cs="Calibri"/>
                <w:b/>
                <w:bCs/>
                <w:sz w:val="18"/>
                <w:szCs w:val="18"/>
                <w:lang w:val="en-IN" w:eastAsia="en-IN"/>
              </w:rPr>
              <w:t>Description</w:t>
            </w:r>
          </w:p>
        </w:tc>
        <w:tc>
          <w:tcPr>
            <w:tcW w:w="1124" w:type="dxa"/>
            <w:tcBorders>
              <w:top w:val="single" w:sz="4" w:space="0" w:color="auto"/>
              <w:left w:val="nil"/>
              <w:bottom w:val="single" w:sz="4" w:space="0" w:color="auto"/>
              <w:right w:val="single" w:sz="4" w:space="0" w:color="auto"/>
            </w:tcBorders>
            <w:vAlign w:val="center"/>
            <w:hideMark/>
          </w:tcPr>
          <w:p w14:paraId="593FE4DE" w14:textId="77777777" w:rsidR="00145397" w:rsidRPr="00A47956" w:rsidRDefault="00145397" w:rsidP="000F221E">
            <w:pPr>
              <w:jc w:val="center"/>
              <w:rPr>
                <w:rFonts w:asciiTheme="majorHAnsi" w:hAnsiTheme="majorHAnsi" w:cs="Calibri"/>
                <w:b/>
                <w:bCs/>
                <w:sz w:val="18"/>
                <w:szCs w:val="18"/>
                <w:lang w:val="en-IN" w:eastAsia="en-IN"/>
              </w:rPr>
            </w:pPr>
            <w:r w:rsidRPr="00A47956">
              <w:rPr>
                <w:rFonts w:asciiTheme="majorHAnsi" w:hAnsiTheme="majorHAnsi" w:cs="Calibri"/>
                <w:b/>
                <w:bCs/>
                <w:sz w:val="18"/>
                <w:szCs w:val="18"/>
                <w:lang w:val="en-IN" w:eastAsia="en-IN"/>
              </w:rPr>
              <w:t>OERC Approved Budget</w:t>
            </w:r>
          </w:p>
        </w:tc>
        <w:tc>
          <w:tcPr>
            <w:tcW w:w="1080" w:type="dxa"/>
            <w:tcBorders>
              <w:top w:val="single" w:sz="4" w:space="0" w:color="auto"/>
              <w:left w:val="nil"/>
              <w:bottom w:val="single" w:sz="4" w:space="0" w:color="auto"/>
              <w:right w:val="single" w:sz="4" w:space="0" w:color="auto"/>
            </w:tcBorders>
            <w:vAlign w:val="center"/>
            <w:hideMark/>
          </w:tcPr>
          <w:p w14:paraId="033C0E84" w14:textId="77777777" w:rsidR="00145397" w:rsidRPr="00A47956" w:rsidRDefault="00145397" w:rsidP="000F221E">
            <w:pPr>
              <w:jc w:val="center"/>
              <w:rPr>
                <w:rFonts w:asciiTheme="majorHAnsi" w:hAnsiTheme="majorHAnsi" w:cs="Calibri"/>
                <w:b/>
                <w:bCs/>
                <w:sz w:val="18"/>
                <w:szCs w:val="18"/>
                <w:lang w:val="en-IN" w:eastAsia="en-IN"/>
              </w:rPr>
            </w:pPr>
            <w:r w:rsidRPr="00A47956">
              <w:rPr>
                <w:rFonts w:asciiTheme="majorHAnsi" w:hAnsiTheme="majorHAnsi" w:cs="Calibri"/>
                <w:b/>
                <w:bCs/>
                <w:sz w:val="18"/>
                <w:szCs w:val="18"/>
                <w:lang w:val="en-IN" w:eastAsia="en-IN"/>
              </w:rPr>
              <w:t xml:space="preserve">Adjustment </w:t>
            </w:r>
            <w:r w:rsidRPr="00A47956">
              <w:rPr>
                <w:rFonts w:asciiTheme="majorHAnsi" w:hAnsiTheme="majorHAnsi" w:cs="Calibri"/>
                <w:b/>
                <w:bCs/>
                <w:sz w:val="18"/>
                <w:szCs w:val="18"/>
                <w:lang w:val="en-IN" w:eastAsia="en-IN"/>
              </w:rPr>
              <w:br/>
              <w:t>(if any)</w:t>
            </w:r>
          </w:p>
        </w:tc>
        <w:tc>
          <w:tcPr>
            <w:tcW w:w="1184" w:type="dxa"/>
            <w:tcBorders>
              <w:top w:val="single" w:sz="4" w:space="0" w:color="auto"/>
              <w:left w:val="nil"/>
              <w:bottom w:val="single" w:sz="4" w:space="0" w:color="auto"/>
              <w:right w:val="single" w:sz="4" w:space="0" w:color="auto"/>
            </w:tcBorders>
            <w:vAlign w:val="center"/>
            <w:hideMark/>
          </w:tcPr>
          <w:p w14:paraId="320586B7" w14:textId="77777777" w:rsidR="00145397" w:rsidRPr="00A47956" w:rsidRDefault="00145397" w:rsidP="000F221E">
            <w:pPr>
              <w:jc w:val="center"/>
              <w:rPr>
                <w:rFonts w:asciiTheme="majorHAnsi" w:hAnsiTheme="majorHAnsi" w:cs="Calibri"/>
                <w:b/>
                <w:bCs/>
                <w:sz w:val="18"/>
                <w:szCs w:val="18"/>
                <w:lang w:val="en-IN" w:eastAsia="en-IN"/>
              </w:rPr>
            </w:pPr>
            <w:r w:rsidRPr="00A47956">
              <w:rPr>
                <w:rFonts w:asciiTheme="majorHAnsi" w:hAnsiTheme="majorHAnsi" w:cs="Calibri"/>
                <w:b/>
                <w:bCs/>
                <w:sz w:val="18"/>
                <w:szCs w:val="18"/>
                <w:lang w:val="en-IN" w:eastAsia="en-IN"/>
              </w:rPr>
              <w:t>Allocated/ Actual Budget Used</w:t>
            </w:r>
          </w:p>
        </w:tc>
        <w:tc>
          <w:tcPr>
            <w:tcW w:w="855" w:type="dxa"/>
            <w:tcBorders>
              <w:top w:val="single" w:sz="4" w:space="0" w:color="auto"/>
              <w:left w:val="nil"/>
              <w:bottom w:val="single" w:sz="4" w:space="0" w:color="auto"/>
              <w:right w:val="single" w:sz="4" w:space="0" w:color="auto"/>
            </w:tcBorders>
            <w:vAlign w:val="center"/>
            <w:hideMark/>
          </w:tcPr>
          <w:p w14:paraId="190DED22" w14:textId="77777777" w:rsidR="00145397" w:rsidRPr="00A47956" w:rsidRDefault="00145397" w:rsidP="000F221E">
            <w:pPr>
              <w:jc w:val="center"/>
              <w:rPr>
                <w:rFonts w:asciiTheme="majorHAnsi" w:hAnsiTheme="majorHAnsi" w:cs="Calibri"/>
                <w:b/>
                <w:bCs/>
                <w:sz w:val="18"/>
                <w:szCs w:val="18"/>
                <w:lang w:val="en-IN" w:eastAsia="en-IN"/>
              </w:rPr>
            </w:pPr>
            <w:r w:rsidRPr="00A47956">
              <w:rPr>
                <w:rFonts w:asciiTheme="majorHAnsi" w:hAnsiTheme="majorHAnsi" w:cs="Calibri"/>
                <w:b/>
                <w:bCs/>
                <w:sz w:val="18"/>
                <w:szCs w:val="18"/>
                <w:lang w:val="en-IN" w:eastAsia="en-IN"/>
              </w:rPr>
              <w:t>Actual</w:t>
            </w:r>
          </w:p>
        </w:tc>
        <w:tc>
          <w:tcPr>
            <w:tcW w:w="855" w:type="dxa"/>
            <w:tcBorders>
              <w:top w:val="single" w:sz="4" w:space="0" w:color="auto"/>
              <w:left w:val="nil"/>
              <w:bottom w:val="single" w:sz="4" w:space="0" w:color="auto"/>
              <w:right w:val="single" w:sz="4" w:space="0" w:color="auto"/>
            </w:tcBorders>
            <w:vAlign w:val="center"/>
            <w:hideMark/>
          </w:tcPr>
          <w:p w14:paraId="464EE2E1" w14:textId="77777777" w:rsidR="00145397" w:rsidRPr="00A47956" w:rsidRDefault="00145397" w:rsidP="000F221E">
            <w:pPr>
              <w:jc w:val="center"/>
              <w:rPr>
                <w:rFonts w:asciiTheme="majorHAnsi" w:hAnsiTheme="majorHAnsi" w:cs="Calibri"/>
                <w:b/>
                <w:bCs/>
                <w:sz w:val="18"/>
                <w:szCs w:val="18"/>
                <w:lang w:val="en-IN" w:eastAsia="en-IN"/>
              </w:rPr>
            </w:pPr>
            <w:r w:rsidRPr="00A47956">
              <w:rPr>
                <w:rFonts w:asciiTheme="majorHAnsi" w:hAnsiTheme="majorHAnsi" w:cs="Calibri"/>
                <w:b/>
                <w:bCs/>
                <w:sz w:val="18"/>
                <w:szCs w:val="18"/>
                <w:lang w:val="en-IN" w:eastAsia="en-IN"/>
              </w:rPr>
              <w:t>WIP</w:t>
            </w:r>
          </w:p>
        </w:tc>
        <w:tc>
          <w:tcPr>
            <w:tcW w:w="825" w:type="dxa"/>
            <w:tcBorders>
              <w:top w:val="single" w:sz="4" w:space="0" w:color="auto"/>
              <w:left w:val="nil"/>
              <w:bottom w:val="single" w:sz="4" w:space="0" w:color="auto"/>
              <w:right w:val="single" w:sz="4" w:space="0" w:color="auto"/>
            </w:tcBorders>
            <w:vAlign w:val="center"/>
            <w:hideMark/>
          </w:tcPr>
          <w:p w14:paraId="5B62AE0C" w14:textId="77777777" w:rsidR="00145397" w:rsidRPr="00A47956" w:rsidRDefault="00145397" w:rsidP="000F221E">
            <w:pPr>
              <w:jc w:val="center"/>
              <w:rPr>
                <w:rFonts w:asciiTheme="majorHAnsi" w:hAnsiTheme="majorHAnsi" w:cs="Calibri"/>
                <w:b/>
                <w:bCs/>
                <w:sz w:val="18"/>
                <w:szCs w:val="18"/>
                <w:lang w:val="en-IN" w:eastAsia="en-IN"/>
              </w:rPr>
            </w:pPr>
            <w:r w:rsidRPr="00A47956">
              <w:rPr>
                <w:rFonts w:asciiTheme="majorHAnsi" w:hAnsiTheme="majorHAnsi" w:cs="Calibri"/>
                <w:b/>
                <w:bCs/>
                <w:sz w:val="18"/>
                <w:szCs w:val="18"/>
                <w:lang w:val="en-IN" w:eastAsia="en-IN"/>
              </w:rPr>
              <w:t>Balance</w:t>
            </w:r>
          </w:p>
        </w:tc>
        <w:tc>
          <w:tcPr>
            <w:tcW w:w="958" w:type="dxa"/>
            <w:tcBorders>
              <w:top w:val="single" w:sz="4" w:space="0" w:color="auto"/>
              <w:left w:val="nil"/>
              <w:bottom w:val="single" w:sz="4" w:space="0" w:color="auto"/>
              <w:right w:val="single" w:sz="4" w:space="0" w:color="auto"/>
            </w:tcBorders>
            <w:vAlign w:val="center"/>
            <w:hideMark/>
          </w:tcPr>
          <w:p w14:paraId="73BBFA2B" w14:textId="77777777" w:rsidR="00145397" w:rsidRPr="00A47956" w:rsidRDefault="00145397" w:rsidP="000F221E">
            <w:pPr>
              <w:jc w:val="center"/>
              <w:rPr>
                <w:rFonts w:asciiTheme="majorHAnsi" w:hAnsiTheme="majorHAnsi" w:cs="Calibri"/>
                <w:b/>
                <w:bCs/>
                <w:sz w:val="18"/>
                <w:szCs w:val="18"/>
                <w:lang w:val="en-IN" w:eastAsia="en-IN"/>
              </w:rPr>
            </w:pPr>
            <w:r w:rsidRPr="00A47956">
              <w:rPr>
                <w:rFonts w:asciiTheme="majorHAnsi" w:hAnsiTheme="majorHAnsi" w:cs="Calibri"/>
                <w:b/>
                <w:bCs/>
                <w:sz w:val="18"/>
                <w:szCs w:val="18"/>
                <w:lang w:val="en-IN" w:eastAsia="en-IN"/>
              </w:rPr>
              <w:t>Capitalization</w:t>
            </w:r>
          </w:p>
        </w:tc>
      </w:tr>
      <w:tr w:rsidR="00145397" w:rsidRPr="00A47956" w14:paraId="40FCAB51" w14:textId="77777777" w:rsidTr="00304420">
        <w:trPr>
          <w:trHeight w:val="310"/>
          <w:tblHeader/>
          <w:jc w:val="center"/>
        </w:trPr>
        <w:tc>
          <w:tcPr>
            <w:tcW w:w="1271" w:type="dxa"/>
            <w:tcBorders>
              <w:top w:val="nil"/>
              <w:left w:val="single" w:sz="4" w:space="0" w:color="auto"/>
              <w:bottom w:val="single" w:sz="4" w:space="0" w:color="auto"/>
              <w:right w:val="single" w:sz="4" w:space="0" w:color="auto"/>
            </w:tcBorders>
            <w:vAlign w:val="center"/>
            <w:hideMark/>
          </w:tcPr>
          <w:p w14:paraId="7CF88C54" w14:textId="77777777" w:rsidR="00145397" w:rsidRPr="00A47956" w:rsidRDefault="00145397" w:rsidP="000F221E">
            <w:pPr>
              <w:jc w:val="center"/>
              <w:rPr>
                <w:rFonts w:asciiTheme="majorHAnsi" w:hAnsiTheme="majorHAnsi" w:cs="Calibri"/>
                <w:b/>
                <w:bCs/>
                <w:sz w:val="18"/>
                <w:szCs w:val="18"/>
                <w:lang w:val="en-IN" w:eastAsia="en-IN"/>
              </w:rPr>
            </w:pPr>
            <w:r w:rsidRPr="00A47956">
              <w:rPr>
                <w:rFonts w:asciiTheme="majorHAnsi" w:hAnsiTheme="majorHAnsi" w:cs="Calibri"/>
                <w:b/>
                <w:bCs/>
                <w:sz w:val="18"/>
                <w:szCs w:val="18"/>
                <w:lang w:val="en-IN" w:eastAsia="en-IN"/>
              </w:rPr>
              <w:t>A</w:t>
            </w:r>
          </w:p>
        </w:tc>
        <w:tc>
          <w:tcPr>
            <w:tcW w:w="1706" w:type="dxa"/>
            <w:tcBorders>
              <w:top w:val="nil"/>
              <w:left w:val="nil"/>
              <w:bottom w:val="single" w:sz="4" w:space="0" w:color="auto"/>
              <w:right w:val="single" w:sz="4" w:space="0" w:color="auto"/>
            </w:tcBorders>
            <w:vAlign w:val="center"/>
            <w:hideMark/>
          </w:tcPr>
          <w:p w14:paraId="662C7171" w14:textId="77777777" w:rsidR="00145397" w:rsidRPr="00A47956" w:rsidRDefault="00145397" w:rsidP="000F221E">
            <w:pPr>
              <w:jc w:val="center"/>
              <w:rPr>
                <w:rFonts w:asciiTheme="majorHAnsi" w:hAnsiTheme="majorHAnsi" w:cs="Calibri"/>
                <w:b/>
                <w:bCs/>
                <w:sz w:val="18"/>
                <w:szCs w:val="18"/>
                <w:lang w:val="en-IN" w:eastAsia="en-IN"/>
              </w:rPr>
            </w:pPr>
            <w:r w:rsidRPr="00A47956">
              <w:rPr>
                <w:rFonts w:asciiTheme="majorHAnsi" w:hAnsiTheme="majorHAnsi" w:cs="Calibri"/>
                <w:b/>
                <w:bCs/>
                <w:sz w:val="18"/>
                <w:szCs w:val="18"/>
                <w:lang w:val="en-IN" w:eastAsia="en-IN"/>
              </w:rPr>
              <w:t>B</w:t>
            </w:r>
          </w:p>
        </w:tc>
        <w:tc>
          <w:tcPr>
            <w:tcW w:w="1124" w:type="dxa"/>
            <w:tcBorders>
              <w:top w:val="nil"/>
              <w:left w:val="nil"/>
              <w:bottom w:val="single" w:sz="4" w:space="0" w:color="auto"/>
              <w:right w:val="single" w:sz="4" w:space="0" w:color="auto"/>
            </w:tcBorders>
            <w:vAlign w:val="center"/>
            <w:hideMark/>
          </w:tcPr>
          <w:p w14:paraId="5208F0DD" w14:textId="77777777" w:rsidR="00145397" w:rsidRPr="00A47956" w:rsidRDefault="00145397" w:rsidP="000F221E">
            <w:pPr>
              <w:jc w:val="center"/>
              <w:rPr>
                <w:rFonts w:asciiTheme="majorHAnsi" w:hAnsiTheme="majorHAnsi" w:cs="Calibri"/>
                <w:b/>
                <w:bCs/>
                <w:sz w:val="18"/>
                <w:szCs w:val="18"/>
                <w:lang w:val="en-IN" w:eastAsia="en-IN"/>
              </w:rPr>
            </w:pPr>
            <w:r w:rsidRPr="00A47956">
              <w:rPr>
                <w:rFonts w:asciiTheme="majorHAnsi" w:hAnsiTheme="majorHAnsi" w:cs="Calibri"/>
                <w:b/>
                <w:bCs/>
                <w:sz w:val="18"/>
                <w:szCs w:val="18"/>
                <w:lang w:val="en-IN" w:eastAsia="en-IN"/>
              </w:rPr>
              <w:t>C</w:t>
            </w:r>
          </w:p>
        </w:tc>
        <w:tc>
          <w:tcPr>
            <w:tcW w:w="1080" w:type="dxa"/>
            <w:tcBorders>
              <w:top w:val="nil"/>
              <w:left w:val="nil"/>
              <w:bottom w:val="single" w:sz="4" w:space="0" w:color="auto"/>
              <w:right w:val="single" w:sz="4" w:space="0" w:color="auto"/>
            </w:tcBorders>
            <w:vAlign w:val="center"/>
            <w:hideMark/>
          </w:tcPr>
          <w:p w14:paraId="3C0D2EF1" w14:textId="77777777" w:rsidR="00145397" w:rsidRPr="00A47956" w:rsidRDefault="00145397" w:rsidP="000F221E">
            <w:pPr>
              <w:jc w:val="center"/>
              <w:rPr>
                <w:rFonts w:asciiTheme="majorHAnsi" w:hAnsiTheme="majorHAnsi" w:cs="Calibri"/>
                <w:b/>
                <w:bCs/>
                <w:sz w:val="18"/>
                <w:szCs w:val="18"/>
                <w:lang w:val="en-IN" w:eastAsia="en-IN"/>
              </w:rPr>
            </w:pPr>
            <w:r w:rsidRPr="00A47956">
              <w:rPr>
                <w:rFonts w:asciiTheme="majorHAnsi" w:hAnsiTheme="majorHAnsi" w:cs="Calibri"/>
                <w:b/>
                <w:bCs/>
                <w:sz w:val="18"/>
                <w:szCs w:val="18"/>
                <w:lang w:val="en-IN" w:eastAsia="en-IN"/>
              </w:rPr>
              <w:t>D</w:t>
            </w:r>
          </w:p>
        </w:tc>
        <w:tc>
          <w:tcPr>
            <w:tcW w:w="1184" w:type="dxa"/>
            <w:tcBorders>
              <w:top w:val="nil"/>
              <w:left w:val="nil"/>
              <w:bottom w:val="single" w:sz="4" w:space="0" w:color="auto"/>
              <w:right w:val="single" w:sz="4" w:space="0" w:color="auto"/>
            </w:tcBorders>
            <w:vAlign w:val="center"/>
            <w:hideMark/>
          </w:tcPr>
          <w:p w14:paraId="60CEB987" w14:textId="77777777" w:rsidR="00145397" w:rsidRPr="00A47956" w:rsidRDefault="00145397" w:rsidP="000F221E">
            <w:pPr>
              <w:jc w:val="center"/>
              <w:rPr>
                <w:rFonts w:asciiTheme="majorHAnsi" w:hAnsiTheme="majorHAnsi" w:cs="Calibri"/>
                <w:b/>
                <w:bCs/>
                <w:sz w:val="18"/>
                <w:szCs w:val="18"/>
                <w:lang w:val="en-IN" w:eastAsia="en-IN"/>
              </w:rPr>
            </w:pPr>
            <w:r w:rsidRPr="00A47956">
              <w:rPr>
                <w:rFonts w:asciiTheme="majorHAnsi" w:hAnsiTheme="majorHAnsi" w:cs="Calibri"/>
                <w:b/>
                <w:bCs/>
                <w:sz w:val="18"/>
                <w:szCs w:val="18"/>
                <w:lang w:val="en-IN" w:eastAsia="en-IN"/>
              </w:rPr>
              <w:t>E</w:t>
            </w:r>
          </w:p>
        </w:tc>
        <w:tc>
          <w:tcPr>
            <w:tcW w:w="855" w:type="dxa"/>
            <w:tcBorders>
              <w:top w:val="nil"/>
              <w:left w:val="nil"/>
              <w:bottom w:val="single" w:sz="4" w:space="0" w:color="auto"/>
              <w:right w:val="single" w:sz="4" w:space="0" w:color="auto"/>
            </w:tcBorders>
            <w:vAlign w:val="center"/>
            <w:hideMark/>
          </w:tcPr>
          <w:p w14:paraId="75B0520C" w14:textId="77777777" w:rsidR="00145397" w:rsidRPr="00A47956" w:rsidRDefault="00145397" w:rsidP="000F221E">
            <w:pPr>
              <w:jc w:val="center"/>
              <w:rPr>
                <w:rFonts w:asciiTheme="majorHAnsi" w:hAnsiTheme="majorHAnsi" w:cs="Calibri"/>
                <w:b/>
                <w:bCs/>
                <w:sz w:val="18"/>
                <w:szCs w:val="18"/>
                <w:lang w:val="en-IN" w:eastAsia="en-IN"/>
              </w:rPr>
            </w:pPr>
            <w:r w:rsidRPr="00A47956">
              <w:rPr>
                <w:rFonts w:asciiTheme="majorHAnsi" w:hAnsiTheme="majorHAnsi" w:cs="Calibri"/>
                <w:b/>
                <w:bCs/>
                <w:sz w:val="18"/>
                <w:szCs w:val="18"/>
                <w:lang w:val="en-IN" w:eastAsia="en-IN"/>
              </w:rPr>
              <w:t>F</w:t>
            </w:r>
          </w:p>
        </w:tc>
        <w:tc>
          <w:tcPr>
            <w:tcW w:w="855" w:type="dxa"/>
            <w:tcBorders>
              <w:top w:val="nil"/>
              <w:left w:val="nil"/>
              <w:bottom w:val="single" w:sz="4" w:space="0" w:color="auto"/>
              <w:right w:val="single" w:sz="4" w:space="0" w:color="auto"/>
            </w:tcBorders>
            <w:vAlign w:val="center"/>
            <w:hideMark/>
          </w:tcPr>
          <w:p w14:paraId="084886AE" w14:textId="77777777" w:rsidR="00145397" w:rsidRPr="00A47956" w:rsidRDefault="00145397" w:rsidP="000F221E">
            <w:pPr>
              <w:jc w:val="center"/>
              <w:rPr>
                <w:rFonts w:asciiTheme="majorHAnsi" w:hAnsiTheme="majorHAnsi" w:cs="Calibri"/>
                <w:b/>
                <w:bCs/>
                <w:sz w:val="18"/>
                <w:szCs w:val="18"/>
                <w:lang w:val="en-IN" w:eastAsia="en-IN"/>
              </w:rPr>
            </w:pPr>
            <w:r w:rsidRPr="00A47956">
              <w:rPr>
                <w:rFonts w:asciiTheme="majorHAnsi" w:hAnsiTheme="majorHAnsi" w:cs="Calibri"/>
                <w:b/>
                <w:bCs/>
                <w:sz w:val="18"/>
                <w:szCs w:val="18"/>
                <w:lang w:val="en-IN" w:eastAsia="en-IN"/>
              </w:rPr>
              <w:t>G=F-I</w:t>
            </w:r>
          </w:p>
        </w:tc>
        <w:tc>
          <w:tcPr>
            <w:tcW w:w="825" w:type="dxa"/>
            <w:tcBorders>
              <w:top w:val="nil"/>
              <w:left w:val="nil"/>
              <w:bottom w:val="single" w:sz="4" w:space="0" w:color="auto"/>
              <w:right w:val="single" w:sz="4" w:space="0" w:color="auto"/>
            </w:tcBorders>
            <w:vAlign w:val="center"/>
            <w:hideMark/>
          </w:tcPr>
          <w:p w14:paraId="61637F7A" w14:textId="77777777" w:rsidR="00145397" w:rsidRPr="00A47956" w:rsidRDefault="00145397" w:rsidP="000F221E">
            <w:pPr>
              <w:jc w:val="center"/>
              <w:rPr>
                <w:rFonts w:asciiTheme="majorHAnsi" w:hAnsiTheme="majorHAnsi" w:cs="Calibri"/>
                <w:b/>
                <w:bCs/>
                <w:sz w:val="18"/>
                <w:szCs w:val="18"/>
                <w:lang w:val="en-IN" w:eastAsia="en-IN"/>
              </w:rPr>
            </w:pPr>
            <w:r w:rsidRPr="00A47956">
              <w:rPr>
                <w:rFonts w:asciiTheme="majorHAnsi" w:hAnsiTheme="majorHAnsi" w:cs="Calibri"/>
                <w:b/>
                <w:bCs/>
                <w:sz w:val="18"/>
                <w:szCs w:val="18"/>
                <w:lang w:val="en-IN" w:eastAsia="en-IN"/>
              </w:rPr>
              <w:t>H=E-F</w:t>
            </w:r>
          </w:p>
        </w:tc>
        <w:tc>
          <w:tcPr>
            <w:tcW w:w="958" w:type="dxa"/>
            <w:tcBorders>
              <w:top w:val="nil"/>
              <w:left w:val="nil"/>
              <w:bottom w:val="single" w:sz="4" w:space="0" w:color="auto"/>
              <w:right w:val="single" w:sz="4" w:space="0" w:color="auto"/>
            </w:tcBorders>
            <w:vAlign w:val="center"/>
            <w:hideMark/>
          </w:tcPr>
          <w:p w14:paraId="411E42FD" w14:textId="77777777" w:rsidR="00145397" w:rsidRPr="00A47956" w:rsidRDefault="00145397" w:rsidP="000F221E">
            <w:pPr>
              <w:jc w:val="center"/>
              <w:rPr>
                <w:rFonts w:asciiTheme="majorHAnsi" w:hAnsiTheme="majorHAnsi" w:cs="Calibri"/>
                <w:b/>
                <w:bCs/>
                <w:sz w:val="18"/>
                <w:szCs w:val="18"/>
                <w:lang w:val="en-IN" w:eastAsia="en-IN"/>
              </w:rPr>
            </w:pPr>
            <w:r w:rsidRPr="00A47956">
              <w:rPr>
                <w:rFonts w:asciiTheme="majorHAnsi" w:hAnsiTheme="majorHAnsi" w:cs="Calibri"/>
                <w:b/>
                <w:bCs/>
                <w:sz w:val="18"/>
                <w:szCs w:val="18"/>
                <w:lang w:val="en-IN" w:eastAsia="en-IN"/>
              </w:rPr>
              <w:t>I</w:t>
            </w:r>
          </w:p>
        </w:tc>
      </w:tr>
      <w:tr w:rsidR="00145397" w:rsidRPr="00A47956" w14:paraId="2B12D714" w14:textId="77777777" w:rsidTr="00304420">
        <w:trPr>
          <w:trHeight w:val="440"/>
          <w:jc w:val="center"/>
        </w:trPr>
        <w:tc>
          <w:tcPr>
            <w:tcW w:w="1271" w:type="dxa"/>
            <w:vMerge w:val="restart"/>
            <w:tcBorders>
              <w:top w:val="nil"/>
              <w:left w:val="single" w:sz="4" w:space="0" w:color="auto"/>
              <w:bottom w:val="single" w:sz="4" w:space="0" w:color="auto"/>
              <w:right w:val="single" w:sz="4" w:space="0" w:color="auto"/>
            </w:tcBorders>
            <w:vAlign w:val="center"/>
            <w:hideMark/>
          </w:tcPr>
          <w:p w14:paraId="3845203D"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lang w:val="en-IN" w:eastAsia="en-IN"/>
              </w:rPr>
              <w:t>Statutory, Safety and Security</w:t>
            </w:r>
          </w:p>
        </w:tc>
        <w:tc>
          <w:tcPr>
            <w:tcW w:w="1706" w:type="dxa"/>
            <w:tcBorders>
              <w:top w:val="nil"/>
              <w:left w:val="nil"/>
              <w:bottom w:val="single" w:sz="4" w:space="0" w:color="auto"/>
              <w:right w:val="single" w:sz="4" w:space="0" w:color="auto"/>
            </w:tcBorders>
            <w:vAlign w:val="center"/>
            <w:hideMark/>
          </w:tcPr>
          <w:p w14:paraId="4EF28785" w14:textId="77777777" w:rsidR="00145397" w:rsidRPr="00A47956" w:rsidRDefault="00145397" w:rsidP="000F221E">
            <w:pP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lang w:val="en-IN" w:eastAsia="en-IN"/>
              </w:rPr>
              <w:t>Boundary Wall &amp; Infrastructure</w:t>
            </w:r>
          </w:p>
        </w:tc>
        <w:tc>
          <w:tcPr>
            <w:tcW w:w="1124" w:type="dxa"/>
            <w:tcBorders>
              <w:top w:val="nil"/>
              <w:left w:val="nil"/>
              <w:bottom w:val="single" w:sz="4" w:space="0" w:color="auto"/>
              <w:right w:val="single" w:sz="4" w:space="0" w:color="auto"/>
            </w:tcBorders>
            <w:noWrap/>
            <w:vAlign w:val="center"/>
            <w:hideMark/>
          </w:tcPr>
          <w:p w14:paraId="4945DE78"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17.50</w:t>
            </w:r>
          </w:p>
        </w:tc>
        <w:tc>
          <w:tcPr>
            <w:tcW w:w="1080" w:type="dxa"/>
            <w:tcBorders>
              <w:top w:val="nil"/>
              <w:left w:val="nil"/>
              <w:bottom w:val="single" w:sz="4" w:space="0" w:color="auto"/>
              <w:right w:val="single" w:sz="4" w:space="0" w:color="auto"/>
            </w:tcBorders>
            <w:noWrap/>
            <w:vAlign w:val="center"/>
            <w:hideMark/>
          </w:tcPr>
          <w:p w14:paraId="187483AD"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0.00</w:t>
            </w:r>
          </w:p>
        </w:tc>
        <w:tc>
          <w:tcPr>
            <w:tcW w:w="1184" w:type="dxa"/>
            <w:tcBorders>
              <w:top w:val="nil"/>
              <w:left w:val="nil"/>
              <w:bottom w:val="single" w:sz="4" w:space="0" w:color="auto"/>
              <w:right w:val="single" w:sz="4" w:space="0" w:color="auto"/>
            </w:tcBorders>
            <w:noWrap/>
            <w:vAlign w:val="center"/>
            <w:hideMark/>
          </w:tcPr>
          <w:p w14:paraId="48EC54C5"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17.50</w:t>
            </w:r>
          </w:p>
        </w:tc>
        <w:tc>
          <w:tcPr>
            <w:tcW w:w="855" w:type="dxa"/>
            <w:tcBorders>
              <w:top w:val="nil"/>
              <w:left w:val="nil"/>
              <w:bottom w:val="single" w:sz="4" w:space="0" w:color="auto"/>
              <w:right w:val="single" w:sz="4" w:space="0" w:color="auto"/>
            </w:tcBorders>
            <w:noWrap/>
            <w:vAlign w:val="center"/>
            <w:hideMark/>
          </w:tcPr>
          <w:p w14:paraId="2D7CEA00"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17.49</w:t>
            </w:r>
          </w:p>
        </w:tc>
        <w:tc>
          <w:tcPr>
            <w:tcW w:w="855" w:type="dxa"/>
            <w:tcBorders>
              <w:top w:val="nil"/>
              <w:left w:val="nil"/>
              <w:bottom w:val="single" w:sz="4" w:space="0" w:color="auto"/>
              <w:right w:val="single" w:sz="4" w:space="0" w:color="auto"/>
            </w:tcBorders>
            <w:noWrap/>
            <w:vAlign w:val="center"/>
            <w:hideMark/>
          </w:tcPr>
          <w:p w14:paraId="2C29D313"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0.00</w:t>
            </w:r>
          </w:p>
        </w:tc>
        <w:tc>
          <w:tcPr>
            <w:tcW w:w="825" w:type="dxa"/>
            <w:tcBorders>
              <w:top w:val="nil"/>
              <w:left w:val="nil"/>
              <w:bottom w:val="single" w:sz="4" w:space="0" w:color="auto"/>
              <w:right w:val="single" w:sz="4" w:space="0" w:color="auto"/>
            </w:tcBorders>
            <w:noWrap/>
            <w:vAlign w:val="center"/>
            <w:hideMark/>
          </w:tcPr>
          <w:p w14:paraId="5B9347E8"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0.01</w:t>
            </w:r>
          </w:p>
        </w:tc>
        <w:tc>
          <w:tcPr>
            <w:tcW w:w="958" w:type="dxa"/>
            <w:tcBorders>
              <w:top w:val="nil"/>
              <w:left w:val="nil"/>
              <w:bottom w:val="single" w:sz="4" w:space="0" w:color="auto"/>
              <w:right w:val="single" w:sz="4" w:space="0" w:color="auto"/>
            </w:tcBorders>
            <w:noWrap/>
            <w:vAlign w:val="center"/>
            <w:hideMark/>
          </w:tcPr>
          <w:p w14:paraId="3C3A7E7A"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17.49</w:t>
            </w:r>
          </w:p>
        </w:tc>
      </w:tr>
      <w:tr w:rsidR="00145397" w:rsidRPr="00A47956" w14:paraId="44A1D7FE" w14:textId="77777777" w:rsidTr="00304420">
        <w:trPr>
          <w:trHeight w:val="290"/>
          <w:jc w:val="center"/>
        </w:trPr>
        <w:tc>
          <w:tcPr>
            <w:tcW w:w="1271" w:type="dxa"/>
            <w:vMerge/>
            <w:tcBorders>
              <w:top w:val="nil"/>
              <w:left w:val="single" w:sz="4" w:space="0" w:color="auto"/>
              <w:bottom w:val="single" w:sz="4" w:space="0" w:color="auto"/>
              <w:right w:val="single" w:sz="4" w:space="0" w:color="auto"/>
            </w:tcBorders>
            <w:vAlign w:val="center"/>
            <w:hideMark/>
          </w:tcPr>
          <w:p w14:paraId="0CD1DC0E" w14:textId="77777777" w:rsidR="00145397" w:rsidRPr="00A47956" w:rsidRDefault="00145397" w:rsidP="000F221E">
            <w:pPr>
              <w:rPr>
                <w:rFonts w:asciiTheme="majorHAnsi" w:hAnsiTheme="majorHAnsi" w:cs="Calibri"/>
                <w:b/>
                <w:bCs/>
                <w:color w:val="000000"/>
                <w:sz w:val="18"/>
                <w:szCs w:val="18"/>
                <w:lang w:val="en-IN" w:eastAsia="en-IN"/>
              </w:rPr>
            </w:pPr>
          </w:p>
        </w:tc>
        <w:tc>
          <w:tcPr>
            <w:tcW w:w="1706" w:type="dxa"/>
            <w:tcBorders>
              <w:top w:val="nil"/>
              <w:left w:val="nil"/>
              <w:bottom w:val="single" w:sz="4" w:space="0" w:color="auto"/>
              <w:right w:val="single" w:sz="4" w:space="0" w:color="auto"/>
            </w:tcBorders>
            <w:vAlign w:val="center"/>
            <w:hideMark/>
          </w:tcPr>
          <w:p w14:paraId="69F3CAFE" w14:textId="77777777" w:rsidR="00145397" w:rsidRPr="00A47956" w:rsidRDefault="00145397" w:rsidP="000F221E">
            <w:pP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lang w:val="en-IN" w:eastAsia="en-IN"/>
              </w:rPr>
              <w:t xml:space="preserve">Earthing and Fencing </w:t>
            </w:r>
          </w:p>
        </w:tc>
        <w:tc>
          <w:tcPr>
            <w:tcW w:w="1124" w:type="dxa"/>
            <w:tcBorders>
              <w:top w:val="nil"/>
              <w:left w:val="nil"/>
              <w:bottom w:val="single" w:sz="4" w:space="0" w:color="auto"/>
              <w:right w:val="single" w:sz="4" w:space="0" w:color="auto"/>
            </w:tcBorders>
            <w:noWrap/>
            <w:vAlign w:val="center"/>
            <w:hideMark/>
          </w:tcPr>
          <w:p w14:paraId="48BF5E2C"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15.50</w:t>
            </w:r>
          </w:p>
        </w:tc>
        <w:tc>
          <w:tcPr>
            <w:tcW w:w="1080" w:type="dxa"/>
            <w:tcBorders>
              <w:top w:val="nil"/>
              <w:left w:val="nil"/>
              <w:bottom w:val="single" w:sz="4" w:space="0" w:color="auto"/>
              <w:right w:val="single" w:sz="4" w:space="0" w:color="auto"/>
            </w:tcBorders>
            <w:noWrap/>
            <w:vAlign w:val="center"/>
            <w:hideMark/>
          </w:tcPr>
          <w:p w14:paraId="708C8709"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0.00</w:t>
            </w:r>
          </w:p>
        </w:tc>
        <w:tc>
          <w:tcPr>
            <w:tcW w:w="1184" w:type="dxa"/>
            <w:tcBorders>
              <w:top w:val="nil"/>
              <w:left w:val="nil"/>
              <w:bottom w:val="single" w:sz="4" w:space="0" w:color="auto"/>
              <w:right w:val="single" w:sz="4" w:space="0" w:color="auto"/>
            </w:tcBorders>
            <w:noWrap/>
            <w:vAlign w:val="center"/>
            <w:hideMark/>
          </w:tcPr>
          <w:p w14:paraId="5A25684B"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15.50</w:t>
            </w:r>
          </w:p>
        </w:tc>
        <w:tc>
          <w:tcPr>
            <w:tcW w:w="855" w:type="dxa"/>
            <w:tcBorders>
              <w:top w:val="nil"/>
              <w:left w:val="nil"/>
              <w:bottom w:val="single" w:sz="4" w:space="0" w:color="auto"/>
              <w:right w:val="single" w:sz="4" w:space="0" w:color="auto"/>
            </w:tcBorders>
            <w:noWrap/>
            <w:vAlign w:val="center"/>
            <w:hideMark/>
          </w:tcPr>
          <w:p w14:paraId="681EE12E"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15.40</w:t>
            </w:r>
          </w:p>
        </w:tc>
        <w:tc>
          <w:tcPr>
            <w:tcW w:w="855" w:type="dxa"/>
            <w:tcBorders>
              <w:top w:val="nil"/>
              <w:left w:val="nil"/>
              <w:bottom w:val="single" w:sz="4" w:space="0" w:color="auto"/>
              <w:right w:val="single" w:sz="4" w:space="0" w:color="auto"/>
            </w:tcBorders>
            <w:noWrap/>
            <w:vAlign w:val="center"/>
            <w:hideMark/>
          </w:tcPr>
          <w:p w14:paraId="03B19D0C"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0.01</w:t>
            </w:r>
          </w:p>
        </w:tc>
        <w:tc>
          <w:tcPr>
            <w:tcW w:w="825" w:type="dxa"/>
            <w:tcBorders>
              <w:top w:val="nil"/>
              <w:left w:val="nil"/>
              <w:bottom w:val="single" w:sz="4" w:space="0" w:color="auto"/>
              <w:right w:val="single" w:sz="4" w:space="0" w:color="auto"/>
            </w:tcBorders>
            <w:noWrap/>
            <w:vAlign w:val="center"/>
            <w:hideMark/>
          </w:tcPr>
          <w:p w14:paraId="4FE28816"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0.10</w:t>
            </w:r>
          </w:p>
        </w:tc>
        <w:tc>
          <w:tcPr>
            <w:tcW w:w="958" w:type="dxa"/>
            <w:tcBorders>
              <w:top w:val="nil"/>
              <w:left w:val="nil"/>
              <w:bottom w:val="single" w:sz="4" w:space="0" w:color="auto"/>
              <w:right w:val="single" w:sz="4" w:space="0" w:color="auto"/>
            </w:tcBorders>
            <w:noWrap/>
            <w:vAlign w:val="center"/>
            <w:hideMark/>
          </w:tcPr>
          <w:p w14:paraId="408B8CB5"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15.38</w:t>
            </w:r>
          </w:p>
        </w:tc>
      </w:tr>
      <w:tr w:rsidR="00145397" w:rsidRPr="00A47956" w14:paraId="01712E40" w14:textId="77777777" w:rsidTr="00304420">
        <w:trPr>
          <w:trHeight w:val="290"/>
          <w:jc w:val="center"/>
        </w:trPr>
        <w:tc>
          <w:tcPr>
            <w:tcW w:w="1271" w:type="dxa"/>
            <w:vMerge/>
            <w:tcBorders>
              <w:top w:val="nil"/>
              <w:left w:val="single" w:sz="4" w:space="0" w:color="auto"/>
              <w:bottom w:val="single" w:sz="4" w:space="0" w:color="auto"/>
              <w:right w:val="single" w:sz="4" w:space="0" w:color="auto"/>
            </w:tcBorders>
            <w:vAlign w:val="center"/>
            <w:hideMark/>
          </w:tcPr>
          <w:p w14:paraId="0FE7F5C1" w14:textId="77777777" w:rsidR="00145397" w:rsidRPr="00A47956" w:rsidRDefault="00145397" w:rsidP="000F221E">
            <w:pPr>
              <w:rPr>
                <w:rFonts w:asciiTheme="majorHAnsi" w:hAnsiTheme="majorHAnsi" w:cs="Calibri"/>
                <w:b/>
                <w:bCs/>
                <w:color w:val="000000"/>
                <w:sz w:val="18"/>
                <w:szCs w:val="18"/>
                <w:lang w:val="en-IN" w:eastAsia="en-IN"/>
              </w:rPr>
            </w:pPr>
          </w:p>
        </w:tc>
        <w:tc>
          <w:tcPr>
            <w:tcW w:w="1706" w:type="dxa"/>
            <w:tcBorders>
              <w:top w:val="nil"/>
              <w:left w:val="nil"/>
              <w:bottom w:val="single" w:sz="4" w:space="0" w:color="auto"/>
              <w:right w:val="single" w:sz="4" w:space="0" w:color="auto"/>
            </w:tcBorders>
            <w:vAlign w:val="center"/>
            <w:hideMark/>
          </w:tcPr>
          <w:p w14:paraId="50CBB5B8" w14:textId="77777777" w:rsidR="00145397" w:rsidRPr="00A47956" w:rsidRDefault="00145397" w:rsidP="000F221E">
            <w:pP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lang w:val="en-IN" w:eastAsia="en-IN"/>
              </w:rPr>
              <w:t>Life Enhancement of Network</w:t>
            </w:r>
          </w:p>
        </w:tc>
        <w:tc>
          <w:tcPr>
            <w:tcW w:w="1124" w:type="dxa"/>
            <w:tcBorders>
              <w:top w:val="nil"/>
              <w:left w:val="nil"/>
              <w:bottom w:val="single" w:sz="4" w:space="0" w:color="auto"/>
              <w:right w:val="single" w:sz="4" w:space="0" w:color="auto"/>
            </w:tcBorders>
            <w:noWrap/>
            <w:vAlign w:val="center"/>
            <w:hideMark/>
          </w:tcPr>
          <w:p w14:paraId="32072E0F"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15.09</w:t>
            </w:r>
          </w:p>
        </w:tc>
        <w:tc>
          <w:tcPr>
            <w:tcW w:w="1080" w:type="dxa"/>
            <w:tcBorders>
              <w:top w:val="nil"/>
              <w:left w:val="nil"/>
              <w:bottom w:val="single" w:sz="4" w:space="0" w:color="auto"/>
              <w:right w:val="single" w:sz="4" w:space="0" w:color="auto"/>
            </w:tcBorders>
            <w:noWrap/>
            <w:vAlign w:val="center"/>
            <w:hideMark/>
          </w:tcPr>
          <w:p w14:paraId="587EC399"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-0.36</w:t>
            </w:r>
          </w:p>
        </w:tc>
        <w:tc>
          <w:tcPr>
            <w:tcW w:w="1184" w:type="dxa"/>
            <w:tcBorders>
              <w:top w:val="nil"/>
              <w:left w:val="nil"/>
              <w:bottom w:val="single" w:sz="4" w:space="0" w:color="auto"/>
              <w:right w:val="single" w:sz="4" w:space="0" w:color="auto"/>
            </w:tcBorders>
            <w:noWrap/>
            <w:vAlign w:val="center"/>
            <w:hideMark/>
          </w:tcPr>
          <w:p w14:paraId="1222AFBC"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14.73</w:t>
            </w:r>
          </w:p>
        </w:tc>
        <w:tc>
          <w:tcPr>
            <w:tcW w:w="855" w:type="dxa"/>
            <w:tcBorders>
              <w:top w:val="nil"/>
              <w:left w:val="nil"/>
              <w:bottom w:val="single" w:sz="4" w:space="0" w:color="auto"/>
              <w:right w:val="single" w:sz="4" w:space="0" w:color="auto"/>
            </w:tcBorders>
            <w:noWrap/>
            <w:vAlign w:val="center"/>
            <w:hideMark/>
          </w:tcPr>
          <w:p w14:paraId="57BC6908"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14.55</w:t>
            </w:r>
          </w:p>
        </w:tc>
        <w:tc>
          <w:tcPr>
            <w:tcW w:w="855" w:type="dxa"/>
            <w:tcBorders>
              <w:top w:val="nil"/>
              <w:left w:val="nil"/>
              <w:bottom w:val="single" w:sz="4" w:space="0" w:color="auto"/>
              <w:right w:val="single" w:sz="4" w:space="0" w:color="auto"/>
            </w:tcBorders>
            <w:noWrap/>
            <w:vAlign w:val="center"/>
            <w:hideMark/>
          </w:tcPr>
          <w:p w14:paraId="72163869"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0.05</w:t>
            </w:r>
          </w:p>
        </w:tc>
        <w:tc>
          <w:tcPr>
            <w:tcW w:w="825" w:type="dxa"/>
            <w:tcBorders>
              <w:top w:val="nil"/>
              <w:left w:val="nil"/>
              <w:bottom w:val="single" w:sz="4" w:space="0" w:color="auto"/>
              <w:right w:val="single" w:sz="4" w:space="0" w:color="auto"/>
            </w:tcBorders>
            <w:noWrap/>
            <w:vAlign w:val="center"/>
            <w:hideMark/>
          </w:tcPr>
          <w:p w14:paraId="597F128C"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0.18</w:t>
            </w:r>
          </w:p>
        </w:tc>
        <w:tc>
          <w:tcPr>
            <w:tcW w:w="958" w:type="dxa"/>
            <w:tcBorders>
              <w:top w:val="nil"/>
              <w:left w:val="nil"/>
              <w:bottom w:val="single" w:sz="4" w:space="0" w:color="auto"/>
              <w:right w:val="single" w:sz="4" w:space="0" w:color="auto"/>
            </w:tcBorders>
            <w:noWrap/>
            <w:vAlign w:val="center"/>
            <w:hideMark/>
          </w:tcPr>
          <w:p w14:paraId="7AF76F2E"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14.50</w:t>
            </w:r>
          </w:p>
        </w:tc>
      </w:tr>
      <w:tr w:rsidR="00145397" w:rsidRPr="00A47956" w14:paraId="19FFD472" w14:textId="77777777" w:rsidTr="00304420">
        <w:trPr>
          <w:trHeight w:val="380"/>
          <w:jc w:val="center"/>
        </w:trPr>
        <w:tc>
          <w:tcPr>
            <w:tcW w:w="1271" w:type="dxa"/>
            <w:vMerge/>
            <w:tcBorders>
              <w:top w:val="nil"/>
              <w:left w:val="single" w:sz="4" w:space="0" w:color="auto"/>
              <w:bottom w:val="single" w:sz="4" w:space="0" w:color="auto"/>
              <w:right w:val="single" w:sz="4" w:space="0" w:color="auto"/>
            </w:tcBorders>
            <w:vAlign w:val="center"/>
            <w:hideMark/>
          </w:tcPr>
          <w:p w14:paraId="6E080E83" w14:textId="77777777" w:rsidR="00145397" w:rsidRPr="00A47956" w:rsidRDefault="00145397" w:rsidP="000F221E">
            <w:pPr>
              <w:rPr>
                <w:rFonts w:asciiTheme="majorHAnsi" w:hAnsiTheme="majorHAnsi" w:cs="Calibri"/>
                <w:b/>
                <w:bCs/>
                <w:color w:val="000000"/>
                <w:sz w:val="18"/>
                <w:szCs w:val="18"/>
                <w:lang w:val="en-IN" w:eastAsia="en-IN"/>
              </w:rPr>
            </w:pPr>
          </w:p>
        </w:tc>
        <w:tc>
          <w:tcPr>
            <w:tcW w:w="1706" w:type="dxa"/>
            <w:tcBorders>
              <w:top w:val="nil"/>
              <w:left w:val="nil"/>
              <w:bottom w:val="single" w:sz="4" w:space="0" w:color="auto"/>
              <w:right w:val="single" w:sz="4" w:space="0" w:color="auto"/>
            </w:tcBorders>
            <w:vAlign w:val="center"/>
            <w:hideMark/>
          </w:tcPr>
          <w:p w14:paraId="46219973" w14:textId="77777777" w:rsidR="00145397" w:rsidRPr="00A47956" w:rsidRDefault="00145397" w:rsidP="000F221E">
            <w:pP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lang w:val="en-IN" w:eastAsia="en-IN"/>
              </w:rPr>
              <w:t>Testing and Safety Equipment</w:t>
            </w:r>
          </w:p>
        </w:tc>
        <w:tc>
          <w:tcPr>
            <w:tcW w:w="1124" w:type="dxa"/>
            <w:tcBorders>
              <w:top w:val="nil"/>
              <w:left w:val="nil"/>
              <w:bottom w:val="single" w:sz="4" w:space="0" w:color="auto"/>
              <w:right w:val="single" w:sz="4" w:space="0" w:color="auto"/>
            </w:tcBorders>
            <w:noWrap/>
            <w:vAlign w:val="center"/>
            <w:hideMark/>
          </w:tcPr>
          <w:p w14:paraId="12089856"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4.31</w:t>
            </w:r>
          </w:p>
        </w:tc>
        <w:tc>
          <w:tcPr>
            <w:tcW w:w="1080" w:type="dxa"/>
            <w:tcBorders>
              <w:top w:val="nil"/>
              <w:left w:val="nil"/>
              <w:bottom w:val="single" w:sz="4" w:space="0" w:color="auto"/>
              <w:right w:val="single" w:sz="4" w:space="0" w:color="auto"/>
            </w:tcBorders>
            <w:noWrap/>
            <w:vAlign w:val="center"/>
            <w:hideMark/>
          </w:tcPr>
          <w:p w14:paraId="6EC8E0A0"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0.36</w:t>
            </w:r>
          </w:p>
        </w:tc>
        <w:tc>
          <w:tcPr>
            <w:tcW w:w="1184" w:type="dxa"/>
            <w:tcBorders>
              <w:top w:val="nil"/>
              <w:left w:val="nil"/>
              <w:bottom w:val="single" w:sz="4" w:space="0" w:color="auto"/>
              <w:right w:val="single" w:sz="4" w:space="0" w:color="auto"/>
            </w:tcBorders>
            <w:noWrap/>
            <w:vAlign w:val="center"/>
            <w:hideMark/>
          </w:tcPr>
          <w:p w14:paraId="2B5E3B9C"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4.67</w:t>
            </w:r>
          </w:p>
        </w:tc>
        <w:tc>
          <w:tcPr>
            <w:tcW w:w="855" w:type="dxa"/>
            <w:tcBorders>
              <w:top w:val="nil"/>
              <w:left w:val="nil"/>
              <w:bottom w:val="single" w:sz="4" w:space="0" w:color="auto"/>
              <w:right w:val="single" w:sz="4" w:space="0" w:color="auto"/>
            </w:tcBorders>
            <w:noWrap/>
            <w:vAlign w:val="center"/>
            <w:hideMark/>
          </w:tcPr>
          <w:p w14:paraId="59218F49"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4.66</w:t>
            </w:r>
          </w:p>
        </w:tc>
        <w:tc>
          <w:tcPr>
            <w:tcW w:w="855" w:type="dxa"/>
            <w:tcBorders>
              <w:top w:val="nil"/>
              <w:left w:val="nil"/>
              <w:bottom w:val="single" w:sz="4" w:space="0" w:color="auto"/>
              <w:right w:val="single" w:sz="4" w:space="0" w:color="auto"/>
            </w:tcBorders>
            <w:noWrap/>
            <w:vAlign w:val="center"/>
            <w:hideMark/>
          </w:tcPr>
          <w:p w14:paraId="7782C586"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0.10</w:t>
            </w:r>
          </w:p>
        </w:tc>
        <w:tc>
          <w:tcPr>
            <w:tcW w:w="825" w:type="dxa"/>
            <w:tcBorders>
              <w:top w:val="nil"/>
              <w:left w:val="nil"/>
              <w:bottom w:val="single" w:sz="4" w:space="0" w:color="auto"/>
              <w:right w:val="single" w:sz="4" w:space="0" w:color="auto"/>
            </w:tcBorders>
            <w:noWrap/>
            <w:vAlign w:val="center"/>
            <w:hideMark/>
          </w:tcPr>
          <w:p w14:paraId="6EE095FF"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0.01</w:t>
            </w:r>
          </w:p>
        </w:tc>
        <w:tc>
          <w:tcPr>
            <w:tcW w:w="958" w:type="dxa"/>
            <w:tcBorders>
              <w:top w:val="nil"/>
              <w:left w:val="nil"/>
              <w:bottom w:val="single" w:sz="4" w:space="0" w:color="auto"/>
              <w:right w:val="single" w:sz="4" w:space="0" w:color="auto"/>
            </w:tcBorders>
            <w:noWrap/>
            <w:vAlign w:val="center"/>
            <w:hideMark/>
          </w:tcPr>
          <w:p w14:paraId="38E73C44"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4.56</w:t>
            </w:r>
          </w:p>
        </w:tc>
      </w:tr>
      <w:tr w:rsidR="00145397" w:rsidRPr="00A47956" w14:paraId="13937B1D" w14:textId="77777777" w:rsidTr="00304420">
        <w:trPr>
          <w:trHeight w:val="290"/>
          <w:jc w:val="center"/>
        </w:trPr>
        <w:tc>
          <w:tcPr>
            <w:tcW w:w="1271" w:type="dxa"/>
            <w:vMerge/>
            <w:tcBorders>
              <w:top w:val="nil"/>
              <w:left w:val="single" w:sz="4" w:space="0" w:color="auto"/>
              <w:bottom w:val="single" w:sz="4" w:space="0" w:color="auto"/>
              <w:right w:val="single" w:sz="4" w:space="0" w:color="auto"/>
            </w:tcBorders>
            <w:vAlign w:val="center"/>
            <w:hideMark/>
          </w:tcPr>
          <w:p w14:paraId="0685E7CB" w14:textId="77777777" w:rsidR="00145397" w:rsidRPr="00A47956" w:rsidRDefault="00145397" w:rsidP="000F221E">
            <w:pPr>
              <w:rPr>
                <w:rFonts w:asciiTheme="majorHAnsi" w:hAnsiTheme="majorHAnsi" w:cs="Calibri"/>
                <w:b/>
                <w:bCs/>
                <w:color w:val="000000"/>
                <w:sz w:val="18"/>
                <w:szCs w:val="18"/>
                <w:lang w:val="en-IN" w:eastAsia="en-IN"/>
              </w:rPr>
            </w:pPr>
          </w:p>
        </w:tc>
        <w:tc>
          <w:tcPr>
            <w:tcW w:w="1706" w:type="dxa"/>
            <w:tcBorders>
              <w:top w:val="nil"/>
              <w:left w:val="nil"/>
              <w:bottom w:val="single" w:sz="4" w:space="0" w:color="auto"/>
              <w:right w:val="single" w:sz="4" w:space="0" w:color="auto"/>
            </w:tcBorders>
            <w:vAlign w:val="center"/>
            <w:hideMark/>
          </w:tcPr>
          <w:p w14:paraId="5A1A0A12"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lang w:val="en-IN" w:eastAsia="en-IN"/>
              </w:rPr>
              <w:t>TOTAL</w:t>
            </w:r>
          </w:p>
        </w:tc>
        <w:tc>
          <w:tcPr>
            <w:tcW w:w="1124" w:type="dxa"/>
            <w:tcBorders>
              <w:top w:val="nil"/>
              <w:left w:val="nil"/>
              <w:bottom w:val="single" w:sz="4" w:space="0" w:color="auto"/>
              <w:right w:val="single" w:sz="4" w:space="0" w:color="auto"/>
            </w:tcBorders>
            <w:noWrap/>
            <w:vAlign w:val="center"/>
            <w:hideMark/>
          </w:tcPr>
          <w:p w14:paraId="34013EA3"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52.40</w:t>
            </w:r>
          </w:p>
        </w:tc>
        <w:tc>
          <w:tcPr>
            <w:tcW w:w="1080" w:type="dxa"/>
            <w:tcBorders>
              <w:top w:val="nil"/>
              <w:left w:val="nil"/>
              <w:bottom w:val="single" w:sz="4" w:space="0" w:color="auto"/>
              <w:right w:val="single" w:sz="4" w:space="0" w:color="auto"/>
            </w:tcBorders>
            <w:noWrap/>
            <w:vAlign w:val="center"/>
            <w:hideMark/>
          </w:tcPr>
          <w:p w14:paraId="2ECCD4D9"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0.00</w:t>
            </w:r>
          </w:p>
        </w:tc>
        <w:tc>
          <w:tcPr>
            <w:tcW w:w="1184" w:type="dxa"/>
            <w:tcBorders>
              <w:top w:val="nil"/>
              <w:left w:val="nil"/>
              <w:bottom w:val="single" w:sz="4" w:space="0" w:color="auto"/>
              <w:right w:val="single" w:sz="4" w:space="0" w:color="auto"/>
            </w:tcBorders>
            <w:noWrap/>
            <w:vAlign w:val="center"/>
            <w:hideMark/>
          </w:tcPr>
          <w:p w14:paraId="030E5650"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52.40</w:t>
            </w:r>
          </w:p>
        </w:tc>
        <w:tc>
          <w:tcPr>
            <w:tcW w:w="855" w:type="dxa"/>
            <w:tcBorders>
              <w:top w:val="nil"/>
              <w:left w:val="nil"/>
              <w:bottom w:val="single" w:sz="4" w:space="0" w:color="auto"/>
              <w:right w:val="single" w:sz="4" w:space="0" w:color="auto"/>
            </w:tcBorders>
            <w:noWrap/>
            <w:vAlign w:val="center"/>
            <w:hideMark/>
          </w:tcPr>
          <w:p w14:paraId="5811E77E"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52.10</w:t>
            </w:r>
          </w:p>
        </w:tc>
        <w:tc>
          <w:tcPr>
            <w:tcW w:w="855" w:type="dxa"/>
            <w:tcBorders>
              <w:top w:val="nil"/>
              <w:left w:val="nil"/>
              <w:bottom w:val="single" w:sz="4" w:space="0" w:color="auto"/>
              <w:right w:val="single" w:sz="4" w:space="0" w:color="auto"/>
            </w:tcBorders>
            <w:noWrap/>
            <w:vAlign w:val="center"/>
            <w:hideMark/>
          </w:tcPr>
          <w:p w14:paraId="41EAC1F7"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0.16</w:t>
            </w:r>
          </w:p>
        </w:tc>
        <w:tc>
          <w:tcPr>
            <w:tcW w:w="825" w:type="dxa"/>
            <w:tcBorders>
              <w:top w:val="nil"/>
              <w:left w:val="nil"/>
              <w:bottom w:val="single" w:sz="4" w:space="0" w:color="auto"/>
              <w:right w:val="single" w:sz="4" w:space="0" w:color="auto"/>
            </w:tcBorders>
            <w:noWrap/>
            <w:vAlign w:val="center"/>
            <w:hideMark/>
          </w:tcPr>
          <w:p w14:paraId="661FEE81"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0.30</w:t>
            </w:r>
          </w:p>
        </w:tc>
        <w:tc>
          <w:tcPr>
            <w:tcW w:w="958" w:type="dxa"/>
            <w:tcBorders>
              <w:top w:val="nil"/>
              <w:left w:val="nil"/>
              <w:bottom w:val="single" w:sz="4" w:space="0" w:color="auto"/>
              <w:right w:val="single" w:sz="4" w:space="0" w:color="auto"/>
            </w:tcBorders>
            <w:noWrap/>
            <w:vAlign w:val="center"/>
            <w:hideMark/>
          </w:tcPr>
          <w:p w14:paraId="720DB988"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51.94</w:t>
            </w:r>
          </w:p>
        </w:tc>
      </w:tr>
      <w:tr w:rsidR="00145397" w:rsidRPr="00A47956" w14:paraId="353A4BB9" w14:textId="77777777" w:rsidTr="00304420">
        <w:trPr>
          <w:trHeight w:val="870"/>
          <w:jc w:val="center"/>
        </w:trPr>
        <w:tc>
          <w:tcPr>
            <w:tcW w:w="1271" w:type="dxa"/>
            <w:vMerge w:val="restart"/>
            <w:tcBorders>
              <w:top w:val="nil"/>
              <w:left w:val="single" w:sz="4" w:space="0" w:color="auto"/>
              <w:bottom w:val="single" w:sz="4" w:space="0" w:color="auto"/>
              <w:right w:val="single" w:sz="4" w:space="0" w:color="auto"/>
            </w:tcBorders>
            <w:vAlign w:val="center"/>
            <w:hideMark/>
          </w:tcPr>
          <w:p w14:paraId="1BE6BFCF"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lang w:val="en-IN" w:eastAsia="en-IN"/>
              </w:rPr>
              <w:t>Load Growth</w:t>
            </w:r>
          </w:p>
        </w:tc>
        <w:tc>
          <w:tcPr>
            <w:tcW w:w="1706" w:type="dxa"/>
            <w:tcBorders>
              <w:top w:val="nil"/>
              <w:left w:val="nil"/>
              <w:bottom w:val="single" w:sz="4" w:space="0" w:color="auto"/>
              <w:right w:val="single" w:sz="4" w:space="0" w:color="auto"/>
            </w:tcBorders>
            <w:vAlign w:val="center"/>
            <w:hideMark/>
          </w:tcPr>
          <w:p w14:paraId="7E592B7B" w14:textId="77777777" w:rsidR="00145397" w:rsidRPr="00A47956" w:rsidRDefault="00145397" w:rsidP="000F221E">
            <w:pP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lang w:val="en-IN" w:eastAsia="en-IN"/>
              </w:rPr>
              <w:t>Network Enhancement/unforeseen Emergency</w:t>
            </w:r>
          </w:p>
        </w:tc>
        <w:tc>
          <w:tcPr>
            <w:tcW w:w="1124" w:type="dxa"/>
            <w:tcBorders>
              <w:top w:val="nil"/>
              <w:left w:val="nil"/>
              <w:bottom w:val="single" w:sz="4" w:space="0" w:color="auto"/>
              <w:right w:val="single" w:sz="4" w:space="0" w:color="auto"/>
            </w:tcBorders>
            <w:noWrap/>
            <w:vAlign w:val="center"/>
            <w:hideMark/>
          </w:tcPr>
          <w:p w14:paraId="3DE6123B"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145.57</w:t>
            </w:r>
          </w:p>
        </w:tc>
        <w:tc>
          <w:tcPr>
            <w:tcW w:w="1080" w:type="dxa"/>
            <w:tcBorders>
              <w:top w:val="nil"/>
              <w:left w:val="nil"/>
              <w:bottom w:val="single" w:sz="4" w:space="0" w:color="auto"/>
              <w:right w:val="single" w:sz="4" w:space="0" w:color="auto"/>
            </w:tcBorders>
            <w:noWrap/>
            <w:vAlign w:val="center"/>
            <w:hideMark/>
          </w:tcPr>
          <w:p w14:paraId="3E5647B6"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0.00</w:t>
            </w:r>
          </w:p>
        </w:tc>
        <w:tc>
          <w:tcPr>
            <w:tcW w:w="1184" w:type="dxa"/>
            <w:tcBorders>
              <w:top w:val="nil"/>
              <w:left w:val="nil"/>
              <w:bottom w:val="single" w:sz="4" w:space="0" w:color="auto"/>
              <w:right w:val="single" w:sz="4" w:space="0" w:color="auto"/>
            </w:tcBorders>
            <w:noWrap/>
            <w:vAlign w:val="center"/>
            <w:hideMark/>
          </w:tcPr>
          <w:p w14:paraId="0F09E8A3"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145.57</w:t>
            </w:r>
          </w:p>
        </w:tc>
        <w:tc>
          <w:tcPr>
            <w:tcW w:w="855" w:type="dxa"/>
            <w:tcBorders>
              <w:top w:val="nil"/>
              <w:left w:val="nil"/>
              <w:bottom w:val="single" w:sz="4" w:space="0" w:color="auto"/>
              <w:right w:val="single" w:sz="4" w:space="0" w:color="auto"/>
            </w:tcBorders>
            <w:noWrap/>
            <w:vAlign w:val="center"/>
            <w:hideMark/>
          </w:tcPr>
          <w:p w14:paraId="0A2E6EB0"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141.41</w:t>
            </w:r>
          </w:p>
        </w:tc>
        <w:tc>
          <w:tcPr>
            <w:tcW w:w="855" w:type="dxa"/>
            <w:tcBorders>
              <w:top w:val="nil"/>
              <w:left w:val="nil"/>
              <w:bottom w:val="single" w:sz="4" w:space="0" w:color="auto"/>
              <w:right w:val="single" w:sz="4" w:space="0" w:color="auto"/>
            </w:tcBorders>
            <w:noWrap/>
            <w:vAlign w:val="center"/>
            <w:hideMark/>
          </w:tcPr>
          <w:p w14:paraId="325915A1"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2.86</w:t>
            </w:r>
          </w:p>
        </w:tc>
        <w:tc>
          <w:tcPr>
            <w:tcW w:w="825" w:type="dxa"/>
            <w:tcBorders>
              <w:top w:val="nil"/>
              <w:left w:val="nil"/>
              <w:bottom w:val="single" w:sz="4" w:space="0" w:color="auto"/>
              <w:right w:val="single" w:sz="4" w:space="0" w:color="auto"/>
            </w:tcBorders>
            <w:noWrap/>
            <w:vAlign w:val="center"/>
            <w:hideMark/>
          </w:tcPr>
          <w:p w14:paraId="1E9F841A"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4.16</w:t>
            </w:r>
          </w:p>
        </w:tc>
        <w:tc>
          <w:tcPr>
            <w:tcW w:w="958" w:type="dxa"/>
            <w:tcBorders>
              <w:top w:val="nil"/>
              <w:left w:val="nil"/>
              <w:bottom w:val="single" w:sz="4" w:space="0" w:color="auto"/>
              <w:right w:val="single" w:sz="4" w:space="0" w:color="auto"/>
            </w:tcBorders>
            <w:noWrap/>
            <w:vAlign w:val="center"/>
            <w:hideMark/>
          </w:tcPr>
          <w:p w14:paraId="689B9F47"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138.55</w:t>
            </w:r>
          </w:p>
        </w:tc>
      </w:tr>
      <w:tr w:rsidR="00145397" w:rsidRPr="00A47956" w14:paraId="6202B6ED" w14:textId="77777777" w:rsidTr="00304420">
        <w:trPr>
          <w:trHeight w:val="290"/>
          <w:jc w:val="center"/>
        </w:trPr>
        <w:tc>
          <w:tcPr>
            <w:tcW w:w="1271" w:type="dxa"/>
            <w:vMerge/>
            <w:tcBorders>
              <w:top w:val="nil"/>
              <w:left w:val="single" w:sz="4" w:space="0" w:color="auto"/>
              <w:bottom w:val="single" w:sz="4" w:space="0" w:color="auto"/>
              <w:right w:val="single" w:sz="4" w:space="0" w:color="auto"/>
            </w:tcBorders>
            <w:vAlign w:val="center"/>
            <w:hideMark/>
          </w:tcPr>
          <w:p w14:paraId="1877C563" w14:textId="77777777" w:rsidR="00145397" w:rsidRPr="00A47956" w:rsidRDefault="00145397" w:rsidP="000F221E">
            <w:pPr>
              <w:rPr>
                <w:rFonts w:asciiTheme="majorHAnsi" w:hAnsiTheme="majorHAnsi" w:cs="Calibri"/>
                <w:b/>
                <w:bCs/>
                <w:color w:val="000000"/>
                <w:sz w:val="18"/>
                <w:szCs w:val="18"/>
                <w:lang w:val="en-IN" w:eastAsia="en-IN"/>
              </w:rPr>
            </w:pPr>
          </w:p>
        </w:tc>
        <w:tc>
          <w:tcPr>
            <w:tcW w:w="1706" w:type="dxa"/>
            <w:tcBorders>
              <w:top w:val="nil"/>
              <w:left w:val="nil"/>
              <w:bottom w:val="single" w:sz="4" w:space="0" w:color="auto"/>
              <w:right w:val="single" w:sz="4" w:space="0" w:color="auto"/>
            </w:tcBorders>
            <w:vAlign w:val="center"/>
            <w:hideMark/>
          </w:tcPr>
          <w:p w14:paraId="45DC1DE3"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lang w:val="en-IN" w:eastAsia="en-IN"/>
              </w:rPr>
              <w:t>TOTAL</w:t>
            </w:r>
          </w:p>
        </w:tc>
        <w:tc>
          <w:tcPr>
            <w:tcW w:w="1124" w:type="dxa"/>
            <w:tcBorders>
              <w:top w:val="nil"/>
              <w:left w:val="nil"/>
              <w:bottom w:val="single" w:sz="4" w:space="0" w:color="auto"/>
              <w:right w:val="single" w:sz="4" w:space="0" w:color="auto"/>
            </w:tcBorders>
            <w:noWrap/>
            <w:vAlign w:val="center"/>
            <w:hideMark/>
          </w:tcPr>
          <w:p w14:paraId="28736CC7"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145.57</w:t>
            </w:r>
          </w:p>
        </w:tc>
        <w:tc>
          <w:tcPr>
            <w:tcW w:w="1080" w:type="dxa"/>
            <w:tcBorders>
              <w:top w:val="nil"/>
              <w:left w:val="nil"/>
              <w:bottom w:val="single" w:sz="4" w:space="0" w:color="auto"/>
              <w:right w:val="single" w:sz="4" w:space="0" w:color="auto"/>
            </w:tcBorders>
            <w:noWrap/>
            <w:vAlign w:val="center"/>
            <w:hideMark/>
          </w:tcPr>
          <w:p w14:paraId="6F20C390"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0.00</w:t>
            </w:r>
          </w:p>
        </w:tc>
        <w:tc>
          <w:tcPr>
            <w:tcW w:w="1184" w:type="dxa"/>
            <w:tcBorders>
              <w:top w:val="nil"/>
              <w:left w:val="nil"/>
              <w:bottom w:val="single" w:sz="4" w:space="0" w:color="auto"/>
              <w:right w:val="single" w:sz="4" w:space="0" w:color="auto"/>
            </w:tcBorders>
            <w:noWrap/>
            <w:vAlign w:val="center"/>
            <w:hideMark/>
          </w:tcPr>
          <w:p w14:paraId="56FB7122"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145.57</w:t>
            </w:r>
          </w:p>
        </w:tc>
        <w:tc>
          <w:tcPr>
            <w:tcW w:w="855" w:type="dxa"/>
            <w:tcBorders>
              <w:top w:val="nil"/>
              <w:left w:val="nil"/>
              <w:bottom w:val="single" w:sz="4" w:space="0" w:color="auto"/>
              <w:right w:val="single" w:sz="4" w:space="0" w:color="auto"/>
            </w:tcBorders>
            <w:noWrap/>
            <w:vAlign w:val="center"/>
            <w:hideMark/>
          </w:tcPr>
          <w:p w14:paraId="07300F14"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141.41</w:t>
            </w:r>
          </w:p>
        </w:tc>
        <w:tc>
          <w:tcPr>
            <w:tcW w:w="855" w:type="dxa"/>
            <w:tcBorders>
              <w:top w:val="nil"/>
              <w:left w:val="nil"/>
              <w:bottom w:val="single" w:sz="4" w:space="0" w:color="auto"/>
              <w:right w:val="single" w:sz="4" w:space="0" w:color="auto"/>
            </w:tcBorders>
            <w:noWrap/>
            <w:vAlign w:val="center"/>
            <w:hideMark/>
          </w:tcPr>
          <w:p w14:paraId="59BF310E"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2.86</w:t>
            </w:r>
          </w:p>
        </w:tc>
        <w:tc>
          <w:tcPr>
            <w:tcW w:w="825" w:type="dxa"/>
            <w:tcBorders>
              <w:top w:val="nil"/>
              <w:left w:val="nil"/>
              <w:bottom w:val="single" w:sz="4" w:space="0" w:color="auto"/>
              <w:right w:val="single" w:sz="4" w:space="0" w:color="auto"/>
            </w:tcBorders>
            <w:noWrap/>
            <w:vAlign w:val="center"/>
            <w:hideMark/>
          </w:tcPr>
          <w:p w14:paraId="16C9C82B"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4.16</w:t>
            </w:r>
          </w:p>
        </w:tc>
        <w:tc>
          <w:tcPr>
            <w:tcW w:w="958" w:type="dxa"/>
            <w:tcBorders>
              <w:top w:val="nil"/>
              <w:left w:val="nil"/>
              <w:bottom w:val="single" w:sz="4" w:space="0" w:color="auto"/>
              <w:right w:val="single" w:sz="4" w:space="0" w:color="auto"/>
            </w:tcBorders>
            <w:noWrap/>
            <w:vAlign w:val="center"/>
            <w:hideMark/>
          </w:tcPr>
          <w:p w14:paraId="5610EA8B"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138.55</w:t>
            </w:r>
          </w:p>
        </w:tc>
      </w:tr>
      <w:tr w:rsidR="00145397" w:rsidRPr="00A47956" w14:paraId="43D8B899" w14:textId="77777777" w:rsidTr="00304420">
        <w:trPr>
          <w:trHeight w:val="290"/>
          <w:jc w:val="center"/>
        </w:trPr>
        <w:tc>
          <w:tcPr>
            <w:tcW w:w="1271" w:type="dxa"/>
            <w:vMerge w:val="restart"/>
            <w:tcBorders>
              <w:top w:val="nil"/>
              <w:left w:val="single" w:sz="4" w:space="0" w:color="auto"/>
              <w:bottom w:val="single" w:sz="4" w:space="0" w:color="auto"/>
              <w:right w:val="single" w:sz="4" w:space="0" w:color="auto"/>
            </w:tcBorders>
            <w:vAlign w:val="center"/>
            <w:hideMark/>
          </w:tcPr>
          <w:p w14:paraId="1D309989"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lang w:val="en-IN" w:eastAsia="en-IN"/>
              </w:rPr>
              <w:t>Loss Reduction</w:t>
            </w:r>
          </w:p>
        </w:tc>
        <w:tc>
          <w:tcPr>
            <w:tcW w:w="1706" w:type="dxa"/>
            <w:tcBorders>
              <w:top w:val="nil"/>
              <w:left w:val="nil"/>
              <w:bottom w:val="single" w:sz="4" w:space="0" w:color="auto"/>
              <w:right w:val="single" w:sz="4" w:space="0" w:color="auto"/>
            </w:tcBorders>
            <w:vAlign w:val="center"/>
            <w:hideMark/>
          </w:tcPr>
          <w:p w14:paraId="6C7EE4C6" w14:textId="77777777" w:rsidR="00145397" w:rsidRPr="00A47956" w:rsidRDefault="00145397" w:rsidP="000F221E">
            <w:pP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lang w:val="en-IN" w:eastAsia="en-IN"/>
              </w:rPr>
              <w:t>Energy Audit &amp; Meter Related</w:t>
            </w:r>
          </w:p>
        </w:tc>
        <w:tc>
          <w:tcPr>
            <w:tcW w:w="1124" w:type="dxa"/>
            <w:tcBorders>
              <w:top w:val="nil"/>
              <w:left w:val="nil"/>
              <w:bottom w:val="single" w:sz="4" w:space="0" w:color="auto"/>
              <w:right w:val="single" w:sz="4" w:space="0" w:color="auto"/>
            </w:tcBorders>
            <w:noWrap/>
            <w:vAlign w:val="center"/>
            <w:hideMark/>
          </w:tcPr>
          <w:p w14:paraId="5B1B6F1F"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13.52</w:t>
            </w:r>
          </w:p>
        </w:tc>
        <w:tc>
          <w:tcPr>
            <w:tcW w:w="1080" w:type="dxa"/>
            <w:tcBorders>
              <w:top w:val="nil"/>
              <w:left w:val="nil"/>
              <w:bottom w:val="single" w:sz="4" w:space="0" w:color="auto"/>
              <w:right w:val="single" w:sz="4" w:space="0" w:color="auto"/>
            </w:tcBorders>
            <w:noWrap/>
            <w:vAlign w:val="center"/>
            <w:hideMark/>
          </w:tcPr>
          <w:p w14:paraId="4682E761"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0.00</w:t>
            </w:r>
          </w:p>
        </w:tc>
        <w:tc>
          <w:tcPr>
            <w:tcW w:w="1184" w:type="dxa"/>
            <w:tcBorders>
              <w:top w:val="nil"/>
              <w:left w:val="nil"/>
              <w:bottom w:val="single" w:sz="4" w:space="0" w:color="auto"/>
              <w:right w:val="single" w:sz="4" w:space="0" w:color="auto"/>
            </w:tcBorders>
            <w:noWrap/>
            <w:vAlign w:val="center"/>
            <w:hideMark/>
          </w:tcPr>
          <w:p w14:paraId="26F35C64"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13.52</w:t>
            </w:r>
          </w:p>
        </w:tc>
        <w:tc>
          <w:tcPr>
            <w:tcW w:w="855" w:type="dxa"/>
            <w:tcBorders>
              <w:top w:val="nil"/>
              <w:left w:val="nil"/>
              <w:bottom w:val="single" w:sz="4" w:space="0" w:color="auto"/>
              <w:right w:val="single" w:sz="4" w:space="0" w:color="auto"/>
            </w:tcBorders>
            <w:noWrap/>
            <w:vAlign w:val="center"/>
            <w:hideMark/>
          </w:tcPr>
          <w:p w14:paraId="612C2E3C"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13.32</w:t>
            </w:r>
          </w:p>
        </w:tc>
        <w:tc>
          <w:tcPr>
            <w:tcW w:w="855" w:type="dxa"/>
            <w:tcBorders>
              <w:top w:val="nil"/>
              <w:left w:val="nil"/>
              <w:bottom w:val="single" w:sz="4" w:space="0" w:color="auto"/>
              <w:right w:val="single" w:sz="4" w:space="0" w:color="auto"/>
            </w:tcBorders>
            <w:noWrap/>
            <w:vAlign w:val="center"/>
            <w:hideMark/>
          </w:tcPr>
          <w:p w14:paraId="76F69FB1"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1.50</w:t>
            </w:r>
          </w:p>
        </w:tc>
        <w:tc>
          <w:tcPr>
            <w:tcW w:w="825" w:type="dxa"/>
            <w:tcBorders>
              <w:top w:val="nil"/>
              <w:left w:val="nil"/>
              <w:bottom w:val="single" w:sz="4" w:space="0" w:color="auto"/>
              <w:right w:val="single" w:sz="4" w:space="0" w:color="auto"/>
            </w:tcBorders>
            <w:noWrap/>
            <w:vAlign w:val="center"/>
            <w:hideMark/>
          </w:tcPr>
          <w:p w14:paraId="6E5938B7"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0.20</w:t>
            </w:r>
          </w:p>
        </w:tc>
        <w:tc>
          <w:tcPr>
            <w:tcW w:w="958" w:type="dxa"/>
            <w:tcBorders>
              <w:top w:val="nil"/>
              <w:left w:val="nil"/>
              <w:bottom w:val="single" w:sz="4" w:space="0" w:color="auto"/>
              <w:right w:val="single" w:sz="4" w:space="0" w:color="auto"/>
            </w:tcBorders>
            <w:noWrap/>
            <w:vAlign w:val="center"/>
            <w:hideMark/>
          </w:tcPr>
          <w:p w14:paraId="6FE1C894"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11.82</w:t>
            </w:r>
          </w:p>
        </w:tc>
      </w:tr>
      <w:tr w:rsidR="00145397" w:rsidRPr="00A47956" w14:paraId="1B14D749" w14:textId="77777777" w:rsidTr="00304420">
        <w:trPr>
          <w:trHeight w:val="580"/>
          <w:jc w:val="center"/>
        </w:trPr>
        <w:tc>
          <w:tcPr>
            <w:tcW w:w="1271" w:type="dxa"/>
            <w:vMerge/>
            <w:tcBorders>
              <w:top w:val="nil"/>
              <w:left w:val="single" w:sz="4" w:space="0" w:color="auto"/>
              <w:bottom w:val="single" w:sz="4" w:space="0" w:color="auto"/>
              <w:right w:val="single" w:sz="4" w:space="0" w:color="auto"/>
            </w:tcBorders>
            <w:vAlign w:val="center"/>
            <w:hideMark/>
          </w:tcPr>
          <w:p w14:paraId="6C2E8F89" w14:textId="77777777" w:rsidR="00145397" w:rsidRPr="00A47956" w:rsidRDefault="00145397" w:rsidP="000F221E">
            <w:pPr>
              <w:rPr>
                <w:rFonts w:asciiTheme="majorHAnsi" w:hAnsiTheme="majorHAnsi" w:cs="Calibri"/>
                <w:b/>
                <w:bCs/>
                <w:color w:val="000000"/>
                <w:sz w:val="18"/>
                <w:szCs w:val="18"/>
                <w:lang w:val="en-IN" w:eastAsia="en-IN"/>
              </w:rPr>
            </w:pPr>
          </w:p>
        </w:tc>
        <w:tc>
          <w:tcPr>
            <w:tcW w:w="1706" w:type="dxa"/>
            <w:tcBorders>
              <w:top w:val="nil"/>
              <w:left w:val="nil"/>
              <w:bottom w:val="single" w:sz="4" w:space="0" w:color="auto"/>
              <w:right w:val="single" w:sz="4" w:space="0" w:color="auto"/>
            </w:tcBorders>
            <w:vAlign w:val="center"/>
            <w:hideMark/>
          </w:tcPr>
          <w:p w14:paraId="51455F53" w14:textId="77777777" w:rsidR="00145397" w:rsidRPr="00A47956" w:rsidRDefault="00145397" w:rsidP="000F221E">
            <w:pP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lang w:val="en-IN" w:eastAsia="en-IN"/>
              </w:rPr>
              <w:t>Replace-LT Bare conductor/ AB cable</w:t>
            </w:r>
          </w:p>
        </w:tc>
        <w:tc>
          <w:tcPr>
            <w:tcW w:w="1124" w:type="dxa"/>
            <w:tcBorders>
              <w:top w:val="nil"/>
              <w:left w:val="nil"/>
              <w:bottom w:val="single" w:sz="4" w:space="0" w:color="auto"/>
              <w:right w:val="single" w:sz="4" w:space="0" w:color="auto"/>
            </w:tcBorders>
            <w:noWrap/>
            <w:vAlign w:val="center"/>
            <w:hideMark/>
          </w:tcPr>
          <w:p w14:paraId="6D66C3FF"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30.08</w:t>
            </w:r>
          </w:p>
        </w:tc>
        <w:tc>
          <w:tcPr>
            <w:tcW w:w="1080" w:type="dxa"/>
            <w:tcBorders>
              <w:top w:val="nil"/>
              <w:left w:val="nil"/>
              <w:bottom w:val="single" w:sz="4" w:space="0" w:color="auto"/>
              <w:right w:val="single" w:sz="4" w:space="0" w:color="auto"/>
            </w:tcBorders>
            <w:noWrap/>
            <w:vAlign w:val="center"/>
            <w:hideMark/>
          </w:tcPr>
          <w:p w14:paraId="1A7A0D78"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1.95</w:t>
            </w:r>
          </w:p>
        </w:tc>
        <w:tc>
          <w:tcPr>
            <w:tcW w:w="1184" w:type="dxa"/>
            <w:tcBorders>
              <w:top w:val="nil"/>
              <w:left w:val="nil"/>
              <w:bottom w:val="single" w:sz="4" w:space="0" w:color="auto"/>
              <w:right w:val="single" w:sz="4" w:space="0" w:color="auto"/>
            </w:tcBorders>
            <w:noWrap/>
            <w:vAlign w:val="center"/>
            <w:hideMark/>
          </w:tcPr>
          <w:p w14:paraId="57636393"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32.03</w:t>
            </w:r>
          </w:p>
        </w:tc>
        <w:tc>
          <w:tcPr>
            <w:tcW w:w="855" w:type="dxa"/>
            <w:tcBorders>
              <w:top w:val="nil"/>
              <w:left w:val="nil"/>
              <w:bottom w:val="single" w:sz="4" w:space="0" w:color="auto"/>
              <w:right w:val="single" w:sz="4" w:space="0" w:color="auto"/>
            </w:tcBorders>
            <w:noWrap/>
            <w:vAlign w:val="center"/>
            <w:hideMark/>
          </w:tcPr>
          <w:p w14:paraId="1AEFD3F9"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31.86</w:t>
            </w:r>
          </w:p>
        </w:tc>
        <w:tc>
          <w:tcPr>
            <w:tcW w:w="855" w:type="dxa"/>
            <w:tcBorders>
              <w:top w:val="nil"/>
              <w:left w:val="nil"/>
              <w:bottom w:val="single" w:sz="4" w:space="0" w:color="auto"/>
              <w:right w:val="single" w:sz="4" w:space="0" w:color="auto"/>
            </w:tcBorders>
            <w:noWrap/>
            <w:vAlign w:val="center"/>
            <w:hideMark/>
          </w:tcPr>
          <w:p w14:paraId="7DA3BB90"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0.01</w:t>
            </w:r>
          </w:p>
        </w:tc>
        <w:tc>
          <w:tcPr>
            <w:tcW w:w="825" w:type="dxa"/>
            <w:tcBorders>
              <w:top w:val="nil"/>
              <w:left w:val="nil"/>
              <w:bottom w:val="single" w:sz="4" w:space="0" w:color="auto"/>
              <w:right w:val="single" w:sz="4" w:space="0" w:color="auto"/>
            </w:tcBorders>
            <w:noWrap/>
            <w:vAlign w:val="center"/>
            <w:hideMark/>
          </w:tcPr>
          <w:p w14:paraId="0D5F87CA"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0.17</w:t>
            </w:r>
          </w:p>
        </w:tc>
        <w:tc>
          <w:tcPr>
            <w:tcW w:w="958" w:type="dxa"/>
            <w:tcBorders>
              <w:top w:val="nil"/>
              <w:left w:val="nil"/>
              <w:bottom w:val="single" w:sz="4" w:space="0" w:color="auto"/>
              <w:right w:val="single" w:sz="4" w:space="0" w:color="auto"/>
            </w:tcBorders>
            <w:noWrap/>
            <w:vAlign w:val="center"/>
            <w:hideMark/>
          </w:tcPr>
          <w:p w14:paraId="24E90941"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31.85</w:t>
            </w:r>
          </w:p>
        </w:tc>
      </w:tr>
      <w:tr w:rsidR="00145397" w:rsidRPr="00A47956" w14:paraId="3C183F22" w14:textId="77777777" w:rsidTr="00304420">
        <w:trPr>
          <w:trHeight w:val="290"/>
          <w:jc w:val="center"/>
        </w:trPr>
        <w:tc>
          <w:tcPr>
            <w:tcW w:w="1271" w:type="dxa"/>
            <w:vMerge/>
            <w:tcBorders>
              <w:top w:val="nil"/>
              <w:left w:val="single" w:sz="4" w:space="0" w:color="auto"/>
              <w:bottom w:val="single" w:sz="4" w:space="0" w:color="auto"/>
              <w:right w:val="single" w:sz="4" w:space="0" w:color="auto"/>
            </w:tcBorders>
            <w:vAlign w:val="center"/>
            <w:hideMark/>
          </w:tcPr>
          <w:p w14:paraId="0993C8BD" w14:textId="77777777" w:rsidR="00145397" w:rsidRPr="00A47956" w:rsidRDefault="00145397" w:rsidP="000F221E">
            <w:pPr>
              <w:rPr>
                <w:rFonts w:asciiTheme="majorHAnsi" w:hAnsiTheme="majorHAnsi" w:cs="Calibri"/>
                <w:b/>
                <w:bCs/>
                <w:color w:val="000000"/>
                <w:sz w:val="18"/>
                <w:szCs w:val="18"/>
                <w:lang w:val="en-IN" w:eastAsia="en-IN"/>
              </w:rPr>
            </w:pPr>
          </w:p>
        </w:tc>
        <w:tc>
          <w:tcPr>
            <w:tcW w:w="1706" w:type="dxa"/>
            <w:tcBorders>
              <w:top w:val="nil"/>
              <w:left w:val="nil"/>
              <w:bottom w:val="single" w:sz="4" w:space="0" w:color="auto"/>
              <w:right w:val="single" w:sz="4" w:space="0" w:color="auto"/>
            </w:tcBorders>
            <w:vAlign w:val="center"/>
            <w:hideMark/>
          </w:tcPr>
          <w:p w14:paraId="0588BD80" w14:textId="77777777" w:rsidR="00145397" w:rsidRPr="00A47956" w:rsidRDefault="00145397" w:rsidP="000F221E">
            <w:pP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lang w:val="en-IN" w:eastAsia="en-IN"/>
              </w:rPr>
              <w:t xml:space="preserve">Spot Billing </w:t>
            </w:r>
          </w:p>
        </w:tc>
        <w:tc>
          <w:tcPr>
            <w:tcW w:w="1124" w:type="dxa"/>
            <w:tcBorders>
              <w:top w:val="nil"/>
              <w:left w:val="nil"/>
              <w:bottom w:val="single" w:sz="4" w:space="0" w:color="auto"/>
              <w:right w:val="single" w:sz="4" w:space="0" w:color="auto"/>
            </w:tcBorders>
            <w:noWrap/>
            <w:vAlign w:val="center"/>
            <w:hideMark/>
          </w:tcPr>
          <w:p w14:paraId="69DA8BDF"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3.20</w:t>
            </w:r>
          </w:p>
        </w:tc>
        <w:tc>
          <w:tcPr>
            <w:tcW w:w="1080" w:type="dxa"/>
            <w:tcBorders>
              <w:top w:val="nil"/>
              <w:left w:val="nil"/>
              <w:bottom w:val="single" w:sz="4" w:space="0" w:color="auto"/>
              <w:right w:val="single" w:sz="4" w:space="0" w:color="auto"/>
            </w:tcBorders>
            <w:noWrap/>
            <w:vAlign w:val="center"/>
            <w:hideMark/>
          </w:tcPr>
          <w:p w14:paraId="0034E8F2"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-1.95</w:t>
            </w:r>
          </w:p>
        </w:tc>
        <w:tc>
          <w:tcPr>
            <w:tcW w:w="1184" w:type="dxa"/>
            <w:tcBorders>
              <w:top w:val="nil"/>
              <w:left w:val="nil"/>
              <w:bottom w:val="single" w:sz="4" w:space="0" w:color="auto"/>
              <w:right w:val="single" w:sz="4" w:space="0" w:color="auto"/>
            </w:tcBorders>
            <w:noWrap/>
            <w:vAlign w:val="center"/>
            <w:hideMark/>
          </w:tcPr>
          <w:p w14:paraId="08D933DB"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1.25</w:t>
            </w:r>
          </w:p>
        </w:tc>
        <w:tc>
          <w:tcPr>
            <w:tcW w:w="855" w:type="dxa"/>
            <w:tcBorders>
              <w:top w:val="nil"/>
              <w:left w:val="nil"/>
              <w:bottom w:val="single" w:sz="4" w:space="0" w:color="auto"/>
              <w:right w:val="single" w:sz="4" w:space="0" w:color="auto"/>
            </w:tcBorders>
            <w:noWrap/>
            <w:vAlign w:val="center"/>
            <w:hideMark/>
          </w:tcPr>
          <w:p w14:paraId="0FA704EC"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1.24</w:t>
            </w:r>
          </w:p>
        </w:tc>
        <w:tc>
          <w:tcPr>
            <w:tcW w:w="855" w:type="dxa"/>
            <w:tcBorders>
              <w:top w:val="nil"/>
              <w:left w:val="nil"/>
              <w:bottom w:val="single" w:sz="4" w:space="0" w:color="auto"/>
              <w:right w:val="single" w:sz="4" w:space="0" w:color="auto"/>
            </w:tcBorders>
            <w:noWrap/>
            <w:vAlign w:val="center"/>
            <w:hideMark/>
          </w:tcPr>
          <w:p w14:paraId="1574819B"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0.00</w:t>
            </w:r>
          </w:p>
        </w:tc>
        <w:tc>
          <w:tcPr>
            <w:tcW w:w="825" w:type="dxa"/>
            <w:tcBorders>
              <w:top w:val="nil"/>
              <w:left w:val="nil"/>
              <w:bottom w:val="single" w:sz="4" w:space="0" w:color="auto"/>
              <w:right w:val="single" w:sz="4" w:space="0" w:color="auto"/>
            </w:tcBorders>
            <w:noWrap/>
            <w:vAlign w:val="center"/>
            <w:hideMark/>
          </w:tcPr>
          <w:p w14:paraId="319CE486"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0.01</w:t>
            </w:r>
          </w:p>
        </w:tc>
        <w:tc>
          <w:tcPr>
            <w:tcW w:w="958" w:type="dxa"/>
            <w:tcBorders>
              <w:top w:val="nil"/>
              <w:left w:val="nil"/>
              <w:bottom w:val="single" w:sz="4" w:space="0" w:color="auto"/>
              <w:right w:val="single" w:sz="4" w:space="0" w:color="auto"/>
            </w:tcBorders>
            <w:noWrap/>
            <w:vAlign w:val="center"/>
            <w:hideMark/>
          </w:tcPr>
          <w:p w14:paraId="6AF7B644"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1.24</w:t>
            </w:r>
          </w:p>
        </w:tc>
      </w:tr>
      <w:tr w:rsidR="00145397" w:rsidRPr="00A47956" w14:paraId="0152E2FE" w14:textId="77777777" w:rsidTr="00304420">
        <w:trPr>
          <w:trHeight w:val="290"/>
          <w:jc w:val="center"/>
        </w:trPr>
        <w:tc>
          <w:tcPr>
            <w:tcW w:w="1271" w:type="dxa"/>
            <w:vMerge/>
            <w:tcBorders>
              <w:top w:val="nil"/>
              <w:left w:val="single" w:sz="4" w:space="0" w:color="auto"/>
              <w:bottom w:val="single" w:sz="4" w:space="0" w:color="auto"/>
              <w:right w:val="single" w:sz="4" w:space="0" w:color="auto"/>
            </w:tcBorders>
            <w:vAlign w:val="center"/>
            <w:hideMark/>
          </w:tcPr>
          <w:p w14:paraId="093AD74B" w14:textId="77777777" w:rsidR="00145397" w:rsidRPr="00A47956" w:rsidRDefault="00145397" w:rsidP="000F221E">
            <w:pPr>
              <w:rPr>
                <w:rFonts w:asciiTheme="majorHAnsi" w:hAnsiTheme="majorHAnsi" w:cs="Calibri"/>
                <w:b/>
                <w:bCs/>
                <w:color w:val="000000"/>
                <w:sz w:val="18"/>
                <w:szCs w:val="18"/>
                <w:lang w:val="en-IN" w:eastAsia="en-IN"/>
              </w:rPr>
            </w:pPr>
          </w:p>
        </w:tc>
        <w:tc>
          <w:tcPr>
            <w:tcW w:w="1706" w:type="dxa"/>
            <w:tcBorders>
              <w:top w:val="nil"/>
              <w:left w:val="nil"/>
              <w:bottom w:val="single" w:sz="4" w:space="0" w:color="auto"/>
              <w:right w:val="single" w:sz="4" w:space="0" w:color="auto"/>
            </w:tcBorders>
            <w:vAlign w:val="center"/>
            <w:hideMark/>
          </w:tcPr>
          <w:p w14:paraId="316206DA"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lang w:val="en-IN" w:eastAsia="en-IN"/>
              </w:rPr>
              <w:t>TOTAL</w:t>
            </w:r>
          </w:p>
        </w:tc>
        <w:tc>
          <w:tcPr>
            <w:tcW w:w="1124" w:type="dxa"/>
            <w:tcBorders>
              <w:top w:val="nil"/>
              <w:left w:val="nil"/>
              <w:bottom w:val="single" w:sz="4" w:space="0" w:color="auto"/>
              <w:right w:val="single" w:sz="4" w:space="0" w:color="auto"/>
            </w:tcBorders>
            <w:noWrap/>
            <w:vAlign w:val="center"/>
            <w:hideMark/>
          </w:tcPr>
          <w:p w14:paraId="18ADB24A"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46.80</w:t>
            </w:r>
          </w:p>
        </w:tc>
        <w:tc>
          <w:tcPr>
            <w:tcW w:w="1080" w:type="dxa"/>
            <w:tcBorders>
              <w:top w:val="nil"/>
              <w:left w:val="nil"/>
              <w:bottom w:val="single" w:sz="4" w:space="0" w:color="auto"/>
              <w:right w:val="single" w:sz="4" w:space="0" w:color="auto"/>
            </w:tcBorders>
            <w:noWrap/>
            <w:vAlign w:val="center"/>
            <w:hideMark/>
          </w:tcPr>
          <w:p w14:paraId="5A9D733C"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0.00</w:t>
            </w:r>
          </w:p>
        </w:tc>
        <w:tc>
          <w:tcPr>
            <w:tcW w:w="1184" w:type="dxa"/>
            <w:tcBorders>
              <w:top w:val="nil"/>
              <w:left w:val="nil"/>
              <w:bottom w:val="single" w:sz="4" w:space="0" w:color="auto"/>
              <w:right w:val="single" w:sz="4" w:space="0" w:color="auto"/>
            </w:tcBorders>
            <w:noWrap/>
            <w:vAlign w:val="center"/>
            <w:hideMark/>
          </w:tcPr>
          <w:p w14:paraId="655AA108"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46.80</w:t>
            </w:r>
          </w:p>
        </w:tc>
        <w:tc>
          <w:tcPr>
            <w:tcW w:w="855" w:type="dxa"/>
            <w:tcBorders>
              <w:top w:val="nil"/>
              <w:left w:val="nil"/>
              <w:bottom w:val="single" w:sz="4" w:space="0" w:color="auto"/>
              <w:right w:val="single" w:sz="4" w:space="0" w:color="auto"/>
            </w:tcBorders>
            <w:noWrap/>
            <w:vAlign w:val="center"/>
            <w:hideMark/>
          </w:tcPr>
          <w:p w14:paraId="60E0A0BF"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46.42</w:t>
            </w:r>
          </w:p>
        </w:tc>
        <w:tc>
          <w:tcPr>
            <w:tcW w:w="855" w:type="dxa"/>
            <w:tcBorders>
              <w:top w:val="nil"/>
              <w:left w:val="nil"/>
              <w:bottom w:val="single" w:sz="4" w:space="0" w:color="auto"/>
              <w:right w:val="single" w:sz="4" w:space="0" w:color="auto"/>
            </w:tcBorders>
            <w:noWrap/>
            <w:vAlign w:val="center"/>
            <w:hideMark/>
          </w:tcPr>
          <w:p w14:paraId="2483AE5C"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1.51</w:t>
            </w:r>
          </w:p>
        </w:tc>
        <w:tc>
          <w:tcPr>
            <w:tcW w:w="825" w:type="dxa"/>
            <w:tcBorders>
              <w:top w:val="nil"/>
              <w:left w:val="nil"/>
              <w:bottom w:val="single" w:sz="4" w:space="0" w:color="auto"/>
              <w:right w:val="single" w:sz="4" w:space="0" w:color="auto"/>
            </w:tcBorders>
            <w:noWrap/>
            <w:vAlign w:val="center"/>
            <w:hideMark/>
          </w:tcPr>
          <w:p w14:paraId="6AC4B345"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0.38</w:t>
            </w:r>
          </w:p>
        </w:tc>
        <w:tc>
          <w:tcPr>
            <w:tcW w:w="958" w:type="dxa"/>
            <w:tcBorders>
              <w:top w:val="nil"/>
              <w:left w:val="nil"/>
              <w:bottom w:val="single" w:sz="4" w:space="0" w:color="auto"/>
              <w:right w:val="single" w:sz="4" w:space="0" w:color="auto"/>
            </w:tcBorders>
            <w:noWrap/>
            <w:vAlign w:val="center"/>
            <w:hideMark/>
          </w:tcPr>
          <w:p w14:paraId="171E5295"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44.91</w:t>
            </w:r>
          </w:p>
        </w:tc>
      </w:tr>
      <w:tr w:rsidR="00145397" w:rsidRPr="00A47956" w14:paraId="28806712" w14:textId="77777777" w:rsidTr="00304420">
        <w:trPr>
          <w:trHeight w:val="580"/>
          <w:jc w:val="center"/>
        </w:trPr>
        <w:tc>
          <w:tcPr>
            <w:tcW w:w="1271" w:type="dxa"/>
            <w:vMerge w:val="restart"/>
            <w:tcBorders>
              <w:top w:val="nil"/>
              <w:left w:val="single" w:sz="4" w:space="0" w:color="auto"/>
              <w:bottom w:val="single" w:sz="4" w:space="0" w:color="auto"/>
              <w:right w:val="single" w:sz="4" w:space="0" w:color="auto"/>
            </w:tcBorders>
            <w:vAlign w:val="center"/>
            <w:hideMark/>
          </w:tcPr>
          <w:p w14:paraId="63DADAFA"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lang w:val="en-IN" w:eastAsia="en-IN"/>
              </w:rPr>
              <w:t>Reliability</w:t>
            </w:r>
          </w:p>
        </w:tc>
        <w:tc>
          <w:tcPr>
            <w:tcW w:w="1706" w:type="dxa"/>
            <w:tcBorders>
              <w:top w:val="nil"/>
              <w:left w:val="nil"/>
              <w:bottom w:val="single" w:sz="4" w:space="0" w:color="auto"/>
              <w:right w:val="single" w:sz="4" w:space="0" w:color="auto"/>
            </w:tcBorders>
            <w:vAlign w:val="center"/>
            <w:hideMark/>
          </w:tcPr>
          <w:p w14:paraId="5E0F8535" w14:textId="77777777" w:rsidR="00145397" w:rsidRPr="00A47956" w:rsidRDefault="00145397" w:rsidP="000F221E">
            <w:pP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lang w:val="en-IN" w:eastAsia="en-IN"/>
              </w:rPr>
              <w:t>Network Comp-33/11Kv -</w:t>
            </w:r>
            <w:proofErr w:type="spellStart"/>
            <w:r w:rsidRPr="00A47956">
              <w:rPr>
                <w:rFonts w:asciiTheme="majorHAnsi" w:hAnsiTheme="majorHAnsi" w:cs="Calibri"/>
                <w:color w:val="000000"/>
                <w:sz w:val="18"/>
                <w:szCs w:val="18"/>
                <w:lang w:val="en-IN" w:eastAsia="en-IN"/>
              </w:rPr>
              <w:t>Dist</w:t>
            </w:r>
            <w:proofErr w:type="spellEnd"/>
            <w:r w:rsidRPr="00A47956">
              <w:rPr>
                <w:rFonts w:asciiTheme="majorHAnsi" w:hAnsiTheme="majorHAnsi" w:cs="Calibri"/>
                <w:color w:val="000000"/>
                <w:sz w:val="18"/>
                <w:szCs w:val="18"/>
                <w:lang w:val="en-IN" w:eastAsia="en-IN"/>
              </w:rPr>
              <w:t xml:space="preserve">- </w:t>
            </w:r>
            <w:proofErr w:type="spellStart"/>
            <w:r w:rsidRPr="00A47956">
              <w:rPr>
                <w:rFonts w:asciiTheme="majorHAnsi" w:hAnsiTheme="majorHAnsi" w:cs="Calibri"/>
                <w:color w:val="000000"/>
                <w:sz w:val="18"/>
                <w:szCs w:val="18"/>
                <w:lang w:val="en-IN" w:eastAsia="en-IN"/>
              </w:rPr>
              <w:t>SUBStation</w:t>
            </w:r>
            <w:proofErr w:type="spellEnd"/>
          </w:p>
        </w:tc>
        <w:tc>
          <w:tcPr>
            <w:tcW w:w="1124" w:type="dxa"/>
            <w:tcBorders>
              <w:top w:val="nil"/>
              <w:left w:val="nil"/>
              <w:bottom w:val="single" w:sz="4" w:space="0" w:color="auto"/>
              <w:right w:val="single" w:sz="4" w:space="0" w:color="auto"/>
            </w:tcBorders>
            <w:noWrap/>
            <w:vAlign w:val="center"/>
            <w:hideMark/>
          </w:tcPr>
          <w:p w14:paraId="14762623" w14:textId="77777777" w:rsidR="00145397" w:rsidRPr="00A47956" w:rsidRDefault="00145397" w:rsidP="000F221E">
            <w:pPr>
              <w:jc w:val="center"/>
              <w:rPr>
                <w:rFonts w:asciiTheme="majorHAnsi" w:hAnsiTheme="majorHAnsi" w:cs="Calibri"/>
                <w:color w:val="000000"/>
                <w:sz w:val="18"/>
                <w:szCs w:val="18"/>
              </w:rPr>
            </w:pPr>
            <w:r w:rsidRPr="00A47956">
              <w:rPr>
                <w:rFonts w:asciiTheme="majorHAnsi" w:hAnsiTheme="majorHAnsi" w:cs="Calibri"/>
                <w:color w:val="000000"/>
                <w:sz w:val="18"/>
                <w:szCs w:val="18"/>
              </w:rPr>
              <w:t>14.60</w:t>
            </w:r>
          </w:p>
        </w:tc>
        <w:tc>
          <w:tcPr>
            <w:tcW w:w="1080" w:type="dxa"/>
            <w:tcBorders>
              <w:top w:val="nil"/>
              <w:left w:val="nil"/>
              <w:bottom w:val="single" w:sz="4" w:space="0" w:color="auto"/>
              <w:right w:val="single" w:sz="4" w:space="0" w:color="auto"/>
            </w:tcBorders>
            <w:noWrap/>
            <w:vAlign w:val="center"/>
            <w:hideMark/>
          </w:tcPr>
          <w:p w14:paraId="13A1C510"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0.00</w:t>
            </w:r>
          </w:p>
        </w:tc>
        <w:tc>
          <w:tcPr>
            <w:tcW w:w="1184" w:type="dxa"/>
            <w:tcBorders>
              <w:top w:val="nil"/>
              <w:left w:val="nil"/>
              <w:bottom w:val="single" w:sz="4" w:space="0" w:color="auto"/>
              <w:right w:val="single" w:sz="4" w:space="0" w:color="auto"/>
            </w:tcBorders>
            <w:noWrap/>
            <w:vAlign w:val="center"/>
            <w:hideMark/>
          </w:tcPr>
          <w:p w14:paraId="4011C111"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14.60</w:t>
            </w:r>
          </w:p>
        </w:tc>
        <w:tc>
          <w:tcPr>
            <w:tcW w:w="855" w:type="dxa"/>
            <w:tcBorders>
              <w:top w:val="nil"/>
              <w:left w:val="nil"/>
              <w:bottom w:val="single" w:sz="4" w:space="0" w:color="auto"/>
              <w:right w:val="single" w:sz="4" w:space="0" w:color="auto"/>
            </w:tcBorders>
            <w:noWrap/>
            <w:vAlign w:val="center"/>
            <w:hideMark/>
          </w:tcPr>
          <w:p w14:paraId="0428833E"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14.02</w:t>
            </w:r>
          </w:p>
        </w:tc>
        <w:tc>
          <w:tcPr>
            <w:tcW w:w="855" w:type="dxa"/>
            <w:tcBorders>
              <w:top w:val="nil"/>
              <w:left w:val="nil"/>
              <w:bottom w:val="single" w:sz="4" w:space="0" w:color="auto"/>
              <w:right w:val="single" w:sz="4" w:space="0" w:color="auto"/>
            </w:tcBorders>
            <w:noWrap/>
            <w:vAlign w:val="center"/>
            <w:hideMark/>
          </w:tcPr>
          <w:p w14:paraId="213FA1BD"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1.85</w:t>
            </w:r>
          </w:p>
        </w:tc>
        <w:tc>
          <w:tcPr>
            <w:tcW w:w="825" w:type="dxa"/>
            <w:tcBorders>
              <w:top w:val="nil"/>
              <w:left w:val="nil"/>
              <w:bottom w:val="single" w:sz="4" w:space="0" w:color="auto"/>
              <w:right w:val="single" w:sz="4" w:space="0" w:color="auto"/>
            </w:tcBorders>
            <w:noWrap/>
            <w:vAlign w:val="center"/>
            <w:hideMark/>
          </w:tcPr>
          <w:p w14:paraId="212C9CB0"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0.58</w:t>
            </w:r>
          </w:p>
        </w:tc>
        <w:tc>
          <w:tcPr>
            <w:tcW w:w="958" w:type="dxa"/>
            <w:tcBorders>
              <w:top w:val="nil"/>
              <w:left w:val="nil"/>
              <w:bottom w:val="single" w:sz="4" w:space="0" w:color="auto"/>
              <w:right w:val="single" w:sz="4" w:space="0" w:color="auto"/>
            </w:tcBorders>
            <w:noWrap/>
            <w:vAlign w:val="center"/>
            <w:hideMark/>
          </w:tcPr>
          <w:p w14:paraId="4783DB49"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12.17</w:t>
            </w:r>
          </w:p>
        </w:tc>
      </w:tr>
      <w:tr w:rsidR="00145397" w:rsidRPr="00A47956" w14:paraId="266EE5B2" w14:textId="77777777" w:rsidTr="00304420">
        <w:trPr>
          <w:trHeight w:val="580"/>
          <w:jc w:val="center"/>
        </w:trPr>
        <w:tc>
          <w:tcPr>
            <w:tcW w:w="1271" w:type="dxa"/>
            <w:vMerge/>
            <w:tcBorders>
              <w:top w:val="nil"/>
              <w:left w:val="single" w:sz="4" w:space="0" w:color="auto"/>
              <w:bottom w:val="single" w:sz="4" w:space="0" w:color="auto"/>
              <w:right w:val="single" w:sz="4" w:space="0" w:color="auto"/>
            </w:tcBorders>
            <w:vAlign w:val="center"/>
            <w:hideMark/>
          </w:tcPr>
          <w:p w14:paraId="60FEF86D" w14:textId="77777777" w:rsidR="00145397" w:rsidRPr="00A47956" w:rsidRDefault="00145397" w:rsidP="000F221E">
            <w:pPr>
              <w:rPr>
                <w:rFonts w:asciiTheme="majorHAnsi" w:hAnsiTheme="majorHAnsi" w:cs="Calibri"/>
                <w:b/>
                <w:bCs/>
                <w:color w:val="000000"/>
                <w:sz w:val="18"/>
                <w:szCs w:val="18"/>
                <w:lang w:val="en-IN" w:eastAsia="en-IN"/>
              </w:rPr>
            </w:pPr>
          </w:p>
        </w:tc>
        <w:tc>
          <w:tcPr>
            <w:tcW w:w="1706" w:type="dxa"/>
            <w:tcBorders>
              <w:top w:val="nil"/>
              <w:left w:val="nil"/>
              <w:bottom w:val="single" w:sz="4" w:space="0" w:color="auto"/>
              <w:right w:val="single" w:sz="4" w:space="0" w:color="auto"/>
            </w:tcBorders>
            <w:vAlign w:val="center"/>
            <w:hideMark/>
          </w:tcPr>
          <w:p w14:paraId="308D541A" w14:textId="77777777" w:rsidR="00145397" w:rsidRPr="00A47956" w:rsidRDefault="00145397" w:rsidP="000F221E">
            <w:pP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lang w:val="en-IN" w:eastAsia="en-IN"/>
              </w:rPr>
              <w:t>Network Components-33/11Kv -Lines</w:t>
            </w:r>
          </w:p>
        </w:tc>
        <w:tc>
          <w:tcPr>
            <w:tcW w:w="1124" w:type="dxa"/>
            <w:tcBorders>
              <w:top w:val="nil"/>
              <w:left w:val="nil"/>
              <w:bottom w:val="single" w:sz="4" w:space="0" w:color="auto"/>
              <w:right w:val="single" w:sz="4" w:space="0" w:color="auto"/>
            </w:tcBorders>
            <w:noWrap/>
            <w:vAlign w:val="center"/>
            <w:hideMark/>
          </w:tcPr>
          <w:p w14:paraId="38E02F81"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52.00</w:t>
            </w:r>
          </w:p>
        </w:tc>
        <w:tc>
          <w:tcPr>
            <w:tcW w:w="1080" w:type="dxa"/>
            <w:tcBorders>
              <w:top w:val="nil"/>
              <w:left w:val="nil"/>
              <w:bottom w:val="single" w:sz="4" w:space="0" w:color="auto"/>
              <w:right w:val="single" w:sz="4" w:space="0" w:color="auto"/>
            </w:tcBorders>
            <w:noWrap/>
            <w:vAlign w:val="center"/>
            <w:hideMark/>
          </w:tcPr>
          <w:p w14:paraId="0B8B3B56"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-0.19</w:t>
            </w:r>
          </w:p>
        </w:tc>
        <w:tc>
          <w:tcPr>
            <w:tcW w:w="1184" w:type="dxa"/>
            <w:tcBorders>
              <w:top w:val="nil"/>
              <w:left w:val="nil"/>
              <w:bottom w:val="single" w:sz="4" w:space="0" w:color="auto"/>
              <w:right w:val="single" w:sz="4" w:space="0" w:color="auto"/>
            </w:tcBorders>
            <w:noWrap/>
            <w:vAlign w:val="center"/>
            <w:hideMark/>
          </w:tcPr>
          <w:p w14:paraId="7770130D"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51.81</w:t>
            </w:r>
          </w:p>
        </w:tc>
        <w:tc>
          <w:tcPr>
            <w:tcW w:w="855" w:type="dxa"/>
            <w:tcBorders>
              <w:top w:val="nil"/>
              <w:left w:val="nil"/>
              <w:bottom w:val="single" w:sz="4" w:space="0" w:color="auto"/>
              <w:right w:val="single" w:sz="4" w:space="0" w:color="auto"/>
            </w:tcBorders>
            <w:noWrap/>
            <w:vAlign w:val="center"/>
            <w:hideMark/>
          </w:tcPr>
          <w:p w14:paraId="2197DE7F"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50.29</w:t>
            </w:r>
          </w:p>
        </w:tc>
        <w:tc>
          <w:tcPr>
            <w:tcW w:w="855" w:type="dxa"/>
            <w:tcBorders>
              <w:top w:val="nil"/>
              <w:left w:val="nil"/>
              <w:bottom w:val="single" w:sz="4" w:space="0" w:color="auto"/>
              <w:right w:val="single" w:sz="4" w:space="0" w:color="auto"/>
            </w:tcBorders>
            <w:noWrap/>
            <w:vAlign w:val="center"/>
            <w:hideMark/>
          </w:tcPr>
          <w:p w14:paraId="5A3F82E1"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0.83</w:t>
            </w:r>
          </w:p>
        </w:tc>
        <w:tc>
          <w:tcPr>
            <w:tcW w:w="825" w:type="dxa"/>
            <w:tcBorders>
              <w:top w:val="nil"/>
              <w:left w:val="nil"/>
              <w:bottom w:val="single" w:sz="4" w:space="0" w:color="auto"/>
              <w:right w:val="single" w:sz="4" w:space="0" w:color="auto"/>
            </w:tcBorders>
            <w:noWrap/>
            <w:vAlign w:val="center"/>
            <w:hideMark/>
          </w:tcPr>
          <w:p w14:paraId="518CDC49"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1.52</w:t>
            </w:r>
          </w:p>
        </w:tc>
        <w:tc>
          <w:tcPr>
            <w:tcW w:w="958" w:type="dxa"/>
            <w:tcBorders>
              <w:top w:val="nil"/>
              <w:left w:val="nil"/>
              <w:bottom w:val="single" w:sz="4" w:space="0" w:color="auto"/>
              <w:right w:val="single" w:sz="4" w:space="0" w:color="auto"/>
            </w:tcBorders>
            <w:noWrap/>
            <w:vAlign w:val="center"/>
            <w:hideMark/>
          </w:tcPr>
          <w:p w14:paraId="23EBC19A"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49.46</w:t>
            </w:r>
          </w:p>
        </w:tc>
      </w:tr>
      <w:tr w:rsidR="00145397" w:rsidRPr="00A47956" w14:paraId="34A81364" w14:textId="77777777" w:rsidTr="00304420">
        <w:trPr>
          <w:trHeight w:val="580"/>
          <w:jc w:val="center"/>
        </w:trPr>
        <w:tc>
          <w:tcPr>
            <w:tcW w:w="1271" w:type="dxa"/>
            <w:vMerge/>
            <w:tcBorders>
              <w:top w:val="nil"/>
              <w:left w:val="single" w:sz="4" w:space="0" w:color="auto"/>
              <w:bottom w:val="single" w:sz="4" w:space="0" w:color="auto"/>
              <w:right w:val="single" w:sz="4" w:space="0" w:color="auto"/>
            </w:tcBorders>
            <w:vAlign w:val="center"/>
            <w:hideMark/>
          </w:tcPr>
          <w:p w14:paraId="076EB2B6" w14:textId="77777777" w:rsidR="00145397" w:rsidRPr="00A47956" w:rsidRDefault="00145397" w:rsidP="000F221E">
            <w:pPr>
              <w:rPr>
                <w:rFonts w:asciiTheme="majorHAnsi" w:hAnsiTheme="majorHAnsi" w:cs="Calibri"/>
                <w:b/>
                <w:bCs/>
                <w:color w:val="000000"/>
                <w:sz w:val="18"/>
                <w:szCs w:val="18"/>
                <w:lang w:val="en-IN" w:eastAsia="en-IN"/>
              </w:rPr>
            </w:pPr>
          </w:p>
        </w:tc>
        <w:tc>
          <w:tcPr>
            <w:tcW w:w="1706" w:type="dxa"/>
            <w:tcBorders>
              <w:top w:val="nil"/>
              <w:left w:val="nil"/>
              <w:bottom w:val="single" w:sz="4" w:space="0" w:color="auto"/>
              <w:right w:val="single" w:sz="4" w:space="0" w:color="auto"/>
            </w:tcBorders>
            <w:vAlign w:val="center"/>
            <w:hideMark/>
          </w:tcPr>
          <w:p w14:paraId="3CCAA9D0" w14:textId="77777777" w:rsidR="00145397" w:rsidRPr="00A47956" w:rsidRDefault="00145397" w:rsidP="000F221E">
            <w:pP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lang w:val="en-IN" w:eastAsia="en-IN"/>
              </w:rPr>
              <w:t>Network Components-33/11Kv -</w:t>
            </w:r>
            <w:proofErr w:type="spellStart"/>
            <w:r w:rsidRPr="00A47956">
              <w:rPr>
                <w:rFonts w:asciiTheme="majorHAnsi" w:hAnsiTheme="majorHAnsi" w:cs="Calibri"/>
                <w:color w:val="000000"/>
                <w:sz w:val="18"/>
                <w:szCs w:val="18"/>
                <w:lang w:val="en-IN" w:eastAsia="en-IN"/>
              </w:rPr>
              <w:t>SubStation</w:t>
            </w:r>
            <w:proofErr w:type="spellEnd"/>
          </w:p>
        </w:tc>
        <w:tc>
          <w:tcPr>
            <w:tcW w:w="1124" w:type="dxa"/>
            <w:tcBorders>
              <w:top w:val="nil"/>
              <w:left w:val="nil"/>
              <w:bottom w:val="single" w:sz="4" w:space="0" w:color="auto"/>
              <w:right w:val="single" w:sz="4" w:space="0" w:color="auto"/>
            </w:tcBorders>
            <w:noWrap/>
            <w:vAlign w:val="center"/>
            <w:hideMark/>
          </w:tcPr>
          <w:p w14:paraId="45E16528"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51.74</w:t>
            </w:r>
          </w:p>
        </w:tc>
        <w:tc>
          <w:tcPr>
            <w:tcW w:w="1080" w:type="dxa"/>
            <w:tcBorders>
              <w:top w:val="nil"/>
              <w:left w:val="nil"/>
              <w:bottom w:val="single" w:sz="4" w:space="0" w:color="auto"/>
              <w:right w:val="single" w:sz="4" w:space="0" w:color="auto"/>
            </w:tcBorders>
            <w:noWrap/>
            <w:vAlign w:val="center"/>
            <w:hideMark/>
          </w:tcPr>
          <w:p w14:paraId="72F28C24"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0.19</w:t>
            </w:r>
          </w:p>
        </w:tc>
        <w:tc>
          <w:tcPr>
            <w:tcW w:w="1184" w:type="dxa"/>
            <w:tcBorders>
              <w:top w:val="nil"/>
              <w:left w:val="nil"/>
              <w:bottom w:val="single" w:sz="4" w:space="0" w:color="auto"/>
              <w:right w:val="single" w:sz="4" w:space="0" w:color="auto"/>
            </w:tcBorders>
            <w:noWrap/>
            <w:vAlign w:val="center"/>
            <w:hideMark/>
          </w:tcPr>
          <w:p w14:paraId="5DF72E66"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51.93</w:t>
            </w:r>
          </w:p>
        </w:tc>
        <w:tc>
          <w:tcPr>
            <w:tcW w:w="855" w:type="dxa"/>
            <w:tcBorders>
              <w:top w:val="nil"/>
              <w:left w:val="nil"/>
              <w:bottom w:val="single" w:sz="4" w:space="0" w:color="auto"/>
              <w:right w:val="single" w:sz="4" w:space="0" w:color="auto"/>
            </w:tcBorders>
            <w:noWrap/>
            <w:vAlign w:val="center"/>
            <w:hideMark/>
          </w:tcPr>
          <w:p w14:paraId="6EBBD97E"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51.60</w:t>
            </w:r>
          </w:p>
        </w:tc>
        <w:tc>
          <w:tcPr>
            <w:tcW w:w="855" w:type="dxa"/>
            <w:tcBorders>
              <w:top w:val="nil"/>
              <w:left w:val="nil"/>
              <w:bottom w:val="single" w:sz="4" w:space="0" w:color="auto"/>
              <w:right w:val="single" w:sz="4" w:space="0" w:color="auto"/>
            </w:tcBorders>
            <w:noWrap/>
            <w:vAlign w:val="center"/>
            <w:hideMark/>
          </w:tcPr>
          <w:p w14:paraId="379399D4"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0.11</w:t>
            </w:r>
          </w:p>
        </w:tc>
        <w:tc>
          <w:tcPr>
            <w:tcW w:w="825" w:type="dxa"/>
            <w:tcBorders>
              <w:top w:val="nil"/>
              <w:left w:val="nil"/>
              <w:bottom w:val="single" w:sz="4" w:space="0" w:color="auto"/>
              <w:right w:val="single" w:sz="4" w:space="0" w:color="auto"/>
            </w:tcBorders>
            <w:noWrap/>
            <w:vAlign w:val="center"/>
            <w:hideMark/>
          </w:tcPr>
          <w:p w14:paraId="348138F3"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0.33</w:t>
            </w:r>
          </w:p>
        </w:tc>
        <w:tc>
          <w:tcPr>
            <w:tcW w:w="958" w:type="dxa"/>
            <w:tcBorders>
              <w:top w:val="nil"/>
              <w:left w:val="nil"/>
              <w:bottom w:val="single" w:sz="4" w:space="0" w:color="auto"/>
              <w:right w:val="single" w:sz="4" w:space="0" w:color="auto"/>
            </w:tcBorders>
            <w:noWrap/>
            <w:vAlign w:val="center"/>
            <w:hideMark/>
          </w:tcPr>
          <w:p w14:paraId="5C72A16F"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51.49</w:t>
            </w:r>
          </w:p>
        </w:tc>
      </w:tr>
      <w:tr w:rsidR="00145397" w:rsidRPr="00A47956" w14:paraId="36C8DF95" w14:textId="77777777" w:rsidTr="00304420">
        <w:trPr>
          <w:trHeight w:val="290"/>
          <w:jc w:val="center"/>
        </w:trPr>
        <w:tc>
          <w:tcPr>
            <w:tcW w:w="1271" w:type="dxa"/>
            <w:vMerge/>
            <w:tcBorders>
              <w:top w:val="nil"/>
              <w:left w:val="single" w:sz="4" w:space="0" w:color="auto"/>
              <w:bottom w:val="single" w:sz="4" w:space="0" w:color="auto"/>
              <w:right w:val="single" w:sz="4" w:space="0" w:color="auto"/>
            </w:tcBorders>
            <w:vAlign w:val="center"/>
            <w:hideMark/>
          </w:tcPr>
          <w:p w14:paraId="2EFCA4AB" w14:textId="77777777" w:rsidR="00145397" w:rsidRPr="00A47956" w:rsidRDefault="00145397" w:rsidP="000F221E">
            <w:pPr>
              <w:rPr>
                <w:rFonts w:asciiTheme="majorHAnsi" w:hAnsiTheme="majorHAnsi" w:cs="Calibri"/>
                <w:b/>
                <w:bCs/>
                <w:color w:val="000000"/>
                <w:sz w:val="18"/>
                <w:szCs w:val="18"/>
                <w:lang w:val="en-IN" w:eastAsia="en-IN"/>
              </w:rPr>
            </w:pPr>
          </w:p>
        </w:tc>
        <w:tc>
          <w:tcPr>
            <w:tcW w:w="1706" w:type="dxa"/>
            <w:tcBorders>
              <w:top w:val="nil"/>
              <w:left w:val="nil"/>
              <w:bottom w:val="single" w:sz="4" w:space="0" w:color="auto"/>
              <w:right w:val="single" w:sz="4" w:space="0" w:color="auto"/>
            </w:tcBorders>
            <w:vAlign w:val="center"/>
            <w:hideMark/>
          </w:tcPr>
          <w:p w14:paraId="2D45F695"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lang w:val="en-IN" w:eastAsia="en-IN"/>
              </w:rPr>
              <w:t>TOTAL</w:t>
            </w:r>
          </w:p>
        </w:tc>
        <w:tc>
          <w:tcPr>
            <w:tcW w:w="1124" w:type="dxa"/>
            <w:tcBorders>
              <w:top w:val="nil"/>
              <w:left w:val="nil"/>
              <w:bottom w:val="single" w:sz="4" w:space="0" w:color="auto"/>
              <w:right w:val="single" w:sz="4" w:space="0" w:color="auto"/>
            </w:tcBorders>
            <w:noWrap/>
            <w:vAlign w:val="center"/>
            <w:hideMark/>
          </w:tcPr>
          <w:p w14:paraId="70119063"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118.34</w:t>
            </w:r>
          </w:p>
        </w:tc>
        <w:tc>
          <w:tcPr>
            <w:tcW w:w="1080" w:type="dxa"/>
            <w:tcBorders>
              <w:top w:val="nil"/>
              <w:left w:val="nil"/>
              <w:bottom w:val="single" w:sz="4" w:space="0" w:color="auto"/>
              <w:right w:val="single" w:sz="4" w:space="0" w:color="auto"/>
            </w:tcBorders>
            <w:noWrap/>
            <w:vAlign w:val="center"/>
            <w:hideMark/>
          </w:tcPr>
          <w:p w14:paraId="6CDD1322"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0.00</w:t>
            </w:r>
          </w:p>
        </w:tc>
        <w:tc>
          <w:tcPr>
            <w:tcW w:w="1184" w:type="dxa"/>
            <w:tcBorders>
              <w:top w:val="nil"/>
              <w:left w:val="nil"/>
              <w:bottom w:val="single" w:sz="4" w:space="0" w:color="auto"/>
              <w:right w:val="single" w:sz="4" w:space="0" w:color="auto"/>
            </w:tcBorders>
            <w:noWrap/>
            <w:vAlign w:val="center"/>
            <w:hideMark/>
          </w:tcPr>
          <w:p w14:paraId="7833F237"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118.34</w:t>
            </w:r>
          </w:p>
        </w:tc>
        <w:tc>
          <w:tcPr>
            <w:tcW w:w="855" w:type="dxa"/>
            <w:tcBorders>
              <w:top w:val="nil"/>
              <w:left w:val="nil"/>
              <w:bottom w:val="single" w:sz="4" w:space="0" w:color="auto"/>
              <w:right w:val="single" w:sz="4" w:space="0" w:color="auto"/>
            </w:tcBorders>
            <w:noWrap/>
            <w:vAlign w:val="center"/>
            <w:hideMark/>
          </w:tcPr>
          <w:p w14:paraId="7BE01359"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115.91</w:t>
            </w:r>
          </w:p>
        </w:tc>
        <w:tc>
          <w:tcPr>
            <w:tcW w:w="855" w:type="dxa"/>
            <w:tcBorders>
              <w:top w:val="nil"/>
              <w:left w:val="nil"/>
              <w:bottom w:val="single" w:sz="4" w:space="0" w:color="auto"/>
              <w:right w:val="single" w:sz="4" w:space="0" w:color="auto"/>
            </w:tcBorders>
            <w:noWrap/>
            <w:vAlign w:val="center"/>
            <w:hideMark/>
          </w:tcPr>
          <w:p w14:paraId="5E5348C6"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2.79</w:t>
            </w:r>
          </w:p>
        </w:tc>
        <w:tc>
          <w:tcPr>
            <w:tcW w:w="825" w:type="dxa"/>
            <w:tcBorders>
              <w:top w:val="nil"/>
              <w:left w:val="nil"/>
              <w:bottom w:val="single" w:sz="4" w:space="0" w:color="auto"/>
              <w:right w:val="single" w:sz="4" w:space="0" w:color="auto"/>
            </w:tcBorders>
            <w:noWrap/>
            <w:vAlign w:val="center"/>
            <w:hideMark/>
          </w:tcPr>
          <w:p w14:paraId="3C1BAF1E"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2.43</w:t>
            </w:r>
          </w:p>
        </w:tc>
        <w:tc>
          <w:tcPr>
            <w:tcW w:w="958" w:type="dxa"/>
            <w:tcBorders>
              <w:top w:val="nil"/>
              <w:left w:val="nil"/>
              <w:bottom w:val="single" w:sz="4" w:space="0" w:color="auto"/>
              <w:right w:val="single" w:sz="4" w:space="0" w:color="auto"/>
            </w:tcBorders>
            <w:noWrap/>
            <w:vAlign w:val="center"/>
            <w:hideMark/>
          </w:tcPr>
          <w:p w14:paraId="0D19EDEA"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113.12</w:t>
            </w:r>
          </w:p>
        </w:tc>
      </w:tr>
      <w:tr w:rsidR="00145397" w:rsidRPr="00A47956" w14:paraId="7BC2419A" w14:textId="77777777" w:rsidTr="00304420">
        <w:trPr>
          <w:trHeight w:val="290"/>
          <w:jc w:val="center"/>
        </w:trPr>
        <w:tc>
          <w:tcPr>
            <w:tcW w:w="1271" w:type="dxa"/>
            <w:vMerge w:val="restart"/>
            <w:tcBorders>
              <w:top w:val="nil"/>
              <w:left w:val="single" w:sz="4" w:space="0" w:color="auto"/>
              <w:bottom w:val="single" w:sz="4" w:space="0" w:color="auto"/>
              <w:right w:val="single" w:sz="4" w:space="0" w:color="auto"/>
            </w:tcBorders>
            <w:vAlign w:val="center"/>
            <w:hideMark/>
          </w:tcPr>
          <w:p w14:paraId="53362C19"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lang w:val="en-IN" w:eastAsia="en-IN"/>
              </w:rPr>
              <w:t>Technology &amp; Infrastructure</w:t>
            </w:r>
          </w:p>
        </w:tc>
        <w:tc>
          <w:tcPr>
            <w:tcW w:w="1706" w:type="dxa"/>
            <w:tcBorders>
              <w:top w:val="nil"/>
              <w:left w:val="nil"/>
              <w:bottom w:val="single" w:sz="4" w:space="0" w:color="auto"/>
              <w:right w:val="single" w:sz="4" w:space="0" w:color="auto"/>
            </w:tcBorders>
            <w:vAlign w:val="center"/>
            <w:hideMark/>
          </w:tcPr>
          <w:p w14:paraId="6046942C" w14:textId="77777777" w:rsidR="00145397" w:rsidRPr="00A47956" w:rsidRDefault="00145397" w:rsidP="000F221E">
            <w:pP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lang w:val="en-IN" w:eastAsia="en-IN"/>
              </w:rPr>
              <w:t>Infrastructure - Admin</w:t>
            </w:r>
          </w:p>
        </w:tc>
        <w:tc>
          <w:tcPr>
            <w:tcW w:w="1124" w:type="dxa"/>
            <w:tcBorders>
              <w:top w:val="nil"/>
              <w:left w:val="nil"/>
              <w:bottom w:val="single" w:sz="4" w:space="0" w:color="auto"/>
              <w:right w:val="single" w:sz="4" w:space="0" w:color="auto"/>
            </w:tcBorders>
            <w:noWrap/>
            <w:vAlign w:val="center"/>
            <w:hideMark/>
          </w:tcPr>
          <w:p w14:paraId="0EAF34B4"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1.50</w:t>
            </w:r>
          </w:p>
        </w:tc>
        <w:tc>
          <w:tcPr>
            <w:tcW w:w="1080" w:type="dxa"/>
            <w:tcBorders>
              <w:top w:val="nil"/>
              <w:left w:val="nil"/>
              <w:bottom w:val="single" w:sz="4" w:space="0" w:color="auto"/>
              <w:right w:val="single" w:sz="4" w:space="0" w:color="auto"/>
            </w:tcBorders>
            <w:noWrap/>
            <w:vAlign w:val="center"/>
            <w:hideMark/>
          </w:tcPr>
          <w:p w14:paraId="72859343"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0.00</w:t>
            </w:r>
          </w:p>
        </w:tc>
        <w:tc>
          <w:tcPr>
            <w:tcW w:w="1184" w:type="dxa"/>
            <w:tcBorders>
              <w:top w:val="nil"/>
              <w:left w:val="nil"/>
              <w:bottom w:val="single" w:sz="4" w:space="0" w:color="auto"/>
              <w:right w:val="single" w:sz="4" w:space="0" w:color="auto"/>
            </w:tcBorders>
            <w:noWrap/>
            <w:vAlign w:val="center"/>
            <w:hideMark/>
          </w:tcPr>
          <w:p w14:paraId="096F622F"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1.50</w:t>
            </w:r>
          </w:p>
        </w:tc>
        <w:tc>
          <w:tcPr>
            <w:tcW w:w="855" w:type="dxa"/>
            <w:tcBorders>
              <w:top w:val="nil"/>
              <w:left w:val="nil"/>
              <w:bottom w:val="single" w:sz="4" w:space="0" w:color="auto"/>
              <w:right w:val="single" w:sz="4" w:space="0" w:color="auto"/>
            </w:tcBorders>
            <w:noWrap/>
            <w:vAlign w:val="center"/>
            <w:hideMark/>
          </w:tcPr>
          <w:p w14:paraId="11166DD5"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1.50</w:t>
            </w:r>
          </w:p>
        </w:tc>
        <w:tc>
          <w:tcPr>
            <w:tcW w:w="855" w:type="dxa"/>
            <w:tcBorders>
              <w:top w:val="nil"/>
              <w:left w:val="nil"/>
              <w:bottom w:val="single" w:sz="4" w:space="0" w:color="auto"/>
              <w:right w:val="single" w:sz="4" w:space="0" w:color="auto"/>
            </w:tcBorders>
            <w:noWrap/>
            <w:vAlign w:val="center"/>
            <w:hideMark/>
          </w:tcPr>
          <w:p w14:paraId="2480462B"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0.00</w:t>
            </w:r>
          </w:p>
        </w:tc>
        <w:tc>
          <w:tcPr>
            <w:tcW w:w="825" w:type="dxa"/>
            <w:tcBorders>
              <w:top w:val="nil"/>
              <w:left w:val="nil"/>
              <w:bottom w:val="single" w:sz="4" w:space="0" w:color="auto"/>
              <w:right w:val="single" w:sz="4" w:space="0" w:color="auto"/>
            </w:tcBorders>
            <w:noWrap/>
            <w:vAlign w:val="center"/>
            <w:hideMark/>
          </w:tcPr>
          <w:p w14:paraId="6810A587"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0.00</w:t>
            </w:r>
          </w:p>
        </w:tc>
        <w:tc>
          <w:tcPr>
            <w:tcW w:w="958" w:type="dxa"/>
            <w:tcBorders>
              <w:top w:val="nil"/>
              <w:left w:val="nil"/>
              <w:bottom w:val="single" w:sz="4" w:space="0" w:color="auto"/>
              <w:right w:val="single" w:sz="4" w:space="0" w:color="auto"/>
            </w:tcBorders>
            <w:noWrap/>
            <w:vAlign w:val="center"/>
            <w:hideMark/>
          </w:tcPr>
          <w:p w14:paraId="61AB17F0"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1.50</w:t>
            </w:r>
          </w:p>
        </w:tc>
      </w:tr>
      <w:tr w:rsidR="00145397" w:rsidRPr="00A47956" w14:paraId="3B44BFDB" w14:textId="77777777" w:rsidTr="00304420">
        <w:trPr>
          <w:trHeight w:val="290"/>
          <w:jc w:val="center"/>
        </w:trPr>
        <w:tc>
          <w:tcPr>
            <w:tcW w:w="1271" w:type="dxa"/>
            <w:vMerge/>
            <w:tcBorders>
              <w:top w:val="nil"/>
              <w:left w:val="single" w:sz="4" w:space="0" w:color="auto"/>
              <w:bottom w:val="single" w:sz="4" w:space="0" w:color="auto"/>
              <w:right w:val="single" w:sz="4" w:space="0" w:color="auto"/>
            </w:tcBorders>
            <w:vAlign w:val="center"/>
            <w:hideMark/>
          </w:tcPr>
          <w:p w14:paraId="665BB4F8" w14:textId="77777777" w:rsidR="00145397" w:rsidRPr="00A47956" w:rsidRDefault="00145397" w:rsidP="000F221E">
            <w:pPr>
              <w:rPr>
                <w:rFonts w:asciiTheme="majorHAnsi" w:hAnsiTheme="majorHAnsi" w:cs="Calibri"/>
                <w:b/>
                <w:bCs/>
                <w:color w:val="000000"/>
                <w:sz w:val="18"/>
                <w:szCs w:val="18"/>
                <w:lang w:val="en-IN" w:eastAsia="en-IN"/>
              </w:rPr>
            </w:pPr>
          </w:p>
        </w:tc>
        <w:tc>
          <w:tcPr>
            <w:tcW w:w="1706" w:type="dxa"/>
            <w:tcBorders>
              <w:top w:val="nil"/>
              <w:left w:val="nil"/>
              <w:bottom w:val="single" w:sz="4" w:space="0" w:color="auto"/>
              <w:right w:val="single" w:sz="4" w:space="0" w:color="auto"/>
            </w:tcBorders>
            <w:vAlign w:val="center"/>
            <w:hideMark/>
          </w:tcPr>
          <w:p w14:paraId="673A6A07" w14:textId="77777777" w:rsidR="00145397" w:rsidRPr="00A47956" w:rsidRDefault="00145397" w:rsidP="000F221E">
            <w:pP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lang w:val="en-IN" w:eastAsia="en-IN"/>
              </w:rPr>
              <w:t xml:space="preserve">Infrastructure - Civil </w:t>
            </w:r>
          </w:p>
        </w:tc>
        <w:tc>
          <w:tcPr>
            <w:tcW w:w="1124" w:type="dxa"/>
            <w:tcBorders>
              <w:top w:val="nil"/>
              <w:left w:val="nil"/>
              <w:bottom w:val="single" w:sz="4" w:space="0" w:color="auto"/>
              <w:right w:val="single" w:sz="4" w:space="0" w:color="auto"/>
            </w:tcBorders>
            <w:noWrap/>
            <w:vAlign w:val="center"/>
            <w:hideMark/>
          </w:tcPr>
          <w:p w14:paraId="470289E0"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18.00</w:t>
            </w:r>
          </w:p>
        </w:tc>
        <w:tc>
          <w:tcPr>
            <w:tcW w:w="1080" w:type="dxa"/>
            <w:tcBorders>
              <w:top w:val="nil"/>
              <w:left w:val="nil"/>
              <w:bottom w:val="single" w:sz="4" w:space="0" w:color="auto"/>
              <w:right w:val="single" w:sz="4" w:space="0" w:color="auto"/>
            </w:tcBorders>
            <w:noWrap/>
            <w:vAlign w:val="center"/>
            <w:hideMark/>
          </w:tcPr>
          <w:p w14:paraId="47702F77"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0.50</w:t>
            </w:r>
          </w:p>
        </w:tc>
        <w:tc>
          <w:tcPr>
            <w:tcW w:w="1184" w:type="dxa"/>
            <w:tcBorders>
              <w:top w:val="nil"/>
              <w:left w:val="nil"/>
              <w:bottom w:val="single" w:sz="4" w:space="0" w:color="auto"/>
              <w:right w:val="single" w:sz="4" w:space="0" w:color="auto"/>
            </w:tcBorders>
            <w:noWrap/>
            <w:vAlign w:val="center"/>
            <w:hideMark/>
          </w:tcPr>
          <w:p w14:paraId="35D9C0F2"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18.50</w:t>
            </w:r>
          </w:p>
        </w:tc>
        <w:tc>
          <w:tcPr>
            <w:tcW w:w="855" w:type="dxa"/>
            <w:tcBorders>
              <w:top w:val="nil"/>
              <w:left w:val="nil"/>
              <w:bottom w:val="single" w:sz="4" w:space="0" w:color="auto"/>
              <w:right w:val="single" w:sz="4" w:space="0" w:color="auto"/>
            </w:tcBorders>
            <w:noWrap/>
            <w:vAlign w:val="center"/>
            <w:hideMark/>
          </w:tcPr>
          <w:p w14:paraId="7DCBE026"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18.50</w:t>
            </w:r>
          </w:p>
        </w:tc>
        <w:tc>
          <w:tcPr>
            <w:tcW w:w="855" w:type="dxa"/>
            <w:tcBorders>
              <w:top w:val="nil"/>
              <w:left w:val="nil"/>
              <w:bottom w:val="single" w:sz="4" w:space="0" w:color="auto"/>
              <w:right w:val="single" w:sz="4" w:space="0" w:color="auto"/>
            </w:tcBorders>
            <w:noWrap/>
            <w:vAlign w:val="center"/>
            <w:hideMark/>
          </w:tcPr>
          <w:p w14:paraId="116302A6"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0.00</w:t>
            </w:r>
          </w:p>
        </w:tc>
        <w:tc>
          <w:tcPr>
            <w:tcW w:w="825" w:type="dxa"/>
            <w:tcBorders>
              <w:top w:val="nil"/>
              <w:left w:val="nil"/>
              <w:bottom w:val="single" w:sz="4" w:space="0" w:color="auto"/>
              <w:right w:val="single" w:sz="4" w:space="0" w:color="auto"/>
            </w:tcBorders>
            <w:noWrap/>
            <w:vAlign w:val="center"/>
            <w:hideMark/>
          </w:tcPr>
          <w:p w14:paraId="1E696310"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0.00</w:t>
            </w:r>
          </w:p>
        </w:tc>
        <w:tc>
          <w:tcPr>
            <w:tcW w:w="958" w:type="dxa"/>
            <w:tcBorders>
              <w:top w:val="nil"/>
              <w:left w:val="nil"/>
              <w:bottom w:val="single" w:sz="4" w:space="0" w:color="auto"/>
              <w:right w:val="single" w:sz="4" w:space="0" w:color="auto"/>
            </w:tcBorders>
            <w:noWrap/>
            <w:vAlign w:val="center"/>
            <w:hideMark/>
          </w:tcPr>
          <w:p w14:paraId="4C0A1E99"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18.50</w:t>
            </w:r>
          </w:p>
        </w:tc>
      </w:tr>
      <w:tr w:rsidR="00145397" w:rsidRPr="00A47956" w14:paraId="33E377A5" w14:textId="77777777" w:rsidTr="00304420">
        <w:trPr>
          <w:trHeight w:val="580"/>
          <w:jc w:val="center"/>
        </w:trPr>
        <w:tc>
          <w:tcPr>
            <w:tcW w:w="1271" w:type="dxa"/>
            <w:vMerge/>
            <w:tcBorders>
              <w:top w:val="nil"/>
              <w:left w:val="single" w:sz="4" w:space="0" w:color="auto"/>
              <w:bottom w:val="single" w:sz="4" w:space="0" w:color="auto"/>
              <w:right w:val="single" w:sz="4" w:space="0" w:color="auto"/>
            </w:tcBorders>
            <w:vAlign w:val="center"/>
            <w:hideMark/>
          </w:tcPr>
          <w:p w14:paraId="5780FA17" w14:textId="77777777" w:rsidR="00145397" w:rsidRPr="00A47956" w:rsidRDefault="00145397" w:rsidP="000F221E">
            <w:pPr>
              <w:rPr>
                <w:rFonts w:asciiTheme="majorHAnsi" w:hAnsiTheme="majorHAnsi" w:cs="Calibri"/>
                <w:b/>
                <w:bCs/>
                <w:color w:val="000000"/>
                <w:sz w:val="18"/>
                <w:szCs w:val="18"/>
                <w:lang w:val="en-IN" w:eastAsia="en-IN"/>
              </w:rPr>
            </w:pPr>
          </w:p>
        </w:tc>
        <w:tc>
          <w:tcPr>
            <w:tcW w:w="1706" w:type="dxa"/>
            <w:tcBorders>
              <w:top w:val="nil"/>
              <w:left w:val="nil"/>
              <w:bottom w:val="single" w:sz="4" w:space="0" w:color="auto"/>
              <w:right w:val="single" w:sz="4" w:space="0" w:color="auto"/>
            </w:tcBorders>
            <w:vAlign w:val="center"/>
            <w:hideMark/>
          </w:tcPr>
          <w:p w14:paraId="0A0733C7" w14:textId="77777777" w:rsidR="00145397" w:rsidRPr="00A47956" w:rsidRDefault="00145397" w:rsidP="000F221E">
            <w:pP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lang w:val="en-IN" w:eastAsia="en-IN"/>
              </w:rPr>
              <w:t xml:space="preserve">Infrastructure - Customer Needs </w:t>
            </w:r>
          </w:p>
        </w:tc>
        <w:tc>
          <w:tcPr>
            <w:tcW w:w="1124" w:type="dxa"/>
            <w:tcBorders>
              <w:top w:val="nil"/>
              <w:left w:val="nil"/>
              <w:bottom w:val="single" w:sz="4" w:space="0" w:color="auto"/>
              <w:right w:val="single" w:sz="4" w:space="0" w:color="auto"/>
            </w:tcBorders>
            <w:noWrap/>
            <w:vAlign w:val="center"/>
            <w:hideMark/>
          </w:tcPr>
          <w:p w14:paraId="515A1097"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2.78</w:t>
            </w:r>
          </w:p>
        </w:tc>
        <w:tc>
          <w:tcPr>
            <w:tcW w:w="1080" w:type="dxa"/>
            <w:tcBorders>
              <w:top w:val="nil"/>
              <w:left w:val="nil"/>
              <w:bottom w:val="single" w:sz="4" w:space="0" w:color="auto"/>
              <w:right w:val="single" w:sz="4" w:space="0" w:color="auto"/>
            </w:tcBorders>
            <w:noWrap/>
            <w:vAlign w:val="center"/>
            <w:hideMark/>
          </w:tcPr>
          <w:p w14:paraId="073B4CA5"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-0.49</w:t>
            </w:r>
          </w:p>
        </w:tc>
        <w:tc>
          <w:tcPr>
            <w:tcW w:w="1184" w:type="dxa"/>
            <w:tcBorders>
              <w:top w:val="nil"/>
              <w:left w:val="nil"/>
              <w:bottom w:val="single" w:sz="4" w:space="0" w:color="auto"/>
              <w:right w:val="single" w:sz="4" w:space="0" w:color="auto"/>
            </w:tcBorders>
            <w:noWrap/>
            <w:vAlign w:val="center"/>
            <w:hideMark/>
          </w:tcPr>
          <w:p w14:paraId="08F81CFA"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2.29</w:t>
            </w:r>
          </w:p>
        </w:tc>
        <w:tc>
          <w:tcPr>
            <w:tcW w:w="855" w:type="dxa"/>
            <w:tcBorders>
              <w:top w:val="nil"/>
              <w:left w:val="nil"/>
              <w:bottom w:val="single" w:sz="4" w:space="0" w:color="auto"/>
              <w:right w:val="single" w:sz="4" w:space="0" w:color="auto"/>
            </w:tcBorders>
            <w:noWrap/>
            <w:vAlign w:val="center"/>
            <w:hideMark/>
          </w:tcPr>
          <w:p w14:paraId="317C5DCA"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1.36</w:t>
            </w:r>
          </w:p>
        </w:tc>
        <w:tc>
          <w:tcPr>
            <w:tcW w:w="855" w:type="dxa"/>
            <w:tcBorders>
              <w:top w:val="nil"/>
              <w:left w:val="nil"/>
              <w:bottom w:val="single" w:sz="4" w:space="0" w:color="auto"/>
              <w:right w:val="single" w:sz="4" w:space="0" w:color="auto"/>
            </w:tcBorders>
            <w:noWrap/>
            <w:vAlign w:val="center"/>
            <w:hideMark/>
          </w:tcPr>
          <w:p w14:paraId="0B26E65A"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0.01</w:t>
            </w:r>
          </w:p>
        </w:tc>
        <w:tc>
          <w:tcPr>
            <w:tcW w:w="825" w:type="dxa"/>
            <w:tcBorders>
              <w:top w:val="nil"/>
              <w:left w:val="nil"/>
              <w:bottom w:val="single" w:sz="4" w:space="0" w:color="auto"/>
              <w:right w:val="single" w:sz="4" w:space="0" w:color="auto"/>
            </w:tcBorders>
            <w:noWrap/>
            <w:vAlign w:val="center"/>
            <w:hideMark/>
          </w:tcPr>
          <w:p w14:paraId="6E5FC79C"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0.93</w:t>
            </w:r>
          </w:p>
        </w:tc>
        <w:tc>
          <w:tcPr>
            <w:tcW w:w="958" w:type="dxa"/>
            <w:tcBorders>
              <w:top w:val="nil"/>
              <w:left w:val="nil"/>
              <w:bottom w:val="single" w:sz="4" w:space="0" w:color="auto"/>
              <w:right w:val="single" w:sz="4" w:space="0" w:color="auto"/>
            </w:tcBorders>
            <w:noWrap/>
            <w:vAlign w:val="center"/>
            <w:hideMark/>
          </w:tcPr>
          <w:p w14:paraId="6B799F5C"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1.35</w:t>
            </w:r>
          </w:p>
        </w:tc>
      </w:tr>
      <w:tr w:rsidR="00145397" w:rsidRPr="00A47956" w14:paraId="0B4447E8" w14:textId="77777777" w:rsidTr="00304420">
        <w:trPr>
          <w:trHeight w:val="290"/>
          <w:jc w:val="center"/>
        </w:trPr>
        <w:tc>
          <w:tcPr>
            <w:tcW w:w="1271" w:type="dxa"/>
            <w:vMerge/>
            <w:tcBorders>
              <w:top w:val="nil"/>
              <w:left w:val="single" w:sz="4" w:space="0" w:color="auto"/>
              <w:bottom w:val="single" w:sz="4" w:space="0" w:color="auto"/>
              <w:right w:val="single" w:sz="4" w:space="0" w:color="auto"/>
            </w:tcBorders>
            <w:vAlign w:val="center"/>
            <w:hideMark/>
          </w:tcPr>
          <w:p w14:paraId="3871CC15" w14:textId="77777777" w:rsidR="00145397" w:rsidRPr="00A47956" w:rsidRDefault="00145397" w:rsidP="000F221E">
            <w:pPr>
              <w:rPr>
                <w:rFonts w:asciiTheme="majorHAnsi" w:hAnsiTheme="majorHAnsi" w:cs="Calibri"/>
                <w:b/>
                <w:bCs/>
                <w:color w:val="000000"/>
                <w:sz w:val="18"/>
                <w:szCs w:val="18"/>
                <w:lang w:val="en-IN" w:eastAsia="en-IN"/>
              </w:rPr>
            </w:pPr>
          </w:p>
        </w:tc>
        <w:tc>
          <w:tcPr>
            <w:tcW w:w="1706" w:type="dxa"/>
            <w:tcBorders>
              <w:top w:val="nil"/>
              <w:left w:val="nil"/>
              <w:bottom w:val="single" w:sz="4" w:space="0" w:color="auto"/>
              <w:right w:val="single" w:sz="4" w:space="0" w:color="auto"/>
            </w:tcBorders>
            <w:vAlign w:val="center"/>
            <w:hideMark/>
          </w:tcPr>
          <w:p w14:paraId="00AF24FD" w14:textId="77777777" w:rsidR="00145397" w:rsidRPr="00A47956" w:rsidRDefault="00145397" w:rsidP="000F221E">
            <w:pP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lang w:val="en-IN" w:eastAsia="en-IN"/>
              </w:rPr>
              <w:t xml:space="preserve">Infrastructure - Stores </w:t>
            </w:r>
          </w:p>
        </w:tc>
        <w:tc>
          <w:tcPr>
            <w:tcW w:w="1124" w:type="dxa"/>
            <w:tcBorders>
              <w:top w:val="nil"/>
              <w:left w:val="nil"/>
              <w:bottom w:val="single" w:sz="4" w:space="0" w:color="auto"/>
              <w:right w:val="single" w:sz="4" w:space="0" w:color="auto"/>
            </w:tcBorders>
            <w:noWrap/>
            <w:vAlign w:val="center"/>
            <w:hideMark/>
          </w:tcPr>
          <w:p w14:paraId="5A2AABD7"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4.04</w:t>
            </w:r>
          </w:p>
        </w:tc>
        <w:tc>
          <w:tcPr>
            <w:tcW w:w="1080" w:type="dxa"/>
            <w:tcBorders>
              <w:top w:val="nil"/>
              <w:left w:val="nil"/>
              <w:bottom w:val="single" w:sz="4" w:space="0" w:color="auto"/>
              <w:right w:val="single" w:sz="4" w:space="0" w:color="auto"/>
            </w:tcBorders>
            <w:noWrap/>
            <w:vAlign w:val="center"/>
            <w:hideMark/>
          </w:tcPr>
          <w:p w14:paraId="320F3E36"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1.36</w:t>
            </w:r>
          </w:p>
        </w:tc>
        <w:tc>
          <w:tcPr>
            <w:tcW w:w="1184" w:type="dxa"/>
            <w:tcBorders>
              <w:top w:val="nil"/>
              <w:left w:val="nil"/>
              <w:bottom w:val="single" w:sz="4" w:space="0" w:color="auto"/>
              <w:right w:val="single" w:sz="4" w:space="0" w:color="auto"/>
            </w:tcBorders>
            <w:noWrap/>
            <w:vAlign w:val="center"/>
            <w:hideMark/>
          </w:tcPr>
          <w:p w14:paraId="0DD25A2A"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5.40</w:t>
            </w:r>
          </w:p>
        </w:tc>
        <w:tc>
          <w:tcPr>
            <w:tcW w:w="855" w:type="dxa"/>
            <w:tcBorders>
              <w:top w:val="nil"/>
              <w:left w:val="nil"/>
              <w:bottom w:val="single" w:sz="4" w:space="0" w:color="auto"/>
              <w:right w:val="single" w:sz="4" w:space="0" w:color="auto"/>
            </w:tcBorders>
            <w:noWrap/>
            <w:vAlign w:val="center"/>
            <w:hideMark/>
          </w:tcPr>
          <w:p w14:paraId="59D9A7BE"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5.40</w:t>
            </w:r>
          </w:p>
        </w:tc>
        <w:tc>
          <w:tcPr>
            <w:tcW w:w="855" w:type="dxa"/>
            <w:tcBorders>
              <w:top w:val="nil"/>
              <w:left w:val="nil"/>
              <w:bottom w:val="single" w:sz="4" w:space="0" w:color="auto"/>
              <w:right w:val="single" w:sz="4" w:space="0" w:color="auto"/>
            </w:tcBorders>
            <w:noWrap/>
            <w:vAlign w:val="center"/>
            <w:hideMark/>
          </w:tcPr>
          <w:p w14:paraId="0E04FD7E"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0.00</w:t>
            </w:r>
          </w:p>
        </w:tc>
        <w:tc>
          <w:tcPr>
            <w:tcW w:w="825" w:type="dxa"/>
            <w:tcBorders>
              <w:top w:val="nil"/>
              <w:left w:val="nil"/>
              <w:bottom w:val="single" w:sz="4" w:space="0" w:color="auto"/>
              <w:right w:val="single" w:sz="4" w:space="0" w:color="auto"/>
            </w:tcBorders>
            <w:noWrap/>
            <w:vAlign w:val="center"/>
            <w:hideMark/>
          </w:tcPr>
          <w:p w14:paraId="707D799A"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0.00</w:t>
            </w:r>
          </w:p>
        </w:tc>
        <w:tc>
          <w:tcPr>
            <w:tcW w:w="958" w:type="dxa"/>
            <w:tcBorders>
              <w:top w:val="nil"/>
              <w:left w:val="nil"/>
              <w:bottom w:val="single" w:sz="4" w:space="0" w:color="auto"/>
              <w:right w:val="single" w:sz="4" w:space="0" w:color="auto"/>
            </w:tcBorders>
            <w:noWrap/>
            <w:vAlign w:val="center"/>
            <w:hideMark/>
          </w:tcPr>
          <w:p w14:paraId="18AEF6F1"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5.40</w:t>
            </w:r>
          </w:p>
        </w:tc>
      </w:tr>
      <w:tr w:rsidR="00145397" w:rsidRPr="00A47956" w14:paraId="2CCD12C1" w14:textId="77777777" w:rsidTr="00304420">
        <w:trPr>
          <w:trHeight w:val="290"/>
          <w:jc w:val="center"/>
        </w:trPr>
        <w:tc>
          <w:tcPr>
            <w:tcW w:w="1271" w:type="dxa"/>
            <w:vMerge/>
            <w:tcBorders>
              <w:top w:val="nil"/>
              <w:left w:val="single" w:sz="4" w:space="0" w:color="auto"/>
              <w:bottom w:val="single" w:sz="4" w:space="0" w:color="auto"/>
              <w:right w:val="single" w:sz="4" w:space="0" w:color="auto"/>
            </w:tcBorders>
            <w:vAlign w:val="center"/>
            <w:hideMark/>
          </w:tcPr>
          <w:p w14:paraId="55874647" w14:textId="77777777" w:rsidR="00145397" w:rsidRPr="00A47956" w:rsidRDefault="00145397" w:rsidP="000F221E">
            <w:pPr>
              <w:rPr>
                <w:rFonts w:asciiTheme="majorHAnsi" w:hAnsiTheme="majorHAnsi" w:cs="Calibri"/>
                <w:b/>
                <w:bCs/>
                <w:color w:val="000000"/>
                <w:sz w:val="18"/>
                <w:szCs w:val="18"/>
                <w:lang w:val="en-IN" w:eastAsia="en-IN"/>
              </w:rPr>
            </w:pPr>
          </w:p>
        </w:tc>
        <w:tc>
          <w:tcPr>
            <w:tcW w:w="1706" w:type="dxa"/>
            <w:tcBorders>
              <w:top w:val="nil"/>
              <w:left w:val="nil"/>
              <w:bottom w:val="single" w:sz="4" w:space="0" w:color="auto"/>
              <w:right w:val="single" w:sz="4" w:space="0" w:color="auto"/>
            </w:tcBorders>
            <w:vAlign w:val="center"/>
            <w:hideMark/>
          </w:tcPr>
          <w:p w14:paraId="419FF812" w14:textId="77777777" w:rsidR="00145397" w:rsidRPr="00A47956" w:rsidRDefault="00145397" w:rsidP="000F221E">
            <w:pP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lang w:val="en-IN" w:eastAsia="en-IN"/>
              </w:rPr>
              <w:t>IT &amp; Technology</w:t>
            </w:r>
          </w:p>
        </w:tc>
        <w:tc>
          <w:tcPr>
            <w:tcW w:w="1124" w:type="dxa"/>
            <w:tcBorders>
              <w:top w:val="nil"/>
              <w:left w:val="nil"/>
              <w:bottom w:val="single" w:sz="4" w:space="0" w:color="auto"/>
              <w:right w:val="single" w:sz="4" w:space="0" w:color="auto"/>
            </w:tcBorders>
            <w:noWrap/>
            <w:vAlign w:val="center"/>
            <w:hideMark/>
          </w:tcPr>
          <w:p w14:paraId="30FCA20E"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48.19</w:t>
            </w:r>
          </w:p>
        </w:tc>
        <w:tc>
          <w:tcPr>
            <w:tcW w:w="1080" w:type="dxa"/>
            <w:tcBorders>
              <w:top w:val="nil"/>
              <w:left w:val="nil"/>
              <w:bottom w:val="single" w:sz="4" w:space="0" w:color="auto"/>
              <w:right w:val="single" w:sz="4" w:space="0" w:color="auto"/>
            </w:tcBorders>
            <w:noWrap/>
            <w:vAlign w:val="center"/>
            <w:hideMark/>
          </w:tcPr>
          <w:p w14:paraId="66E1D2EB"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-0.91</w:t>
            </w:r>
          </w:p>
        </w:tc>
        <w:tc>
          <w:tcPr>
            <w:tcW w:w="1184" w:type="dxa"/>
            <w:tcBorders>
              <w:top w:val="nil"/>
              <w:left w:val="nil"/>
              <w:bottom w:val="single" w:sz="4" w:space="0" w:color="auto"/>
              <w:right w:val="single" w:sz="4" w:space="0" w:color="auto"/>
            </w:tcBorders>
            <w:noWrap/>
            <w:vAlign w:val="center"/>
            <w:hideMark/>
          </w:tcPr>
          <w:p w14:paraId="0065676D"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47.28</w:t>
            </w:r>
          </w:p>
        </w:tc>
        <w:tc>
          <w:tcPr>
            <w:tcW w:w="855" w:type="dxa"/>
            <w:tcBorders>
              <w:top w:val="nil"/>
              <w:left w:val="nil"/>
              <w:bottom w:val="single" w:sz="4" w:space="0" w:color="auto"/>
              <w:right w:val="single" w:sz="4" w:space="0" w:color="auto"/>
            </w:tcBorders>
            <w:noWrap/>
            <w:vAlign w:val="center"/>
            <w:hideMark/>
          </w:tcPr>
          <w:p w14:paraId="4D3D8335"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47.28</w:t>
            </w:r>
          </w:p>
        </w:tc>
        <w:tc>
          <w:tcPr>
            <w:tcW w:w="855" w:type="dxa"/>
            <w:tcBorders>
              <w:top w:val="nil"/>
              <w:left w:val="nil"/>
              <w:bottom w:val="single" w:sz="4" w:space="0" w:color="auto"/>
              <w:right w:val="single" w:sz="4" w:space="0" w:color="auto"/>
            </w:tcBorders>
            <w:noWrap/>
            <w:vAlign w:val="center"/>
            <w:hideMark/>
          </w:tcPr>
          <w:p w14:paraId="4BDF7474"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0.00</w:t>
            </w:r>
          </w:p>
        </w:tc>
        <w:tc>
          <w:tcPr>
            <w:tcW w:w="825" w:type="dxa"/>
            <w:tcBorders>
              <w:top w:val="nil"/>
              <w:left w:val="nil"/>
              <w:bottom w:val="single" w:sz="4" w:space="0" w:color="auto"/>
              <w:right w:val="single" w:sz="4" w:space="0" w:color="auto"/>
            </w:tcBorders>
            <w:noWrap/>
            <w:vAlign w:val="center"/>
            <w:hideMark/>
          </w:tcPr>
          <w:p w14:paraId="56835317"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0.00</w:t>
            </w:r>
          </w:p>
        </w:tc>
        <w:tc>
          <w:tcPr>
            <w:tcW w:w="958" w:type="dxa"/>
            <w:tcBorders>
              <w:top w:val="nil"/>
              <w:left w:val="nil"/>
              <w:bottom w:val="single" w:sz="4" w:space="0" w:color="auto"/>
              <w:right w:val="single" w:sz="4" w:space="0" w:color="auto"/>
            </w:tcBorders>
            <w:noWrap/>
            <w:vAlign w:val="center"/>
            <w:hideMark/>
          </w:tcPr>
          <w:p w14:paraId="0717881A"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47.28</w:t>
            </w:r>
          </w:p>
        </w:tc>
      </w:tr>
      <w:tr w:rsidR="00145397" w:rsidRPr="00A47956" w14:paraId="06756F19" w14:textId="77777777" w:rsidTr="00304420">
        <w:trPr>
          <w:trHeight w:val="290"/>
          <w:jc w:val="center"/>
        </w:trPr>
        <w:tc>
          <w:tcPr>
            <w:tcW w:w="1271" w:type="dxa"/>
            <w:vMerge/>
            <w:tcBorders>
              <w:top w:val="nil"/>
              <w:left w:val="single" w:sz="4" w:space="0" w:color="auto"/>
              <w:bottom w:val="single" w:sz="4" w:space="0" w:color="auto"/>
              <w:right w:val="single" w:sz="4" w:space="0" w:color="auto"/>
            </w:tcBorders>
            <w:vAlign w:val="center"/>
            <w:hideMark/>
          </w:tcPr>
          <w:p w14:paraId="525550A0" w14:textId="77777777" w:rsidR="00145397" w:rsidRPr="00A47956" w:rsidRDefault="00145397" w:rsidP="000F221E">
            <w:pPr>
              <w:rPr>
                <w:rFonts w:asciiTheme="majorHAnsi" w:hAnsiTheme="majorHAnsi" w:cs="Calibri"/>
                <w:b/>
                <w:bCs/>
                <w:color w:val="000000"/>
                <w:sz w:val="18"/>
                <w:szCs w:val="18"/>
                <w:lang w:val="en-IN" w:eastAsia="en-IN"/>
              </w:rPr>
            </w:pPr>
          </w:p>
        </w:tc>
        <w:tc>
          <w:tcPr>
            <w:tcW w:w="1706" w:type="dxa"/>
            <w:tcBorders>
              <w:top w:val="nil"/>
              <w:left w:val="nil"/>
              <w:bottom w:val="single" w:sz="4" w:space="0" w:color="auto"/>
              <w:right w:val="single" w:sz="4" w:space="0" w:color="auto"/>
            </w:tcBorders>
            <w:vAlign w:val="center"/>
            <w:hideMark/>
          </w:tcPr>
          <w:p w14:paraId="2E02F426" w14:textId="77777777" w:rsidR="00145397" w:rsidRPr="00A47956" w:rsidRDefault="00145397" w:rsidP="000F221E">
            <w:pP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lang w:val="en-IN" w:eastAsia="en-IN"/>
              </w:rPr>
              <w:t xml:space="preserve">OT-GIS/SCADA </w:t>
            </w:r>
          </w:p>
        </w:tc>
        <w:tc>
          <w:tcPr>
            <w:tcW w:w="1124" w:type="dxa"/>
            <w:tcBorders>
              <w:top w:val="nil"/>
              <w:left w:val="nil"/>
              <w:bottom w:val="single" w:sz="4" w:space="0" w:color="auto"/>
              <w:right w:val="single" w:sz="4" w:space="0" w:color="auto"/>
            </w:tcBorders>
            <w:noWrap/>
            <w:vAlign w:val="center"/>
            <w:hideMark/>
          </w:tcPr>
          <w:p w14:paraId="425D3078"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40.10</w:t>
            </w:r>
          </w:p>
        </w:tc>
        <w:tc>
          <w:tcPr>
            <w:tcW w:w="1080" w:type="dxa"/>
            <w:tcBorders>
              <w:top w:val="nil"/>
              <w:left w:val="nil"/>
              <w:bottom w:val="single" w:sz="4" w:space="0" w:color="auto"/>
              <w:right w:val="single" w:sz="4" w:space="0" w:color="auto"/>
            </w:tcBorders>
            <w:noWrap/>
            <w:vAlign w:val="center"/>
            <w:hideMark/>
          </w:tcPr>
          <w:p w14:paraId="0C193D32"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-0.45</w:t>
            </w:r>
          </w:p>
        </w:tc>
        <w:tc>
          <w:tcPr>
            <w:tcW w:w="1184" w:type="dxa"/>
            <w:tcBorders>
              <w:top w:val="nil"/>
              <w:left w:val="nil"/>
              <w:bottom w:val="single" w:sz="4" w:space="0" w:color="auto"/>
              <w:right w:val="single" w:sz="4" w:space="0" w:color="auto"/>
            </w:tcBorders>
            <w:noWrap/>
            <w:vAlign w:val="center"/>
            <w:hideMark/>
          </w:tcPr>
          <w:p w14:paraId="3F4D5339"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39.65</w:t>
            </w:r>
          </w:p>
        </w:tc>
        <w:tc>
          <w:tcPr>
            <w:tcW w:w="855" w:type="dxa"/>
            <w:tcBorders>
              <w:top w:val="nil"/>
              <w:left w:val="nil"/>
              <w:bottom w:val="single" w:sz="4" w:space="0" w:color="auto"/>
              <w:right w:val="single" w:sz="4" w:space="0" w:color="auto"/>
            </w:tcBorders>
            <w:noWrap/>
            <w:vAlign w:val="center"/>
            <w:hideMark/>
          </w:tcPr>
          <w:p w14:paraId="147E840E"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39.32</w:t>
            </w:r>
          </w:p>
        </w:tc>
        <w:tc>
          <w:tcPr>
            <w:tcW w:w="855" w:type="dxa"/>
            <w:tcBorders>
              <w:top w:val="nil"/>
              <w:left w:val="nil"/>
              <w:bottom w:val="single" w:sz="4" w:space="0" w:color="auto"/>
              <w:right w:val="single" w:sz="4" w:space="0" w:color="auto"/>
            </w:tcBorders>
            <w:noWrap/>
            <w:vAlign w:val="center"/>
            <w:hideMark/>
          </w:tcPr>
          <w:p w14:paraId="549CD876"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0.14</w:t>
            </w:r>
          </w:p>
        </w:tc>
        <w:tc>
          <w:tcPr>
            <w:tcW w:w="825" w:type="dxa"/>
            <w:tcBorders>
              <w:top w:val="nil"/>
              <w:left w:val="nil"/>
              <w:bottom w:val="single" w:sz="4" w:space="0" w:color="auto"/>
              <w:right w:val="single" w:sz="4" w:space="0" w:color="auto"/>
            </w:tcBorders>
            <w:noWrap/>
            <w:vAlign w:val="center"/>
            <w:hideMark/>
          </w:tcPr>
          <w:p w14:paraId="20291CBB"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0.32</w:t>
            </w:r>
          </w:p>
        </w:tc>
        <w:tc>
          <w:tcPr>
            <w:tcW w:w="958" w:type="dxa"/>
            <w:tcBorders>
              <w:top w:val="nil"/>
              <w:left w:val="nil"/>
              <w:bottom w:val="single" w:sz="4" w:space="0" w:color="auto"/>
              <w:right w:val="single" w:sz="4" w:space="0" w:color="auto"/>
            </w:tcBorders>
            <w:noWrap/>
            <w:vAlign w:val="center"/>
            <w:hideMark/>
          </w:tcPr>
          <w:p w14:paraId="6440010E" w14:textId="77777777" w:rsidR="00145397" w:rsidRPr="00A47956" w:rsidRDefault="00145397" w:rsidP="000F221E">
            <w:pPr>
              <w:jc w:val="center"/>
              <w:rPr>
                <w:rFonts w:asciiTheme="majorHAnsi" w:hAnsiTheme="majorHAnsi" w:cs="Calibri"/>
                <w:color w:val="000000"/>
                <w:sz w:val="18"/>
                <w:szCs w:val="18"/>
                <w:lang w:val="en-IN" w:eastAsia="en-IN"/>
              </w:rPr>
            </w:pPr>
            <w:r w:rsidRPr="00A47956">
              <w:rPr>
                <w:rFonts w:asciiTheme="majorHAnsi" w:hAnsiTheme="majorHAnsi" w:cs="Calibri"/>
                <w:color w:val="000000"/>
                <w:sz w:val="18"/>
                <w:szCs w:val="18"/>
              </w:rPr>
              <w:t>39.19</w:t>
            </w:r>
          </w:p>
        </w:tc>
      </w:tr>
      <w:tr w:rsidR="00145397" w:rsidRPr="00A47956" w14:paraId="3CA067CD" w14:textId="77777777" w:rsidTr="00304420">
        <w:trPr>
          <w:trHeight w:val="290"/>
          <w:jc w:val="center"/>
        </w:trPr>
        <w:tc>
          <w:tcPr>
            <w:tcW w:w="1271" w:type="dxa"/>
            <w:vMerge/>
            <w:tcBorders>
              <w:top w:val="nil"/>
              <w:left w:val="single" w:sz="4" w:space="0" w:color="auto"/>
              <w:bottom w:val="single" w:sz="4" w:space="0" w:color="auto"/>
              <w:right w:val="single" w:sz="4" w:space="0" w:color="auto"/>
            </w:tcBorders>
            <w:vAlign w:val="center"/>
            <w:hideMark/>
          </w:tcPr>
          <w:p w14:paraId="6233D2F8" w14:textId="77777777" w:rsidR="00145397" w:rsidRPr="00A47956" w:rsidRDefault="00145397" w:rsidP="000F221E">
            <w:pPr>
              <w:rPr>
                <w:rFonts w:asciiTheme="majorHAnsi" w:hAnsiTheme="majorHAnsi" w:cs="Calibri"/>
                <w:b/>
                <w:bCs/>
                <w:color w:val="000000"/>
                <w:sz w:val="18"/>
                <w:szCs w:val="18"/>
                <w:lang w:val="en-IN" w:eastAsia="en-IN"/>
              </w:rPr>
            </w:pPr>
          </w:p>
        </w:tc>
        <w:tc>
          <w:tcPr>
            <w:tcW w:w="1706" w:type="dxa"/>
            <w:tcBorders>
              <w:top w:val="nil"/>
              <w:left w:val="nil"/>
              <w:bottom w:val="single" w:sz="4" w:space="0" w:color="auto"/>
              <w:right w:val="single" w:sz="4" w:space="0" w:color="auto"/>
            </w:tcBorders>
            <w:vAlign w:val="center"/>
            <w:hideMark/>
          </w:tcPr>
          <w:p w14:paraId="79315978"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lang w:val="en-IN" w:eastAsia="en-IN"/>
              </w:rPr>
              <w:t>TOTAL</w:t>
            </w:r>
          </w:p>
        </w:tc>
        <w:tc>
          <w:tcPr>
            <w:tcW w:w="1124" w:type="dxa"/>
            <w:tcBorders>
              <w:top w:val="nil"/>
              <w:left w:val="nil"/>
              <w:bottom w:val="single" w:sz="4" w:space="0" w:color="auto"/>
              <w:right w:val="single" w:sz="4" w:space="0" w:color="auto"/>
            </w:tcBorders>
            <w:noWrap/>
            <w:vAlign w:val="center"/>
            <w:hideMark/>
          </w:tcPr>
          <w:p w14:paraId="75424794"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114.61</w:t>
            </w:r>
          </w:p>
        </w:tc>
        <w:tc>
          <w:tcPr>
            <w:tcW w:w="1080" w:type="dxa"/>
            <w:tcBorders>
              <w:top w:val="nil"/>
              <w:left w:val="nil"/>
              <w:bottom w:val="single" w:sz="4" w:space="0" w:color="auto"/>
              <w:right w:val="single" w:sz="4" w:space="0" w:color="auto"/>
            </w:tcBorders>
            <w:noWrap/>
            <w:vAlign w:val="center"/>
            <w:hideMark/>
          </w:tcPr>
          <w:p w14:paraId="0AC0E3B1"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0.00</w:t>
            </w:r>
          </w:p>
        </w:tc>
        <w:tc>
          <w:tcPr>
            <w:tcW w:w="1184" w:type="dxa"/>
            <w:tcBorders>
              <w:top w:val="nil"/>
              <w:left w:val="nil"/>
              <w:bottom w:val="single" w:sz="4" w:space="0" w:color="auto"/>
              <w:right w:val="single" w:sz="4" w:space="0" w:color="auto"/>
            </w:tcBorders>
            <w:noWrap/>
            <w:vAlign w:val="center"/>
            <w:hideMark/>
          </w:tcPr>
          <w:p w14:paraId="24EBB892"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114.61</w:t>
            </w:r>
          </w:p>
        </w:tc>
        <w:tc>
          <w:tcPr>
            <w:tcW w:w="855" w:type="dxa"/>
            <w:tcBorders>
              <w:top w:val="nil"/>
              <w:left w:val="nil"/>
              <w:bottom w:val="single" w:sz="4" w:space="0" w:color="auto"/>
              <w:right w:val="single" w:sz="4" w:space="0" w:color="auto"/>
            </w:tcBorders>
            <w:noWrap/>
            <w:vAlign w:val="center"/>
            <w:hideMark/>
          </w:tcPr>
          <w:p w14:paraId="02148685"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113.36</w:t>
            </w:r>
          </w:p>
        </w:tc>
        <w:tc>
          <w:tcPr>
            <w:tcW w:w="855" w:type="dxa"/>
            <w:tcBorders>
              <w:top w:val="nil"/>
              <w:left w:val="nil"/>
              <w:bottom w:val="single" w:sz="4" w:space="0" w:color="auto"/>
              <w:right w:val="single" w:sz="4" w:space="0" w:color="auto"/>
            </w:tcBorders>
            <w:noWrap/>
            <w:vAlign w:val="center"/>
            <w:hideMark/>
          </w:tcPr>
          <w:p w14:paraId="687948BF"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0.15</w:t>
            </w:r>
          </w:p>
        </w:tc>
        <w:tc>
          <w:tcPr>
            <w:tcW w:w="825" w:type="dxa"/>
            <w:tcBorders>
              <w:top w:val="nil"/>
              <w:left w:val="nil"/>
              <w:bottom w:val="single" w:sz="4" w:space="0" w:color="auto"/>
              <w:right w:val="single" w:sz="4" w:space="0" w:color="auto"/>
            </w:tcBorders>
            <w:noWrap/>
            <w:vAlign w:val="center"/>
            <w:hideMark/>
          </w:tcPr>
          <w:p w14:paraId="0FE8BC95"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1.26</w:t>
            </w:r>
          </w:p>
        </w:tc>
        <w:tc>
          <w:tcPr>
            <w:tcW w:w="958" w:type="dxa"/>
            <w:tcBorders>
              <w:top w:val="nil"/>
              <w:left w:val="nil"/>
              <w:bottom w:val="single" w:sz="4" w:space="0" w:color="auto"/>
              <w:right w:val="single" w:sz="4" w:space="0" w:color="auto"/>
            </w:tcBorders>
            <w:noWrap/>
            <w:vAlign w:val="center"/>
            <w:hideMark/>
          </w:tcPr>
          <w:p w14:paraId="6E97478A"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rPr>
              <w:t>113.21</w:t>
            </w:r>
          </w:p>
        </w:tc>
      </w:tr>
      <w:tr w:rsidR="00145397" w:rsidRPr="00A47956" w14:paraId="3F2AA238" w14:textId="77777777" w:rsidTr="00304420">
        <w:trPr>
          <w:trHeight w:val="310"/>
          <w:jc w:val="center"/>
        </w:trPr>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0BB0840" w14:textId="77777777" w:rsidR="00145397" w:rsidRPr="00A47956" w:rsidRDefault="00145397" w:rsidP="000F221E">
            <w:pPr>
              <w:jc w:val="center"/>
              <w:rPr>
                <w:rFonts w:asciiTheme="majorHAnsi" w:hAnsiTheme="majorHAnsi" w:cs="Calibri"/>
                <w:b/>
                <w:bCs/>
                <w:color w:val="000000"/>
                <w:sz w:val="18"/>
                <w:szCs w:val="18"/>
                <w:lang w:val="en-IN" w:eastAsia="en-IN"/>
              </w:rPr>
            </w:pPr>
            <w:r w:rsidRPr="00A47956">
              <w:rPr>
                <w:rFonts w:asciiTheme="majorHAnsi" w:hAnsiTheme="majorHAnsi" w:cs="Calibri"/>
                <w:b/>
                <w:bCs/>
                <w:color w:val="000000"/>
                <w:sz w:val="18"/>
                <w:szCs w:val="18"/>
                <w:lang w:val="en-IN" w:eastAsia="en-IN"/>
              </w:rPr>
              <w:t>Grand Total</w:t>
            </w:r>
          </w:p>
        </w:tc>
        <w:tc>
          <w:tcPr>
            <w:tcW w:w="1124" w:type="dxa"/>
            <w:tcBorders>
              <w:top w:val="nil"/>
              <w:left w:val="nil"/>
              <w:bottom w:val="single" w:sz="4" w:space="0" w:color="auto"/>
              <w:right w:val="single" w:sz="4" w:space="0" w:color="auto"/>
            </w:tcBorders>
            <w:noWrap/>
            <w:vAlign w:val="center"/>
            <w:hideMark/>
          </w:tcPr>
          <w:p w14:paraId="523864DA" w14:textId="77777777" w:rsidR="00145397" w:rsidRPr="00A47956" w:rsidRDefault="00145397" w:rsidP="000F221E">
            <w:pPr>
              <w:jc w:val="center"/>
              <w:rPr>
                <w:rFonts w:asciiTheme="majorHAnsi" w:hAnsiTheme="majorHAnsi"/>
                <w:b/>
                <w:bCs/>
                <w:sz w:val="18"/>
                <w:szCs w:val="18"/>
              </w:rPr>
            </w:pPr>
            <w:r w:rsidRPr="00A47956">
              <w:rPr>
                <w:rFonts w:asciiTheme="majorHAnsi" w:hAnsiTheme="majorHAnsi" w:cs="Calibri"/>
                <w:b/>
                <w:bCs/>
                <w:color w:val="000000"/>
                <w:sz w:val="18"/>
                <w:szCs w:val="18"/>
              </w:rPr>
              <w:t>477.72</w:t>
            </w:r>
          </w:p>
        </w:tc>
        <w:tc>
          <w:tcPr>
            <w:tcW w:w="1080" w:type="dxa"/>
            <w:tcBorders>
              <w:top w:val="nil"/>
              <w:left w:val="nil"/>
              <w:bottom w:val="single" w:sz="4" w:space="0" w:color="auto"/>
              <w:right w:val="single" w:sz="4" w:space="0" w:color="auto"/>
            </w:tcBorders>
            <w:noWrap/>
            <w:vAlign w:val="center"/>
            <w:hideMark/>
          </w:tcPr>
          <w:p w14:paraId="5881E4B9" w14:textId="77777777" w:rsidR="00145397" w:rsidRPr="00A47956" w:rsidRDefault="00145397" w:rsidP="000F221E">
            <w:pPr>
              <w:jc w:val="center"/>
              <w:rPr>
                <w:rFonts w:asciiTheme="majorHAnsi" w:hAnsiTheme="majorHAnsi"/>
                <w:b/>
                <w:bCs/>
                <w:sz w:val="18"/>
                <w:szCs w:val="18"/>
              </w:rPr>
            </w:pPr>
            <w:r w:rsidRPr="00A47956">
              <w:rPr>
                <w:rFonts w:asciiTheme="majorHAnsi" w:hAnsiTheme="majorHAnsi" w:cs="Calibri"/>
                <w:b/>
                <w:bCs/>
                <w:color w:val="000000"/>
                <w:sz w:val="18"/>
                <w:szCs w:val="18"/>
              </w:rPr>
              <w:t>0.00</w:t>
            </w:r>
          </w:p>
        </w:tc>
        <w:tc>
          <w:tcPr>
            <w:tcW w:w="1184" w:type="dxa"/>
            <w:tcBorders>
              <w:top w:val="nil"/>
              <w:left w:val="nil"/>
              <w:bottom w:val="single" w:sz="4" w:space="0" w:color="auto"/>
              <w:right w:val="single" w:sz="4" w:space="0" w:color="auto"/>
            </w:tcBorders>
            <w:noWrap/>
            <w:vAlign w:val="center"/>
            <w:hideMark/>
          </w:tcPr>
          <w:p w14:paraId="0A306BC5" w14:textId="77777777" w:rsidR="00145397" w:rsidRPr="00A47956" w:rsidRDefault="00145397" w:rsidP="000F221E">
            <w:pPr>
              <w:jc w:val="center"/>
              <w:rPr>
                <w:rFonts w:asciiTheme="majorHAnsi" w:hAnsiTheme="majorHAnsi"/>
                <w:b/>
                <w:bCs/>
                <w:sz w:val="18"/>
                <w:szCs w:val="18"/>
              </w:rPr>
            </w:pPr>
            <w:r w:rsidRPr="00A47956">
              <w:rPr>
                <w:rFonts w:asciiTheme="majorHAnsi" w:hAnsiTheme="majorHAnsi" w:cs="Calibri"/>
                <w:b/>
                <w:bCs/>
                <w:color w:val="000000"/>
                <w:sz w:val="18"/>
                <w:szCs w:val="18"/>
              </w:rPr>
              <w:t>477.72</w:t>
            </w:r>
          </w:p>
        </w:tc>
        <w:tc>
          <w:tcPr>
            <w:tcW w:w="855" w:type="dxa"/>
            <w:tcBorders>
              <w:top w:val="nil"/>
              <w:left w:val="nil"/>
              <w:bottom w:val="single" w:sz="4" w:space="0" w:color="auto"/>
              <w:right w:val="single" w:sz="4" w:space="0" w:color="auto"/>
            </w:tcBorders>
            <w:noWrap/>
            <w:vAlign w:val="center"/>
            <w:hideMark/>
          </w:tcPr>
          <w:p w14:paraId="7EA320E1" w14:textId="77777777" w:rsidR="00145397" w:rsidRPr="00A47956" w:rsidRDefault="00145397" w:rsidP="000F221E">
            <w:pPr>
              <w:jc w:val="center"/>
              <w:rPr>
                <w:rFonts w:asciiTheme="majorHAnsi" w:hAnsiTheme="majorHAnsi"/>
                <w:b/>
                <w:bCs/>
                <w:sz w:val="18"/>
                <w:szCs w:val="18"/>
              </w:rPr>
            </w:pPr>
            <w:r w:rsidRPr="00A47956">
              <w:rPr>
                <w:rFonts w:asciiTheme="majorHAnsi" w:hAnsiTheme="majorHAnsi" w:cs="Calibri"/>
                <w:b/>
                <w:bCs/>
                <w:color w:val="000000"/>
                <w:sz w:val="18"/>
                <w:szCs w:val="18"/>
              </w:rPr>
              <w:t>469.20</w:t>
            </w:r>
          </w:p>
        </w:tc>
        <w:tc>
          <w:tcPr>
            <w:tcW w:w="855" w:type="dxa"/>
            <w:tcBorders>
              <w:top w:val="nil"/>
              <w:left w:val="nil"/>
              <w:bottom w:val="single" w:sz="4" w:space="0" w:color="auto"/>
              <w:right w:val="single" w:sz="4" w:space="0" w:color="auto"/>
            </w:tcBorders>
            <w:noWrap/>
            <w:vAlign w:val="center"/>
            <w:hideMark/>
          </w:tcPr>
          <w:p w14:paraId="53316068" w14:textId="77777777" w:rsidR="00145397" w:rsidRPr="00A47956" w:rsidRDefault="00145397" w:rsidP="000F221E">
            <w:pPr>
              <w:jc w:val="center"/>
              <w:rPr>
                <w:rFonts w:asciiTheme="majorHAnsi" w:hAnsiTheme="majorHAnsi"/>
                <w:b/>
                <w:bCs/>
                <w:sz w:val="18"/>
                <w:szCs w:val="18"/>
              </w:rPr>
            </w:pPr>
            <w:r w:rsidRPr="00A47956">
              <w:rPr>
                <w:rFonts w:asciiTheme="majorHAnsi" w:hAnsiTheme="majorHAnsi" w:cs="Calibri"/>
                <w:b/>
                <w:bCs/>
                <w:color w:val="000000"/>
                <w:sz w:val="18"/>
                <w:szCs w:val="18"/>
              </w:rPr>
              <w:t>7.47</w:t>
            </w:r>
          </w:p>
        </w:tc>
        <w:tc>
          <w:tcPr>
            <w:tcW w:w="825" w:type="dxa"/>
            <w:tcBorders>
              <w:top w:val="nil"/>
              <w:left w:val="nil"/>
              <w:bottom w:val="single" w:sz="4" w:space="0" w:color="auto"/>
              <w:right w:val="single" w:sz="4" w:space="0" w:color="auto"/>
            </w:tcBorders>
            <w:noWrap/>
            <w:vAlign w:val="center"/>
            <w:hideMark/>
          </w:tcPr>
          <w:p w14:paraId="284C5B9C" w14:textId="77777777" w:rsidR="00145397" w:rsidRPr="00A47956" w:rsidRDefault="00145397" w:rsidP="000F221E">
            <w:pPr>
              <w:jc w:val="center"/>
              <w:rPr>
                <w:rFonts w:asciiTheme="majorHAnsi" w:hAnsiTheme="majorHAnsi"/>
                <w:b/>
                <w:bCs/>
                <w:sz w:val="18"/>
                <w:szCs w:val="18"/>
              </w:rPr>
            </w:pPr>
            <w:r w:rsidRPr="00A47956">
              <w:rPr>
                <w:rFonts w:asciiTheme="majorHAnsi" w:hAnsiTheme="majorHAnsi" w:cs="Calibri"/>
                <w:b/>
                <w:bCs/>
                <w:color w:val="000000"/>
                <w:sz w:val="18"/>
                <w:szCs w:val="18"/>
              </w:rPr>
              <w:t>8.53</w:t>
            </w:r>
          </w:p>
        </w:tc>
        <w:tc>
          <w:tcPr>
            <w:tcW w:w="958" w:type="dxa"/>
            <w:tcBorders>
              <w:top w:val="nil"/>
              <w:left w:val="nil"/>
              <w:bottom w:val="single" w:sz="4" w:space="0" w:color="auto"/>
              <w:right w:val="single" w:sz="4" w:space="0" w:color="auto"/>
            </w:tcBorders>
            <w:noWrap/>
            <w:vAlign w:val="center"/>
            <w:hideMark/>
          </w:tcPr>
          <w:p w14:paraId="146343BF" w14:textId="77777777" w:rsidR="00145397" w:rsidRPr="00A47956" w:rsidRDefault="00145397" w:rsidP="000F221E">
            <w:pPr>
              <w:jc w:val="center"/>
              <w:rPr>
                <w:rFonts w:asciiTheme="majorHAnsi" w:hAnsiTheme="majorHAnsi" w:cs="Calibri"/>
                <w:b/>
                <w:bCs/>
                <w:color w:val="000000"/>
                <w:sz w:val="18"/>
                <w:szCs w:val="18"/>
              </w:rPr>
            </w:pPr>
            <w:r w:rsidRPr="00A47956">
              <w:rPr>
                <w:rFonts w:asciiTheme="majorHAnsi" w:hAnsiTheme="majorHAnsi" w:cs="Calibri"/>
                <w:b/>
                <w:bCs/>
                <w:color w:val="000000"/>
                <w:sz w:val="18"/>
                <w:szCs w:val="18"/>
              </w:rPr>
              <w:t>461.73</w:t>
            </w:r>
          </w:p>
        </w:tc>
      </w:tr>
    </w:tbl>
    <w:p w14:paraId="4AB7EF3E" w14:textId="77777777" w:rsidR="00C00A77" w:rsidRDefault="00C00A77" w:rsidP="00C00A77">
      <w:pPr>
        <w:spacing w:line="360" w:lineRule="auto"/>
        <w:jc w:val="both"/>
        <w:rPr>
          <w:rFonts w:asciiTheme="majorHAnsi" w:hAnsiTheme="majorHAnsi"/>
          <w:b/>
          <w:bCs/>
          <w:u w:val="single"/>
        </w:rPr>
      </w:pPr>
    </w:p>
    <w:p w14:paraId="2A23D9FC" w14:textId="77777777" w:rsidR="00C00A77" w:rsidRDefault="00C00A77" w:rsidP="00C00A77">
      <w:pPr>
        <w:spacing w:line="360" w:lineRule="auto"/>
        <w:jc w:val="both"/>
        <w:rPr>
          <w:rFonts w:asciiTheme="majorHAnsi" w:hAnsiTheme="majorHAnsi"/>
          <w:b/>
          <w:bCs/>
          <w:u w:val="single"/>
        </w:rPr>
      </w:pPr>
      <w:r w:rsidRPr="00912B86">
        <w:rPr>
          <w:rFonts w:asciiTheme="majorHAnsi" w:hAnsiTheme="majorHAnsi"/>
          <w:b/>
          <w:bCs/>
          <w:u w:val="single"/>
        </w:rPr>
        <w:t>FY 202</w:t>
      </w:r>
      <w:r>
        <w:rPr>
          <w:rFonts w:asciiTheme="majorHAnsi" w:hAnsiTheme="majorHAnsi"/>
          <w:b/>
          <w:bCs/>
          <w:u w:val="single"/>
        </w:rPr>
        <w:t>3</w:t>
      </w:r>
      <w:r w:rsidRPr="00912B86">
        <w:rPr>
          <w:rFonts w:asciiTheme="majorHAnsi" w:hAnsiTheme="majorHAnsi"/>
          <w:b/>
          <w:bCs/>
          <w:u w:val="single"/>
        </w:rPr>
        <w:t>-2</w:t>
      </w:r>
      <w:r>
        <w:rPr>
          <w:rFonts w:asciiTheme="majorHAnsi" w:hAnsiTheme="majorHAnsi"/>
          <w:b/>
          <w:bCs/>
          <w:u w:val="single"/>
        </w:rPr>
        <w:t>4</w:t>
      </w:r>
    </w:p>
    <w:tbl>
      <w:tblPr>
        <w:tblW w:w="10016" w:type="dxa"/>
        <w:jc w:val="center"/>
        <w:tblLayout w:type="fixed"/>
        <w:tblLook w:val="04A0" w:firstRow="1" w:lastRow="0" w:firstColumn="1" w:lastColumn="0" w:noHBand="0" w:noVBand="1"/>
      </w:tblPr>
      <w:tblGrid>
        <w:gridCol w:w="1269"/>
        <w:gridCol w:w="2131"/>
        <w:gridCol w:w="16"/>
        <w:gridCol w:w="972"/>
        <w:gridCol w:w="990"/>
        <w:gridCol w:w="1114"/>
        <w:gridCol w:w="863"/>
        <w:gridCol w:w="849"/>
        <w:gridCol w:w="987"/>
        <w:gridCol w:w="825"/>
      </w:tblGrid>
      <w:tr w:rsidR="00992D8B" w:rsidRPr="00992D8B" w14:paraId="0C0407EF" w14:textId="77777777" w:rsidTr="00304420">
        <w:trPr>
          <w:trHeight w:val="759"/>
          <w:tblHeader/>
          <w:jc w:val="center"/>
        </w:trPr>
        <w:tc>
          <w:tcPr>
            <w:tcW w:w="1269" w:type="dxa"/>
            <w:tcBorders>
              <w:top w:val="single" w:sz="4" w:space="0" w:color="auto"/>
              <w:left w:val="single" w:sz="4" w:space="0" w:color="auto"/>
              <w:bottom w:val="single" w:sz="4" w:space="0" w:color="auto"/>
              <w:right w:val="single" w:sz="4" w:space="0" w:color="auto"/>
            </w:tcBorders>
            <w:vAlign w:val="center"/>
            <w:hideMark/>
          </w:tcPr>
          <w:p w14:paraId="1614B738" w14:textId="77777777" w:rsidR="005E1930" w:rsidRPr="00992D8B" w:rsidRDefault="005E1930" w:rsidP="000F221E">
            <w:pPr>
              <w:spacing w:line="240" w:lineRule="atLeast"/>
              <w:jc w:val="center"/>
              <w:rPr>
                <w:rFonts w:ascii="Cambria" w:hAnsi="Cambria" w:cs="Calibri"/>
                <w:b/>
                <w:bCs/>
                <w:sz w:val="18"/>
                <w:szCs w:val="18"/>
                <w:lang w:val="en-IN" w:eastAsia="en-IN" w:bidi="bn-BD"/>
              </w:rPr>
            </w:pPr>
            <w:r w:rsidRPr="00992D8B">
              <w:rPr>
                <w:rFonts w:ascii="Cambria" w:hAnsi="Cambria" w:cs="Calibri"/>
                <w:b/>
                <w:bCs/>
                <w:sz w:val="18"/>
                <w:szCs w:val="18"/>
                <w:lang w:val="en-IN" w:eastAsia="en-IN" w:bidi="bn-BD"/>
              </w:rPr>
              <w:t>Particulars</w:t>
            </w:r>
          </w:p>
        </w:tc>
        <w:tc>
          <w:tcPr>
            <w:tcW w:w="2131" w:type="dxa"/>
            <w:tcBorders>
              <w:top w:val="single" w:sz="4" w:space="0" w:color="auto"/>
              <w:left w:val="nil"/>
              <w:bottom w:val="single" w:sz="4" w:space="0" w:color="auto"/>
              <w:right w:val="single" w:sz="4" w:space="0" w:color="auto"/>
            </w:tcBorders>
            <w:vAlign w:val="center"/>
            <w:hideMark/>
          </w:tcPr>
          <w:p w14:paraId="33C5918C" w14:textId="77777777" w:rsidR="005E1930" w:rsidRPr="00992D8B" w:rsidRDefault="005E1930" w:rsidP="000F221E">
            <w:pPr>
              <w:spacing w:line="240" w:lineRule="atLeast"/>
              <w:jc w:val="center"/>
              <w:rPr>
                <w:rFonts w:ascii="Cambria" w:hAnsi="Cambria" w:cs="Calibri"/>
                <w:b/>
                <w:bCs/>
                <w:sz w:val="18"/>
                <w:szCs w:val="18"/>
                <w:lang w:val="en-IN" w:eastAsia="en-IN" w:bidi="bn-BD"/>
              </w:rPr>
            </w:pPr>
            <w:r w:rsidRPr="00992D8B">
              <w:rPr>
                <w:rFonts w:ascii="Cambria" w:hAnsi="Cambria" w:cs="Calibri"/>
                <w:b/>
                <w:bCs/>
                <w:sz w:val="18"/>
                <w:szCs w:val="18"/>
                <w:lang w:val="en-IN" w:eastAsia="en-IN" w:bidi="bn-BD"/>
              </w:rPr>
              <w:t>Description</w:t>
            </w:r>
          </w:p>
        </w:tc>
        <w:tc>
          <w:tcPr>
            <w:tcW w:w="988" w:type="dxa"/>
            <w:gridSpan w:val="2"/>
            <w:tcBorders>
              <w:top w:val="single" w:sz="4" w:space="0" w:color="auto"/>
              <w:left w:val="nil"/>
              <w:bottom w:val="single" w:sz="4" w:space="0" w:color="auto"/>
              <w:right w:val="single" w:sz="4" w:space="0" w:color="auto"/>
            </w:tcBorders>
            <w:vAlign w:val="center"/>
            <w:hideMark/>
          </w:tcPr>
          <w:p w14:paraId="3D6D7629" w14:textId="77777777" w:rsidR="005E1930" w:rsidRPr="00992D8B" w:rsidRDefault="005E1930" w:rsidP="000F221E">
            <w:pPr>
              <w:spacing w:line="240" w:lineRule="atLeast"/>
              <w:jc w:val="center"/>
              <w:rPr>
                <w:rFonts w:ascii="Cambria" w:hAnsi="Cambria" w:cs="Calibri"/>
                <w:b/>
                <w:bCs/>
                <w:sz w:val="18"/>
                <w:szCs w:val="18"/>
                <w:lang w:val="en-IN" w:eastAsia="en-IN" w:bidi="bn-BD"/>
              </w:rPr>
            </w:pPr>
            <w:r w:rsidRPr="00992D8B">
              <w:rPr>
                <w:rFonts w:ascii="Cambria" w:hAnsi="Cambria" w:cs="Calibri"/>
                <w:b/>
                <w:bCs/>
                <w:sz w:val="18"/>
                <w:szCs w:val="18"/>
                <w:lang w:val="en-IN" w:eastAsia="en-IN" w:bidi="bn-BD"/>
              </w:rPr>
              <w:t>OERC Approved Budget</w:t>
            </w:r>
          </w:p>
        </w:tc>
        <w:tc>
          <w:tcPr>
            <w:tcW w:w="990" w:type="dxa"/>
            <w:tcBorders>
              <w:top w:val="single" w:sz="4" w:space="0" w:color="auto"/>
              <w:left w:val="nil"/>
              <w:bottom w:val="single" w:sz="4" w:space="0" w:color="auto"/>
              <w:right w:val="single" w:sz="4" w:space="0" w:color="auto"/>
            </w:tcBorders>
            <w:vAlign w:val="center"/>
            <w:hideMark/>
          </w:tcPr>
          <w:p w14:paraId="2B5AD59E" w14:textId="77777777" w:rsidR="005E1930" w:rsidRPr="00992D8B" w:rsidRDefault="005E1930" w:rsidP="000F221E">
            <w:pPr>
              <w:spacing w:line="240" w:lineRule="atLeast"/>
              <w:jc w:val="center"/>
              <w:rPr>
                <w:rFonts w:ascii="Cambria" w:hAnsi="Cambria" w:cs="Calibri"/>
                <w:b/>
                <w:bCs/>
                <w:sz w:val="18"/>
                <w:szCs w:val="18"/>
                <w:lang w:val="en-IN" w:eastAsia="en-IN" w:bidi="bn-BD"/>
              </w:rPr>
            </w:pPr>
            <w:r w:rsidRPr="00992D8B">
              <w:rPr>
                <w:rFonts w:ascii="Cambria" w:hAnsi="Cambria" w:cs="Calibri"/>
                <w:b/>
                <w:bCs/>
                <w:sz w:val="18"/>
                <w:szCs w:val="18"/>
                <w:lang w:val="en-IN" w:eastAsia="en-IN" w:bidi="bn-BD"/>
              </w:rPr>
              <w:t xml:space="preserve">Adjustment (if any) </w:t>
            </w:r>
          </w:p>
        </w:tc>
        <w:tc>
          <w:tcPr>
            <w:tcW w:w="1114" w:type="dxa"/>
            <w:tcBorders>
              <w:top w:val="single" w:sz="4" w:space="0" w:color="auto"/>
              <w:left w:val="nil"/>
              <w:bottom w:val="single" w:sz="4" w:space="0" w:color="auto"/>
              <w:right w:val="single" w:sz="4" w:space="0" w:color="auto"/>
            </w:tcBorders>
            <w:vAlign w:val="center"/>
            <w:hideMark/>
          </w:tcPr>
          <w:p w14:paraId="56C1D641" w14:textId="77777777" w:rsidR="005E1930" w:rsidRPr="00992D8B" w:rsidRDefault="005E1930" w:rsidP="000F221E">
            <w:pPr>
              <w:spacing w:line="240" w:lineRule="atLeast"/>
              <w:jc w:val="center"/>
              <w:rPr>
                <w:rFonts w:ascii="Cambria" w:hAnsi="Cambria" w:cs="Calibri"/>
                <w:b/>
                <w:bCs/>
                <w:sz w:val="18"/>
                <w:szCs w:val="18"/>
                <w:lang w:val="en-IN" w:eastAsia="en-IN" w:bidi="bn-BD"/>
              </w:rPr>
            </w:pPr>
            <w:r w:rsidRPr="00992D8B">
              <w:rPr>
                <w:rFonts w:ascii="Cambria" w:hAnsi="Cambria" w:cs="Calibri"/>
                <w:b/>
                <w:bCs/>
                <w:sz w:val="18"/>
                <w:szCs w:val="18"/>
                <w:lang w:val="en-IN" w:eastAsia="en-IN" w:bidi="bn-BD"/>
              </w:rPr>
              <w:t>Allocated/ Actual Budget Used</w:t>
            </w:r>
          </w:p>
        </w:tc>
        <w:tc>
          <w:tcPr>
            <w:tcW w:w="863" w:type="dxa"/>
            <w:tcBorders>
              <w:top w:val="single" w:sz="4" w:space="0" w:color="auto"/>
              <w:left w:val="nil"/>
              <w:bottom w:val="single" w:sz="4" w:space="0" w:color="auto"/>
              <w:right w:val="single" w:sz="4" w:space="0" w:color="auto"/>
            </w:tcBorders>
            <w:vAlign w:val="center"/>
            <w:hideMark/>
          </w:tcPr>
          <w:p w14:paraId="65455CDE" w14:textId="77777777" w:rsidR="005E1930" w:rsidRPr="00992D8B" w:rsidRDefault="005E1930" w:rsidP="000F221E">
            <w:pPr>
              <w:spacing w:line="240" w:lineRule="atLeast"/>
              <w:jc w:val="center"/>
              <w:rPr>
                <w:rFonts w:ascii="Cambria" w:hAnsi="Cambria" w:cs="Calibri"/>
                <w:b/>
                <w:bCs/>
                <w:sz w:val="18"/>
                <w:szCs w:val="18"/>
                <w:lang w:val="en-IN" w:eastAsia="en-IN" w:bidi="bn-BD"/>
              </w:rPr>
            </w:pPr>
            <w:r w:rsidRPr="00992D8B">
              <w:rPr>
                <w:rFonts w:ascii="Cambria" w:hAnsi="Cambria" w:cs="Calibri"/>
                <w:b/>
                <w:bCs/>
                <w:sz w:val="18"/>
                <w:szCs w:val="18"/>
                <w:lang w:val="en-IN" w:eastAsia="en-IN" w:bidi="bn-BD"/>
              </w:rPr>
              <w:t>Actual</w:t>
            </w:r>
          </w:p>
        </w:tc>
        <w:tc>
          <w:tcPr>
            <w:tcW w:w="849" w:type="dxa"/>
            <w:tcBorders>
              <w:top w:val="single" w:sz="4" w:space="0" w:color="auto"/>
              <w:left w:val="nil"/>
              <w:bottom w:val="single" w:sz="4" w:space="0" w:color="auto"/>
              <w:right w:val="single" w:sz="4" w:space="0" w:color="auto"/>
            </w:tcBorders>
            <w:vAlign w:val="center"/>
            <w:hideMark/>
          </w:tcPr>
          <w:p w14:paraId="3108A803" w14:textId="77777777" w:rsidR="005E1930" w:rsidRPr="00992D8B" w:rsidRDefault="005E1930" w:rsidP="000F221E">
            <w:pPr>
              <w:spacing w:line="240" w:lineRule="atLeast"/>
              <w:jc w:val="center"/>
              <w:rPr>
                <w:rFonts w:ascii="Cambria" w:hAnsi="Cambria" w:cs="Calibri"/>
                <w:b/>
                <w:bCs/>
                <w:sz w:val="18"/>
                <w:szCs w:val="18"/>
                <w:lang w:val="en-IN" w:eastAsia="en-IN" w:bidi="bn-BD"/>
              </w:rPr>
            </w:pPr>
            <w:r w:rsidRPr="00992D8B">
              <w:rPr>
                <w:rFonts w:ascii="Cambria" w:hAnsi="Cambria" w:cs="Calibri"/>
                <w:b/>
                <w:bCs/>
                <w:sz w:val="18"/>
                <w:szCs w:val="18"/>
                <w:lang w:val="en-IN" w:eastAsia="en-IN" w:bidi="bn-BD"/>
              </w:rPr>
              <w:t>WIP</w:t>
            </w:r>
          </w:p>
        </w:tc>
        <w:tc>
          <w:tcPr>
            <w:tcW w:w="987" w:type="dxa"/>
            <w:tcBorders>
              <w:top w:val="single" w:sz="4" w:space="0" w:color="auto"/>
              <w:left w:val="nil"/>
              <w:bottom w:val="single" w:sz="4" w:space="0" w:color="auto"/>
              <w:right w:val="single" w:sz="4" w:space="0" w:color="auto"/>
            </w:tcBorders>
            <w:vAlign w:val="center"/>
            <w:hideMark/>
          </w:tcPr>
          <w:p w14:paraId="34223C21" w14:textId="77777777" w:rsidR="005E1930" w:rsidRPr="00992D8B" w:rsidRDefault="005E1930" w:rsidP="000F221E">
            <w:pPr>
              <w:spacing w:line="240" w:lineRule="atLeast"/>
              <w:jc w:val="center"/>
              <w:rPr>
                <w:rFonts w:ascii="Cambria" w:hAnsi="Cambria" w:cs="Calibri"/>
                <w:b/>
                <w:bCs/>
                <w:sz w:val="18"/>
                <w:szCs w:val="18"/>
                <w:lang w:val="en-IN" w:eastAsia="en-IN" w:bidi="bn-BD"/>
              </w:rPr>
            </w:pPr>
            <w:r w:rsidRPr="00992D8B">
              <w:rPr>
                <w:rFonts w:ascii="Cambria" w:hAnsi="Cambria" w:cs="Calibri"/>
                <w:b/>
                <w:bCs/>
                <w:sz w:val="18"/>
                <w:szCs w:val="18"/>
                <w:lang w:val="en-IN" w:eastAsia="en-IN" w:bidi="bn-BD"/>
              </w:rPr>
              <w:t>Balance</w:t>
            </w:r>
          </w:p>
        </w:tc>
        <w:tc>
          <w:tcPr>
            <w:tcW w:w="825" w:type="dxa"/>
            <w:tcBorders>
              <w:top w:val="single" w:sz="4" w:space="0" w:color="auto"/>
              <w:left w:val="nil"/>
              <w:bottom w:val="single" w:sz="4" w:space="0" w:color="auto"/>
              <w:right w:val="single" w:sz="4" w:space="0" w:color="auto"/>
            </w:tcBorders>
            <w:vAlign w:val="center"/>
            <w:hideMark/>
          </w:tcPr>
          <w:p w14:paraId="20698AF1" w14:textId="77777777" w:rsidR="005E1930" w:rsidRPr="00992D8B" w:rsidRDefault="005E1930" w:rsidP="000F221E">
            <w:pPr>
              <w:spacing w:line="240" w:lineRule="atLeast"/>
              <w:jc w:val="center"/>
              <w:rPr>
                <w:rFonts w:ascii="Cambria" w:hAnsi="Cambria" w:cs="Calibri"/>
                <w:b/>
                <w:bCs/>
                <w:sz w:val="18"/>
                <w:szCs w:val="18"/>
                <w:lang w:val="en-IN" w:eastAsia="en-IN" w:bidi="bn-BD"/>
              </w:rPr>
            </w:pPr>
            <w:r w:rsidRPr="00992D8B">
              <w:rPr>
                <w:rFonts w:ascii="Cambria" w:hAnsi="Cambria" w:cs="Calibri"/>
                <w:b/>
                <w:bCs/>
                <w:sz w:val="18"/>
                <w:szCs w:val="18"/>
                <w:lang w:val="en-IN" w:eastAsia="en-IN" w:bidi="bn-BD"/>
              </w:rPr>
              <w:t>Capitalization</w:t>
            </w:r>
          </w:p>
        </w:tc>
      </w:tr>
      <w:tr w:rsidR="00992D8B" w:rsidRPr="00992D8B" w14:paraId="10155E2A" w14:textId="77777777" w:rsidTr="00304420">
        <w:trPr>
          <w:trHeight w:val="177"/>
          <w:tblHeader/>
          <w:jc w:val="center"/>
        </w:trPr>
        <w:tc>
          <w:tcPr>
            <w:tcW w:w="1269" w:type="dxa"/>
            <w:tcBorders>
              <w:top w:val="nil"/>
              <w:left w:val="single" w:sz="4" w:space="0" w:color="auto"/>
              <w:bottom w:val="single" w:sz="4" w:space="0" w:color="auto"/>
              <w:right w:val="single" w:sz="4" w:space="0" w:color="auto"/>
            </w:tcBorders>
            <w:vAlign w:val="center"/>
            <w:hideMark/>
          </w:tcPr>
          <w:p w14:paraId="11B12123" w14:textId="77777777" w:rsidR="005E1930" w:rsidRPr="00992D8B" w:rsidRDefault="005E1930" w:rsidP="000F221E">
            <w:pPr>
              <w:spacing w:line="240" w:lineRule="atLeast"/>
              <w:jc w:val="center"/>
              <w:rPr>
                <w:rFonts w:ascii="Cambria" w:hAnsi="Cambria" w:cs="Calibri"/>
                <w:b/>
                <w:bCs/>
                <w:sz w:val="18"/>
                <w:szCs w:val="18"/>
                <w:lang w:val="en-IN" w:eastAsia="en-IN" w:bidi="bn-BD"/>
              </w:rPr>
            </w:pPr>
            <w:r w:rsidRPr="00992D8B">
              <w:rPr>
                <w:rFonts w:ascii="Cambria" w:hAnsi="Cambria" w:cs="Calibri"/>
                <w:b/>
                <w:bCs/>
                <w:sz w:val="18"/>
                <w:szCs w:val="18"/>
                <w:lang w:val="en-IN" w:eastAsia="en-IN" w:bidi="bn-BD"/>
              </w:rPr>
              <w:t>A</w:t>
            </w:r>
          </w:p>
        </w:tc>
        <w:tc>
          <w:tcPr>
            <w:tcW w:w="2131" w:type="dxa"/>
            <w:tcBorders>
              <w:top w:val="nil"/>
              <w:left w:val="nil"/>
              <w:bottom w:val="single" w:sz="4" w:space="0" w:color="auto"/>
              <w:right w:val="single" w:sz="4" w:space="0" w:color="auto"/>
            </w:tcBorders>
            <w:vAlign w:val="center"/>
            <w:hideMark/>
          </w:tcPr>
          <w:p w14:paraId="5350EFDD" w14:textId="77777777" w:rsidR="005E1930" w:rsidRPr="00992D8B" w:rsidRDefault="005E1930" w:rsidP="000F221E">
            <w:pPr>
              <w:spacing w:line="240" w:lineRule="atLeast"/>
              <w:jc w:val="center"/>
              <w:rPr>
                <w:rFonts w:ascii="Cambria" w:hAnsi="Cambria" w:cs="Calibri"/>
                <w:b/>
                <w:bCs/>
                <w:sz w:val="18"/>
                <w:szCs w:val="18"/>
                <w:lang w:val="en-IN" w:eastAsia="en-IN" w:bidi="bn-BD"/>
              </w:rPr>
            </w:pPr>
            <w:r w:rsidRPr="00992D8B">
              <w:rPr>
                <w:rFonts w:ascii="Cambria" w:hAnsi="Cambria" w:cs="Calibri"/>
                <w:b/>
                <w:bCs/>
                <w:sz w:val="18"/>
                <w:szCs w:val="18"/>
                <w:lang w:val="en-IN" w:eastAsia="en-IN" w:bidi="bn-BD"/>
              </w:rPr>
              <w:t>B</w:t>
            </w:r>
          </w:p>
        </w:tc>
        <w:tc>
          <w:tcPr>
            <w:tcW w:w="988" w:type="dxa"/>
            <w:gridSpan w:val="2"/>
            <w:tcBorders>
              <w:top w:val="nil"/>
              <w:left w:val="nil"/>
              <w:bottom w:val="single" w:sz="4" w:space="0" w:color="auto"/>
              <w:right w:val="single" w:sz="4" w:space="0" w:color="auto"/>
            </w:tcBorders>
            <w:vAlign w:val="center"/>
            <w:hideMark/>
          </w:tcPr>
          <w:p w14:paraId="630EDB4F" w14:textId="77777777" w:rsidR="005E1930" w:rsidRPr="00992D8B" w:rsidRDefault="005E1930" w:rsidP="000F221E">
            <w:pPr>
              <w:spacing w:line="240" w:lineRule="atLeast"/>
              <w:jc w:val="center"/>
              <w:rPr>
                <w:rFonts w:ascii="Cambria" w:hAnsi="Cambria" w:cs="Calibri"/>
                <w:b/>
                <w:bCs/>
                <w:sz w:val="18"/>
                <w:szCs w:val="18"/>
                <w:lang w:val="en-IN" w:eastAsia="en-IN" w:bidi="bn-BD"/>
              </w:rPr>
            </w:pPr>
            <w:r w:rsidRPr="00992D8B">
              <w:rPr>
                <w:rFonts w:ascii="Cambria" w:hAnsi="Cambria" w:cs="Calibri"/>
                <w:b/>
                <w:bCs/>
                <w:sz w:val="18"/>
                <w:szCs w:val="18"/>
                <w:lang w:val="en-IN" w:eastAsia="en-IN" w:bidi="bn-BD"/>
              </w:rPr>
              <w:t>C</w:t>
            </w:r>
          </w:p>
        </w:tc>
        <w:tc>
          <w:tcPr>
            <w:tcW w:w="990" w:type="dxa"/>
            <w:tcBorders>
              <w:top w:val="nil"/>
              <w:left w:val="nil"/>
              <w:bottom w:val="single" w:sz="4" w:space="0" w:color="auto"/>
              <w:right w:val="single" w:sz="4" w:space="0" w:color="auto"/>
            </w:tcBorders>
            <w:vAlign w:val="center"/>
            <w:hideMark/>
          </w:tcPr>
          <w:p w14:paraId="4C00405D" w14:textId="77777777" w:rsidR="005E1930" w:rsidRPr="00992D8B" w:rsidRDefault="005E1930" w:rsidP="000F221E">
            <w:pPr>
              <w:spacing w:line="240" w:lineRule="atLeast"/>
              <w:jc w:val="center"/>
              <w:rPr>
                <w:rFonts w:ascii="Cambria" w:hAnsi="Cambria" w:cs="Calibri"/>
                <w:b/>
                <w:bCs/>
                <w:sz w:val="18"/>
                <w:szCs w:val="18"/>
                <w:lang w:val="en-IN" w:eastAsia="en-IN" w:bidi="bn-BD"/>
              </w:rPr>
            </w:pPr>
            <w:r w:rsidRPr="00992D8B">
              <w:rPr>
                <w:rFonts w:ascii="Cambria" w:hAnsi="Cambria" w:cs="Calibri"/>
                <w:b/>
                <w:bCs/>
                <w:sz w:val="18"/>
                <w:szCs w:val="18"/>
                <w:lang w:val="en-IN" w:eastAsia="en-IN" w:bidi="bn-BD"/>
              </w:rPr>
              <w:t>D</w:t>
            </w:r>
          </w:p>
        </w:tc>
        <w:tc>
          <w:tcPr>
            <w:tcW w:w="1114" w:type="dxa"/>
            <w:tcBorders>
              <w:top w:val="nil"/>
              <w:left w:val="nil"/>
              <w:bottom w:val="single" w:sz="4" w:space="0" w:color="auto"/>
              <w:right w:val="single" w:sz="4" w:space="0" w:color="auto"/>
            </w:tcBorders>
            <w:vAlign w:val="center"/>
            <w:hideMark/>
          </w:tcPr>
          <w:p w14:paraId="40B20162" w14:textId="77777777" w:rsidR="005E1930" w:rsidRPr="00992D8B" w:rsidRDefault="005E1930" w:rsidP="000F221E">
            <w:pPr>
              <w:spacing w:line="240" w:lineRule="atLeast"/>
              <w:jc w:val="center"/>
              <w:rPr>
                <w:rFonts w:ascii="Cambria" w:hAnsi="Cambria" w:cs="Calibri"/>
                <w:b/>
                <w:bCs/>
                <w:sz w:val="18"/>
                <w:szCs w:val="18"/>
                <w:lang w:val="en-IN" w:eastAsia="en-IN" w:bidi="bn-BD"/>
              </w:rPr>
            </w:pPr>
            <w:r w:rsidRPr="00992D8B">
              <w:rPr>
                <w:rFonts w:ascii="Cambria" w:hAnsi="Cambria" w:cs="Calibri"/>
                <w:b/>
                <w:bCs/>
                <w:sz w:val="18"/>
                <w:szCs w:val="18"/>
                <w:lang w:val="en-IN" w:eastAsia="en-IN" w:bidi="bn-BD"/>
              </w:rPr>
              <w:t>E</w:t>
            </w:r>
          </w:p>
        </w:tc>
        <w:tc>
          <w:tcPr>
            <w:tcW w:w="863" w:type="dxa"/>
            <w:tcBorders>
              <w:top w:val="nil"/>
              <w:left w:val="nil"/>
              <w:bottom w:val="single" w:sz="4" w:space="0" w:color="auto"/>
              <w:right w:val="single" w:sz="4" w:space="0" w:color="auto"/>
            </w:tcBorders>
            <w:vAlign w:val="center"/>
            <w:hideMark/>
          </w:tcPr>
          <w:p w14:paraId="07EBDF07" w14:textId="77777777" w:rsidR="005E1930" w:rsidRPr="00992D8B" w:rsidRDefault="005E1930" w:rsidP="000F221E">
            <w:pPr>
              <w:spacing w:line="240" w:lineRule="atLeast"/>
              <w:jc w:val="center"/>
              <w:rPr>
                <w:rFonts w:ascii="Cambria" w:hAnsi="Cambria" w:cs="Calibri"/>
                <w:b/>
                <w:bCs/>
                <w:sz w:val="18"/>
                <w:szCs w:val="18"/>
                <w:lang w:val="en-IN" w:eastAsia="en-IN" w:bidi="bn-BD"/>
              </w:rPr>
            </w:pPr>
            <w:r w:rsidRPr="00992D8B">
              <w:rPr>
                <w:rFonts w:ascii="Cambria" w:hAnsi="Cambria" w:cs="Calibri"/>
                <w:b/>
                <w:bCs/>
                <w:sz w:val="18"/>
                <w:szCs w:val="18"/>
                <w:lang w:val="en-IN" w:eastAsia="en-IN" w:bidi="bn-BD"/>
              </w:rPr>
              <w:t>F</w:t>
            </w:r>
          </w:p>
        </w:tc>
        <w:tc>
          <w:tcPr>
            <w:tcW w:w="849" w:type="dxa"/>
            <w:tcBorders>
              <w:top w:val="nil"/>
              <w:left w:val="nil"/>
              <w:bottom w:val="single" w:sz="4" w:space="0" w:color="auto"/>
              <w:right w:val="single" w:sz="4" w:space="0" w:color="auto"/>
            </w:tcBorders>
            <w:vAlign w:val="center"/>
            <w:hideMark/>
          </w:tcPr>
          <w:p w14:paraId="7ED7BB86" w14:textId="77777777" w:rsidR="005E1930" w:rsidRPr="00992D8B" w:rsidRDefault="005E1930" w:rsidP="000F221E">
            <w:pPr>
              <w:spacing w:line="240" w:lineRule="atLeast"/>
              <w:jc w:val="center"/>
              <w:rPr>
                <w:rFonts w:ascii="Cambria" w:hAnsi="Cambria" w:cs="Calibri"/>
                <w:b/>
                <w:bCs/>
                <w:sz w:val="18"/>
                <w:szCs w:val="18"/>
                <w:lang w:val="en-IN" w:eastAsia="en-IN" w:bidi="bn-BD"/>
              </w:rPr>
            </w:pPr>
            <w:r w:rsidRPr="00992D8B">
              <w:rPr>
                <w:rFonts w:ascii="Cambria" w:hAnsi="Cambria" w:cs="Calibri"/>
                <w:b/>
                <w:bCs/>
                <w:sz w:val="18"/>
                <w:szCs w:val="18"/>
                <w:lang w:val="en-IN" w:eastAsia="en-IN" w:bidi="bn-BD"/>
              </w:rPr>
              <w:t>G=F-I</w:t>
            </w:r>
          </w:p>
        </w:tc>
        <w:tc>
          <w:tcPr>
            <w:tcW w:w="987" w:type="dxa"/>
            <w:tcBorders>
              <w:top w:val="nil"/>
              <w:left w:val="nil"/>
              <w:bottom w:val="single" w:sz="4" w:space="0" w:color="auto"/>
              <w:right w:val="single" w:sz="4" w:space="0" w:color="auto"/>
            </w:tcBorders>
            <w:vAlign w:val="center"/>
            <w:hideMark/>
          </w:tcPr>
          <w:p w14:paraId="3541F56C" w14:textId="77777777" w:rsidR="005E1930" w:rsidRPr="00992D8B" w:rsidRDefault="005E1930" w:rsidP="000F221E">
            <w:pPr>
              <w:spacing w:line="240" w:lineRule="atLeast"/>
              <w:jc w:val="center"/>
              <w:rPr>
                <w:rFonts w:ascii="Cambria" w:hAnsi="Cambria" w:cs="Calibri"/>
                <w:b/>
                <w:bCs/>
                <w:sz w:val="18"/>
                <w:szCs w:val="18"/>
                <w:lang w:val="en-IN" w:eastAsia="en-IN" w:bidi="bn-BD"/>
              </w:rPr>
            </w:pPr>
            <w:r w:rsidRPr="00992D8B">
              <w:rPr>
                <w:rFonts w:ascii="Cambria" w:hAnsi="Cambria" w:cs="Calibri"/>
                <w:b/>
                <w:bCs/>
                <w:sz w:val="18"/>
                <w:szCs w:val="18"/>
                <w:lang w:val="en-IN" w:eastAsia="en-IN" w:bidi="bn-BD"/>
              </w:rPr>
              <w:t>H=E-F</w:t>
            </w:r>
          </w:p>
        </w:tc>
        <w:tc>
          <w:tcPr>
            <w:tcW w:w="825" w:type="dxa"/>
            <w:tcBorders>
              <w:top w:val="nil"/>
              <w:left w:val="nil"/>
              <w:bottom w:val="single" w:sz="4" w:space="0" w:color="auto"/>
              <w:right w:val="single" w:sz="4" w:space="0" w:color="auto"/>
            </w:tcBorders>
            <w:vAlign w:val="center"/>
            <w:hideMark/>
          </w:tcPr>
          <w:p w14:paraId="3E70FFE2" w14:textId="77777777" w:rsidR="005E1930" w:rsidRPr="00992D8B" w:rsidRDefault="005E1930" w:rsidP="000F221E">
            <w:pPr>
              <w:spacing w:line="240" w:lineRule="atLeast"/>
              <w:jc w:val="center"/>
              <w:rPr>
                <w:rFonts w:ascii="Cambria" w:hAnsi="Cambria" w:cs="Calibri"/>
                <w:b/>
                <w:bCs/>
                <w:sz w:val="18"/>
                <w:szCs w:val="18"/>
                <w:lang w:val="en-IN" w:eastAsia="en-IN" w:bidi="bn-BD"/>
              </w:rPr>
            </w:pPr>
            <w:r w:rsidRPr="00992D8B">
              <w:rPr>
                <w:rFonts w:ascii="Cambria" w:hAnsi="Cambria" w:cs="Calibri"/>
                <w:b/>
                <w:bCs/>
                <w:sz w:val="18"/>
                <w:szCs w:val="18"/>
                <w:lang w:val="en-IN" w:eastAsia="en-IN" w:bidi="bn-BD"/>
              </w:rPr>
              <w:t>I</w:t>
            </w:r>
          </w:p>
        </w:tc>
      </w:tr>
      <w:tr w:rsidR="00992D8B" w:rsidRPr="00992D8B" w14:paraId="16760DC4" w14:textId="77777777" w:rsidTr="00304420">
        <w:trPr>
          <w:trHeight w:val="888"/>
          <w:jc w:val="center"/>
        </w:trPr>
        <w:tc>
          <w:tcPr>
            <w:tcW w:w="1269" w:type="dxa"/>
            <w:vMerge w:val="restart"/>
            <w:tcBorders>
              <w:top w:val="nil"/>
              <w:left w:val="single" w:sz="4" w:space="0" w:color="auto"/>
              <w:bottom w:val="single" w:sz="4" w:space="0" w:color="auto"/>
              <w:right w:val="single" w:sz="4" w:space="0" w:color="auto"/>
            </w:tcBorders>
            <w:vAlign w:val="center"/>
            <w:hideMark/>
          </w:tcPr>
          <w:p w14:paraId="1ECA3BAA" w14:textId="77777777" w:rsidR="005E1930" w:rsidRPr="00992D8B" w:rsidRDefault="005E1930" w:rsidP="000F221E">
            <w:pPr>
              <w:jc w:val="center"/>
              <w:rPr>
                <w:rFonts w:ascii="Cambria" w:hAnsi="Cambria" w:cs="Calibri"/>
                <w:b/>
                <w:bCs/>
                <w:sz w:val="18"/>
                <w:szCs w:val="18"/>
                <w:lang w:val="en-IN" w:eastAsia="en-IN"/>
              </w:rPr>
            </w:pPr>
            <w:r w:rsidRPr="00992D8B">
              <w:rPr>
                <w:rFonts w:ascii="Cambria" w:hAnsi="Cambria" w:cs="Calibri"/>
                <w:b/>
                <w:bCs/>
                <w:sz w:val="18"/>
                <w:szCs w:val="18"/>
                <w:lang w:val="en-IN" w:eastAsia="en-IN"/>
              </w:rPr>
              <w:t>Statutory, Safety and Security</w:t>
            </w:r>
          </w:p>
        </w:tc>
        <w:tc>
          <w:tcPr>
            <w:tcW w:w="2131" w:type="dxa"/>
            <w:tcBorders>
              <w:top w:val="nil"/>
              <w:left w:val="nil"/>
              <w:bottom w:val="single" w:sz="4" w:space="0" w:color="auto"/>
              <w:right w:val="single" w:sz="4" w:space="0" w:color="auto"/>
            </w:tcBorders>
            <w:vAlign w:val="center"/>
            <w:hideMark/>
          </w:tcPr>
          <w:p w14:paraId="4F5FAA65" w14:textId="77777777" w:rsidR="005E1930" w:rsidRPr="00992D8B" w:rsidRDefault="005E1930" w:rsidP="000F221E">
            <w:pPr>
              <w:rPr>
                <w:rFonts w:ascii="Cambria" w:hAnsi="Cambria" w:cs="Calibri"/>
                <w:sz w:val="18"/>
                <w:szCs w:val="18"/>
                <w:lang w:val="en-IN" w:eastAsia="en-IN"/>
              </w:rPr>
            </w:pPr>
            <w:r w:rsidRPr="00992D8B">
              <w:rPr>
                <w:rFonts w:ascii="Cambria" w:hAnsi="Cambria" w:cs="Calibri"/>
                <w:sz w:val="18"/>
                <w:szCs w:val="18"/>
                <w:lang w:val="en-IN" w:eastAsia="en-IN"/>
              </w:rPr>
              <w:t>Life enhancement of network and maintaining safe horizontal/ vertical clearances maintaining safe horizontal / vertical clearances</w:t>
            </w:r>
          </w:p>
        </w:tc>
        <w:tc>
          <w:tcPr>
            <w:tcW w:w="988" w:type="dxa"/>
            <w:gridSpan w:val="2"/>
            <w:tcBorders>
              <w:top w:val="nil"/>
              <w:left w:val="nil"/>
              <w:bottom w:val="single" w:sz="4" w:space="0" w:color="auto"/>
              <w:right w:val="single" w:sz="4" w:space="0" w:color="auto"/>
            </w:tcBorders>
            <w:vAlign w:val="center"/>
            <w:hideMark/>
          </w:tcPr>
          <w:p w14:paraId="2418C307"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9.02</w:t>
            </w:r>
          </w:p>
        </w:tc>
        <w:tc>
          <w:tcPr>
            <w:tcW w:w="990" w:type="dxa"/>
            <w:tcBorders>
              <w:top w:val="nil"/>
              <w:left w:val="nil"/>
              <w:bottom w:val="single" w:sz="4" w:space="0" w:color="auto"/>
              <w:right w:val="single" w:sz="4" w:space="0" w:color="auto"/>
            </w:tcBorders>
            <w:vAlign w:val="center"/>
            <w:hideMark/>
          </w:tcPr>
          <w:p w14:paraId="64FEB151"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-0.74</w:t>
            </w:r>
          </w:p>
        </w:tc>
        <w:tc>
          <w:tcPr>
            <w:tcW w:w="1114" w:type="dxa"/>
            <w:tcBorders>
              <w:top w:val="nil"/>
              <w:left w:val="nil"/>
              <w:bottom w:val="single" w:sz="4" w:space="0" w:color="auto"/>
              <w:right w:val="single" w:sz="4" w:space="0" w:color="auto"/>
            </w:tcBorders>
            <w:vAlign w:val="center"/>
            <w:hideMark/>
          </w:tcPr>
          <w:p w14:paraId="19E55F19"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8.28</w:t>
            </w:r>
          </w:p>
        </w:tc>
        <w:tc>
          <w:tcPr>
            <w:tcW w:w="863" w:type="dxa"/>
            <w:tcBorders>
              <w:top w:val="nil"/>
              <w:left w:val="nil"/>
              <w:bottom w:val="single" w:sz="4" w:space="0" w:color="auto"/>
              <w:right w:val="single" w:sz="4" w:space="0" w:color="auto"/>
            </w:tcBorders>
            <w:vAlign w:val="center"/>
            <w:hideMark/>
          </w:tcPr>
          <w:p w14:paraId="0F7E006D"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7.63</w:t>
            </w:r>
          </w:p>
        </w:tc>
        <w:tc>
          <w:tcPr>
            <w:tcW w:w="849" w:type="dxa"/>
            <w:tcBorders>
              <w:top w:val="nil"/>
              <w:left w:val="nil"/>
              <w:bottom w:val="single" w:sz="4" w:space="0" w:color="auto"/>
              <w:right w:val="single" w:sz="4" w:space="0" w:color="auto"/>
            </w:tcBorders>
            <w:vAlign w:val="center"/>
            <w:hideMark/>
          </w:tcPr>
          <w:p w14:paraId="6FE30DDE"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0.15</w:t>
            </w:r>
          </w:p>
        </w:tc>
        <w:tc>
          <w:tcPr>
            <w:tcW w:w="987" w:type="dxa"/>
            <w:tcBorders>
              <w:top w:val="nil"/>
              <w:left w:val="nil"/>
              <w:bottom w:val="single" w:sz="4" w:space="0" w:color="auto"/>
              <w:right w:val="single" w:sz="4" w:space="0" w:color="auto"/>
            </w:tcBorders>
            <w:vAlign w:val="center"/>
            <w:hideMark/>
          </w:tcPr>
          <w:p w14:paraId="7497E74B"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0.66</w:t>
            </w:r>
          </w:p>
        </w:tc>
        <w:tc>
          <w:tcPr>
            <w:tcW w:w="825" w:type="dxa"/>
            <w:tcBorders>
              <w:top w:val="nil"/>
              <w:left w:val="nil"/>
              <w:bottom w:val="single" w:sz="4" w:space="0" w:color="auto"/>
              <w:right w:val="single" w:sz="4" w:space="0" w:color="auto"/>
            </w:tcBorders>
            <w:vAlign w:val="center"/>
            <w:hideMark/>
          </w:tcPr>
          <w:p w14:paraId="02912CF3"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7.48</w:t>
            </w:r>
          </w:p>
        </w:tc>
      </w:tr>
      <w:tr w:rsidR="00992D8B" w:rsidRPr="00992D8B" w14:paraId="266E00F3" w14:textId="77777777" w:rsidTr="00304420">
        <w:trPr>
          <w:trHeight w:val="531"/>
          <w:jc w:val="center"/>
        </w:trPr>
        <w:tc>
          <w:tcPr>
            <w:tcW w:w="1269" w:type="dxa"/>
            <w:vMerge/>
            <w:tcBorders>
              <w:top w:val="nil"/>
              <w:left w:val="single" w:sz="4" w:space="0" w:color="auto"/>
              <w:bottom w:val="single" w:sz="4" w:space="0" w:color="auto"/>
              <w:right w:val="single" w:sz="4" w:space="0" w:color="auto"/>
            </w:tcBorders>
            <w:vAlign w:val="center"/>
            <w:hideMark/>
          </w:tcPr>
          <w:p w14:paraId="49FAE77B" w14:textId="77777777" w:rsidR="005E1930" w:rsidRPr="00992D8B" w:rsidRDefault="005E1930" w:rsidP="000F221E">
            <w:pPr>
              <w:rPr>
                <w:rFonts w:ascii="Cambria" w:hAnsi="Cambria" w:cs="Calibri"/>
                <w:b/>
                <w:bCs/>
                <w:sz w:val="18"/>
                <w:szCs w:val="18"/>
                <w:lang w:val="en-IN" w:eastAsia="en-IN"/>
              </w:rPr>
            </w:pPr>
          </w:p>
        </w:tc>
        <w:tc>
          <w:tcPr>
            <w:tcW w:w="2131" w:type="dxa"/>
            <w:tcBorders>
              <w:top w:val="nil"/>
              <w:left w:val="nil"/>
              <w:bottom w:val="single" w:sz="4" w:space="0" w:color="auto"/>
              <w:right w:val="single" w:sz="4" w:space="0" w:color="auto"/>
            </w:tcBorders>
            <w:vAlign w:val="center"/>
            <w:hideMark/>
          </w:tcPr>
          <w:p w14:paraId="398F2AE8" w14:textId="77777777" w:rsidR="005E1930" w:rsidRPr="00992D8B" w:rsidRDefault="005E1930" w:rsidP="000F221E">
            <w:pPr>
              <w:rPr>
                <w:rFonts w:ascii="Cambria" w:hAnsi="Cambria" w:cs="Calibri"/>
                <w:sz w:val="18"/>
                <w:szCs w:val="18"/>
                <w:lang w:val="en-IN" w:eastAsia="en-IN"/>
              </w:rPr>
            </w:pPr>
            <w:r w:rsidRPr="00992D8B">
              <w:rPr>
                <w:rFonts w:ascii="Cambria" w:hAnsi="Cambria" w:cs="Calibri"/>
                <w:sz w:val="18"/>
                <w:szCs w:val="18"/>
                <w:lang w:val="en-IN" w:eastAsia="en-IN"/>
              </w:rPr>
              <w:t>Provision of Testing Equipment &amp; PPEs to workforce</w:t>
            </w:r>
          </w:p>
        </w:tc>
        <w:tc>
          <w:tcPr>
            <w:tcW w:w="988" w:type="dxa"/>
            <w:gridSpan w:val="2"/>
            <w:tcBorders>
              <w:top w:val="nil"/>
              <w:left w:val="nil"/>
              <w:bottom w:val="single" w:sz="4" w:space="0" w:color="auto"/>
              <w:right w:val="single" w:sz="4" w:space="0" w:color="auto"/>
            </w:tcBorders>
            <w:vAlign w:val="center"/>
            <w:hideMark/>
          </w:tcPr>
          <w:p w14:paraId="446DDC39"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3.79</w:t>
            </w:r>
          </w:p>
        </w:tc>
        <w:tc>
          <w:tcPr>
            <w:tcW w:w="990" w:type="dxa"/>
            <w:tcBorders>
              <w:top w:val="nil"/>
              <w:left w:val="nil"/>
              <w:bottom w:val="single" w:sz="4" w:space="0" w:color="auto"/>
              <w:right w:val="single" w:sz="4" w:space="0" w:color="auto"/>
            </w:tcBorders>
            <w:vAlign w:val="center"/>
            <w:hideMark/>
          </w:tcPr>
          <w:p w14:paraId="45A65DA9"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0.74</w:t>
            </w:r>
          </w:p>
        </w:tc>
        <w:tc>
          <w:tcPr>
            <w:tcW w:w="1114" w:type="dxa"/>
            <w:tcBorders>
              <w:top w:val="nil"/>
              <w:left w:val="nil"/>
              <w:bottom w:val="single" w:sz="4" w:space="0" w:color="auto"/>
              <w:right w:val="single" w:sz="4" w:space="0" w:color="auto"/>
            </w:tcBorders>
            <w:vAlign w:val="center"/>
            <w:hideMark/>
          </w:tcPr>
          <w:p w14:paraId="1A63E5E7"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4.53</w:t>
            </w:r>
          </w:p>
        </w:tc>
        <w:tc>
          <w:tcPr>
            <w:tcW w:w="863" w:type="dxa"/>
            <w:tcBorders>
              <w:top w:val="nil"/>
              <w:left w:val="nil"/>
              <w:bottom w:val="single" w:sz="4" w:space="0" w:color="auto"/>
              <w:right w:val="single" w:sz="4" w:space="0" w:color="auto"/>
            </w:tcBorders>
            <w:vAlign w:val="center"/>
            <w:hideMark/>
          </w:tcPr>
          <w:p w14:paraId="057789AA"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4.52</w:t>
            </w:r>
          </w:p>
        </w:tc>
        <w:tc>
          <w:tcPr>
            <w:tcW w:w="849" w:type="dxa"/>
            <w:tcBorders>
              <w:top w:val="nil"/>
              <w:left w:val="nil"/>
              <w:bottom w:val="single" w:sz="4" w:space="0" w:color="auto"/>
              <w:right w:val="single" w:sz="4" w:space="0" w:color="auto"/>
            </w:tcBorders>
            <w:vAlign w:val="center"/>
            <w:hideMark/>
          </w:tcPr>
          <w:p w14:paraId="55E901D1"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0.17</w:t>
            </w:r>
          </w:p>
        </w:tc>
        <w:tc>
          <w:tcPr>
            <w:tcW w:w="987" w:type="dxa"/>
            <w:tcBorders>
              <w:top w:val="nil"/>
              <w:left w:val="nil"/>
              <w:bottom w:val="single" w:sz="4" w:space="0" w:color="auto"/>
              <w:right w:val="single" w:sz="4" w:space="0" w:color="auto"/>
            </w:tcBorders>
            <w:vAlign w:val="center"/>
            <w:hideMark/>
          </w:tcPr>
          <w:p w14:paraId="66F79E91"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0.00</w:t>
            </w:r>
          </w:p>
        </w:tc>
        <w:tc>
          <w:tcPr>
            <w:tcW w:w="825" w:type="dxa"/>
            <w:tcBorders>
              <w:top w:val="nil"/>
              <w:left w:val="nil"/>
              <w:bottom w:val="single" w:sz="4" w:space="0" w:color="auto"/>
              <w:right w:val="single" w:sz="4" w:space="0" w:color="auto"/>
            </w:tcBorders>
            <w:vAlign w:val="center"/>
            <w:hideMark/>
          </w:tcPr>
          <w:p w14:paraId="448B133E"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4.36</w:t>
            </w:r>
          </w:p>
        </w:tc>
      </w:tr>
      <w:tr w:rsidR="00992D8B" w:rsidRPr="00992D8B" w14:paraId="0C86BE80" w14:textId="77777777" w:rsidTr="00304420">
        <w:trPr>
          <w:trHeight w:val="711"/>
          <w:jc w:val="center"/>
        </w:trPr>
        <w:tc>
          <w:tcPr>
            <w:tcW w:w="1269" w:type="dxa"/>
            <w:vMerge/>
            <w:tcBorders>
              <w:top w:val="nil"/>
              <w:left w:val="single" w:sz="4" w:space="0" w:color="auto"/>
              <w:bottom w:val="single" w:sz="4" w:space="0" w:color="auto"/>
              <w:right w:val="single" w:sz="4" w:space="0" w:color="auto"/>
            </w:tcBorders>
            <w:vAlign w:val="center"/>
            <w:hideMark/>
          </w:tcPr>
          <w:p w14:paraId="6527326E" w14:textId="77777777" w:rsidR="005E1930" w:rsidRPr="00992D8B" w:rsidRDefault="005E1930" w:rsidP="000F221E">
            <w:pPr>
              <w:rPr>
                <w:rFonts w:ascii="Cambria" w:hAnsi="Cambria" w:cs="Calibri"/>
                <w:b/>
                <w:bCs/>
                <w:sz w:val="18"/>
                <w:szCs w:val="18"/>
                <w:lang w:val="en-IN" w:eastAsia="en-IN"/>
              </w:rPr>
            </w:pPr>
          </w:p>
        </w:tc>
        <w:tc>
          <w:tcPr>
            <w:tcW w:w="2131" w:type="dxa"/>
            <w:tcBorders>
              <w:top w:val="nil"/>
              <w:left w:val="nil"/>
              <w:bottom w:val="single" w:sz="4" w:space="0" w:color="auto"/>
              <w:right w:val="single" w:sz="4" w:space="0" w:color="auto"/>
            </w:tcBorders>
            <w:vAlign w:val="center"/>
            <w:hideMark/>
          </w:tcPr>
          <w:p w14:paraId="2BC6A318" w14:textId="77777777" w:rsidR="005E1930" w:rsidRPr="00992D8B" w:rsidRDefault="005E1930" w:rsidP="000F221E">
            <w:pPr>
              <w:rPr>
                <w:rFonts w:ascii="Cambria" w:hAnsi="Cambria" w:cs="Calibri"/>
                <w:sz w:val="18"/>
                <w:szCs w:val="18"/>
                <w:lang w:val="en-IN" w:eastAsia="en-IN"/>
              </w:rPr>
            </w:pPr>
            <w:r w:rsidRPr="00992D8B">
              <w:rPr>
                <w:rFonts w:ascii="Cambria" w:hAnsi="Cambria" w:cs="Calibri"/>
                <w:sz w:val="18"/>
                <w:szCs w:val="18"/>
                <w:lang w:val="en-IN" w:eastAsia="en-IN"/>
              </w:rPr>
              <w:t>Fencing, Boundary wall and Infrastructure works at Primary &amp; Distribution substation</w:t>
            </w:r>
          </w:p>
        </w:tc>
        <w:tc>
          <w:tcPr>
            <w:tcW w:w="988" w:type="dxa"/>
            <w:gridSpan w:val="2"/>
            <w:tcBorders>
              <w:top w:val="nil"/>
              <w:left w:val="nil"/>
              <w:bottom w:val="single" w:sz="4" w:space="0" w:color="auto"/>
              <w:right w:val="single" w:sz="4" w:space="0" w:color="auto"/>
            </w:tcBorders>
            <w:vAlign w:val="center"/>
            <w:hideMark/>
          </w:tcPr>
          <w:p w14:paraId="7E6B903B"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21.31</w:t>
            </w:r>
          </w:p>
        </w:tc>
        <w:tc>
          <w:tcPr>
            <w:tcW w:w="990" w:type="dxa"/>
            <w:tcBorders>
              <w:top w:val="nil"/>
              <w:left w:val="nil"/>
              <w:bottom w:val="single" w:sz="4" w:space="0" w:color="auto"/>
              <w:right w:val="single" w:sz="4" w:space="0" w:color="auto"/>
            </w:tcBorders>
            <w:vAlign w:val="center"/>
            <w:hideMark/>
          </w:tcPr>
          <w:p w14:paraId="7F891054"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0.00</w:t>
            </w:r>
          </w:p>
        </w:tc>
        <w:tc>
          <w:tcPr>
            <w:tcW w:w="1114" w:type="dxa"/>
            <w:tcBorders>
              <w:top w:val="nil"/>
              <w:left w:val="nil"/>
              <w:bottom w:val="single" w:sz="4" w:space="0" w:color="auto"/>
              <w:right w:val="single" w:sz="4" w:space="0" w:color="auto"/>
            </w:tcBorders>
            <w:vAlign w:val="center"/>
            <w:hideMark/>
          </w:tcPr>
          <w:p w14:paraId="4844721B"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21.31</w:t>
            </w:r>
          </w:p>
        </w:tc>
        <w:tc>
          <w:tcPr>
            <w:tcW w:w="863" w:type="dxa"/>
            <w:tcBorders>
              <w:top w:val="nil"/>
              <w:left w:val="nil"/>
              <w:bottom w:val="single" w:sz="4" w:space="0" w:color="auto"/>
              <w:right w:val="single" w:sz="4" w:space="0" w:color="auto"/>
            </w:tcBorders>
            <w:vAlign w:val="center"/>
            <w:hideMark/>
          </w:tcPr>
          <w:p w14:paraId="04DA5EF0"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21.31</w:t>
            </w:r>
          </w:p>
        </w:tc>
        <w:tc>
          <w:tcPr>
            <w:tcW w:w="849" w:type="dxa"/>
            <w:tcBorders>
              <w:top w:val="nil"/>
              <w:left w:val="nil"/>
              <w:bottom w:val="single" w:sz="4" w:space="0" w:color="auto"/>
              <w:right w:val="single" w:sz="4" w:space="0" w:color="auto"/>
            </w:tcBorders>
            <w:vAlign w:val="center"/>
            <w:hideMark/>
          </w:tcPr>
          <w:p w14:paraId="4878CA98"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0.00</w:t>
            </w:r>
          </w:p>
        </w:tc>
        <w:tc>
          <w:tcPr>
            <w:tcW w:w="987" w:type="dxa"/>
            <w:tcBorders>
              <w:top w:val="nil"/>
              <w:left w:val="nil"/>
              <w:bottom w:val="single" w:sz="4" w:space="0" w:color="auto"/>
              <w:right w:val="single" w:sz="4" w:space="0" w:color="auto"/>
            </w:tcBorders>
            <w:vAlign w:val="center"/>
            <w:hideMark/>
          </w:tcPr>
          <w:p w14:paraId="5D0105E7"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0.00</w:t>
            </w:r>
          </w:p>
        </w:tc>
        <w:tc>
          <w:tcPr>
            <w:tcW w:w="825" w:type="dxa"/>
            <w:tcBorders>
              <w:top w:val="nil"/>
              <w:left w:val="nil"/>
              <w:bottom w:val="single" w:sz="4" w:space="0" w:color="auto"/>
              <w:right w:val="single" w:sz="4" w:space="0" w:color="auto"/>
            </w:tcBorders>
            <w:vAlign w:val="center"/>
            <w:hideMark/>
          </w:tcPr>
          <w:p w14:paraId="0B4C6336"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21.31</w:t>
            </w:r>
          </w:p>
        </w:tc>
      </w:tr>
      <w:tr w:rsidR="00992D8B" w:rsidRPr="00992D8B" w14:paraId="76C4FE62" w14:textId="77777777" w:rsidTr="00304420">
        <w:trPr>
          <w:trHeight w:val="177"/>
          <w:jc w:val="center"/>
        </w:trPr>
        <w:tc>
          <w:tcPr>
            <w:tcW w:w="1269" w:type="dxa"/>
            <w:vMerge/>
            <w:tcBorders>
              <w:top w:val="nil"/>
              <w:left w:val="single" w:sz="4" w:space="0" w:color="auto"/>
              <w:bottom w:val="single" w:sz="4" w:space="0" w:color="auto"/>
              <w:right w:val="single" w:sz="4" w:space="0" w:color="auto"/>
            </w:tcBorders>
            <w:vAlign w:val="center"/>
            <w:hideMark/>
          </w:tcPr>
          <w:p w14:paraId="2846EA9A" w14:textId="77777777" w:rsidR="005E1930" w:rsidRPr="00992D8B" w:rsidRDefault="005E1930" w:rsidP="000F221E">
            <w:pPr>
              <w:rPr>
                <w:rFonts w:ascii="Cambria" w:hAnsi="Cambria" w:cs="Calibri"/>
                <w:b/>
                <w:bCs/>
                <w:sz w:val="18"/>
                <w:szCs w:val="18"/>
                <w:lang w:val="en-IN" w:eastAsia="en-IN"/>
              </w:rPr>
            </w:pPr>
          </w:p>
        </w:tc>
        <w:tc>
          <w:tcPr>
            <w:tcW w:w="2131" w:type="dxa"/>
            <w:tcBorders>
              <w:top w:val="nil"/>
              <w:left w:val="nil"/>
              <w:bottom w:val="single" w:sz="4" w:space="0" w:color="auto"/>
              <w:right w:val="single" w:sz="4" w:space="0" w:color="auto"/>
            </w:tcBorders>
            <w:vAlign w:val="center"/>
            <w:hideMark/>
          </w:tcPr>
          <w:p w14:paraId="43A2CEF7"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lang w:val="en-IN" w:eastAsia="en-IN"/>
              </w:rPr>
              <w:t>TOTAL</w:t>
            </w:r>
          </w:p>
        </w:tc>
        <w:tc>
          <w:tcPr>
            <w:tcW w:w="988" w:type="dxa"/>
            <w:gridSpan w:val="2"/>
            <w:tcBorders>
              <w:top w:val="nil"/>
              <w:left w:val="nil"/>
              <w:bottom w:val="single" w:sz="4" w:space="0" w:color="auto"/>
              <w:right w:val="single" w:sz="4" w:space="0" w:color="auto"/>
            </w:tcBorders>
            <w:vAlign w:val="center"/>
            <w:hideMark/>
          </w:tcPr>
          <w:p w14:paraId="57EABC56"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34.12</w:t>
            </w:r>
          </w:p>
        </w:tc>
        <w:tc>
          <w:tcPr>
            <w:tcW w:w="990" w:type="dxa"/>
            <w:tcBorders>
              <w:top w:val="nil"/>
              <w:left w:val="nil"/>
              <w:bottom w:val="single" w:sz="4" w:space="0" w:color="auto"/>
              <w:right w:val="single" w:sz="4" w:space="0" w:color="auto"/>
            </w:tcBorders>
            <w:vAlign w:val="center"/>
            <w:hideMark/>
          </w:tcPr>
          <w:p w14:paraId="63480A94"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0.00</w:t>
            </w:r>
          </w:p>
        </w:tc>
        <w:tc>
          <w:tcPr>
            <w:tcW w:w="1114" w:type="dxa"/>
            <w:tcBorders>
              <w:top w:val="nil"/>
              <w:left w:val="nil"/>
              <w:bottom w:val="single" w:sz="4" w:space="0" w:color="auto"/>
              <w:right w:val="single" w:sz="4" w:space="0" w:color="auto"/>
            </w:tcBorders>
            <w:vAlign w:val="center"/>
            <w:hideMark/>
          </w:tcPr>
          <w:p w14:paraId="5DCAB9B6"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34.12</w:t>
            </w:r>
          </w:p>
        </w:tc>
        <w:tc>
          <w:tcPr>
            <w:tcW w:w="863" w:type="dxa"/>
            <w:tcBorders>
              <w:top w:val="nil"/>
              <w:left w:val="nil"/>
              <w:bottom w:val="single" w:sz="4" w:space="0" w:color="auto"/>
              <w:right w:val="single" w:sz="4" w:space="0" w:color="auto"/>
            </w:tcBorders>
            <w:vAlign w:val="center"/>
            <w:hideMark/>
          </w:tcPr>
          <w:p w14:paraId="4543752D"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33.46</w:t>
            </w:r>
          </w:p>
        </w:tc>
        <w:tc>
          <w:tcPr>
            <w:tcW w:w="849" w:type="dxa"/>
            <w:tcBorders>
              <w:top w:val="nil"/>
              <w:left w:val="nil"/>
              <w:bottom w:val="single" w:sz="4" w:space="0" w:color="auto"/>
              <w:right w:val="single" w:sz="4" w:space="0" w:color="auto"/>
            </w:tcBorders>
            <w:vAlign w:val="center"/>
            <w:hideMark/>
          </w:tcPr>
          <w:p w14:paraId="47F31511"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0.31</w:t>
            </w:r>
          </w:p>
        </w:tc>
        <w:tc>
          <w:tcPr>
            <w:tcW w:w="987" w:type="dxa"/>
            <w:tcBorders>
              <w:top w:val="nil"/>
              <w:left w:val="nil"/>
              <w:bottom w:val="single" w:sz="4" w:space="0" w:color="auto"/>
              <w:right w:val="single" w:sz="4" w:space="0" w:color="auto"/>
            </w:tcBorders>
            <w:vAlign w:val="center"/>
            <w:hideMark/>
          </w:tcPr>
          <w:p w14:paraId="537BFF39"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0.66</w:t>
            </w:r>
          </w:p>
        </w:tc>
        <w:tc>
          <w:tcPr>
            <w:tcW w:w="825" w:type="dxa"/>
            <w:tcBorders>
              <w:top w:val="nil"/>
              <w:left w:val="nil"/>
              <w:bottom w:val="single" w:sz="4" w:space="0" w:color="auto"/>
              <w:right w:val="single" w:sz="4" w:space="0" w:color="auto"/>
            </w:tcBorders>
            <w:vAlign w:val="center"/>
            <w:hideMark/>
          </w:tcPr>
          <w:p w14:paraId="56FB0393"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33.14</w:t>
            </w:r>
          </w:p>
        </w:tc>
      </w:tr>
      <w:tr w:rsidR="00992D8B" w:rsidRPr="00992D8B" w14:paraId="2205DCEF" w14:textId="77777777" w:rsidTr="00304420">
        <w:trPr>
          <w:trHeight w:val="354"/>
          <w:jc w:val="center"/>
        </w:trPr>
        <w:tc>
          <w:tcPr>
            <w:tcW w:w="1269" w:type="dxa"/>
            <w:vMerge w:val="restart"/>
            <w:tcBorders>
              <w:top w:val="nil"/>
              <w:left w:val="single" w:sz="4" w:space="0" w:color="auto"/>
              <w:bottom w:val="single" w:sz="4" w:space="0" w:color="auto"/>
              <w:right w:val="single" w:sz="4" w:space="0" w:color="auto"/>
            </w:tcBorders>
            <w:vAlign w:val="center"/>
            <w:hideMark/>
          </w:tcPr>
          <w:p w14:paraId="7E5FE996" w14:textId="77777777" w:rsidR="005E1930" w:rsidRPr="00992D8B" w:rsidRDefault="005E1930" w:rsidP="000F221E">
            <w:pPr>
              <w:jc w:val="center"/>
              <w:rPr>
                <w:rFonts w:ascii="Cambria" w:hAnsi="Cambria" w:cs="Calibri"/>
                <w:b/>
                <w:bCs/>
                <w:sz w:val="18"/>
                <w:szCs w:val="18"/>
                <w:lang w:val="en-IN" w:eastAsia="en-IN"/>
              </w:rPr>
            </w:pPr>
            <w:r w:rsidRPr="00992D8B">
              <w:rPr>
                <w:rFonts w:ascii="Cambria" w:hAnsi="Cambria" w:cs="Calibri"/>
                <w:b/>
                <w:bCs/>
                <w:sz w:val="18"/>
                <w:szCs w:val="18"/>
                <w:lang w:val="en-IN" w:eastAsia="en-IN"/>
              </w:rPr>
              <w:t>Loss Reduction</w:t>
            </w:r>
          </w:p>
        </w:tc>
        <w:tc>
          <w:tcPr>
            <w:tcW w:w="2131" w:type="dxa"/>
            <w:tcBorders>
              <w:top w:val="nil"/>
              <w:left w:val="nil"/>
              <w:bottom w:val="single" w:sz="4" w:space="0" w:color="auto"/>
              <w:right w:val="single" w:sz="4" w:space="0" w:color="auto"/>
            </w:tcBorders>
            <w:vAlign w:val="center"/>
            <w:hideMark/>
          </w:tcPr>
          <w:p w14:paraId="40912697" w14:textId="77777777" w:rsidR="005E1930" w:rsidRPr="00992D8B" w:rsidRDefault="005E1930" w:rsidP="000F221E">
            <w:pPr>
              <w:rPr>
                <w:rFonts w:ascii="Cambria" w:hAnsi="Cambria" w:cs="Calibri"/>
                <w:sz w:val="18"/>
                <w:szCs w:val="18"/>
                <w:lang w:val="en-IN" w:eastAsia="en-IN"/>
              </w:rPr>
            </w:pPr>
            <w:r w:rsidRPr="00992D8B">
              <w:rPr>
                <w:rFonts w:ascii="Cambria" w:hAnsi="Cambria" w:cs="Calibri"/>
                <w:sz w:val="18"/>
                <w:szCs w:val="18"/>
                <w:lang w:val="en-IN" w:eastAsia="en-IN"/>
              </w:rPr>
              <w:t>Energy Audit &amp; Meter related activity</w:t>
            </w:r>
          </w:p>
        </w:tc>
        <w:tc>
          <w:tcPr>
            <w:tcW w:w="988" w:type="dxa"/>
            <w:gridSpan w:val="2"/>
            <w:tcBorders>
              <w:top w:val="nil"/>
              <w:left w:val="nil"/>
              <w:bottom w:val="single" w:sz="4" w:space="0" w:color="auto"/>
              <w:right w:val="single" w:sz="4" w:space="0" w:color="auto"/>
            </w:tcBorders>
            <w:vAlign w:val="center"/>
            <w:hideMark/>
          </w:tcPr>
          <w:p w14:paraId="1B823584"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27.04</w:t>
            </w:r>
          </w:p>
        </w:tc>
        <w:tc>
          <w:tcPr>
            <w:tcW w:w="990" w:type="dxa"/>
            <w:tcBorders>
              <w:top w:val="nil"/>
              <w:left w:val="nil"/>
              <w:bottom w:val="single" w:sz="4" w:space="0" w:color="auto"/>
              <w:right w:val="single" w:sz="4" w:space="0" w:color="auto"/>
            </w:tcBorders>
            <w:vAlign w:val="center"/>
            <w:hideMark/>
          </w:tcPr>
          <w:p w14:paraId="6D4BC771"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0.00</w:t>
            </w:r>
          </w:p>
        </w:tc>
        <w:tc>
          <w:tcPr>
            <w:tcW w:w="1114" w:type="dxa"/>
            <w:tcBorders>
              <w:top w:val="nil"/>
              <w:left w:val="nil"/>
              <w:bottom w:val="single" w:sz="4" w:space="0" w:color="auto"/>
              <w:right w:val="single" w:sz="4" w:space="0" w:color="auto"/>
            </w:tcBorders>
            <w:vAlign w:val="center"/>
            <w:hideMark/>
          </w:tcPr>
          <w:p w14:paraId="0F2F26A0"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27.04</w:t>
            </w:r>
          </w:p>
        </w:tc>
        <w:tc>
          <w:tcPr>
            <w:tcW w:w="863" w:type="dxa"/>
            <w:tcBorders>
              <w:top w:val="nil"/>
              <w:left w:val="nil"/>
              <w:bottom w:val="single" w:sz="4" w:space="0" w:color="auto"/>
              <w:right w:val="single" w:sz="4" w:space="0" w:color="auto"/>
            </w:tcBorders>
            <w:vAlign w:val="center"/>
            <w:hideMark/>
          </w:tcPr>
          <w:p w14:paraId="1EE9833F"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26.69</w:t>
            </w:r>
          </w:p>
        </w:tc>
        <w:tc>
          <w:tcPr>
            <w:tcW w:w="849" w:type="dxa"/>
            <w:tcBorders>
              <w:top w:val="nil"/>
              <w:left w:val="nil"/>
              <w:bottom w:val="single" w:sz="4" w:space="0" w:color="auto"/>
              <w:right w:val="single" w:sz="4" w:space="0" w:color="auto"/>
            </w:tcBorders>
            <w:vAlign w:val="center"/>
            <w:hideMark/>
          </w:tcPr>
          <w:p w14:paraId="7F5CC76C"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1.67</w:t>
            </w:r>
          </w:p>
        </w:tc>
        <w:tc>
          <w:tcPr>
            <w:tcW w:w="987" w:type="dxa"/>
            <w:tcBorders>
              <w:top w:val="nil"/>
              <w:left w:val="nil"/>
              <w:bottom w:val="single" w:sz="4" w:space="0" w:color="auto"/>
              <w:right w:val="single" w:sz="4" w:space="0" w:color="auto"/>
            </w:tcBorders>
            <w:vAlign w:val="center"/>
            <w:hideMark/>
          </w:tcPr>
          <w:p w14:paraId="255B7BA3"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0.35</w:t>
            </w:r>
          </w:p>
        </w:tc>
        <w:tc>
          <w:tcPr>
            <w:tcW w:w="825" w:type="dxa"/>
            <w:tcBorders>
              <w:top w:val="nil"/>
              <w:left w:val="nil"/>
              <w:bottom w:val="single" w:sz="4" w:space="0" w:color="auto"/>
              <w:right w:val="single" w:sz="4" w:space="0" w:color="auto"/>
            </w:tcBorders>
            <w:vAlign w:val="center"/>
            <w:hideMark/>
          </w:tcPr>
          <w:p w14:paraId="41A2EA5E"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25.01</w:t>
            </w:r>
          </w:p>
        </w:tc>
      </w:tr>
      <w:tr w:rsidR="00992D8B" w:rsidRPr="00992D8B" w14:paraId="018F2775" w14:textId="77777777" w:rsidTr="00304420">
        <w:trPr>
          <w:trHeight w:val="354"/>
          <w:jc w:val="center"/>
        </w:trPr>
        <w:tc>
          <w:tcPr>
            <w:tcW w:w="1269" w:type="dxa"/>
            <w:vMerge/>
            <w:tcBorders>
              <w:top w:val="nil"/>
              <w:left w:val="single" w:sz="4" w:space="0" w:color="auto"/>
              <w:bottom w:val="single" w:sz="4" w:space="0" w:color="auto"/>
              <w:right w:val="single" w:sz="4" w:space="0" w:color="auto"/>
            </w:tcBorders>
            <w:vAlign w:val="center"/>
            <w:hideMark/>
          </w:tcPr>
          <w:p w14:paraId="55F98CEC" w14:textId="77777777" w:rsidR="005E1930" w:rsidRPr="00992D8B" w:rsidRDefault="005E1930" w:rsidP="000F221E">
            <w:pPr>
              <w:rPr>
                <w:rFonts w:ascii="Cambria" w:hAnsi="Cambria" w:cs="Calibri"/>
                <w:b/>
                <w:bCs/>
                <w:sz w:val="18"/>
                <w:szCs w:val="18"/>
                <w:lang w:val="en-IN" w:eastAsia="en-IN"/>
              </w:rPr>
            </w:pPr>
          </w:p>
        </w:tc>
        <w:tc>
          <w:tcPr>
            <w:tcW w:w="2131" w:type="dxa"/>
            <w:tcBorders>
              <w:top w:val="nil"/>
              <w:left w:val="nil"/>
              <w:bottom w:val="single" w:sz="4" w:space="0" w:color="auto"/>
              <w:right w:val="single" w:sz="4" w:space="0" w:color="auto"/>
            </w:tcBorders>
            <w:vAlign w:val="center"/>
            <w:hideMark/>
          </w:tcPr>
          <w:p w14:paraId="61A01A3E" w14:textId="77777777" w:rsidR="005E1930" w:rsidRPr="00992D8B" w:rsidRDefault="005E1930" w:rsidP="000F221E">
            <w:pPr>
              <w:rPr>
                <w:rFonts w:ascii="Cambria" w:hAnsi="Cambria" w:cs="Calibri"/>
                <w:sz w:val="18"/>
                <w:szCs w:val="18"/>
                <w:lang w:val="en-IN" w:eastAsia="en-IN"/>
              </w:rPr>
            </w:pPr>
            <w:r w:rsidRPr="00992D8B">
              <w:rPr>
                <w:rFonts w:ascii="Cambria" w:hAnsi="Cambria" w:cs="Calibri"/>
                <w:sz w:val="18"/>
                <w:szCs w:val="18"/>
                <w:lang w:val="en-IN" w:eastAsia="en-IN"/>
              </w:rPr>
              <w:t>Replacement of LT Bare conductor with AB cable</w:t>
            </w:r>
          </w:p>
        </w:tc>
        <w:tc>
          <w:tcPr>
            <w:tcW w:w="988" w:type="dxa"/>
            <w:gridSpan w:val="2"/>
            <w:tcBorders>
              <w:top w:val="nil"/>
              <w:left w:val="nil"/>
              <w:bottom w:val="single" w:sz="4" w:space="0" w:color="auto"/>
              <w:right w:val="single" w:sz="4" w:space="0" w:color="auto"/>
            </w:tcBorders>
            <w:vAlign w:val="center"/>
            <w:hideMark/>
          </w:tcPr>
          <w:p w14:paraId="561B9490"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31.96</w:t>
            </w:r>
          </w:p>
        </w:tc>
        <w:tc>
          <w:tcPr>
            <w:tcW w:w="990" w:type="dxa"/>
            <w:tcBorders>
              <w:top w:val="nil"/>
              <w:left w:val="nil"/>
              <w:bottom w:val="single" w:sz="4" w:space="0" w:color="auto"/>
              <w:right w:val="single" w:sz="4" w:space="0" w:color="auto"/>
            </w:tcBorders>
            <w:vAlign w:val="center"/>
            <w:hideMark/>
          </w:tcPr>
          <w:p w14:paraId="7B1F428F"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0.00</w:t>
            </w:r>
          </w:p>
        </w:tc>
        <w:tc>
          <w:tcPr>
            <w:tcW w:w="1114" w:type="dxa"/>
            <w:tcBorders>
              <w:top w:val="nil"/>
              <w:left w:val="nil"/>
              <w:bottom w:val="single" w:sz="4" w:space="0" w:color="auto"/>
              <w:right w:val="single" w:sz="4" w:space="0" w:color="auto"/>
            </w:tcBorders>
            <w:vAlign w:val="center"/>
            <w:hideMark/>
          </w:tcPr>
          <w:p w14:paraId="79495784"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31.96</w:t>
            </w:r>
          </w:p>
        </w:tc>
        <w:tc>
          <w:tcPr>
            <w:tcW w:w="863" w:type="dxa"/>
            <w:tcBorders>
              <w:top w:val="nil"/>
              <w:left w:val="nil"/>
              <w:bottom w:val="single" w:sz="4" w:space="0" w:color="auto"/>
              <w:right w:val="single" w:sz="4" w:space="0" w:color="auto"/>
            </w:tcBorders>
            <w:vAlign w:val="center"/>
            <w:hideMark/>
          </w:tcPr>
          <w:p w14:paraId="0DAF4EA1"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31.38</w:t>
            </w:r>
          </w:p>
        </w:tc>
        <w:tc>
          <w:tcPr>
            <w:tcW w:w="849" w:type="dxa"/>
            <w:tcBorders>
              <w:top w:val="nil"/>
              <w:left w:val="nil"/>
              <w:bottom w:val="single" w:sz="4" w:space="0" w:color="auto"/>
              <w:right w:val="single" w:sz="4" w:space="0" w:color="auto"/>
            </w:tcBorders>
            <w:vAlign w:val="center"/>
            <w:hideMark/>
          </w:tcPr>
          <w:p w14:paraId="19682AB7"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0.08</w:t>
            </w:r>
          </w:p>
        </w:tc>
        <w:tc>
          <w:tcPr>
            <w:tcW w:w="987" w:type="dxa"/>
            <w:tcBorders>
              <w:top w:val="nil"/>
              <w:left w:val="nil"/>
              <w:bottom w:val="single" w:sz="4" w:space="0" w:color="auto"/>
              <w:right w:val="single" w:sz="4" w:space="0" w:color="auto"/>
            </w:tcBorders>
            <w:vAlign w:val="center"/>
            <w:hideMark/>
          </w:tcPr>
          <w:p w14:paraId="4C3B791C"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0.58</w:t>
            </w:r>
          </w:p>
        </w:tc>
        <w:tc>
          <w:tcPr>
            <w:tcW w:w="825" w:type="dxa"/>
            <w:tcBorders>
              <w:top w:val="nil"/>
              <w:left w:val="nil"/>
              <w:bottom w:val="single" w:sz="4" w:space="0" w:color="auto"/>
              <w:right w:val="single" w:sz="4" w:space="0" w:color="auto"/>
            </w:tcBorders>
            <w:vAlign w:val="center"/>
            <w:hideMark/>
          </w:tcPr>
          <w:p w14:paraId="20A1FDB7"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31.30</w:t>
            </w:r>
          </w:p>
        </w:tc>
      </w:tr>
      <w:tr w:rsidR="00992D8B" w:rsidRPr="00992D8B" w14:paraId="2F6BCE23" w14:textId="77777777" w:rsidTr="00304420">
        <w:trPr>
          <w:trHeight w:val="177"/>
          <w:jc w:val="center"/>
        </w:trPr>
        <w:tc>
          <w:tcPr>
            <w:tcW w:w="1269" w:type="dxa"/>
            <w:vMerge/>
            <w:tcBorders>
              <w:top w:val="nil"/>
              <w:left w:val="single" w:sz="4" w:space="0" w:color="auto"/>
              <w:bottom w:val="single" w:sz="4" w:space="0" w:color="auto"/>
              <w:right w:val="single" w:sz="4" w:space="0" w:color="auto"/>
            </w:tcBorders>
            <w:vAlign w:val="center"/>
            <w:hideMark/>
          </w:tcPr>
          <w:p w14:paraId="6BE95C0A" w14:textId="77777777" w:rsidR="005E1930" w:rsidRPr="00992D8B" w:rsidRDefault="005E1930" w:rsidP="000F221E">
            <w:pPr>
              <w:rPr>
                <w:rFonts w:ascii="Cambria" w:hAnsi="Cambria" w:cs="Calibri"/>
                <w:b/>
                <w:bCs/>
                <w:sz w:val="18"/>
                <w:szCs w:val="18"/>
                <w:lang w:val="en-IN" w:eastAsia="en-IN"/>
              </w:rPr>
            </w:pPr>
          </w:p>
        </w:tc>
        <w:tc>
          <w:tcPr>
            <w:tcW w:w="2131" w:type="dxa"/>
            <w:tcBorders>
              <w:top w:val="nil"/>
              <w:left w:val="nil"/>
              <w:bottom w:val="single" w:sz="4" w:space="0" w:color="auto"/>
              <w:right w:val="single" w:sz="4" w:space="0" w:color="auto"/>
            </w:tcBorders>
            <w:vAlign w:val="center"/>
            <w:hideMark/>
          </w:tcPr>
          <w:p w14:paraId="727CCFBC"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lang w:val="en-IN" w:eastAsia="en-IN"/>
              </w:rPr>
              <w:t>TOTAL</w:t>
            </w:r>
          </w:p>
        </w:tc>
        <w:tc>
          <w:tcPr>
            <w:tcW w:w="988" w:type="dxa"/>
            <w:gridSpan w:val="2"/>
            <w:tcBorders>
              <w:top w:val="nil"/>
              <w:left w:val="nil"/>
              <w:bottom w:val="single" w:sz="4" w:space="0" w:color="auto"/>
              <w:right w:val="single" w:sz="4" w:space="0" w:color="auto"/>
            </w:tcBorders>
            <w:vAlign w:val="center"/>
            <w:hideMark/>
          </w:tcPr>
          <w:p w14:paraId="393A5E73"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59.00</w:t>
            </w:r>
          </w:p>
        </w:tc>
        <w:tc>
          <w:tcPr>
            <w:tcW w:w="990" w:type="dxa"/>
            <w:tcBorders>
              <w:top w:val="nil"/>
              <w:left w:val="nil"/>
              <w:bottom w:val="single" w:sz="4" w:space="0" w:color="auto"/>
              <w:right w:val="single" w:sz="4" w:space="0" w:color="auto"/>
            </w:tcBorders>
            <w:vAlign w:val="center"/>
            <w:hideMark/>
          </w:tcPr>
          <w:p w14:paraId="0F464510"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0.00</w:t>
            </w:r>
          </w:p>
        </w:tc>
        <w:tc>
          <w:tcPr>
            <w:tcW w:w="1114" w:type="dxa"/>
            <w:tcBorders>
              <w:top w:val="nil"/>
              <w:left w:val="nil"/>
              <w:bottom w:val="single" w:sz="4" w:space="0" w:color="auto"/>
              <w:right w:val="single" w:sz="4" w:space="0" w:color="auto"/>
            </w:tcBorders>
            <w:vAlign w:val="center"/>
            <w:hideMark/>
          </w:tcPr>
          <w:p w14:paraId="15D41DC7"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59.00</w:t>
            </w:r>
          </w:p>
        </w:tc>
        <w:tc>
          <w:tcPr>
            <w:tcW w:w="863" w:type="dxa"/>
            <w:tcBorders>
              <w:top w:val="nil"/>
              <w:left w:val="nil"/>
              <w:bottom w:val="single" w:sz="4" w:space="0" w:color="auto"/>
              <w:right w:val="single" w:sz="4" w:space="0" w:color="auto"/>
            </w:tcBorders>
            <w:vAlign w:val="center"/>
            <w:hideMark/>
          </w:tcPr>
          <w:p w14:paraId="05872028"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58.06</w:t>
            </w:r>
          </w:p>
        </w:tc>
        <w:tc>
          <w:tcPr>
            <w:tcW w:w="849" w:type="dxa"/>
            <w:tcBorders>
              <w:top w:val="nil"/>
              <w:left w:val="nil"/>
              <w:bottom w:val="single" w:sz="4" w:space="0" w:color="auto"/>
              <w:right w:val="single" w:sz="4" w:space="0" w:color="auto"/>
            </w:tcBorders>
            <w:vAlign w:val="center"/>
            <w:hideMark/>
          </w:tcPr>
          <w:p w14:paraId="2BE94F3C"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1.76</w:t>
            </w:r>
          </w:p>
        </w:tc>
        <w:tc>
          <w:tcPr>
            <w:tcW w:w="987" w:type="dxa"/>
            <w:tcBorders>
              <w:top w:val="nil"/>
              <w:left w:val="nil"/>
              <w:bottom w:val="single" w:sz="4" w:space="0" w:color="auto"/>
              <w:right w:val="single" w:sz="4" w:space="0" w:color="auto"/>
            </w:tcBorders>
            <w:vAlign w:val="center"/>
            <w:hideMark/>
          </w:tcPr>
          <w:p w14:paraId="30918D2F"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0.94</w:t>
            </w:r>
          </w:p>
        </w:tc>
        <w:tc>
          <w:tcPr>
            <w:tcW w:w="825" w:type="dxa"/>
            <w:tcBorders>
              <w:top w:val="nil"/>
              <w:left w:val="nil"/>
              <w:bottom w:val="single" w:sz="4" w:space="0" w:color="auto"/>
              <w:right w:val="single" w:sz="4" w:space="0" w:color="auto"/>
            </w:tcBorders>
            <w:vAlign w:val="center"/>
            <w:hideMark/>
          </w:tcPr>
          <w:p w14:paraId="5AE21C7D"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56.31</w:t>
            </w:r>
          </w:p>
        </w:tc>
      </w:tr>
      <w:tr w:rsidR="00992D8B" w:rsidRPr="00992D8B" w14:paraId="1859095A" w14:textId="77777777" w:rsidTr="00304420">
        <w:trPr>
          <w:trHeight w:val="531"/>
          <w:jc w:val="center"/>
        </w:trPr>
        <w:tc>
          <w:tcPr>
            <w:tcW w:w="1269" w:type="dxa"/>
            <w:vMerge w:val="restart"/>
            <w:tcBorders>
              <w:top w:val="nil"/>
              <w:left w:val="single" w:sz="4" w:space="0" w:color="auto"/>
              <w:bottom w:val="single" w:sz="4" w:space="0" w:color="auto"/>
              <w:right w:val="single" w:sz="4" w:space="0" w:color="auto"/>
            </w:tcBorders>
            <w:vAlign w:val="center"/>
            <w:hideMark/>
          </w:tcPr>
          <w:p w14:paraId="55CFEFAD" w14:textId="77777777" w:rsidR="005E1930" w:rsidRPr="00992D8B" w:rsidRDefault="005E1930" w:rsidP="000F221E">
            <w:pPr>
              <w:jc w:val="center"/>
              <w:rPr>
                <w:rFonts w:ascii="Cambria" w:hAnsi="Cambria" w:cs="Calibri"/>
                <w:b/>
                <w:bCs/>
                <w:sz w:val="18"/>
                <w:szCs w:val="18"/>
                <w:lang w:val="en-IN" w:eastAsia="en-IN"/>
              </w:rPr>
            </w:pPr>
            <w:r w:rsidRPr="00992D8B">
              <w:rPr>
                <w:rFonts w:ascii="Cambria" w:hAnsi="Cambria" w:cs="Calibri"/>
                <w:b/>
                <w:bCs/>
                <w:sz w:val="18"/>
                <w:szCs w:val="18"/>
                <w:lang w:val="en-IN" w:eastAsia="en-IN"/>
              </w:rPr>
              <w:t>Network Reliability</w:t>
            </w:r>
          </w:p>
        </w:tc>
        <w:tc>
          <w:tcPr>
            <w:tcW w:w="2131" w:type="dxa"/>
            <w:tcBorders>
              <w:top w:val="nil"/>
              <w:left w:val="nil"/>
              <w:bottom w:val="single" w:sz="4" w:space="0" w:color="auto"/>
              <w:right w:val="single" w:sz="4" w:space="0" w:color="auto"/>
            </w:tcBorders>
            <w:vAlign w:val="center"/>
            <w:hideMark/>
          </w:tcPr>
          <w:p w14:paraId="252AAD52" w14:textId="77777777" w:rsidR="005E1930" w:rsidRPr="00992D8B" w:rsidRDefault="005E1930" w:rsidP="000F221E">
            <w:pPr>
              <w:rPr>
                <w:rFonts w:ascii="Cambria" w:hAnsi="Cambria" w:cs="Calibri"/>
                <w:sz w:val="18"/>
                <w:szCs w:val="18"/>
                <w:lang w:val="en-IN" w:eastAsia="en-IN"/>
              </w:rPr>
            </w:pPr>
            <w:r w:rsidRPr="00992D8B">
              <w:rPr>
                <w:rFonts w:ascii="Cambria" w:hAnsi="Cambria" w:cs="Calibri"/>
                <w:sz w:val="18"/>
                <w:szCs w:val="18"/>
                <w:lang w:val="en-IN" w:eastAsia="en-IN"/>
              </w:rPr>
              <w:t>Replacement/Addition of network component in 33/11KV Primary Substation</w:t>
            </w:r>
          </w:p>
        </w:tc>
        <w:tc>
          <w:tcPr>
            <w:tcW w:w="988" w:type="dxa"/>
            <w:gridSpan w:val="2"/>
            <w:tcBorders>
              <w:top w:val="nil"/>
              <w:left w:val="nil"/>
              <w:bottom w:val="single" w:sz="4" w:space="0" w:color="auto"/>
              <w:right w:val="single" w:sz="4" w:space="0" w:color="auto"/>
            </w:tcBorders>
            <w:vAlign w:val="center"/>
            <w:hideMark/>
          </w:tcPr>
          <w:p w14:paraId="7147E4B9"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23.37</w:t>
            </w:r>
          </w:p>
        </w:tc>
        <w:tc>
          <w:tcPr>
            <w:tcW w:w="990" w:type="dxa"/>
            <w:tcBorders>
              <w:top w:val="nil"/>
              <w:left w:val="nil"/>
              <w:bottom w:val="single" w:sz="4" w:space="0" w:color="auto"/>
              <w:right w:val="single" w:sz="4" w:space="0" w:color="auto"/>
            </w:tcBorders>
            <w:vAlign w:val="center"/>
            <w:hideMark/>
          </w:tcPr>
          <w:p w14:paraId="6E1E876A"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0.44</w:t>
            </w:r>
          </w:p>
        </w:tc>
        <w:tc>
          <w:tcPr>
            <w:tcW w:w="1114" w:type="dxa"/>
            <w:tcBorders>
              <w:top w:val="nil"/>
              <w:left w:val="nil"/>
              <w:bottom w:val="single" w:sz="4" w:space="0" w:color="auto"/>
              <w:right w:val="single" w:sz="4" w:space="0" w:color="auto"/>
            </w:tcBorders>
            <w:vAlign w:val="center"/>
            <w:hideMark/>
          </w:tcPr>
          <w:p w14:paraId="243DD13D"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23.81</w:t>
            </w:r>
          </w:p>
        </w:tc>
        <w:tc>
          <w:tcPr>
            <w:tcW w:w="863" w:type="dxa"/>
            <w:tcBorders>
              <w:top w:val="nil"/>
              <w:left w:val="nil"/>
              <w:bottom w:val="single" w:sz="4" w:space="0" w:color="auto"/>
              <w:right w:val="single" w:sz="4" w:space="0" w:color="auto"/>
            </w:tcBorders>
            <w:vAlign w:val="center"/>
            <w:hideMark/>
          </w:tcPr>
          <w:p w14:paraId="7290E201"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23.21</w:t>
            </w:r>
          </w:p>
        </w:tc>
        <w:tc>
          <w:tcPr>
            <w:tcW w:w="849" w:type="dxa"/>
            <w:tcBorders>
              <w:top w:val="nil"/>
              <w:left w:val="nil"/>
              <w:bottom w:val="single" w:sz="4" w:space="0" w:color="auto"/>
              <w:right w:val="single" w:sz="4" w:space="0" w:color="auto"/>
            </w:tcBorders>
            <w:vAlign w:val="center"/>
            <w:hideMark/>
          </w:tcPr>
          <w:p w14:paraId="3B3B4031"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0.01</w:t>
            </w:r>
          </w:p>
        </w:tc>
        <w:tc>
          <w:tcPr>
            <w:tcW w:w="987" w:type="dxa"/>
            <w:tcBorders>
              <w:top w:val="nil"/>
              <w:left w:val="nil"/>
              <w:bottom w:val="single" w:sz="4" w:space="0" w:color="auto"/>
              <w:right w:val="single" w:sz="4" w:space="0" w:color="auto"/>
            </w:tcBorders>
            <w:vAlign w:val="center"/>
            <w:hideMark/>
          </w:tcPr>
          <w:p w14:paraId="6B1A6D24"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0.60</w:t>
            </w:r>
          </w:p>
        </w:tc>
        <w:tc>
          <w:tcPr>
            <w:tcW w:w="825" w:type="dxa"/>
            <w:tcBorders>
              <w:top w:val="nil"/>
              <w:left w:val="nil"/>
              <w:bottom w:val="single" w:sz="4" w:space="0" w:color="auto"/>
              <w:right w:val="single" w:sz="4" w:space="0" w:color="auto"/>
            </w:tcBorders>
            <w:vAlign w:val="center"/>
            <w:hideMark/>
          </w:tcPr>
          <w:p w14:paraId="6FD9FA02"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23.19</w:t>
            </w:r>
          </w:p>
        </w:tc>
      </w:tr>
      <w:tr w:rsidR="00992D8B" w:rsidRPr="00992D8B" w14:paraId="7D1C7654" w14:textId="77777777" w:rsidTr="00304420">
        <w:trPr>
          <w:trHeight w:val="531"/>
          <w:jc w:val="center"/>
        </w:trPr>
        <w:tc>
          <w:tcPr>
            <w:tcW w:w="1269" w:type="dxa"/>
            <w:vMerge/>
            <w:tcBorders>
              <w:top w:val="nil"/>
              <w:left w:val="single" w:sz="4" w:space="0" w:color="auto"/>
              <w:bottom w:val="single" w:sz="4" w:space="0" w:color="auto"/>
              <w:right w:val="single" w:sz="4" w:space="0" w:color="auto"/>
            </w:tcBorders>
            <w:vAlign w:val="center"/>
            <w:hideMark/>
          </w:tcPr>
          <w:p w14:paraId="2AC88775" w14:textId="77777777" w:rsidR="005E1930" w:rsidRPr="00992D8B" w:rsidRDefault="005E1930" w:rsidP="000F221E">
            <w:pPr>
              <w:rPr>
                <w:rFonts w:ascii="Cambria" w:hAnsi="Cambria" w:cs="Calibri"/>
                <w:b/>
                <w:bCs/>
                <w:sz w:val="18"/>
                <w:szCs w:val="18"/>
                <w:lang w:val="en-IN" w:eastAsia="en-IN"/>
              </w:rPr>
            </w:pPr>
          </w:p>
        </w:tc>
        <w:tc>
          <w:tcPr>
            <w:tcW w:w="2131" w:type="dxa"/>
            <w:tcBorders>
              <w:top w:val="nil"/>
              <w:left w:val="nil"/>
              <w:bottom w:val="single" w:sz="4" w:space="0" w:color="auto"/>
              <w:right w:val="single" w:sz="4" w:space="0" w:color="auto"/>
            </w:tcBorders>
            <w:vAlign w:val="center"/>
            <w:hideMark/>
          </w:tcPr>
          <w:p w14:paraId="6A014B19" w14:textId="77777777" w:rsidR="005E1930" w:rsidRPr="00992D8B" w:rsidRDefault="005E1930" w:rsidP="000F221E">
            <w:pPr>
              <w:rPr>
                <w:rFonts w:ascii="Cambria" w:hAnsi="Cambria" w:cs="Calibri"/>
                <w:sz w:val="18"/>
                <w:szCs w:val="18"/>
                <w:lang w:val="en-IN" w:eastAsia="en-IN"/>
              </w:rPr>
            </w:pPr>
            <w:r w:rsidRPr="00992D8B">
              <w:rPr>
                <w:rFonts w:ascii="Cambria" w:hAnsi="Cambria" w:cs="Calibri"/>
                <w:sz w:val="18"/>
                <w:szCs w:val="18"/>
                <w:lang w:val="en-IN" w:eastAsia="en-IN"/>
              </w:rPr>
              <w:t>Replacement/Addition of network component in 33KV &amp; 11KV Line</w:t>
            </w:r>
          </w:p>
        </w:tc>
        <w:tc>
          <w:tcPr>
            <w:tcW w:w="988" w:type="dxa"/>
            <w:gridSpan w:val="2"/>
            <w:tcBorders>
              <w:top w:val="nil"/>
              <w:left w:val="nil"/>
              <w:bottom w:val="single" w:sz="4" w:space="0" w:color="auto"/>
              <w:right w:val="single" w:sz="4" w:space="0" w:color="auto"/>
            </w:tcBorders>
            <w:vAlign w:val="center"/>
            <w:hideMark/>
          </w:tcPr>
          <w:p w14:paraId="4EAAF5BE"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36.08</w:t>
            </w:r>
          </w:p>
        </w:tc>
        <w:tc>
          <w:tcPr>
            <w:tcW w:w="990" w:type="dxa"/>
            <w:tcBorders>
              <w:top w:val="nil"/>
              <w:left w:val="nil"/>
              <w:bottom w:val="single" w:sz="4" w:space="0" w:color="auto"/>
              <w:right w:val="single" w:sz="4" w:space="0" w:color="auto"/>
            </w:tcBorders>
            <w:vAlign w:val="center"/>
            <w:hideMark/>
          </w:tcPr>
          <w:p w14:paraId="0FA256F0"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-0.44</w:t>
            </w:r>
          </w:p>
        </w:tc>
        <w:tc>
          <w:tcPr>
            <w:tcW w:w="1114" w:type="dxa"/>
            <w:tcBorders>
              <w:top w:val="nil"/>
              <w:left w:val="nil"/>
              <w:bottom w:val="single" w:sz="4" w:space="0" w:color="auto"/>
              <w:right w:val="single" w:sz="4" w:space="0" w:color="auto"/>
            </w:tcBorders>
            <w:vAlign w:val="center"/>
            <w:hideMark/>
          </w:tcPr>
          <w:p w14:paraId="61EDF1A7"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35.64</w:t>
            </w:r>
          </w:p>
        </w:tc>
        <w:tc>
          <w:tcPr>
            <w:tcW w:w="863" w:type="dxa"/>
            <w:tcBorders>
              <w:top w:val="nil"/>
              <w:left w:val="nil"/>
              <w:bottom w:val="single" w:sz="4" w:space="0" w:color="auto"/>
              <w:right w:val="single" w:sz="4" w:space="0" w:color="auto"/>
            </w:tcBorders>
            <w:vAlign w:val="center"/>
            <w:hideMark/>
          </w:tcPr>
          <w:p w14:paraId="005C83EA"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33.38</w:t>
            </w:r>
          </w:p>
        </w:tc>
        <w:tc>
          <w:tcPr>
            <w:tcW w:w="849" w:type="dxa"/>
            <w:tcBorders>
              <w:top w:val="nil"/>
              <w:left w:val="nil"/>
              <w:bottom w:val="single" w:sz="4" w:space="0" w:color="auto"/>
              <w:right w:val="single" w:sz="4" w:space="0" w:color="auto"/>
            </w:tcBorders>
            <w:vAlign w:val="center"/>
            <w:hideMark/>
          </w:tcPr>
          <w:p w14:paraId="783D5F3A"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1.62</w:t>
            </w:r>
          </w:p>
        </w:tc>
        <w:tc>
          <w:tcPr>
            <w:tcW w:w="987" w:type="dxa"/>
            <w:tcBorders>
              <w:top w:val="nil"/>
              <w:left w:val="nil"/>
              <w:bottom w:val="single" w:sz="4" w:space="0" w:color="auto"/>
              <w:right w:val="single" w:sz="4" w:space="0" w:color="auto"/>
            </w:tcBorders>
            <w:vAlign w:val="center"/>
            <w:hideMark/>
          </w:tcPr>
          <w:p w14:paraId="657B2F40"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2.26</w:t>
            </w:r>
          </w:p>
        </w:tc>
        <w:tc>
          <w:tcPr>
            <w:tcW w:w="825" w:type="dxa"/>
            <w:tcBorders>
              <w:top w:val="nil"/>
              <w:left w:val="nil"/>
              <w:bottom w:val="single" w:sz="4" w:space="0" w:color="auto"/>
              <w:right w:val="single" w:sz="4" w:space="0" w:color="auto"/>
            </w:tcBorders>
            <w:vAlign w:val="center"/>
            <w:hideMark/>
          </w:tcPr>
          <w:p w14:paraId="41D0AA27"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31.76</w:t>
            </w:r>
          </w:p>
        </w:tc>
      </w:tr>
      <w:tr w:rsidR="00992D8B" w:rsidRPr="00992D8B" w14:paraId="563172A5" w14:textId="77777777" w:rsidTr="00304420">
        <w:trPr>
          <w:trHeight w:val="531"/>
          <w:jc w:val="center"/>
        </w:trPr>
        <w:tc>
          <w:tcPr>
            <w:tcW w:w="1269" w:type="dxa"/>
            <w:vMerge/>
            <w:tcBorders>
              <w:top w:val="nil"/>
              <w:left w:val="single" w:sz="4" w:space="0" w:color="auto"/>
              <w:bottom w:val="single" w:sz="4" w:space="0" w:color="auto"/>
              <w:right w:val="single" w:sz="4" w:space="0" w:color="auto"/>
            </w:tcBorders>
            <w:vAlign w:val="center"/>
            <w:hideMark/>
          </w:tcPr>
          <w:p w14:paraId="47F45E64" w14:textId="77777777" w:rsidR="005E1930" w:rsidRPr="00992D8B" w:rsidRDefault="005E1930" w:rsidP="000F221E">
            <w:pPr>
              <w:rPr>
                <w:rFonts w:ascii="Cambria" w:hAnsi="Cambria" w:cs="Calibri"/>
                <w:b/>
                <w:bCs/>
                <w:sz w:val="18"/>
                <w:szCs w:val="18"/>
                <w:lang w:val="en-IN" w:eastAsia="en-IN"/>
              </w:rPr>
            </w:pPr>
          </w:p>
        </w:tc>
        <w:tc>
          <w:tcPr>
            <w:tcW w:w="2131" w:type="dxa"/>
            <w:tcBorders>
              <w:top w:val="nil"/>
              <w:left w:val="nil"/>
              <w:bottom w:val="single" w:sz="4" w:space="0" w:color="auto"/>
              <w:right w:val="single" w:sz="4" w:space="0" w:color="auto"/>
            </w:tcBorders>
            <w:vAlign w:val="center"/>
            <w:hideMark/>
          </w:tcPr>
          <w:p w14:paraId="04D5EF22" w14:textId="77777777" w:rsidR="005E1930" w:rsidRPr="00992D8B" w:rsidRDefault="005E1930" w:rsidP="000F221E">
            <w:pPr>
              <w:rPr>
                <w:rFonts w:ascii="Cambria" w:hAnsi="Cambria" w:cs="Calibri"/>
                <w:sz w:val="18"/>
                <w:szCs w:val="18"/>
                <w:lang w:val="en-IN" w:eastAsia="en-IN"/>
              </w:rPr>
            </w:pPr>
            <w:r w:rsidRPr="00992D8B">
              <w:rPr>
                <w:rFonts w:ascii="Cambria" w:hAnsi="Cambria" w:cs="Calibri"/>
                <w:sz w:val="18"/>
                <w:szCs w:val="18"/>
                <w:lang w:val="en-IN" w:eastAsia="en-IN"/>
              </w:rPr>
              <w:t>Replacement/ Addition of network component in Distribution Substation</w:t>
            </w:r>
          </w:p>
        </w:tc>
        <w:tc>
          <w:tcPr>
            <w:tcW w:w="988" w:type="dxa"/>
            <w:gridSpan w:val="2"/>
            <w:tcBorders>
              <w:top w:val="nil"/>
              <w:left w:val="nil"/>
              <w:bottom w:val="single" w:sz="4" w:space="0" w:color="auto"/>
              <w:right w:val="single" w:sz="4" w:space="0" w:color="auto"/>
            </w:tcBorders>
            <w:vAlign w:val="center"/>
            <w:hideMark/>
          </w:tcPr>
          <w:p w14:paraId="1E43A5CC"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10.03</w:t>
            </w:r>
          </w:p>
        </w:tc>
        <w:tc>
          <w:tcPr>
            <w:tcW w:w="990" w:type="dxa"/>
            <w:tcBorders>
              <w:top w:val="nil"/>
              <w:left w:val="nil"/>
              <w:bottom w:val="single" w:sz="4" w:space="0" w:color="auto"/>
              <w:right w:val="single" w:sz="4" w:space="0" w:color="auto"/>
            </w:tcBorders>
            <w:vAlign w:val="center"/>
            <w:hideMark/>
          </w:tcPr>
          <w:p w14:paraId="243C50AA"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0.00</w:t>
            </w:r>
          </w:p>
        </w:tc>
        <w:tc>
          <w:tcPr>
            <w:tcW w:w="1114" w:type="dxa"/>
            <w:tcBorders>
              <w:top w:val="nil"/>
              <w:left w:val="nil"/>
              <w:bottom w:val="single" w:sz="4" w:space="0" w:color="auto"/>
              <w:right w:val="single" w:sz="4" w:space="0" w:color="auto"/>
            </w:tcBorders>
            <w:vAlign w:val="center"/>
            <w:hideMark/>
          </w:tcPr>
          <w:p w14:paraId="38EF3D29"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10.03</w:t>
            </w:r>
          </w:p>
        </w:tc>
        <w:tc>
          <w:tcPr>
            <w:tcW w:w="863" w:type="dxa"/>
            <w:tcBorders>
              <w:top w:val="nil"/>
              <w:left w:val="nil"/>
              <w:bottom w:val="single" w:sz="4" w:space="0" w:color="auto"/>
              <w:right w:val="single" w:sz="4" w:space="0" w:color="auto"/>
            </w:tcBorders>
            <w:vAlign w:val="center"/>
            <w:hideMark/>
          </w:tcPr>
          <w:p w14:paraId="4D0A1899"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9.79</w:t>
            </w:r>
          </w:p>
        </w:tc>
        <w:tc>
          <w:tcPr>
            <w:tcW w:w="849" w:type="dxa"/>
            <w:tcBorders>
              <w:top w:val="nil"/>
              <w:left w:val="nil"/>
              <w:bottom w:val="single" w:sz="4" w:space="0" w:color="auto"/>
              <w:right w:val="single" w:sz="4" w:space="0" w:color="auto"/>
            </w:tcBorders>
            <w:vAlign w:val="center"/>
            <w:hideMark/>
          </w:tcPr>
          <w:p w14:paraId="175E8318"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0.72</w:t>
            </w:r>
          </w:p>
        </w:tc>
        <w:tc>
          <w:tcPr>
            <w:tcW w:w="987" w:type="dxa"/>
            <w:tcBorders>
              <w:top w:val="nil"/>
              <w:left w:val="nil"/>
              <w:bottom w:val="single" w:sz="4" w:space="0" w:color="auto"/>
              <w:right w:val="single" w:sz="4" w:space="0" w:color="auto"/>
            </w:tcBorders>
            <w:vAlign w:val="center"/>
            <w:hideMark/>
          </w:tcPr>
          <w:p w14:paraId="1FD7FD92"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0.24</w:t>
            </w:r>
          </w:p>
        </w:tc>
        <w:tc>
          <w:tcPr>
            <w:tcW w:w="825" w:type="dxa"/>
            <w:tcBorders>
              <w:top w:val="nil"/>
              <w:left w:val="nil"/>
              <w:bottom w:val="single" w:sz="4" w:space="0" w:color="auto"/>
              <w:right w:val="single" w:sz="4" w:space="0" w:color="auto"/>
            </w:tcBorders>
            <w:vAlign w:val="center"/>
            <w:hideMark/>
          </w:tcPr>
          <w:p w14:paraId="3C279950"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9.08</w:t>
            </w:r>
          </w:p>
        </w:tc>
      </w:tr>
      <w:tr w:rsidR="00992D8B" w:rsidRPr="00992D8B" w14:paraId="1A8A3324" w14:textId="77777777" w:rsidTr="00304420">
        <w:trPr>
          <w:trHeight w:val="177"/>
          <w:jc w:val="center"/>
        </w:trPr>
        <w:tc>
          <w:tcPr>
            <w:tcW w:w="1269" w:type="dxa"/>
            <w:vMerge/>
            <w:tcBorders>
              <w:top w:val="nil"/>
              <w:left w:val="single" w:sz="4" w:space="0" w:color="auto"/>
              <w:bottom w:val="single" w:sz="4" w:space="0" w:color="auto"/>
              <w:right w:val="single" w:sz="4" w:space="0" w:color="auto"/>
            </w:tcBorders>
            <w:vAlign w:val="center"/>
            <w:hideMark/>
          </w:tcPr>
          <w:p w14:paraId="420802F3" w14:textId="77777777" w:rsidR="005E1930" w:rsidRPr="00992D8B" w:rsidRDefault="005E1930" w:rsidP="000F221E">
            <w:pPr>
              <w:rPr>
                <w:rFonts w:ascii="Cambria" w:hAnsi="Cambria" w:cs="Calibri"/>
                <w:b/>
                <w:bCs/>
                <w:sz w:val="18"/>
                <w:szCs w:val="18"/>
                <w:lang w:val="en-IN" w:eastAsia="en-IN"/>
              </w:rPr>
            </w:pPr>
          </w:p>
        </w:tc>
        <w:tc>
          <w:tcPr>
            <w:tcW w:w="2131" w:type="dxa"/>
            <w:tcBorders>
              <w:top w:val="nil"/>
              <w:left w:val="nil"/>
              <w:bottom w:val="single" w:sz="4" w:space="0" w:color="auto"/>
              <w:right w:val="single" w:sz="4" w:space="0" w:color="auto"/>
            </w:tcBorders>
            <w:vAlign w:val="center"/>
            <w:hideMark/>
          </w:tcPr>
          <w:p w14:paraId="48660A68"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lang w:val="en-IN" w:eastAsia="en-IN"/>
              </w:rPr>
              <w:t>TOTAL</w:t>
            </w:r>
          </w:p>
        </w:tc>
        <w:tc>
          <w:tcPr>
            <w:tcW w:w="988" w:type="dxa"/>
            <w:gridSpan w:val="2"/>
            <w:tcBorders>
              <w:top w:val="nil"/>
              <w:left w:val="nil"/>
              <w:bottom w:val="single" w:sz="4" w:space="0" w:color="auto"/>
              <w:right w:val="single" w:sz="4" w:space="0" w:color="auto"/>
            </w:tcBorders>
            <w:vAlign w:val="center"/>
            <w:hideMark/>
          </w:tcPr>
          <w:p w14:paraId="0DAA015D"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69.48</w:t>
            </w:r>
          </w:p>
        </w:tc>
        <w:tc>
          <w:tcPr>
            <w:tcW w:w="990" w:type="dxa"/>
            <w:tcBorders>
              <w:top w:val="nil"/>
              <w:left w:val="nil"/>
              <w:bottom w:val="single" w:sz="4" w:space="0" w:color="auto"/>
              <w:right w:val="single" w:sz="4" w:space="0" w:color="auto"/>
            </w:tcBorders>
            <w:vAlign w:val="center"/>
            <w:hideMark/>
          </w:tcPr>
          <w:p w14:paraId="4E030E7F"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0.00</w:t>
            </w:r>
          </w:p>
        </w:tc>
        <w:tc>
          <w:tcPr>
            <w:tcW w:w="1114" w:type="dxa"/>
            <w:tcBorders>
              <w:top w:val="nil"/>
              <w:left w:val="nil"/>
              <w:bottom w:val="single" w:sz="4" w:space="0" w:color="auto"/>
              <w:right w:val="single" w:sz="4" w:space="0" w:color="auto"/>
            </w:tcBorders>
            <w:vAlign w:val="center"/>
            <w:hideMark/>
          </w:tcPr>
          <w:p w14:paraId="66500370"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69.48</w:t>
            </w:r>
          </w:p>
        </w:tc>
        <w:tc>
          <w:tcPr>
            <w:tcW w:w="863" w:type="dxa"/>
            <w:tcBorders>
              <w:top w:val="nil"/>
              <w:left w:val="nil"/>
              <w:bottom w:val="single" w:sz="4" w:space="0" w:color="auto"/>
              <w:right w:val="single" w:sz="4" w:space="0" w:color="auto"/>
            </w:tcBorders>
            <w:vAlign w:val="center"/>
            <w:hideMark/>
          </w:tcPr>
          <w:p w14:paraId="26A0CFB5"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66.38</w:t>
            </w:r>
          </w:p>
        </w:tc>
        <w:tc>
          <w:tcPr>
            <w:tcW w:w="849" w:type="dxa"/>
            <w:tcBorders>
              <w:top w:val="nil"/>
              <w:left w:val="nil"/>
              <w:bottom w:val="single" w:sz="4" w:space="0" w:color="auto"/>
              <w:right w:val="single" w:sz="4" w:space="0" w:color="auto"/>
            </w:tcBorders>
            <w:vAlign w:val="center"/>
            <w:hideMark/>
          </w:tcPr>
          <w:p w14:paraId="024D1B70"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2.35</w:t>
            </w:r>
          </w:p>
        </w:tc>
        <w:tc>
          <w:tcPr>
            <w:tcW w:w="987" w:type="dxa"/>
            <w:tcBorders>
              <w:top w:val="nil"/>
              <w:left w:val="nil"/>
              <w:bottom w:val="single" w:sz="4" w:space="0" w:color="auto"/>
              <w:right w:val="single" w:sz="4" w:space="0" w:color="auto"/>
            </w:tcBorders>
            <w:vAlign w:val="center"/>
            <w:hideMark/>
          </w:tcPr>
          <w:p w14:paraId="63225281"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3.10</w:t>
            </w:r>
          </w:p>
        </w:tc>
        <w:tc>
          <w:tcPr>
            <w:tcW w:w="825" w:type="dxa"/>
            <w:tcBorders>
              <w:top w:val="nil"/>
              <w:left w:val="nil"/>
              <w:bottom w:val="single" w:sz="4" w:space="0" w:color="auto"/>
              <w:right w:val="single" w:sz="4" w:space="0" w:color="auto"/>
            </w:tcBorders>
            <w:vAlign w:val="center"/>
            <w:hideMark/>
          </w:tcPr>
          <w:p w14:paraId="36C40F42"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64.03</w:t>
            </w:r>
          </w:p>
        </w:tc>
      </w:tr>
      <w:tr w:rsidR="00992D8B" w:rsidRPr="00992D8B" w14:paraId="0DF77AD4" w14:textId="77777777" w:rsidTr="00304420">
        <w:trPr>
          <w:trHeight w:val="531"/>
          <w:jc w:val="center"/>
        </w:trPr>
        <w:tc>
          <w:tcPr>
            <w:tcW w:w="1269" w:type="dxa"/>
            <w:vMerge w:val="restart"/>
            <w:tcBorders>
              <w:top w:val="nil"/>
              <w:left w:val="single" w:sz="4" w:space="0" w:color="auto"/>
              <w:bottom w:val="single" w:sz="4" w:space="0" w:color="auto"/>
              <w:right w:val="single" w:sz="4" w:space="0" w:color="auto"/>
            </w:tcBorders>
            <w:vAlign w:val="center"/>
            <w:hideMark/>
          </w:tcPr>
          <w:p w14:paraId="42D8AF97" w14:textId="77777777" w:rsidR="005E1930" w:rsidRPr="00992D8B" w:rsidRDefault="005E1930" w:rsidP="000F221E">
            <w:pPr>
              <w:jc w:val="center"/>
              <w:rPr>
                <w:rFonts w:ascii="Cambria" w:hAnsi="Cambria" w:cs="Calibri"/>
                <w:b/>
                <w:bCs/>
                <w:sz w:val="18"/>
                <w:szCs w:val="18"/>
                <w:lang w:val="en-IN" w:eastAsia="en-IN"/>
              </w:rPr>
            </w:pPr>
            <w:r w:rsidRPr="00992D8B">
              <w:rPr>
                <w:rFonts w:ascii="Cambria" w:hAnsi="Cambria" w:cs="Calibri"/>
                <w:b/>
                <w:bCs/>
                <w:sz w:val="18"/>
                <w:szCs w:val="18"/>
                <w:lang w:val="en-IN" w:eastAsia="en-IN"/>
              </w:rPr>
              <w:t>Load Growth</w:t>
            </w:r>
          </w:p>
        </w:tc>
        <w:tc>
          <w:tcPr>
            <w:tcW w:w="2131" w:type="dxa"/>
            <w:tcBorders>
              <w:top w:val="nil"/>
              <w:left w:val="nil"/>
              <w:bottom w:val="single" w:sz="4" w:space="0" w:color="auto"/>
              <w:right w:val="single" w:sz="4" w:space="0" w:color="auto"/>
            </w:tcBorders>
            <w:vAlign w:val="center"/>
            <w:hideMark/>
          </w:tcPr>
          <w:p w14:paraId="0DD50096" w14:textId="77777777" w:rsidR="005E1930" w:rsidRPr="00992D8B" w:rsidRDefault="005E1930" w:rsidP="000F221E">
            <w:pPr>
              <w:rPr>
                <w:rFonts w:ascii="Cambria" w:hAnsi="Cambria" w:cs="Calibri"/>
                <w:sz w:val="18"/>
                <w:szCs w:val="18"/>
                <w:lang w:val="en-IN" w:eastAsia="en-IN"/>
              </w:rPr>
            </w:pPr>
            <w:r w:rsidRPr="00992D8B">
              <w:rPr>
                <w:rFonts w:ascii="Cambria" w:hAnsi="Cambria" w:cs="Calibri"/>
                <w:sz w:val="18"/>
                <w:szCs w:val="18"/>
                <w:lang w:val="en-IN" w:eastAsia="en-IN"/>
              </w:rPr>
              <w:t>Network Enhancement/unforeseen Emergency</w:t>
            </w:r>
          </w:p>
        </w:tc>
        <w:tc>
          <w:tcPr>
            <w:tcW w:w="988" w:type="dxa"/>
            <w:gridSpan w:val="2"/>
            <w:tcBorders>
              <w:top w:val="nil"/>
              <w:left w:val="nil"/>
              <w:bottom w:val="single" w:sz="4" w:space="0" w:color="auto"/>
              <w:right w:val="single" w:sz="4" w:space="0" w:color="auto"/>
            </w:tcBorders>
            <w:vAlign w:val="center"/>
            <w:hideMark/>
          </w:tcPr>
          <w:p w14:paraId="3F842DF8"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67.82</w:t>
            </w:r>
          </w:p>
        </w:tc>
        <w:tc>
          <w:tcPr>
            <w:tcW w:w="990" w:type="dxa"/>
            <w:tcBorders>
              <w:top w:val="nil"/>
              <w:left w:val="nil"/>
              <w:bottom w:val="single" w:sz="4" w:space="0" w:color="auto"/>
              <w:right w:val="single" w:sz="4" w:space="0" w:color="auto"/>
            </w:tcBorders>
            <w:vAlign w:val="center"/>
            <w:hideMark/>
          </w:tcPr>
          <w:p w14:paraId="4CE454C4"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0.00</w:t>
            </w:r>
          </w:p>
        </w:tc>
        <w:tc>
          <w:tcPr>
            <w:tcW w:w="1114" w:type="dxa"/>
            <w:tcBorders>
              <w:top w:val="nil"/>
              <w:left w:val="nil"/>
              <w:bottom w:val="single" w:sz="4" w:space="0" w:color="auto"/>
              <w:right w:val="single" w:sz="4" w:space="0" w:color="auto"/>
            </w:tcBorders>
            <w:vAlign w:val="center"/>
            <w:hideMark/>
          </w:tcPr>
          <w:p w14:paraId="6E94BC97"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67.82</w:t>
            </w:r>
          </w:p>
        </w:tc>
        <w:tc>
          <w:tcPr>
            <w:tcW w:w="863" w:type="dxa"/>
            <w:tcBorders>
              <w:top w:val="nil"/>
              <w:left w:val="nil"/>
              <w:bottom w:val="single" w:sz="4" w:space="0" w:color="auto"/>
              <w:right w:val="single" w:sz="4" w:space="0" w:color="auto"/>
            </w:tcBorders>
            <w:vAlign w:val="center"/>
            <w:hideMark/>
          </w:tcPr>
          <w:p w14:paraId="5B13E171"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63.25</w:t>
            </w:r>
          </w:p>
        </w:tc>
        <w:tc>
          <w:tcPr>
            <w:tcW w:w="849" w:type="dxa"/>
            <w:tcBorders>
              <w:top w:val="nil"/>
              <w:left w:val="nil"/>
              <w:bottom w:val="single" w:sz="4" w:space="0" w:color="auto"/>
              <w:right w:val="single" w:sz="4" w:space="0" w:color="auto"/>
            </w:tcBorders>
            <w:vAlign w:val="center"/>
            <w:hideMark/>
          </w:tcPr>
          <w:p w14:paraId="24BC9E2B"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1.13</w:t>
            </w:r>
          </w:p>
        </w:tc>
        <w:tc>
          <w:tcPr>
            <w:tcW w:w="987" w:type="dxa"/>
            <w:tcBorders>
              <w:top w:val="nil"/>
              <w:left w:val="nil"/>
              <w:bottom w:val="single" w:sz="4" w:space="0" w:color="auto"/>
              <w:right w:val="single" w:sz="4" w:space="0" w:color="auto"/>
            </w:tcBorders>
            <w:vAlign w:val="center"/>
            <w:hideMark/>
          </w:tcPr>
          <w:p w14:paraId="730CA398"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4.57</w:t>
            </w:r>
          </w:p>
        </w:tc>
        <w:tc>
          <w:tcPr>
            <w:tcW w:w="825" w:type="dxa"/>
            <w:tcBorders>
              <w:top w:val="nil"/>
              <w:left w:val="nil"/>
              <w:bottom w:val="single" w:sz="4" w:space="0" w:color="auto"/>
              <w:right w:val="single" w:sz="4" w:space="0" w:color="auto"/>
            </w:tcBorders>
            <w:vAlign w:val="center"/>
            <w:hideMark/>
          </w:tcPr>
          <w:p w14:paraId="46ED0577"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62.11</w:t>
            </w:r>
          </w:p>
        </w:tc>
      </w:tr>
      <w:tr w:rsidR="00992D8B" w:rsidRPr="00992D8B" w14:paraId="7EC3D4B1" w14:textId="77777777" w:rsidTr="00304420">
        <w:trPr>
          <w:trHeight w:val="177"/>
          <w:jc w:val="center"/>
        </w:trPr>
        <w:tc>
          <w:tcPr>
            <w:tcW w:w="1269" w:type="dxa"/>
            <w:vMerge/>
            <w:tcBorders>
              <w:top w:val="nil"/>
              <w:left w:val="single" w:sz="4" w:space="0" w:color="auto"/>
              <w:bottom w:val="single" w:sz="4" w:space="0" w:color="auto"/>
              <w:right w:val="single" w:sz="4" w:space="0" w:color="auto"/>
            </w:tcBorders>
            <w:vAlign w:val="center"/>
            <w:hideMark/>
          </w:tcPr>
          <w:p w14:paraId="6A2FCD43" w14:textId="77777777" w:rsidR="005E1930" w:rsidRPr="00992D8B" w:rsidRDefault="005E1930" w:rsidP="000F221E">
            <w:pPr>
              <w:rPr>
                <w:rFonts w:ascii="Cambria" w:hAnsi="Cambria" w:cs="Calibri"/>
                <w:b/>
                <w:bCs/>
                <w:sz w:val="18"/>
                <w:szCs w:val="18"/>
                <w:lang w:val="en-IN" w:eastAsia="en-IN"/>
              </w:rPr>
            </w:pPr>
          </w:p>
        </w:tc>
        <w:tc>
          <w:tcPr>
            <w:tcW w:w="2131" w:type="dxa"/>
            <w:tcBorders>
              <w:top w:val="nil"/>
              <w:left w:val="nil"/>
              <w:bottom w:val="single" w:sz="4" w:space="0" w:color="auto"/>
              <w:right w:val="single" w:sz="4" w:space="0" w:color="auto"/>
            </w:tcBorders>
            <w:vAlign w:val="center"/>
            <w:hideMark/>
          </w:tcPr>
          <w:p w14:paraId="46E270A9"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lang w:val="en-IN" w:eastAsia="en-IN"/>
              </w:rPr>
              <w:t>TOTAL</w:t>
            </w:r>
          </w:p>
        </w:tc>
        <w:tc>
          <w:tcPr>
            <w:tcW w:w="988" w:type="dxa"/>
            <w:gridSpan w:val="2"/>
            <w:tcBorders>
              <w:top w:val="nil"/>
              <w:left w:val="nil"/>
              <w:bottom w:val="single" w:sz="4" w:space="0" w:color="auto"/>
              <w:right w:val="single" w:sz="4" w:space="0" w:color="auto"/>
            </w:tcBorders>
            <w:vAlign w:val="center"/>
            <w:hideMark/>
          </w:tcPr>
          <w:p w14:paraId="7808DDC1"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67.82</w:t>
            </w:r>
          </w:p>
        </w:tc>
        <w:tc>
          <w:tcPr>
            <w:tcW w:w="990" w:type="dxa"/>
            <w:tcBorders>
              <w:top w:val="nil"/>
              <w:left w:val="nil"/>
              <w:bottom w:val="single" w:sz="4" w:space="0" w:color="auto"/>
              <w:right w:val="single" w:sz="4" w:space="0" w:color="auto"/>
            </w:tcBorders>
            <w:vAlign w:val="center"/>
            <w:hideMark/>
          </w:tcPr>
          <w:p w14:paraId="07303791"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0.00</w:t>
            </w:r>
          </w:p>
        </w:tc>
        <w:tc>
          <w:tcPr>
            <w:tcW w:w="1114" w:type="dxa"/>
            <w:tcBorders>
              <w:top w:val="nil"/>
              <w:left w:val="nil"/>
              <w:bottom w:val="single" w:sz="4" w:space="0" w:color="auto"/>
              <w:right w:val="single" w:sz="4" w:space="0" w:color="auto"/>
            </w:tcBorders>
            <w:vAlign w:val="center"/>
            <w:hideMark/>
          </w:tcPr>
          <w:p w14:paraId="5FD0724B"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67.82</w:t>
            </w:r>
          </w:p>
        </w:tc>
        <w:tc>
          <w:tcPr>
            <w:tcW w:w="863" w:type="dxa"/>
            <w:tcBorders>
              <w:top w:val="nil"/>
              <w:left w:val="nil"/>
              <w:bottom w:val="single" w:sz="4" w:space="0" w:color="auto"/>
              <w:right w:val="single" w:sz="4" w:space="0" w:color="auto"/>
            </w:tcBorders>
            <w:vAlign w:val="center"/>
            <w:hideMark/>
          </w:tcPr>
          <w:p w14:paraId="5ABD7F10"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63.25</w:t>
            </w:r>
          </w:p>
        </w:tc>
        <w:tc>
          <w:tcPr>
            <w:tcW w:w="849" w:type="dxa"/>
            <w:tcBorders>
              <w:top w:val="nil"/>
              <w:left w:val="nil"/>
              <w:bottom w:val="single" w:sz="4" w:space="0" w:color="auto"/>
              <w:right w:val="single" w:sz="4" w:space="0" w:color="auto"/>
            </w:tcBorders>
            <w:vAlign w:val="center"/>
            <w:hideMark/>
          </w:tcPr>
          <w:p w14:paraId="32C05E28"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1.13</w:t>
            </w:r>
          </w:p>
        </w:tc>
        <w:tc>
          <w:tcPr>
            <w:tcW w:w="987" w:type="dxa"/>
            <w:tcBorders>
              <w:top w:val="nil"/>
              <w:left w:val="nil"/>
              <w:bottom w:val="single" w:sz="4" w:space="0" w:color="auto"/>
              <w:right w:val="single" w:sz="4" w:space="0" w:color="auto"/>
            </w:tcBorders>
            <w:vAlign w:val="center"/>
            <w:hideMark/>
          </w:tcPr>
          <w:p w14:paraId="18E8FA1A"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4.57</w:t>
            </w:r>
          </w:p>
        </w:tc>
        <w:tc>
          <w:tcPr>
            <w:tcW w:w="825" w:type="dxa"/>
            <w:tcBorders>
              <w:top w:val="nil"/>
              <w:left w:val="nil"/>
              <w:bottom w:val="single" w:sz="4" w:space="0" w:color="auto"/>
              <w:right w:val="single" w:sz="4" w:space="0" w:color="auto"/>
            </w:tcBorders>
            <w:vAlign w:val="center"/>
            <w:hideMark/>
          </w:tcPr>
          <w:p w14:paraId="3CCF7B8E"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62.11</w:t>
            </w:r>
          </w:p>
        </w:tc>
      </w:tr>
      <w:tr w:rsidR="00992D8B" w:rsidRPr="00992D8B" w14:paraId="00B538AD" w14:textId="77777777" w:rsidTr="00304420">
        <w:trPr>
          <w:trHeight w:val="177"/>
          <w:jc w:val="center"/>
        </w:trPr>
        <w:tc>
          <w:tcPr>
            <w:tcW w:w="1269" w:type="dxa"/>
            <w:vMerge w:val="restart"/>
            <w:tcBorders>
              <w:top w:val="nil"/>
              <w:left w:val="single" w:sz="4" w:space="0" w:color="auto"/>
              <w:bottom w:val="single" w:sz="4" w:space="0" w:color="auto"/>
              <w:right w:val="single" w:sz="4" w:space="0" w:color="auto"/>
            </w:tcBorders>
            <w:vAlign w:val="center"/>
            <w:hideMark/>
          </w:tcPr>
          <w:p w14:paraId="39C38FE6" w14:textId="77777777" w:rsidR="005E1930" w:rsidRPr="00992D8B" w:rsidRDefault="005E1930" w:rsidP="000F221E">
            <w:pPr>
              <w:jc w:val="center"/>
              <w:rPr>
                <w:rFonts w:ascii="Cambria" w:hAnsi="Cambria" w:cs="Calibri"/>
                <w:b/>
                <w:bCs/>
                <w:sz w:val="18"/>
                <w:szCs w:val="18"/>
                <w:lang w:val="en-IN" w:eastAsia="en-IN"/>
              </w:rPr>
            </w:pPr>
            <w:r w:rsidRPr="00992D8B">
              <w:rPr>
                <w:rFonts w:ascii="Cambria" w:hAnsi="Cambria" w:cs="Calibri"/>
                <w:b/>
                <w:bCs/>
                <w:sz w:val="18"/>
                <w:szCs w:val="18"/>
                <w:lang w:val="en-IN" w:eastAsia="en-IN"/>
              </w:rPr>
              <w:t>Technology &amp; Infrastructure</w:t>
            </w:r>
          </w:p>
        </w:tc>
        <w:tc>
          <w:tcPr>
            <w:tcW w:w="2131" w:type="dxa"/>
            <w:tcBorders>
              <w:top w:val="nil"/>
              <w:left w:val="nil"/>
              <w:bottom w:val="single" w:sz="4" w:space="0" w:color="auto"/>
              <w:right w:val="single" w:sz="4" w:space="0" w:color="auto"/>
            </w:tcBorders>
            <w:vAlign w:val="center"/>
            <w:hideMark/>
          </w:tcPr>
          <w:p w14:paraId="1E743F4D" w14:textId="77777777" w:rsidR="005E1930" w:rsidRPr="00992D8B" w:rsidRDefault="005E1930" w:rsidP="000F221E">
            <w:pPr>
              <w:rPr>
                <w:rFonts w:ascii="Cambria" w:hAnsi="Cambria" w:cs="Calibri"/>
                <w:sz w:val="18"/>
                <w:szCs w:val="18"/>
                <w:lang w:val="en-IN" w:eastAsia="en-IN"/>
              </w:rPr>
            </w:pPr>
            <w:r w:rsidRPr="00992D8B">
              <w:rPr>
                <w:rFonts w:ascii="Cambria" w:hAnsi="Cambria" w:cs="Calibri"/>
                <w:sz w:val="18"/>
                <w:szCs w:val="18"/>
                <w:lang w:val="en-IN" w:eastAsia="en-IN"/>
              </w:rPr>
              <w:t>IT &amp; Technology Intervention</w:t>
            </w:r>
          </w:p>
        </w:tc>
        <w:tc>
          <w:tcPr>
            <w:tcW w:w="988" w:type="dxa"/>
            <w:gridSpan w:val="2"/>
            <w:tcBorders>
              <w:top w:val="nil"/>
              <w:left w:val="nil"/>
              <w:bottom w:val="single" w:sz="4" w:space="0" w:color="auto"/>
              <w:right w:val="single" w:sz="4" w:space="0" w:color="auto"/>
            </w:tcBorders>
            <w:vAlign w:val="center"/>
            <w:hideMark/>
          </w:tcPr>
          <w:p w14:paraId="6CAD3128"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67.48</w:t>
            </w:r>
          </w:p>
        </w:tc>
        <w:tc>
          <w:tcPr>
            <w:tcW w:w="990" w:type="dxa"/>
            <w:tcBorders>
              <w:top w:val="nil"/>
              <w:left w:val="nil"/>
              <w:bottom w:val="single" w:sz="4" w:space="0" w:color="auto"/>
              <w:right w:val="single" w:sz="4" w:space="0" w:color="auto"/>
            </w:tcBorders>
            <w:vAlign w:val="center"/>
            <w:hideMark/>
          </w:tcPr>
          <w:p w14:paraId="4B43B09C"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-5.00</w:t>
            </w:r>
          </w:p>
        </w:tc>
        <w:tc>
          <w:tcPr>
            <w:tcW w:w="1114" w:type="dxa"/>
            <w:tcBorders>
              <w:top w:val="nil"/>
              <w:left w:val="nil"/>
              <w:bottom w:val="single" w:sz="4" w:space="0" w:color="auto"/>
              <w:right w:val="single" w:sz="4" w:space="0" w:color="auto"/>
            </w:tcBorders>
            <w:vAlign w:val="center"/>
            <w:hideMark/>
          </w:tcPr>
          <w:p w14:paraId="7EDB2BDB"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62.48</w:t>
            </w:r>
          </w:p>
        </w:tc>
        <w:tc>
          <w:tcPr>
            <w:tcW w:w="863" w:type="dxa"/>
            <w:tcBorders>
              <w:top w:val="nil"/>
              <w:left w:val="nil"/>
              <w:bottom w:val="single" w:sz="4" w:space="0" w:color="auto"/>
              <w:right w:val="single" w:sz="4" w:space="0" w:color="auto"/>
            </w:tcBorders>
            <w:vAlign w:val="center"/>
            <w:hideMark/>
          </w:tcPr>
          <w:p w14:paraId="392E72EF"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62.45</w:t>
            </w:r>
          </w:p>
        </w:tc>
        <w:tc>
          <w:tcPr>
            <w:tcW w:w="849" w:type="dxa"/>
            <w:tcBorders>
              <w:top w:val="nil"/>
              <w:left w:val="nil"/>
              <w:bottom w:val="single" w:sz="4" w:space="0" w:color="auto"/>
              <w:right w:val="single" w:sz="4" w:space="0" w:color="auto"/>
            </w:tcBorders>
            <w:vAlign w:val="center"/>
            <w:hideMark/>
          </w:tcPr>
          <w:p w14:paraId="45FC16C3"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0.00</w:t>
            </w:r>
          </w:p>
        </w:tc>
        <w:tc>
          <w:tcPr>
            <w:tcW w:w="987" w:type="dxa"/>
            <w:tcBorders>
              <w:top w:val="nil"/>
              <w:left w:val="nil"/>
              <w:bottom w:val="single" w:sz="4" w:space="0" w:color="auto"/>
              <w:right w:val="single" w:sz="4" w:space="0" w:color="auto"/>
            </w:tcBorders>
            <w:vAlign w:val="center"/>
            <w:hideMark/>
          </w:tcPr>
          <w:p w14:paraId="73020BCE"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0.03</w:t>
            </w:r>
          </w:p>
        </w:tc>
        <w:tc>
          <w:tcPr>
            <w:tcW w:w="825" w:type="dxa"/>
            <w:tcBorders>
              <w:top w:val="nil"/>
              <w:left w:val="nil"/>
              <w:bottom w:val="single" w:sz="4" w:space="0" w:color="auto"/>
              <w:right w:val="single" w:sz="4" w:space="0" w:color="auto"/>
            </w:tcBorders>
            <w:vAlign w:val="center"/>
            <w:hideMark/>
          </w:tcPr>
          <w:p w14:paraId="308BDD4A"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62.45</w:t>
            </w:r>
          </w:p>
        </w:tc>
      </w:tr>
      <w:tr w:rsidR="00992D8B" w:rsidRPr="00992D8B" w14:paraId="61CB94B6" w14:textId="77777777" w:rsidTr="00304420">
        <w:trPr>
          <w:trHeight w:val="262"/>
          <w:jc w:val="center"/>
        </w:trPr>
        <w:tc>
          <w:tcPr>
            <w:tcW w:w="1269" w:type="dxa"/>
            <w:vMerge/>
            <w:tcBorders>
              <w:top w:val="nil"/>
              <w:left w:val="single" w:sz="4" w:space="0" w:color="auto"/>
              <w:bottom w:val="single" w:sz="4" w:space="0" w:color="auto"/>
              <w:right w:val="single" w:sz="4" w:space="0" w:color="auto"/>
            </w:tcBorders>
            <w:vAlign w:val="center"/>
            <w:hideMark/>
          </w:tcPr>
          <w:p w14:paraId="434C01B1" w14:textId="77777777" w:rsidR="005E1930" w:rsidRPr="00992D8B" w:rsidRDefault="005E1930" w:rsidP="000F221E">
            <w:pPr>
              <w:rPr>
                <w:rFonts w:ascii="Cambria" w:hAnsi="Cambria" w:cs="Calibri"/>
                <w:b/>
                <w:bCs/>
                <w:sz w:val="18"/>
                <w:szCs w:val="18"/>
                <w:lang w:val="en-IN" w:eastAsia="en-IN"/>
              </w:rPr>
            </w:pPr>
          </w:p>
        </w:tc>
        <w:tc>
          <w:tcPr>
            <w:tcW w:w="2131" w:type="dxa"/>
            <w:tcBorders>
              <w:top w:val="nil"/>
              <w:left w:val="nil"/>
              <w:bottom w:val="single" w:sz="4" w:space="0" w:color="auto"/>
              <w:right w:val="single" w:sz="4" w:space="0" w:color="auto"/>
            </w:tcBorders>
            <w:vAlign w:val="center"/>
            <w:hideMark/>
          </w:tcPr>
          <w:p w14:paraId="55E9A9A9" w14:textId="77777777" w:rsidR="005E1930" w:rsidRPr="00992D8B" w:rsidRDefault="005E1930" w:rsidP="000F221E">
            <w:pPr>
              <w:rPr>
                <w:rFonts w:ascii="Cambria" w:hAnsi="Cambria" w:cs="Calibri"/>
                <w:sz w:val="18"/>
                <w:szCs w:val="18"/>
                <w:lang w:val="en-IN" w:eastAsia="en-IN"/>
              </w:rPr>
            </w:pPr>
            <w:r w:rsidRPr="00992D8B">
              <w:rPr>
                <w:rFonts w:ascii="Cambria" w:hAnsi="Cambria" w:cs="Calibri"/>
                <w:sz w:val="18"/>
                <w:szCs w:val="18"/>
                <w:lang w:val="en-IN" w:eastAsia="en-IN"/>
              </w:rPr>
              <w:t>OT-GIS Communication &amp; Other</w:t>
            </w:r>
          </w:p>
        </w:tc>
        <w:tc>
          <w:tcPr>
            <w:tcW w:w="988" w:type="dxa"/>
            <w:gridSpan w:val="2"/>
            <w:tcBorders>
              <w:top w:val="nil"/>
              <w:left w:val="nil"/>
              <w:bottom w:val="single" w:sz="4" w:space="0" w:color="auto"/>
              <w:right w:val="single" w:sz="4" w:space="0" w:color="auto"/>
            </w:tcBorders>
            <w:vAlign w:val="center"/>
            <w:hideMark/>
          </w:tcPr>
          <w:p w14:paraId="001E8CD8"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62.21</w:t>
            </w:r>
          </w:p>
        </w:tc>
        <w:tc>
          <w:tcPr>
            <w:tcW w:w="990" w:type="dxa"/>
            <w:tcBorders>
              <w:top w:val="nil"/>
              <w:left w:val="nil"/>
              <w:bottom w:val="single" w:sz="4" w:space="0" w:color="auto"/>
              <w:right w:val="single" w:sz="4" w:space="0" w:color="auto"/>
            </w:tcBorders>
            <w:vAlign w:val="center"/>
            <w:hideMark/>
          </w:tcPr>
          <w:p w14:paraId="2F0DE2C8"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-10.50</w:t>
            </w:r>
          </w:p>
        </w:tc>
        <w:tc>
          <w:tcPr>
            <w:tcW w:w="1114" w:type="dxa"/>
            <w:tcBorders>
              <w:top w:val="nil"/>
              <w:left w:val="nil"/>
              <w:bottom w:val="single" w:sz="4" w:space="0" w:color="auto"/>
              <w:right w:val="single" w:sz="4" w:space="0" w:color="auto"/>
            </w:tcBorders>
            <w:vAlign w:val="center"/>
            <w:hideMark/>
          </w:tcPr>
          <w:p w14:paraId="42C1E1DB"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51.71</w:t>
            </w:r>
          </w:p>
        </w:tc>
        <w:tc>
          <w:tcPr>
            <w:tcW w:w="863" w:type="dxa"/>
            <w:tcBorders>
              <w:top w:val="nil"/>
              <w:left w:val="nil"/>
              <w:bottom w:val="single" w:sz="4" w:space="0" w:color="auto"/>
              <w:right w:val="single" w:sz="4" w:space="0" w:color="auto"/>
            </w:tcBorders>
            <w:vAlign w:val="center"/>
            <w:hideMark/>
          </w:tcPr>
          <w:p w14:paraId="23027690"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51.24</w:t>
            </w:r>
          </w:p>
        </w:tc>
        <w:tc>
          <w:tcPr>
            <w:tcW w:w="849" w:type="dxa"/>
            <w:tcBorders>
              <w:top w:val="nil"/>
              <w:left w:val="nil"/>
              <w:bottom w:val="single" w:sz="4" w:space="0" w:color="auto"/>
              <w:right w:val="single" w:sz="4" w:space="0" w:color="auto"/>
            </w:tcBorders>
            <w:vAlign w:val="center"/>
            <w:hideMark/>
          </w:tcPr>
          <w:p w14:paraId="308B2A49"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0.80</w:t>
            </w:r>
          </w:p>
        </w:tc>
        <w:tc>
          <w:tcPr>
            <w:tcW w:w="987" w:type="dxa"/>
            <w:tcBorders>
              <w:top w:val="nil"/>
              <w:left w:val="nil"/>
              <w:bottom w:val="single" w:sz="4" w:space="0" w:color="auto"/>
              <w:right w:val="single" w:sz="4" w:space="0" w:color="auto"/>
            </w:tcBorders>
            <w:vAlign w:val="center"/>
            <w:hideMark/>
          </w:tcPr>
          <w:p w14:paraId="65E2004B"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0.47</w:t>
            </w:r>
          </w:p>
        </w:tc>
        <w:tc>
          <w:tcPr>
            <w:tcW w:w="825" w:type="dxa"/>
            <w:tcBorders>
              <w:top w:val="nil"/>
              <w:left w:val="nil"/>
              <w:bottom w:val="single" w:sz="4" w:space="0" w:color="auto"/>
              <w:right w:val="single" w:sz="4" w:space="0" w:color="auto"/>
            </w:tcBorders>
            <w:vAlign w:val="center"/>
            <w:hideMark/>
          </w:tcPr>
          <w:p w14:paraId="2A322BEB"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50.44</w:t>
            </w:r>
          </w:p>
        </w:tc>
      </w:tr>
      <w:tr w:rsidR="00992D8B" w:rsidRPr="00992D8B" w14:paraId="1C603CCB" w14:textId="77777777" w:rsidTr="00304420">
        <w:trPr>
          <w:trHeight w:val="354"/>
          <w:jc w:val="center"/>
        </w:trPr>
        <w:tc>
          <w:tcPr>
            <w:tcW w:w="1269" w:type="dxa"/>
            <w:vMerge/>
            <w:tcBorders>
              <w:top w:val="nil"/>
              <w:left w:val="single" w:sz="4" w:space="0" w:color="auto"/>
              <w:bottom w:val="single" w:sz="4" w:space="0" w:color="auto"/>
              <w:right w:val="single" w:sz="4" w:space="0" w:color="auto"/>
            </w:tcBorders>
            <w:vAlign w:val="center"/>
            <w:hideMark/>
          </w:tcPr>
          <w:p w14:paraId="5A14E8C0" w14:textId="77777777" w:rsidR="005E1930" w:rsidRPr="00992D8B" w:rsidRDefault="005E1930" w:rsidP="000F221E">
            <w:pPr>
              <w:rPr>
                <w:rFonts w:ascii="Cambria" w:hAnsi="Cambria" w:cs="Calibri"/>
                <w:b/>
                <w:bCs/>
                <w:sz w:val="18"/>
                <w:szCs w:val="18"/>
                <w:lang w:val="en-IN" w:eastAsia="en-IN"/>
              </w:rPr>
            </w:pPr>
          </w:p>
        </w:tc>
        <w:tc>
          <w:tcPr>
            <w:tcW w:w="2131" w:type="dxa"/>
            <w:tcBorders>
              <w:top w:val="nil"/>
              <w:left w:val="nil"/>
              <w:bottom w:val="single" w:sz="4" w:space="0" w:color="auto"/>
              <w:right w:val="single" w:sz="4" w:space="0" w:color="auto"/>
            </w:tcBorders>
            <w:vAlign w:val="center"/>
            <w:hideMark/>
          </w:tcPr>
          <w:p w14:paraId="6F31F765" w14:textId="77777777" w:rsidR="005E1930" w:rsidRPr="00992D8B" w:rsidRDefault="005E1930" w:rsidP="000F221E">
            <w:pPr>
              <w:rPr>
                <w:rFonts w:ascii="Cambria" w:hAnsi="Cambria" w:cs="Calibri"/>
                <w:sz w:val="18"/>
                <w:szCs w:val="18"/>
                <w:lang w:val="en-IN" w:eastAsia="en-IN"/>
              </w:rPr>
            </w:pPr>
            <w:r w:rsidRPr="00992D8B">
              <w:rPr>
                <w:rFonts w:ascii="Cambria" w:hAnsi="Cambria" w:cs="Calibri"/>
                <w:sz w:val="18"/>
                <w:szCs w:val="18"/>
                <w:lang w:val="en-IN" w:eastAsia="en-IN"/>
              </w:rPr>
              <w:t>Improvement of Civil Infrastructure</w:t>
            </w:r>
          </w:p>
        </w:tc>
        <w:tc>
          <w:tcPr>
            <w:tcW w:w="988" w:type="dxa"/>
            <w:gridSpan w:val="2"/>
            <w:tcBorders>
              <w:top w:val="nil"/>
              <w:left w:val="nil"/>
              <w:bottom w:val="single" w:sz="4" w:space="0" w:color="auto"/>
              <w:right w:val="single" w:sz="4" w:space="0" w:color="auto"/>
            </w:tcBorders>
            <w:vAlign w:val="center"/>
            <w:hideMark/>
          </w:tcPr>
          <w:p w14:paraId="6AECE23D"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15.65</w:t>
            </w:r>
          </w:p>
        </w:tc>
        <w:tc>
          <w:tcPr>
            <w:tcW w:w="990" w:type="dxa"/>
            <w:tcBorders>
              <w:top w:val="nil"/>
              <w:left w:val="nil"/>
              <w:bottom w:val="single" w:sz="4" w:space="0" w:color="auto"/>
              <w:right w:val="single" w:sz="4" w:space="0" w:color="auto"/>
            </w:tcBorders>
            <w:vAlign w:val="center"/>
            <w:hideMark/>
          </w:tcPr>
          <w:p w14:paraId="1CB02471"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14.36</w:t>
            </w:r>
          </w:p>
        </w:tc>
        <w:tc>
          <w:tcPr>
            <w:tcW w:w="1114" w:type="dxa"/>
            <w:tcBorders>
              <w:top w:val="nil"/>
              <w:left w:val="nil"/>
              <w:bottom w:val="single" w:sz="4" w:space="0" w:color="auto"/>
              <w:right w:val="single" w:sz="4" w:space="0" w:color="auto"/>
            </w:tcBorders>
            <w:vAlign w:val="center"/>
            <w:hideMark/>
          </w:tcPr>
          <w:p w14:paraId="2C72B448"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30.01</w:t>
            </w:r>
          </w:p>
        </w:tc>
        <w:tc>
          <w:tcPr>
            <w:tcW w:w="863" w:type="dxa"/>
            <w:tcBorders>
              <w:top w:val="nil"/>
              <w:left w:val="nil"/>
              <w:bottom w:val="single" w:sz="4" w:space="0" w:color="auto"/>
              <w:right w:val="single" w:sz="4" w:space="0" w:color="auto"/>
            </w:tcBorders>
            <w:vAlign w:val="center"/>
            <w:hideMark/>
          </w:tcPr>
          <w:p w14:paraId="477AEE98"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30.00</w:t>
            </w:r>
          </w:p>
        </w:tc>
        <w:tc>
          <w:tcPr>
            <w:tcW w:w="849" w:type="dxa"/>
            <w:tcBorders>
              <w:top w:val="nil"/>
              <w:left w:val="nil"/>
              <w:bottom w:val="single" w:sz="4" w:space="0" w:color="auto"/>
              <w:right w:val="single" w:sz="4" w:space="0" w:color="auto"/>
            </w:tcBorders>
            <w:vAlign w:val="center"/>
            <w:hideMark/>
          </w:tcPr>
          <w:p w14:paraId="52201F26"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0.00</w:t>
            </w:r>
          </w:p>
        </w:tc>
        <w:tc>
          <w:tcPr>
            <w:tcW w:w="987" w:type="dxa"/>
            <w:tcBorders>
              <w:top w:val="nil"/>
              <w:left w:val="nil"/>
              <w:bottom w:val="single" w:sz="4" w:space="0" w:color="auto"/>
              <w:right w:val="single" w:sz="4" w:space="0" w:color="auto"/>
            </w:tcBorders>
            <w:vAlign w:val="center"/>
            <w:hideMark/>
          </w:tcPr>
          <w:p w14:paraId="3557DE28"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0.00</w:t>
            </w:r>
          </w:p>
        </w:tc>
        <w:tc>
          <w:tcPr>
            <w:tcW w:w="825" w:type="dxa"/>
            <w:tcBorders>
              <w:top w:val="nil"/>
              <w:left w:val="nil"/>
              <w:bottom w:val="single" w:sz="4" w:space="0" w:color="auto"/>
              <w:right w:val="single" w:sz="4" w:space="0" w:color="auto"/>
            </w:tcBorders>
            <w:vAlign w:val="center"/>
            <w:hideMark/>
          </w:tcPr>
          <w:p w14:paraId="06F266D9"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30.01</w:t>
            </w:r>
          </w:p>
        </w:tc>
      </w:tr>
      <w:tr w:rsidR="00992D8B" w:rsidRPr="00992D8B" w14:paraId="23639690" w14:textId="77777777" w:rsidTr="00304420">
        <w:trPr>
          <w:trHeight w:val="177"/>
          <w:jc w:val="center"/>
        </w:trPr>
        <w:tc>
          <w:tcPr>
            <w:tcW w:w="1269" w:type="dxa"/>
            <w:vMerge/>
            <w:tcBorders>
              <w:top w:val="nil"/>
              <w:left w:val="single" w:sz="4" w:space="0" w:color="auto"/>
              <w:bottom w:val="single" w:sz="4" w:space="0" w:color="auto"/>
              <w:right w:val="single" w:sz="4" w:space="0" w:color="auto"/>
            </w:tcBorders>
            <w:vAlign w:val="center"/>
            <w:hideMark/>
          </w:tcPr>
          <w:p w14:paraId="330906CC" w14:textId="77777777" w:rsidR="005E1930" w:rsidRPr="00992D8B" w:rsidRDefault="005E1930" w:rsidP="000F221E">
            <w:pPr>
              <w:rPr>
                <w:rFonts w:ascii="Cambria" w:hAnsi="Cambria" w:cs="Calibri"/>
                <w:b/>
                <w:bCs/>
                <w:sz w:val="18"/>
                <w:szCs w:val="18"/>
                <w:lang w:val="en-IN" w:eastAsia="en-IN"/>
              </w:rPr>
            </w:pPr>
          </w:p>
        </w:tc>
        <w:tc>
          <w:tcPr>
            <w:tcW w:w="2131" w:type="dxa"/>
            <w:tcBorders>
              <w:top w:val="nil"/>
              <w:left w:val="nil"/>
              <w:bottom w:val="single" w:sz="4" w:space="0" w:color="auto"/>
              <w:right w:val="single" w:sz="4" w:space="0" w:color="auto"/>
            </w:tcBorders>
            <w:vAlign w:val="center"/>
            <w:hideMark/>
          </w:tcPr>
          <w:p w14:paraId="7C568BC9" w14:textId="77777777" w:rsidR="005E1930" w:rsidRPr="00992D8B" w:rsidRDefault="005E1930" w:rsidP="000F221E">
            <w:pPr>
              <w:rPr>
                <w:rFonts w:ascii="Cambria" w:hAnsi="Cambria" w:cs="Calibri"/>
                <w:sz w:val="18"/>
                <w:szCs w:val="18"/>
                <w:lang w:val="en-IN" w:eastAsia="en-IN"/>
              </w:rPr>
            </w:pPr>
            <w:r w:rsidRPr="00992D8B">
              <w:rPr>
                <w:rFonts w:ascii="Cambria" w:hAnsi="Cambria" w:cs="Calibri"/>
                <w:sz w:val="18"/>
                <w:szCs w:val="18"/>
                <w:lang w:val="en-IN" w:eastAsia="en-IN"/>
              </w:rPr>
              <w:t xml:space="preserve">Infrastructure - Stores </w:t>
            </w:r>
          </w:p>
        </w:tc>
        <w:tc>
          <w:tcPr>
            <w:tcW w:w="988" w:type="dxa"/>
            <w:gridSpan w:val="2"/>
            <w:tcBorders>
              <w:top w:val="nil"/>
              <w:left w:val="nil"/>
              <w:bottom w:val="single" w:sz="4" w:space="0" w:color="auto"/>
              <w:right w:val="single" w:sz="4" w:space="0" w:color="auto"/>
            </w:tcBorders>
            <w:vAlign w:val="center"/>
            <w:hideMark/>
          </w:tcPr>
          <w:p w14:paraId="1F3D8965"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4.35</w:t>
            </w:r>
          </w:p>
        </w:tc>
        <w:tc>
          <w:tcPr>
            <w:tcW w:w="990" w:type="dxa"/>
            <w:tcBorders>
              <w:top w:val="nil"/>
              <w:left w:val="nil"/>
              <w:bottom w:val="single" w:sz="4" w:space="0" w:color="auto"/>
              <w:right w:val="single" w:sz="4" w:space="0" w:color="auto"/>
            </w:tcBorders>
            <w:vAlign w:val="center"/>
            <w:hideMark/>
          </w:tcPr>
          <w:p w14:paraId="16CCA669"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0.00</w:t>
            </w:r>
          </w:p>
        </w:tc>
        <w:tc>
          <w:tcPr>
            <w:tcW w:w="1114" w:type="dxa"/>
            <w:tcBorders>
              <w:top w:val="nil"/>
              <w:left w:val="nil"/>
              <w:bottom w:val="single" w:sz="4" w:space="0" w:color="auto"/>
              <w:right w:val="single" w:sz="4" w:space="0" w:color="auto"/>
            </w:tcBorders>
            <w:vAlign w:val="center"/>
            <w:hideMark/>
          </w:tcPr>
          <w:p w14:paraId="4418BEE5"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4.35</w:t>
            </w:r>
          </w:p>
        </w:tc>
        <w:tc>
          <w:tcPr>
            <w:tcW w:w="863" w:type="dxa"/>
            <w:tcBorders>
              <w:top w:val="nil"/>
              <w:left w:val="nil"/>
              <w:bottom w:val="single" w:sz="4" w:space="0" w:color="auto"/>
              <w:right w:val="single" w:sz="4" w:space="0" w:color="auto"/>
            </w:tcBorders>
            <w:vAlign w:val="center"/>
            <w:hideMark/>
          </w:tcPr>
          <w:p w14:paraId="04602C3D"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3.17</w:t>
            </w:r>
          </w:p>
        </w:tc>
        <w:tc>
          <w:tcPr>
            <w:tcW w:w="849" w:type="dxa"/>
            <w:tcBorders>
              <w:top w:val="nil"/>
              <w:left w:val="nil"/>
              <w:bottom w:val="single" w:sz="4" w:space="0" w:color="auto"/>
              <w:right w:val="single" w:sz="4" w:space="0" w:color="auto"/>
            </w:tcBorders>
            <w:vAlign w:val="center"/>
            <w:hideMark/>
          </w:tcPr>
          <w:p w14:paraId="788DD9DA"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0.00</w:t>
            </w:r>
          </w:p>
        </w:tc>
        <w:tc>
          <w:tcPr>
            <w:tcW w:w="987" w:type="dxa"/>
            <w:tcBorders>
              <w:top w:val="nil"/>
              <w:left w:val="nil"/>
              <w:bottom w:val="single" w:sz="4" w:space="0" w:color="auto"/>
              <w:right w:val="single" w:sz="4" w:space="0" w:color="auto"/>
            </w:tcBorders>
            <w:vAlign w:val="center"/>
            <w:hideMark/>
          </w:tcPr>
          <w:p w14:paraId="74EB7B26"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1.18</w:t>
            </w:r>
          </w:p>
        </w:tc>
        <w:tc>
          <w:tcPr>
            <w:tcW w:w="825" w:type="dxa"/>
            <w:tcBorders>
              <w:top w:val="nil"/>
              <w:left w:val="nil"/>
              <w:bottom w:val="single" w:sz="4" w:space="0" w:color="auto"/>
              <w:right w:val="single" w:sz="4" w:space="0" w:color="auto"/>
            </w:tcBorders>
            <w:vAlign w:val="center"/>
            <w:hideMark/>
          </w:tcPr>
          <w:p w14:paraId="08E063DC"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3.17</w:t>
            </w:r>
          </w:p>
        </w:tc>
      </w:tr>
      <w:tr w:rsidR="00992D8B" w:rsidRPr="00992D8B" w14:paraId="60ED0C9B" w14:textId="77777777" w:rsidTr="00304420">
        <w:trPr>
          <w:trHeight w:val="177"/>
          <w:jc w:val="center"/>
        </w:trPr>
        <w:tc>
          <w:tcPr>
            <w:tcW w:w="1269" w:type="dxa"/>
            <w:vMerge/>
            <w:tcBorders>
              <w:top w:val="nil"/>
              <w:left w:val="single" w:sz="4" w:space="0" w:color="auto"/>
              <w:bottom w:val="single" w:sz="4" w:space="0" w:color="auto"/>
              <w:right w:val="single" w:sz="4" w:space="0" w:color="auto"/>
            </w:tcBorders>
            <w:vAlign w:val="center"/>
            <w:hideMark/>
          </w:tcPr>
          <w:p w14:paraId="3E93C929" w14:textId="77777777" w:rsidR="005E1930" w:rsidRPr="00992D8B" w:rsidRDefault="005E1930" w:rsidP="000F221E">
            <w:pPr>
              <w:rPr>
                <w:rFonts w:ascii="Cambria" w:hAnsi="Cambria" w:cs="Calibri"/>
                <w:b/>
                <w:bCs/>
                <w:sz w:val="18"/>
                <w:szCs w:val="18"/>
                <w:lang w:val="en-IN" w:eastAsia="en-IN"/>
              </w:rPr>
            </w:pPr>
          </w:p>
        </w:tc>
        <w:tc>
          <w:tcPr>
            <w:tcW w:w="2131" w:type="dxa"/>
            <w:tcBorders>
              <w:top w:val="nil"/>
              <w:left w:val="nil"/>
              <w:bottom w:val="single" w:sz="4" w:space="0" w:color="auto"/>
              <w:right w:val="single" w:sz="4" w:space="0" w:color="auto"/>
            </w:tcBorders>
            <w:vAlign w:val="center"/>
            <w:hideMark/>
          </w:tcPr>
          <w:p w14:paraId="4699023C" w14:textId="77777777" w:rsidR="005E1930" w:rsidRPr="00992D8B" w:rsidRDefault="005E1930" w:rsidP="000F221E">
            <w:pPr>
              <w:rPr>
                <w:rFonts w:ascii="Cambria" w:hAnsi="Cambria" w:cs="Calibri"/>
                <w:sz w:val="18"/>
                <w:szCs w:val="18"/>
                <w:lang w:val="en-IN" w:eastAsia="en-IN"/>
              </w:rPr>
            </w:pPr>
            <w:r w:rsidRPr="00992D8B">
              <w:rPr>
                <w:rFonts w:ascii="Cambria" w:hAnsi="Cambria" w:cs="Calibri"/>
                <w:sz w:val="18"/>
                <w:szCs w:val="18"/>
                <w:lang w:val="en-IN" w:eastAsia="en-IN"/>
              </w:rPr>
              <w:t>Infrastructure - Admin</w:t>
            </w:r>
          </w:p>
        </w:tc>
        <w:tc>
          <w:tcPr>
            <w:tcW w:w="988" w:type="dxa"/>
            <w:gridSpan w:val="2"/>
            <w:tcBorders>
              <w:top w:val="nil"/>
              <w:left w:val="nil"/>
              <w:bottom w:val="single" w:sz="4" w:space="0" w:color="auto"/>
              <w:right w:val="single" w:sz="4" w:space="0" w:color="auto"/>
            </w:tcBorders>
            <w:vAlign w:val="center"/>
            <w:hideMark/>
          </w:tcPr>
          <w:p w14:paraId="76F7978D"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1.80</w:t>
            </w:r>
          </w:p>
        </w:tc>
        <w:tc>
          <w:tcPr>
            <w:tcW w:w="990" w:type="dxa"/>
            <w:tcBorders>
              <w:top w:val="nil"/>
              <w:left w:val="nil"/>
              <w:bottom w:val="single" w:sz="4" w:space="0" w:color="auto"/>
              <w:right w:val="single" w:sz="4" w:space="0" w:color="auto"/>
            </w:tcBorders>
            <w:vAlign w:val="center"/>
            <w:hideMark/>
          </w:tcPr>
          <w:p w14:paraId="137E01AC"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1.14</w:t>
            </w:r>
          </w:p>
        </w:tc>
        <w:tc>
          <w:tcPr>
            <w:tcW w:w="1114" w:type="dxa"/>
            <w:tcBorders>
              <w:top w:val="nil"/>
              <w:left w:val="nil"/>
              <w:bottom w:val="single" w:sz="4" w:space="0" w:color="auto"/>
              <w:right w:val="single" w:sz="4" w:space="0" w:color="auto"/>
            </w:tcBorders>
            <w:vAlign w:val="center"/>
            <w:hideMark/>
          </w:tcPr>
          <w:p w14:paraId="6412EA4A"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2.94</w:t>
            </w:r>
          </w:p>
        </w:tc>
        <w:tc>
          <w:tcPr>
            <w:tcW w:w="863" w:type="dxa"/>
            <w:tcBorders>
              <w:top w:val="nil"/>
              <w:left w:val="nil"/>
              <w:bottom w:val="single" w:sz="4" w:space="0" w:color="auto"/>
              <w:right w:val="single" w:sz="4" w:space="0" w:color="auto"/>
            </w:tcBorders>
            <w:vAlign w:val="center"/>
            <w:hideMark/>
          </w:tcPr>
          <w:p w14:paraId="44B30BAC"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2.94</w:t>
            </w:r>
          </w:p>
        </w:tc>
        <w:tc>
          <w:tcPr>
            <w:tcW w:w="849" w:type="dxa"/>
            <w:tcBorders>
              <w:top w:val="nil"/>
              <w:left w:val="nil"/>
              <w:bottom w:val="single" w:sz="4" w:space="0" w:color="auto"/>
              <w:right w:val="single" w:sz="4" w:space="0" w:color="auto"/>
            </w:tcBorders>
            <w:vAlign w:val="center"/>
            <w:hideMark/>
          </w:tcPr>
          <w:p w14:paraId="23D3A9D1"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0.00</w:t>
            </w:r>
          </w:p>
        </w:tc>
        <w:tc>
          <w:tcPr>
            <w:tcW w:w="987" w:type="dxa"/>
            <w:tcBorders>
              <w:top w:val="nil"/>
              <w:left w:val="nil"/>
              <w:bottom w:val="single" w:sz="4" w:space="0" w:color="auto"/>
              <w:right w:val="single" w:sz="4" w:space="0" w:color="auto"/>
            </w:tcBorders>
            <w:vAlign w:val="center"/>
            <w:hideMark/>
          </w:tcPr>
          <w:p w14:paraId="0A2672B9" w14:textId="77777777" w:rsidR="005E1930" w:rsidRPr="00992D8B" w:rsidRDefault="005E1930" w:rsidP="000F221E">
            <w:pPr>
              <w:jc w:val="center"/>
              <w:rPr>
                <w:rFonts w:ascii="Cambria" w:hAnsi="Cambria" w:cs="Calibri"/>
                <w:color w:val="000000"/>
                <w:sz w:val="18"/>
                <w:szCs w:val="18"/>
                <w:lang w:val="en-IN" w:eastAsia="en-IN"/>
              </w:rPr>
            </w:pPr>
            <w:r w:rsidRPr="00992D8B">
              <w:rPr>
                <w:rFonts w:ascii="Cambria" w:hAnsi="Cambria" w:cs="Calibri"/>
                <w:color w:val="000000"/>
                <w:sz w:val="18"/>
                <w:szCs w:val="18"/>
              </w:rPr>
              <w:t>0.00</w:t>
            </w:r>
          </w:p>
        </w:tc>
        <w:tc>
          <w:tcPr>
            <w:tcW w:w="825" w:type="dxa"/>
            <w:tcBorders>
              <w:top w:val="nil"/>
              <w:left w:val="nil"/>
              <w:bottom w:val="single" w:sz="4" w:space="0" w:color="auto"/>
              <w:right w:val="single" w:sz="4" w:space="0" w:color="auto"/>
            </w:tcBorders>
            <w:vAlign w:val="center"/>
            <w:hideMark/>
          </w:tcPr>
          <w:p w14:paraId="000BD4BD" w14:textId="77777777" w:rsidR="005E1930" w:rsidRPr="00992D8B" w:rsidRDefault="005E1930" w:rsidP="000F221E">
            <w:pPr>
              <w:jc w:val="center"/>
              <w:rPr>
                <w:rFonts w:ascii="Cambria" w:hAnsi="Cambria" w:cs="Calibri"/>
                <w:sz w:val="18"/>
                <w:szCs w:val="18"/>
                <w:lang w:val="en-IN" w:eastAsia="en-IN"/>
              </w:rPr>
            </w:pPr>
            <w:r w:rsidRPr="00992D8B">
              <w:rPr>
                <w:rFonts w:ascii="Cambria" w:hAnsi="Cambria" w:cs="Calibri"/>
                <w:sz w:val="18"/>
                <w:szCs w:val="18"/>
              </w:rPr>
              <w:t>2.94</w:t>
            </w:r>
          </w:p>
        </w:tc>
      </w:tr>
      <w:tr w:rsidR="00992D8B" w:rsidRPr="00992D8B" w14:paraId="24960AF9" w14:textId="77777777" w:rsidTr="00304420">
        <w:trPr>
          <w:trHeight w:val="177"/>
          <w:jc w:val="center"/>
        </w:trPr>
        <w:tc>
          <w:tcPr>
            <w:tcW w:w="1269" w:type="dxa"/>
            <w:vMerge/>
            <w:tcBorders>
              <w:top w:val="nil"/>
              <w:left w:val="single" w:sz="4" w:space="0" w:color="auto"/>
              <w:bottom w:val="single" w:sz="4" w:space="0" w:color="auto"/>
              <w:right w:val="single" w:sz="4" w:space="0" w:color="auto"/>
            </w:tcBorders>
            <w:vAlign w:val="center"/>
            <w:hideMark/>
          </w:tcPr>
          <w:p w14:paraId="01098E20" w14:textId="77777777" w:rsidR="005E1930" w:rsidRPr="00992D8B" w:rsidRDefault="005E1930" w:rsidP="000F221E">
            <w:pPr>
              <w:rPr>
                <w:rFonts w:ascii="Cambria" w:hAnsi="Cambria" w:cs="Calibri"/>
                <w:b/>
                <w:bCs/>
                <w:sz w:val="18"/>
                <w:szCs w:val="18"/>
                <w:lang w:val="en-IN" w:eastAsia="en-IN"/>
              </w:rPr>
            </w:pPr>
          </w:p>
        </w:tc>
        <w:tc>
          <w:tcPr>
            <w:tcW w:w="2131" w:type="dxa"/>
            <w:tcBorders>
              <w:top w:val="nil"/>
              <w:left w:val="nil"/>
              <w:bottom w:val="single" w:sz="4" w:space="0" w:color="auto"/>
              <w:right w:val="single" w:sz="4" w:space="0" w:color="auto"/>
            </w:tcBorders>
            <w:vAlign w:val="center"/>
            <w:hideMark/>
          </w:tcPr>
          <w:p w14:paraId="669E0D62"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lang w:val="en-IN" w:eastAsia="en-IN"/>
              </w:rPr>
              <w:t>TOTAL</w:t>
            </w:r>
          </w:p>
        </w:tc>
        <w:tc>
          <w:tcPr>
            <w:tcW w:w="988" w:type="dxa"/>
            <w:gridSpan w:val="2"/>
            <w:tcBorders>
              <w:top w:val="nil"/>
              <w:left w:val="nil"/>
              <w:bottom w:val="single" w:sz="4" w:space="0" w:color="auto"/>
              <w:right w:val="single" w:sz="4" w:space="0" w:color="auto"/>
            </w:tcBorders>
            <w:vAlign w:val="center"/>
            <w:hideMark/>
          </w:tcPr>
          <w:p w14:paraId="58744570"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151.49</w:t>
            </w:r>
          </w:p>
        </w:tc>
        <w:tc>
          <w:tcPr>
            <w:tcW w:w="990" w:type="dxa"/>
            <w:tcBorders>
              <w:top w:val="nil"/>
              <w:left w:val="nil"/>
              <w:bottom w:val="single" w:sz="4" w:space="0" w:color="auto"/>
              <w:right w:val="single" w:sz="4" w:space="0" w:color="auto"/>
            </w:tcBorders>
            <w:vAlign w:val="center"/>
            <w:hideMark/>
          </w:tcPr>
          <w:p w14:paraId="7F98C103"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0.00</w:t>
            </w:r>
          </w:p>
        </w:tc>
        <w:tc>
          <w:tcPr>
            <w:tcW w:w="1114" w:type="dxa"/>
            <w:tcBorders>
              <w:top w:val="nil"/>
              <w:left w:val="nil"/>
              <w:bottom w:val="single" w:sz="4" w:space="0" w:color="auto"/>
              <w:right w:val="single" w:sz="4" w:space="0" w:color="auto"/>
            </w:tcBorders>
            <w:vAlign w:val="center"/>
            <w:hideMark/>
          </w:tcPr>
          <w:p w14:paraId="22317C70"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151.49</w:t>
            </w:r>
          </w:p>
        </w:tc>
        <w:tc>
          <w:tcPr>
            <w:tcW w:w="863" w:type="dxa"/>
            <w:tcBorders>
              <w:top w:val="nil"/>
              <w:left w:val="nil"/>
              <w:bottom w:val="single" w:sz="4" w:space="0" w:color="auto"/>
              <w:right w:val="single" w:sz="4" w:space="0" w:color="auto"/>
            </w:tcBorders>
            <w:vAlign w:val="center"/>
            <w:hideMark/>
          </w:tcPr>
          <w:p w14:paraId="5F7FA156"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149.81</w:t>
            </w:r>
          </w:p>
        </w:tc>
        <w:tc>
          <w:tcPr>
            <w:tcW w:w="849" w:type="dxa"/>
            <w:tcBorders>
              <w:top w:val="nil"/>
              <w:left w:val="nil"/>
              <w:bottom w:val="single" w:sz="4" w:space="0" w:color="auto"/>
              <w:right w:val="single" w:sz="4" w:space="0" w:color="auto"/>
            </w:tcBorders>
            <w:vAlign w:val="center"/>
            <w:hideMark/>
          </w:tcPr>
          <w:p w14:paraId="3E5D597A"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0.80</w:t>
            </w:r>
          </w:p>
        </w:tc>
        <w:tc>
          <w:tcPr>
            <w:tcW w:w="987" w:type="dxa"/>
            <w:tcBorders>
              <w:top w:val="nil"/>
              <w:left w:val="nil"/>
              <w:bottom w:val="single" w:sz="4" w:space="0" w:color="auto"/>
              <w:right w:val="single" w:sz="4" w:space="0" w:color="auto"/>
            </w:tcBorders>
            <w:vAlign w:val="center"/>
            <w:hideMark/>
          </w:tcPr>
          <w:p w14:paraId="1E3E731E"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1.68</w:t>
            </w:r>
          </w:p>
        </w:tc>
        <w:tc>
          <w:tcPr>
            <w:tcW w:w="825" w:type="dxa"/>
            <w:tcBorders>
              <w:top w:val="nil"/>
              <w:left w:val="nil"/>
              <w:bottom w:val="single" w:sz="4" w:space="0" w:color="auto"/>
              <w:right w:val="single" w:sz="4" w:space="0" w:color="auto"/>
            </w:tcBorders>
            <w:vAlign w:val="center"/>
            <w:hideMark/>
          </w:tcPr>
          <w:p w14:paraId="5CD2F88C"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149.00</w:t>
            </w:r>
          </w:p>
        </w:tc>
      </w:tr>
      <w:tr w:rsidR="00992D8B" w:rsidRPr="00992D8B" w14:paraId="288BEA71" w14:textId="77777777" w:rsidTr="00304420">
        <w:trPr>
          <w:trHeight w:val="189"/>
          <w:jc w:val="center"/>
        </w:trPr>
        <w:tc>
          <w:tcPr>
            <w:tcW w:w="3416" w:type="dxa"/>
            <w:gridSpan w:val="3"/>
            <w:tcBorders>
              <w:top w:val="single" w:sz="4" w:space="0" w:color="auto"/>
              <w:left w:val="single" w:sz="4" w:space="0" w:color="auto"/>
              <w:bottom w:val="single" w:sz="4" w:space="0" w:color="auto"/>
              <w:right w:val="single" w:sz="4" w:space="0" w:color="auto"/>
            </w:tcBorders>
            <w:vAlign w:val="center"/>
            <w:hideMark/>
          </w:tcPr>
          <w:p w14:paraId="2B2FAC74"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lang w:val="en-IN" w:eastAsia="en-IN"/>
              </w:rPr>
              <w:t>GRAND TOTAL</w:t>
            </w:r>
          </w:p>
        </w:tc>
        <w:tc>
          <w:tcPr>
            <w:tcW w:w="972" w:type="dxa"/>
            <w:tcBorders>
              <w:top w:val="nil"/>
              <w:left w:val="nil"/>
              <w:bottom w:val="single" w:sz="4" w:space="0" w:color="auto"/>
              <w:right w:val="single" w:sz="4" w:space="0" w:color="auto"/>
            </w:tcBorders>
            <w:vAlign w:val="center"/>
            <w:hideMark/>
          </w:tcPr>
          <w:p w14:paraId="5EF7A83E"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381.91</w:t>
            </w:r>
          </w:p>
        </w:tc>
        <w:tc>
          <w:tcPr>
            <w:tcW w:w="990" w:type="dxa"/>
            <w:tcBorders>
              <w:top w:val="nil"/>
              <w:left w:val="nil"/>
              <w:bottom w:val="single" w:sz="4" w:space="0" w:color="auto"/>
              <w:right w:val="single" w:sz="4" w:space="0" w:color="auto"/>
            </w:tcBorders>
            <w:vAlign w:val="center"/>
            <w:hideMark/>
          </w:tcPr>
          <w:p w14:paraId="5DFE4503"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0.00</w:t>
            </w:r>
          </w:p>
        </w:tc>
        <w:tc>
          <w:tcPr>
            <w:tcW w:w="1114" w:type="dxa"/>
            <w:tcBorders>
              <w:top w:val="nil"/>
              <w:left w:val="nil"/>
              <w:bottom w:val="single" w:sz="4" w:space="0" w:color="auto"/>
              <w:right w:val="single" w:sz="4" w:space="0" w:color="auto"/>
            </w:tcBorders>
            <w:vAlign w:val="center"/>
            <w:hideMark/>
          </w:tcPr>
          <w:p w14:paraId="7EAA72E8"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381.91</w:t>
            </w:r>
          </w:p>
        </w:tc>
        <w:tc>
          <w:tcPr>
            <w:tcW w:w="863" w:type="dxa"/>
            <w:tcBorders>
              <w:top w:val="nil"/>
              <w:left w:val="nil"/>
              <w:bottom w:val="single" w:sz="4" w:space="0" w:color="auto"/>
              <w:right w:val="single" w:sz="4" w:space="0" w:color="auto"/>
            </w:tcBorders>
            <w:vAlign w:val="center"/>
            <w:hideMark/>
          </w:tcPr>
          <w:p w14:paraId="6C0720EB"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370.95</w:t>
            </w:r>
          </w:p>
        </w:tc>
        <w:tc>
          <w:tcPr>
            <w:tcW w:w="849" w:type="dxa"/>
            <w:tcBorders>
              <w:top w:val="nil"/>
              <w:left w:val="nil"/>
              <w:bottom w:val="single" w:sz="4" w:space="0" w:color="auto"/>
              <w:right w:val="single" w:sz="4" w:space="0" w:color="auto"/>
            </w:tcBorders>
            <w:vAlign w:val="center"/>
            <w:hideMark/>
          </w:tcPr>
          <w:p w14:paraId="6886D446"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6.36</w:t>
            </w:r>
          </w:p>
        </w:tc>
        <w:tc>
          <w:tcPr>
            <w:tcW w:w="987" w:type="dxa"/>
            <w:tcBorders>
              <w:top w:val="nil"/>
              <w:left w:val="nil"/>
              <w:bottom w:val="single" w:sz="4" w:space="0" w:color="auto"/>
              <w:right w:val="single" w:sz="4" w:space="0" w:color="auto"/>
            </w:tcBorders>
            <w:vAlign w:val="center"/>
            <w:hideMark/>
          </w:tcPr>
          <w:p w14:paraId="178A79D8"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10.96</w:t>
            </w:r>
          </w:p>
        </w:tc>
        <w:tc>
          <w:tcPr>
            <w:tcW w:w="825" w:type="dxa"/>
            <w:tcBorders>
              <w:top w:val="nil"/>
              <w:left w:val="nil"/>
              <w:bottom w:val="single" w:sz="4" w:space="0" w:color="auto"/>
              <w:right w:val="single" w:sz="4" w:space="0" w:color="auto"/>
            </w:tcBorders>
            <w:vAlign w:val="center"/>
            <w:hideMark/>
          </w:tcPr>
          <w:p w14:paraId="367102F9" w14:textId="77777777" w:rsidR="005E1930" w:rsidRPr="00992D8B" w:rsidRDefault="005E1930" w:rsidP="000F221E">
            <w:pPr>
              <w:jc w:val="center"/>
              <w:rPr>
                <w:rFonts w:ascii="Cambria" w:hAnsi="Cambria" w:cs="Calibri"/>
                <w:b/>
                <w:bCs/>
                <w:color w:val="000000"/>
                <w:sz w:val="18"/>
                <w:szCs w:val="18"/>
                <w:lang w:val="en-IN" w:eastAsia="en-IN"/>
              </w:rPr>
            </w:pPr>
            <w:r w:rsidRPr="00992D8B">
              <w:rPr>
                <w:rFonts w:ascii="Cambria" w:hAnsi="Cambria" w:cs="Calibri"/>
                <w:b/>
                <w:bCs/>
                <w:color w:val="000000"/>
                <w:sz w:val="18"/>
                <w:szCs w:val="18"/>
              </w:rPr>
              <w:t>364.59</w:t>
            </w:r>
          </w:p>
        </w:tc>
      </w:tr>
    </w:tbl>
    <w:p w14:paraId="78DD077E" w14:textId="77777777" w:rsidR="00C35221" w:rsidRPr="00912B86" w:rsidRDefault="00C35221" w:rsidP="00C00A77">
      <w:pPr>
        <w:spacing w:line="360" w:lineRule="auto"/>
        <w:jc w:val="both"/>
        <w:rPr>
          <w:rFonts w:asciiTheme="majorHAnsi" w:hAnsiTheme="majorHAnsi"/>
          <w:b/>
          <w:bCs/>
          <w:u w:val="single"/>
        </w:rPr>
      </w:pPr>
    </w:p>
    <w:p w14:paraId="458CEF5F" w14:textId="77777777" w:rsidR="00C00A77" w:rsidRPr="00912B86" w:rsidRDefault="00C00A77" w:rsidP="00C00A77">
      <w:pPr>
        <w:spacing w:line="360" w:lineRule="auto"/>
        <w:jc w:val="both"/>
        <w:rPr>
          <w:rFonts w:asciiTheme="majorHAnsi" w:hAnsiTheme="majorHAnsi"/>
          <w:b/>
          <w:bCs/>
          <w:u w:val="single"/>
        </w:rPr>
      </w:pPr>
      <w:r w:rsidRPr="00912B86">
        <w:rPr>
          <w:rFonts w:asciiTheme="majorHAnsi" w:hAnsiTheme="majorHAnsi"/>
          <w:b/>
          <w:bCs/>
          <w:u w:val="single"/>
        </w:rPr>
        <w:t>FY 202</w:t>
      </w:r>
      <w:r>
        <w:rPr>
          <w:rFonts w:asciiTheme="majorHAnsi" w:hAnsiTheme="majorHAnsi"/>
          <w:b/>
          <w:bCs/>
          <w:u w:val="single"/>
        </w:rPr>
        <w:t>4</w:t>
      </w:r>
      <w:r w:rsidRPr="00912B86">
        <w:rPr>
          <w:rFonts w:asciiTheme="majorHAnsi" w:hAnsiTheme="majorHAnsi"/>
          <w:b/>
          <w:bCs/>
          <w:u w:val="single"/>
        </w:rPr>
        <w:t>-2</w:t>
      </w:r>
      <w:r>
        <w:rPr>
          <w:rFonts w:asciiTheme="majorHAnsi" w:hAnsiTheme="majorHAnsi"/>
          <w:b/>
          <w:bCs/>
          <w:u w:val="single"/>
        </w:rPr>
        <w:t>5</w:t>
      </w:r>
    </w:p>
    <w:tbl>
      <w:tblPr>
        <w:tblW w:w="10201" w:type="dxa"/>
        <w:jc w:val="center"/>
        <w:tblLayout w:type="fixed"/>
        <w:tblLook w:val="04A0" w:firstRow="1" w:lastRow="0" w:firstColumn="1" w:lastColumn="0" w:noHBand="0" w:noVBand="1"/>
      </w:tblPr>
      <w:tblGrid>
        <w:gridCol w:w="1271"/>
        <w:gridCol w:w="1985"/>
        <w:gridCol w:w="1110"/>
        <w:gridCol w:w="894"/>
        <w:gridCol w:w="1171"/>
        <w:gridCol w:w="982"/>
        <w:gridCol w:w="10"/>
        <w:gridCol w:w="977"/>
        <w:gridCol w:w="10"/>
        <w:gridCol w:w="917"/>
        <w:gridCol w:w="10"/>
        <w:gridCol w:w="864"/>
      </w:tblGrid>
      <w:tr w:rsidR="00B95FED" w:rsidRPr="00B95FED" w14:paraId="0951B1C8" w14:textId="77777777" w:rsidTr="00304420">
        <w:trPr>
          <w:trHeight w:val="675"/>
          <w:tblHeade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5EC0DC77" w14:textId="77777777" w:rsidR="00B95FED" w:rsidRPr="00B95FED" w:rsidRDefault="00B95FED" w:rsidP="000F221E">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Particulars</w:t>
            </w:r>
          </w:p>
        </w:tc>
        <w:tc>
          <w:tcPr>
            <w:tcW w:w="1985" w:type="dxa"/>
            <w:tcBorders>
              <w:top w:val="single" w:sz="4" w:space="0" w:color="auto"/>
              <w:left w:val="nil"/>
              <w:bottom w:val="single" w:sz="4" w:space="0" w:color="auto"/>
              <w:right w:val="single" w:sz="4" w:space="0" w:color="auto"/>
            </w:tcBorders>
            <w:vAlign w:val="center"/>
            <w:hideMark/>
          </w:tcPr>
          <w:p w14:paraId="27D6B047" w14:textId="77777777" w:rsidR="00B95FED" w:rsidRPr="00B95FED" w:rsidRDefault="00B95FED" w:rsidP="000F221E">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Description</w:t>
            </w:r>
          </w:p>
        </w:tc>
        <w:tc>
          <w:tcPr>
            <w:tcW w:w="1110" w:type="dxa"/>
            <w:tcBorders>
              <w:top w:val="single" w:sz="4" w:space="0" w:color="auto"/>
              <w:left w:val="nil"/>
              <w:bottom w:val="single" w:sz="4" w:space="0" w:color="auto"/>
              <w:right w:val="single" w:sz="4" w:space="0" w:color="auto"/>
            </w:tcBorders>
            <w:vAlign w:val="center"/>
            <w:hideMark/>
          </w:tcPr>
          <w:p w14:paraId="72354E9C" w14:textId="77777777" w:rsidR="00B95FED" w:rsidRPr="00B95FED" w:rsidRDefault="00B95FED" w:rsidP="000F221E">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OERC Approved Budget</w:t>
            </w:r>
          </w:p>
        </w:tc>
        <w:tc>
          <w:tcPr>
            <w:tcW w:w="894" w:type="dxa"/>
            <w:tcBorders>
              <w:top w:val="single" w:sz="4" w:space="0" w:color="auto"/>
              <w:left w:val="nil"/>
              <w:bottom w:val="single" w:sz="4" w:space="0" w:color="auto"/>
              <w:right w:val="single" w:sz="4" w:space="0" w:color="auto"/>
            </w:tcBorders>
            <w:vAlign w:val="center"/>
            <w:hideMark/>
          </w:tcPr>
          <w:p w14:paraId="0215A712" w14:textId="77777777" w:rsidR="00B95FED" w:rsidRPr="00B95FED" w:rsidRDefault="00B95FED" w:rsidP="000F221E">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 xml:space="preserve">Adjustment </w:t>
            </w:r>
            <w:r w:rsidRPr="00B95FED">
              <w:rPr>
                <w:rFonts w:ascii="Cambria" w:hAnsi="Cambria" w:cs="Calibri"/>
                <w:b/>
                <w:bCs/>
                <w:color w:val="000000"/>
                <w:sz w:val="18"/>
                <w:szCs w:val="18"/>
                <w:lang w:val="en-IN" w:eastAsia="en-IN"/>
              </w:rPr>
              <w:br/>
              <w:t>(if any)</w:t>
            </w:r>
          </w:p>
        </w:tc>
        <w:tc>
          <w:tcPr>
            <w:tcW w:w="1171" w:type="dxa"/>
            <w:tcBorders>
              <w:top w:val="single" w:sz="4" w:space="0" w:color="auto"/>
              <w:left w:val="nil"/>
              <w:bottom w:val="single" w:sz="4" w:space="0" w:color="auto"/>
              <w:right w:val="single" w:sz="4" w:space="0" w:color="auto"/>
            </w:tcBorders>
            <w:vAlign w:val="center"/>
            <w:hideMark/>
          </w:tcPr>
          <w:p w14:paraId="13B6FC56" w14:textId="77777777" w:rsidR="00B95FED" w:rsidRPr="00B95FED" w:rsidRDefault="00B95FED" w:rsidP="000F221E">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Allocated/ Actual Budget Used</w:t>
            </w:r>
          </w:p>
        </w:tc>
        <w:tc>
          <w:tcPr>
            <w:tcW w:w="992" w:type="dxa"/>
            <w:gridSpan w:val="2"/>
            <w:tcBorders>
              <w:top w:val="single" w:sz="4" w:space="0" w:color="auto"/>
              <w:left w:val="nil"/>
              <w:bottom w:val="single" w:sz="4" w:space="0" w:color="auto"/>
              <w:right w:val="single" w:sz="4" w:space="0" w:color="auto"/>
            </w:tcBorders>
            <w:vAlign w:val="center"/>
            <w:hideMark/>
          </w:tcPr>
          <w:p w14:paraId="6DFB3BD2" w14:textId="77777777" w:rsidR="00B95FED" w:rsidRPr="00B95FED" w:rsidRDefault="00B95FED" w:rsidP="000F221E">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Actual CAPEX</w:t>
            </w:r>
          </w:p>
        </w:tc>
        <w:tc>
          <w:tcPr>
            <w:tcW w:w="987" w:type="dxa"/>
            <w:gridSpan w:val="2"/>
            <w:tcBorders>
              <w:top w:val="single" w:sz="4" w:space="0" w:color="auto"/>
              <w:left w:val="nil"/>
              <w:bottom w:val="single" w:sz="4" w:space="0" w:color="auto"/>
              <w:right w:val="single" w:sz="4" w:space="0" w:color="auto"/>
            </w:tcBorders>
            <w:vAlign w:val="center"/>
            <w:hideMark/>
          </w:tcPr>
          <w:p w14:paraId="5A32CA31" w14:textId="77777777" w:rsidR="00B95FED" w:rsidRPr="00B95FED" w:rsidRDefault="00B95FED" w:rsidP="000F221E">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WIP</w:t>
            </w:r>
          </w:p>
        </w:tc>
        <w:tc>
          <w:tcPr>
            <w:tcW w:w="927" w:type="dxa"/>
            <w:gridSpan w:val="2"/>
            <w:tcBorders>
              <w:top w:val="single" w:sz="4" w:space="0" w:color="auto"/>
              <w:left w:val="nil"/>
              <w:bottom w:val="single" w:sz="4" w:space="0" w:color="auto"/>
              <w:right w:val="single" w:sz="4" w:space="0" w:color="auto"/>
            </w:tcBorders>
            <w:vAlign w:val="center"/>
            <w:hideMark/>
          </w:tcPr>
          <w:p w14:paraId="6983B102" w14:textId="77777777" w:rsidR="00B95FED" w:rsidRPr="00B95FED" w:rsidRDefault="00B95FED" w:rsidP="000F221E">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Balance</w:t>
            </w:r>
          </w:p>
        </w:tc>
        <w:tc>
          <w:tcPr>
            <w:tcW w:w="864" w:type="dxa"/>
            <w:tcBorders>
              <w:top w:val="single" w:sz="4" w:space="0" w:color="auto"/>
              <w:left w:val="nil"/>
              <w:bottom w:val="single" w:sz="4" w:space="0" w:color="auto"/>
              <w:right w:val="single" w:sz="4" w:space="0" w:color="auto"/>
            </w:tcBorders>
            <w:vAlign w:val="center"/>
            <w:hideMark/>
          </w:tcPr>
          <w:p w14:paraId="7C2A998D" w14:textId="77777777" w:rsidR="00B95FED" w:rsidRPr="00B95FED" w:rsidRDefault="00B95FED" w:rsidP="000F221E">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Capitalization</w:t>
            </w:r>
          </w:p>
        </w:tc>
      </w:tr>
      <w:tr w:rsidR="00B95FED" w:rsidRPr="00B95FED" w14:paraId="3B831190" w14:textId="77777777" w:rsidTr="00304420">
        <w:trPr>
          <w:trHeight w:val="224"/>
          <w:tblHeader/>
          <w:jc w:val="center"/>
        </w:trPr>
        <w:tc>
          <w:tcPr>
            <w:tcW w:w="1271" w:type="dxa"/>
            <w:tcBorders>
              <w:top w:val="nil"/>
              <w:left w:val="single" w:sz="4" w:space="0" w:color="auto"/>
              <w:bottom w:val="single" w:sz="4" w:space="0" w:color="auto"/>
              <w:right w:val="single" w:sz="4" w:space="0" w:color="auto"/>
            </w:tcBorders>
            <w:vAlign w:val="center"/>
            <w:hideMark/>
          </w:tcPr>
          <w:p w14:paraId="1E1E0D5D" w14:textId="77777777" w:rsidR="00B95FED" w:rsidRPr="00B95FED" w:rsidRDefault="00B95FED" w:rsidP="000F221E">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A</w:t>
            </w:r>
          </w:p>
        </w:tc>
        <w:tc>
          <w:tcPr>
            <w:tcW w:w="1985" w:type="dxa"/>
            <w:tcBorders>
              <w:top w:val="nil"/>
              <w:left w:val="nil"/>
              <w:bottom w:val="single" w:sz="4" w:space="0" w:color="auto"/>
              <w:right w:val="single" w:sz="4" w:space="0" w:color="auto"/>
            </w:tcBorders>
            <w:vAlign w:val="center"/>
            <w:hideMark/>
          </w:tcPr>
          <w:p w14:paraId="01F37C1C" w14:textId="77777777" w:rsidR="00B95FED" w:rsidRPr="00B95FED" w:rsidRDefault="00B95FED" w:rsidP="000F221E">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B</w:t>
            </w:r>
          </w:p>
        </w:tc>
        <w:tc>
          <w:tcPr>
            <w:tcW w:w="1110" w:type="dxa"/>
            <w:tcBorders>
              <w:top w:val="nil"/>
              <w:left w:val="nil"/>
              <w:bottom w:val="single" w:sz="4" w:space="0" w:color="auto"/>
              <w:right w:val="single" w:sz="4" w:space="0" w:color="auto"/>
            </w:tcBorders>
            <w:vAlign w:val="center"/>
            <w:hideMark/>
          </w:tcPr>
          <w:p w14:paraId="74ECF10C" w14:textId="77777777" w:rsidR="00B95FED" w:rsidRPr="00B95FED" w:rsidRDefault="00B95FED" w:rsidP="000F221E">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C</w:t>
            </w:r>
          </w:p>
        </w:tc>
        <w:tc>
          <w:tcPr>
            <w:tcW w:w="894" w:type="dxa"/>
            <w:tcBorders>
              <w:top w:val="nil"/>
              <w:left w:val="nil"/>
              <w:bottom w:val="single" w:sz="4" w:space="0" w:color="auto"/>
              <w:right w:val="single" w:sz="4" w:space="0" w:color="auto"/>
            </w:tcBorders>
            <w:vAlign w:val="center"/>
            <w:hideMark/>
          </w:tcPr>
          <w:p w14:paraId="40E84004" w14:textId="77777777" w:rsidR="00B95FED" w:rsidRPr="00B95FED" w:rsidRDefault="00B95FED" w:rsidP="000F221E">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D</w:t>
            </w:r>
          </w:p>
        </w:tc>
        <w:tc>
          <w:tcPr>
            <w:tcW w:w="1171" w:type="dxa"/>
            <w:tcBorders>
              <w:top w:val="nil"/>
              <w:left w:val="nil"/>
              <w:bottom w:val="single" w:sz="4" w:space="0" w:color="auto"/>
              <w:right w:val="single" w:sz="4" w:space="0" w:color="auto"/>
            </w:tcBorders>
            <w:vAlign w:val="center"/>
            <w:hideMark/>
          </w:tcPr>
          <w:p w14:paraId="28EC9E2A" w14:textId="77777777" w:rsidR="00B95FED" w:rsidRPr="00B95FED" w:rsidRDefault="00B95FED" w:rsidP="000F221E">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E</w:t>
            </w:r>
          </w:p>
        </w:tc>
        <w:tc>
          <w:tcPr>
            <w:tcW w:w="992" w:type="dxa"/>
            <w:gridSpan w:val="2"/>
            <w:tcBorders>
              <w:top w:val="nil"/>
              <w:left w:val="nil"/>
              <w:bottom w:val="single" w:sz="4" w:space="0" w:color="auto"/>
              <w:right w:val="single" w:sz="4" w:space="0" w:color="auto"/>
            </w:tcBorders>
            <w:vAlign w:val="center"/>
            <w:hideMark/>
          </w:tcPr>
          <w:p w14:paraId="187C7A64" w14:textId="77777777" w:rsidR="00B95FED" w:rsidRPr="00B95FED" w:rsidRDefault="00B95FED" w:rsidP="000F221E">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F</w:t>
            </w:r>
          </w:p>
        </w:tc>
        <w:tc>
          <w:tcPr>
            <w:tcW w:w="987" w:type="dxa"/>
            <w:gridSpan w:val="2"/>
            <w:tcBorders>
              <w:top w:val="nil"/>
              <w:left w:val="nil"/>
              <w:bottom w:val="single" w:sz="4" w:space="0" w:color="auto"/>
              <w:right w:val="single" w:sz="4" w:space="0" w:color="auto"/>
            </w:tcBorders>
            <w:vAlign w:val="center"/>
            <w:hideMark/>
          </w:tcPr>
          <w:p w14:paraId="7A700C97" w14:textId="77777777" w:rsidR="00B95FED" w:rsidRPr="00B95FED" w:rsidRDefault="00B95FED" w:rsidP="000F221E">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G=F-I</w:t>
            </w:r>
          </w:p>
        </w:tc>
        <w:tc>
          <w:tcPr>
            <w:tcW w:w="927" w:type="dxa"/>
            <w:gridSpan w:val="2"/>
            <w:tcBorders>
              <w:top w:val="nil"/>
              <w:left w:val="nil"/>
              <w:bottom w:val="single" w:sz="4" w:space="0" w:color="auto"/>
              <w:right w:val="single" w:sz="4" w:space="0" w:color="auto"/>
            </w:tcBorders>
            <w:vAlign w:val="center"/>
            <w:hideMark/>
          </w:tcPr>
          <w:p w14:paraId="379FFAE3" w14:textId="77777777" w:rsidR="00B95FED" w:rsidRPr="00B95FED" w:rsidRDefault="00B95FED" w:rsidP="000F221E">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H=E-F</w:t>
            </w:r>
          </w:p>
        </w:tc>
        <w:tc>
          <w:tcPr>
            <w:tcW w:w="864" w:type="dxa"/>
            <w:tcBorders>
              <w:top w:val="nil"/>
              <w:left w:val="nil"/>
              <w:bottom w:val="single" w:sz="4" w:space="0" w:color="auto"/>
              <w:right w:val="single" w:sz="4" w:space="0" w:color="auto"/>
            </w:tcBorders>
            <w:vAlign w:val="center"/>
            <w:hideMark/>
          </w:tcPr>
          <w:p w14:paraId="0F689E06" w14:textId="77777777" w:rsidR="00B95FED" w:rsidRPr="00B95FED" w:rsidRDefault="00B95FED" w:rsidP="000F221E">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I</w:t>
            </w:r>
          </w:p>
        </w:tc>
      </w:tr>
      <w:tr w:rsidR="00E77140" w:rsidRPr="00B95FED" w14:paraId="0D9FDD5E" w14:textId="77777777" w:rsidTr="00304420">
        <w:trPr>
          <w:trHeight w:val="449"/>
          <w:jc w:val="center"/>
        </w:trPr>
        <w:tc>
          <w:tcPr>
            <w:tcW w:w="1271" w:type="dxa"/>
            <w:vMerge w:val="restart"/>
            <w:tcBorders>
              <w:top w:val="nil"/>
              <w:left w:val="single" w:sz="4" w:space="0" w:color="auto"/>
              <w:bottom w:val="single" w:sz="4" w:space="0" w:color="auto"/>
              <w:right w:val="single" w:sz="4" w:space="0" w:color="auto"/>
            </w:tcBorders>
            <w:vAlign w:val="center"/>
            <w:hideMark/>
          </w:tcPr>
          <w:p w14:paraId="2E45A2CC" w14:textId="77777777" w:rsidR="00E77140" w:rsidRPr="00B95FED" w:rsidRDefault="00E77140" w:rsidP="00E77140">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Statutory, Safety &amp; Security</w:t>
            </w:r>
          </w:p>
        </w:tc>
        <w:tc>
          <w:tcPr>
            <w:tcW w:w="1985" w:type="dxa"/>
            <w:tcBorders>
              <w:top w:val="nil"/>
              <w:left w:val="nil"/>
              <w:bottom w:val="single" w:sz="4" w:space="0" w:color="auto"/>
              <w:right w:val="single" w:sz="4" w:space="0" w:color="auto"/>
            </w:tcBorders>
            <w:vAlign w:val="center"/>
            <w:hideMark/>
          </w:tcPr>
          <w:p w14:paraId="40832BA6" w14:textId="77777777" w:rsidR="00E77140" w:rsidRPr="00B95FED" w:rsidRDefault="00E77140" w:rsidP="00E77140">
            <w:pPr>
              <w:rPr>
                <w:rFonts w:ascii="Cambria" w:hAnsi="Cambria" w:cs="Calibri"/>
                <w:color w:val="000000"/>
                <w:sz w:val="18"/>
                <w:szCs w:val="18"/>
                <w:lang w:val="en-IN" w:eastAsia="en-IN"/>
              </w:rPr>
            </w:pPr>
            <w:r w:rsidRPr="00B95FED">
              <w:rPr>
                <w:rFonts w:ascii="Cambria" w:hAnsi="Cambria" w:cs="Calibri"/>
                <w:color w:val="000000"/>
                <w:sz w:val="18"/>
                <w:szCs w:val="18"/>
                <w:lang w:val="en-IN" w:eastAsia="en-IN"/>
              </w:rPr>
              <w:t>Fencing, Boundary wall and Infrastructure</w:t>
            </w:r>
          </w:p>
        </w:tc>
        <w:tc>
          <w:tcPr>
            <w:tcW w:w="1110" w:type="dxa"/>
            <w:tcBorders>
              <w:top w:val="nil"/>
              <w:left w:val="nil"/>
              <w:bottom w:val="single" w:sz="4" w:space="0" w:color="auto"/>
              <w:right w:val="single" w:sz="4" w:space="0" w:color="auto"/>
            </w:tcBorders>
            <w:vAlign w:val="center"/>
            <w:hideMark/>
          </w:tcPr>
          <w:p w14:paraId="032E5A59" w14:textId="3D3D7A9B" w:rsidR="00E77140" w:rsidRPr="00E77140" w:rsidRDefault="00E77140" w:rsidP="00E77140">
            <w:pPr>
              <w:jc w:val="center"/>
              <w:rPr>
                <w:rFonts w:ascii="Cambria" w:hAnsi="Cambria" w:cs="Calibri"/>
                <w:color w:val="000000"/>
                <w:sz w:val="18"/>
                <w:szCs w:val="18"/>
                <w:lang w:val="en-IN" w:eastAsia="en-IN"/>
              </w:rPr>
            </w:pPr>
            <w:r w:rsidRPr="00E77140">
              <w:rPr>
                <w:sz w:val="18"/>
                <w:szCs w:val="18"/>
              </w:rPr>
              <w:t>30.59</w:t>
            </w:r>
          </w:p>
        </w:tc>
        <w:tc>
          <w:tcPr>
            <w:tcW w:w="894" w:type="dxa"/>
            <w:tcBorders>
              <w:top w:val="nil"/>
              <w:left w:val="nil"/>
              <w:bottom w:val="single" w:sz="4" w:space="0" w:color="auto"/>
              <w:right w:val="single" w:sz="4" w:space="0" w:color="auto"/>
            </w:tcBorders>
            <w:vAlign w:val="center"/>
            <w:hideMark/>
          </w:tcPr>
          <w:p w14:paraId="244CB00C" w14:textId="4FAD9ACA" w:rsidR="00E77140" w:rsidRPr="00E77140" w:rsidRDefault="00E77140" w:rsidP="00E77140">
            <w:pPr>
              <w:jc w:val="center"/>
              <w:rPr>
                <w:rFonts w:ascii="Cambria" w:hAnsi="Cambria" w:cs="Calibri"/>
                <w:color w:val="000000"/>
                <w:sz w:val="18"/>
                <w:szCs w:val="18"/>
                <w:lang w:val="en-IN" w:eastAsia="en-IN"/>
              </w:rPr>
            </w:pPr>
            <w:r w:rsidRPr="00E77140">
              <w:rPr>
                <w:sz w:val="18"/>
                <w:szCs w:val="18"/>
              </w:rPr>
              <w:t>1.26</w:t>
            </w:r>
          </w:p>
        </w:tc>
        <w:tc>
          <w:tcPr>
            <w:tcW w:w="1171" w:type="dxa"/>
            <w:tcBorders>
              <w:top w:val="nil"/>
              <w:left w:val="nil"/>
              <w:bottom w:val="single" w:sz="4" w:space="0" w:color="auto"/>
              <w:right w:val="single" w:sz="4" w:space="0" w:color="auto"/>
            </w:tcBorders>
            <w:vAlign w:val="center"/>
            <w:hideMark/>
          </w:tcPr>
          <w:p w14:paraId="2D0A7A2E" w14:textId="7EC71B7B" w:rsidR="00E77140" w:rsidRPr="00E77140" w:rsidRDefault="00E77140" w:rsidP="00E77140">
            <w:pPr>
              <w:jc w:val="center"/>
              <w:rPr>
                <w:rFonts w:ascii="Cambria" w:hAnsi="Cambria" w:cs="Calibri"/>
                <w:color w:val="000000"/>
                <w:sz w:val="18"/>
                <w:szCs w:val="18"/>
                <w:lang w:val="en-IN" w:eastAsia="en-IN"/>
              </w:rPr>
            </w:pPr>
            <w:r w:rsidRPr="00E77140">
              <w:rPr>
                <w:sz w:val="18"/>
                <w:szCs w:val="18"/>
              </w:rPr>
              <w:t>31.85</w:t>
            </w:r>
          </w:p>
        </w:tc>
        <w:tc>
          <w:tcPr>
            <w:tcW w:w="992" w:type="dxa"/>
            <w:gridSpan w:val="2"/>
            <w:tcBorders>
              <w:top w:val="nil"/>
              <w:left w:val="nil"/>
              <w:bottom w:val="single" w:sz="4" w:space="0" w:color="auto"/>
              <w:right w:val="single" w:sz="4" w:space="0" w:color="auto"/>
            </w:tcBorders>
            <w:vAlign w:val="center"/>
            <w:hideMark/>
          </w:tcPr>
          <w:p w14:paraId="05FDFB93" w14:textId="4E593D67" w:rsidR="00E77140" w:rsidRPr="00E77140" w:rsidRDefault="00E77140" w:rsidP="00E77140">
            <w:pPr>
              <w:jc w:val="center"/>
              <w:rPr>
                <w:rFonts w:ascii="Cambria" w:hAnsi="Cambria" w:cs="Calibri"/>
                <w:color w:val="000000"/>
                <w:sz w:val="18"/>
                <w:szCs w:val="18"/>
                <w:lang w:val="en-IN" w:eastAsia="en-IN"/>
              </w:rPr>
            </w:pPr>
            <w:r w:rsidRPr="00E77140">
              <w:rPr>
                <w:sz w:val="18"/>
                <w:szCs w:val="18"/>
              </w:rPr>
              <w:t>31.05</w:t>
            </w:r>
          </w:p>
        </w:tc>
        <w:tc>
          <w:tcPr>
            <w:tcW w:w="987" w:type="dxa"/>
            <w:gridSpan w:val="2"/>
            <w:tcBorders>
              <w:top w:val="nil"/>
              <w:left w:val="nil"/>
              <w:bottom w:val="single" w:sz="4" w:space="0" w:color="auto"/>
              <w:right w:val="single" w:sz="4" w:space="0" w:color="auto"/>
            </w:tcBorders>
            <w:vAlign w:val="center"/>
            <w:hideMark/>
          </w:tcPr>
          <w:p w14:paraId="7BA8E71A" w14:textId="0E6195C4" w:rsidR="00E77140" w:rsidRPr="00E77140" w:rsidRDefault="00E77140" w:rsidP="00E77140">
            <w:pPr>
              <w:jc w:val="center"/>
              <w:rPr>
                <w:rFonts w:ascii="Cambria" w:hAnsi="Cambria" w:cs="Calibri"/>
                <w:color w:val="000000"/>
                <w:sz w:val="18"/>
                <w:szCs w:val="18"/>
                <w:lang w:val="en-IN" w:eastAsia="en-IN"/>
              </w:rPr>
            </w:pPr>
            <w:r w:rsidRPr="00E77140">
              <w:rPr>
                <w:sz w:val="18"/>
                <w:szCs w:val="18"/>
              </w:rPr>
              <w:t>0.21</w:t>
            </w:r>
          </w:p>
        </w:tc>
        <w:tc>
          <w:tcPr>
            <w:tcW w:w="927" w:type="dxa"/>
            <w:gridSpan w:val="2"/>
            <w:tcBorders>
              <w:top w:val="nil"/>
              <w:left w:val="nil"/>
              <w:bottom w:val="single" w:sz="4" w:space="0" w:color="auto"/>
              <w:right w:val="single" w:sz="4" w:space="0" w:color="auto"/>
            </w:tcBorders>
            <w:vAlign w:val="center"/>
            <w:hideMark/>
          </w:tcPr>
          <w:p w14:paraId="19B6D333" w14:textId="3AC87437" w:rsidR="00E77140" w:rsidRPr="00E77140" w:rsidRDefault="00E77140" w:rsidP="00E77140">
            <w:pPr>
              <w:jc w:val="center"/>
              <w:rPr>
                <w:rFonts w:ascii="Cambria" w:hAnsi="Cambria" w:cs="Calibri"/>
                <w:color w:val="000000"/>
                <w:sz w:val="18"/>
                <w:szCs w:val="18"/>
                <w:lang w:val="en-IN" w:eastAsia="en-IN"/>
              </w:rPr>
            </w:pPr>
            <w:r w:rsidRPr="00E77140">
              <w:rPr>
                <w:sz w:val="18"/>
                <w:szCs w:val="18"/>
              </w:rPr>
              <w:t>0.80</w:t>
            </w:r>
          </w:p>
        </w:tc>
        <w:tc>
          <w:tcPr>
            <w:tcW w:w="864" w:type="dxa"/>
            <w:tcBorders>
              <w:top w:val="nil"/>
              <w:left w:val="nil"/>
              <w:bottom w:val="single" w:sz="4" w:space="0" w:color="auto"/>
              <w:right w:val="single" w:sz="4" w:space="0" w:color="auto"/>
            </w:tcBorders>
            <w:vAlign w:val="center"/>
            <w:hideMark/>
          </w:tcPr>
          <w:p w14:paraId="15D0FDA8" w14:textId="462C831B" w:rsidR="00E77140" w:rsidRPr="00E77140" w:rsidRDefault="00E77140" w:rsidP="00E77140">
            <w:pPr>
              <w:jc w:val="center"/>
              <w:rPr>
                <w:rFonts w:ascii="Cambria" w:hAnsi="Cambria" w:cs="Calibri"/>
                <w:color w:val="000000"/>
                <w:sz w:val="18"/>
                <w:szCs w:val="18"/>
                <w:lang w:val="en-IN" w:eastAsia="en-IN"/>
              </w:rPr>
            </w:pPr>
            <w:r w:rsidRPr="00E77140">
              <w:rPr>
                <w:sz w:val="18"/>
                <w:szCs w:val="18"/>
              </w:rPr>
              <w:t>30.85</w:t>
            </w:r>
          </w:p>
        </w:tc>
      </w:tr>
      <w:tr w:rsidR="00E77140" w:rsidRPr="00B95FED" w14:paraId="46CA79C9" w14:textId="77777777" w:rsidTr="00304420">
        <w:trPr>
          <w:trHeight w:val="449"/>
          <w:jc w:val="center"/>
        </w:trPr>
        <w:tc>
          <w:tcPr>
            <w:tcW w:w="1271" w:type="dxa"/>
            <w:vMerge/>
            <w:tcBorders>
              <w:top w:val="nil"/>
              <w:left w:val="single" w:sz="4" w:space="0" w:color="auto"/>
              <w:bottom w:val="single" w:sz="4" w:space="0" w:color="auto"/>
              <w:right w:val="single" w:sz="4" w:space="0" w:color="auto"/>
            </w:tcBorders>
            <w:vAlign w:val="center"/>
            <w:hideMark/>
          </w:tcPr>
          <w:p w14:paraId="48FC0FA0" w14:textId="77777777" w:rsidR="00E77140" w:rsidRPr="00B95FED" w:rsidRDefault="00E77140" w:rsidP="00E77140">
            <w:pPr>
              <w:rPr>
                <w:rFonts w:ascii="Cambria" w:hAnsi="Cambria" w:cs="Calibri"/>
                <w:b/>
                <w:bCs/>
                <w:color w:val="000000"/>
                <w:sz w:val="18"/>
                <w:szCs w:val="18"/>
                <w:lang w:val="en-IN" w:eastAsia="en-IN"/>
              </w:rPr>
            </w:pPr>
          </w:p>
        </w:tc>
        <w:tc>
          <w:tcPr>
            <w:tcW w:w="1985" w:type="dxa"/>
            <w:tcBorders>
              <w:top w:val="nil"/>
              <w:left w:val="nil"/>
              <w:bottom w:val="single" w:sz="4" w:space="0" w:color="auto"/>
              <w:right w:val="single" w:sz="4" w:space="0" w:color="auto"/>
            </w:tcBorders>
            <w:vAlign w:val="center"/>
            <w:hideMark/>
          </w:tcPr>
          <w:p w14:paraId="08F05AF9" w14:textId="77777777" w:rsidR="00E77140" w:rsidRPr="00B95FED" w:rsidRDefault="00E77140" w:rsidP="00E77140">
            <w:pPr>
              <w:rPr>
                <w:rFonts w:ascii="Cambria" w:hAnsi="Cambria" w:cs="Calibri"/>
                <w:color w:val="000000"/>
                <w:sz w:val="18"/>
                <w:szCs w:val="18"/>
                <w:lang w:val="en-IN" w:eastAsia="en-IN"/>
              </w:rPr>
            </w:pPr>
            <w:r w:rsidRPr="00B95FED">
              <w:rPr>
                <w:rFonts w:ascii="Cambria" w:hAnsi="Cambria" w:cs="Calibri"/>
                <w:color w:val="000000"/>
                <w:sz w:val="18"/>
                <w:szCs w:val="18"/>
                <w:lang w:val="en-IN" w:eastAsia="en-IN"/>
              </w:rPr>
              <w:t>Life Enhancement of Network</w:t>
            </w:r>
          </w:p>
        </w:tc>
        <w:tc>
          <w:tcPr>
            <w:tcW w:w="1110" w:type="dxa"/>
            <w:tcBorders>
              <w:top w:val="nil"/>
              <w:left w:val="nil"/>
              <w:bottom w:val="single" w:sz="4" w:space="0" w:color="auto"/>
              <w:right w:val="single" w:sz="4" w:space="0" w:color="auto"/>
            </w:tcBorders>
            <w:vAlign w:val="center"/>
            <w:hideMark/>
          </w:tcPr>
          <w:p w14:paraId="07DEC0E0" w14:textId="23FC68F9" w:rsidR="00E77140" w:rsidRPr="00E77140" w:rsidRDefault="00E77140" w:rsidP="00E77140">
            <w:pPr>
              <w:jc w:val="center"/>
              <w:rPr>
                <w:rFonts w:ascii="Cambria" w:hAnsi="Cambria" w:cs="Calibri"/>
                <w:color w:val="000000"/>
                <w:sz w:val="18"/>
                <w:szCs w:val="18"/>
                <w:lang w:val="en-IN" w:eastAsia="en-IN"/>
              </w:rPr>
            </w:pPr>
            <w:r w:rsidRPr="00E77140">
              <w:rPr>
                <w:sz w:val="18"/>
                <w:szCs w:val="18"/>
              </w:rPr>
              <w:t>9.74</w:t>
            </w:r>
          </w:p>
        </w:tc>
        <w:tc>
          <w:tcPr>
            <w:tcW w:w="894" w:type="dxa"/>
            <w:tcBorders>
              <w:top w:val="nil"/>
              <w:left w:val="nil"/>
              <w:bottom w:val="single" w:sz="4" w:space="0" w:color="auto"/>
              <w:right w:val="single" w:sz="4" w:space="0" w:color="auto"/>
            </w:tcBorders>
            <w:vAlign w:val="center"/>
            <w:hideMark/>
          </w:tcPr>
          <w:p w14:paraId="079A109E" w14:textId="1B72B99C" w:rsidR="00E77140" w:rsidRPr="00E77140" w:rsidRDefault="00E77140" w:rsidP="00E77140">
            <w:pPr>
              <w:jc w:val="center"/>
              <w:rPr>
                <w:rFonts w:ascii="Cambria" w:hAnsi="Cambria" w:cs="Calibri"/>
                <w:color w:val="000000"/>
                <w:sz w:val="18"/>
                <w:szCs w:val="18"/>
                <w:lang w:val="en-IN" w:eastAsia="en-IN"/>
              </w:rPr>
            </w:pPr>
            <w:r w:rsidRPr="00E77140">
              <w:rPr>
                <w:sz w:val="18"/>
                <w:szCs w:val="18"/>
              </w:rPr>
              <w:t>0.00</w:t>
            </w:r>
          </w:p>
        </w:tc>
        <w:tc>
          <w:tcPr>
            <w:tcW w:w="1171" w:type="dxa"/>
            <w:tcBorders>
              <w:top w:val="nil"/>
              <w:left w:val="nil"/>
              <w:bottom w:val="single" w:sz="4" w:space="0" w:color="auto"/>
              <w:right w:val="single" w:sz="4" w:space="0" w:color="auto"/>
            </w:tcBorders>
            <w:vAlign w:val="center"/>
            <w:hideMark/>
          </w:tcPr>
          <w:p w14:paraId="3C7C3C90" w14:textId="1B4F0BA4" w:rsidR="00E77140" w:rsidRPr="00E77140" w:rsidRDefault="00E77140" w:rsidP="00E77140">
            <w:pPr>
              <w:jc w:val="center"/>
              <w:rPr>
                <w:rFonts w:ascii="Cambria" w:hAnsi="Cambria" w:cs="Calibri"/>
                <w:color w:val="000000"/>
                <w:sz w:val="18"/>
                <w:szCs w:val="18"/>
                <w:lang w:val="en-IN" w:eastAsia="en-IN"/>
              </w:rPr>
            </w:pPr>
            <w:r w:rsidRPr="00E77140">
              <w:rPr>
                <w:sz w:val="18"/>
                <w:szCs w:val="18"/>
              </w:rPr>
              <w:t>9.74</w:t>
            </w:r>
          </w:p>
        </w:tc>
        <w:tc>
          <w:tcPr>
            <w:tcW w:w="992" w:type="dxa"/>
            <w:gridSpan w:val="2"/>
            <w:tcBorders>
              <w:top w:val="nil"/>
              <w:left w:val="nil"/>
              <w:bottom w:val="single" w:sz="4" w:space="0" w:color="auto"/>
              <w:right w:val="single" w:sz="4" w:space="0" w:color="auto"/>
            </w:tcBorders>
            <w:vAlign w:val="center"/>
            <w:hideMark/>
          </w:tcPr>
          <w:p w14:paraId="052C3EE0" w14:textId="01833690" w:rsidR="00E77140" w:rsidRPr="00E77140" w:rsidRDefault="00E77140" w:rsidP="00E77140">
            <w:pPr>
              <w:jc w:val="center"/>
              <w:rPr>
                <w:rFonts w:ascii="Cambria" w:hAnsi="Cambria" w:cs="Calibri"/>
                <w:color w:val="000000"/>
                <w:sz w:val="18"/>
                <w:szCs w:val="18"/>
                <w:lang w:val="en-IN" w:eastAsia="en-IN"/>
              </w:rPr>
            </w:pPr>
            <w:r w:rsidRPr="00E77140">
              <w:rPr>
                <w:sz w:val="18"/>
                <w:szCs w:val="18"/>
              </w:rPr>
              <w:t>6.84</w:t>
            </w:r>
          </w:p>
        </w:tc>
        <w:tc>
          <w:tcPr>
            <w:tcW w:w="987" w:type="dxa"/>
            <w:gridSpan w:val="2"/>
            <w:tcBorders>
              <w:top w:val="nil"/>
              <w:left w:val="nil"/>
              <w:bottom w:val="single" w:sz="4" w:space="0" w:color="auto"/>
              <w:right w:val="single" w:sz="4" w:space="0" w:color="auto"/>
            </w:tcBorders>
            <w:vAlign w:val="center"/>
            <w:hideMark/>
          </w:tcPr>
          <w:p w14:paraId="0D74D3B2" w14:textId="66FADD52" w:rsidR="00E77140" w:rsidRPr="00E77140" w:rsidRDefault="00E77140" w:rsidP="00E77140">
            <w:pPr>
              <w:jc w:val="center"/>
              <w:rPr>
                <w:rFonts w:ascii="Cambria" w:hAnsi="Cambria" w:cs="Calibri"/>
                <w:color w:val="000000"/>
                <w:sz w:val="18"/>
                <w:szCs w:val="18"/>
                <w:lang w:val="en-IN" w:eastAsia="en-IN"/>
              </w:rPr>
            </w:pPr>
            <w:r w:rsidRPr="00E77140">
              <w:rPr>
                <w:sz w:val="18"/>
                <w:szCs w:val="18"/>
              </w:rPr>
              <w:t>0.85</w:t>
            </w:r>
          </w:p>
        </w:tc>
        <w:tc>
          <w:tcPr>
            <w:tcW w:w="927" w:type="dxa"/>
            <w:gridSpan w:val="2"/>
            <w:tcBorders>
              <w:top w:val="nil"/>
              <w:left w:val="nil"/>
              <w:bottom w:val="single" w:sz="4" w:space="0" w:color="auto"/>
              <w:right w:val="single" w:sz="4" w:space="0" w:color="auto"/>
            </w:tcBorders>
            <w:vAlign w:val="center"/>
            <w:hideMark/>
          </w:tcPr>
          <w:p w14:paraId="55EA0F9B" w14:textId="23BCC57D" w:rsidR="00E77140" w:rsidRPr="00E77140" w:rsidRDefault="00E77140" w:rsidP="00E77140">
            <w:pPr>
              <w:jc w:val="center"/>
              <w:rPr>
                <w:rFonts w:ascii="Cambria" w:hAnsi="Cambria" w:cs="Calibri"/>
                <w:color w:val="000000"/>
                <w:sz w:val="18"/>
                <w:szCs w:val="18"/>
                <w:lang w:val="en-IN" w:eastAsia="en-IN"/>
              </w:rPr>
            </w:pPr>
            <w:r w:rsidRPr="00E77140">
              <w:rPr>
                <w:sz w:val="18"/>
                <w:szCs w:val="18"/>
              </w:rPr>
              <w:t>2.90</w:t>
            </w:r>
          </w:p>
        </w:tc>
        <w:tc>
          <w:tcPr>
            <w:tcW w:w="864" w:type="dxa"/>
            <w:tcBorders>
              <w:top w:val="nil"/>
              <w:left w:val="nil"/>
              <w:bottom w:val="single" w:sz="4" w:space="0" w:color="auto"/>
              <w:right w:val="single" w:sz="4" w:space="0" w:color="auto"/>
            </w:tcBorders>
            <w:vAlign w:val="center"/>
            <w:hideMark/>
          </w:tcPr>
          <w:p w14:paraId="0F659324" w14:textId="0A139C6E" w:rsidR="00E77140" w:rsidRPr="00E77140" w:rsidRDefault="00E77140" w:rsidP="00E77140">
            <w:pPr>
              <w:jc w:val="center"/>
              <w:rPr>
                <w:rFonts w:ascii="Cambria" w:hAnsi="Cambria" w:cs="Calibri"/>
                <w:color w:val="000000"/>
                <w:sz w:val="18"/>
                <w:szCs w:val="18"/>
                <w:lang w:val="en-IN" w:eastAsia="en-IN"/>
              </w:rPr>
            </w:pPr>
            <w:r w:rsidRPr="00E77140">
              <w:rPr>
                <w:sz w:val="18"/>
                <w:szCs w:val="18"/>
              </w:rPr>
              <w:t>5.98</w:t>
            </w:r>
          </w:p>
        </w:tc>
      </w:tr>
      <w:tr w:rsidR="00E77140" w:rsidRPr="00B95FED" w14:paraId="17447821" w14:textId="77777777" w:rsidTr="00304420">
        <w:trPr>
          <w:trHeight w:val="449"/>
          <w:jc w:val="center"/>
        </w:trPr>
        <w:tc>
          <w:tcPr>
            <w:tcW w:w="1271" w:type="dxa"/>
            <w:vMerge/>
            <w:tcBorders>
              <w:top w:val="nil"/>
              <w:left w:val="single" w:sz="4" w:space="0" w:color="auto"/>
              <w:bottom w:val="single" w:sz="4" w:space="0" w:color="auto"/>
              <w:right w:val="single" w:sz="4" w:space="0" w:color="auto"/>
            </w:tcBorders>
            <w:vAlign w:val="center"/>
            <w:hideMark/>
          </w:tcPr>
          <w:p w14:paraId="60AEE637" w14:textId="77777777" w:rsidR="00E77140" w:rsidRPr="00B95FED" w:rsidRDefault="00E77140" w:rsidP="00E77140">
            <w:pPr>
              <w:rPr>
                <w:rFonts w:ascii="Cambria" w:hAnsi="Cambria" w:cs="Calibri"/>
                <w:b/>
                <w:bCs/>
                <w:color w:val="000000"/>
                <w:sz w:val="18"/>
                <w:szCs w:val="18"/>
                <w:lang w:val="en-IN" w:eastAsia="en-IN"/>
              </w:rPr>
            </w:pPr>
          </w:p>
        </w:tc>
        <w:tc>
          <w:tcPr>
            <w:tcW w:w="1985" w:type="dxa"/>
            <w:tcBorders>
              <w:top w:val="nil"/>
              <w:left w:val="nil"/>
              <w:bottom w:val="single" w:sz="4" w:space="0" w:color="auto"/>
              <w:right w:val="single" w:sz="4" w:space="0" w:color="auto"/>
            </w:tcBorders>
            <w:vAlign w:val="center"/>
            <w:hideMark/>
          </w:tcPr>
          <w:p w14:paraId="30C2AFC9" w14:textId="77777777" w:rsidR="00E77140" w:rsidRPr="00B95FED" w:rsidRDefault="00E77140" w:rsidP="00E77140">
            <w:pPr>
              <w:rPr>
                <w:rFonts w:ascii="Cambria" w:hAnsi="Cambria" w:cs="Calibri"/>
                <w:color w:val="000000"/>
                <w:sz w:val="18"/>
                <w:szCs w:val="18"/>
                <w:lang w:val="en-IN" w:eastAsia="en-IN"/>
              </w:rPr>
            </w:pPr>
            <w:r w:rsidRPr="00B95FED">
              <w:rPr>
                <w:rFonts w:ascii="Cambria" w:hAnsi="Cambria" w:cs="Calibri"/>
                <w:color w:val="000000"/>
                <w:sz w:val="18"/>
                <w:szCs w:val="18"/>
                <w:lang w:val="en-IN" w:eastAsia="en-IN"/>
              </w:rPr>
              <w:t>Testing and Safety Equipment &amp; PPE</w:t>
            </w:r>
          </w:p>
        </w:tc>
        <w:tc>
          <w:tcPr>
            <w:tcW w:w="1110" w:type="dxa"/>
            <w:tcBorders>
              <w:top w:val="nil"/>
              <w:left w:val="nil"/>
              <w:bottom w:val="single" w:sz="4" w:space="0" w:color="auto"/>
              <w:right w:val="single" w:sz="4" w:space="0" w:color="auto"/>
            </w:tcBorders>
            <w:vAlign w:val="center"/>
            <w:hideMark/>
          </w:tcPr>
          <w:p w14:paraId="37DE89C3" w14:textId="1212200D" w:rsidR="00E77140" w:rsidRPr="00E77140" w:rsidRDefault="00E77140" w:rsidP="00E77140">
            <w:pPr>
              <w:jc w:val="center"/>
              <w:rPr>
                <w:rFonts w:ascii="Cambria" w:hAnsi="Cambria" w:cs="Calibri"/>
                <w:color w:val="000000"/>
                <w:sz w:val="18"/>
                <w:szCs w:val="18"/>
                <w:lang w:val="en-IN" w:eastAsia="en-IN"/>
              </w:rPr>
            </w:pPr>
            <w:r w:rsidRPr="00E77140">
              <w:rPr>
                <w:sz w:val="18"/>
                <w:szCs w:val="18"/>
              </w:rPr>
              <w:t>11.20</w:t>
            </w:r>
          </w:p>
        </w:tc>
        <w:tc>
          <w:tcPr>
            <w:tcW w:w="894" w:type="dxa"/>
            <w:tcBorders>
              <w:top w:val="nil"/>
              <w:left w:val="nil"/>
              <w:bottom w:val="single" w:sz="4" w:space="0" w:color="auto"/>
              <w:right w:val="single" w:sz="4" w:space="0" w:color="auto"/>
            </w:tcBorders>
            <w:vAlign w:val="center"/>
            <w:hideMark/>
          </w:tcPr>
          <w:p w14:paraId="6F57CC36" w14:textId="0F5B9364" w:rsidR="00E77140" w:rsidRPr="00E77140" w:rsidRDefault="00E77140" w:rsidP="00E77140">
            <w:pPr>
              <w:jc w:val="center"/>
              <w:rPr>
                <w:rFonts w:ascii="Cambria" w:hAnsi="Cambria" w:cs="Calibri"/>
                <w:color w:val="000000"/>
                <w:sz w:val="18"/>
                <w:szCs w:val="18"/>
                <w:lang w:val="en-IN" w:eastAsia="en-IN"/>
              </w:rPr>
            </w:pPr>
            <w:r w:rsidRPr="00E77140">
              <w:rPr>
                <w:sz w:val="18"/>
                <w:szCs w:val="18"/>
              </w:rPr>
              <w:t>-1.26</w:t>
            </w:r>
          </w:p>
        </w:tc>
        <w:tc>
          <w:tcPr>
            <w:tcW w:w="1171" w:type="dxa"/>
            <w:tcBorders>
              <w:top w:val="nil"/>
              <w:left w:val="nil"/>
              <w:bottom w:val="single" w:sz="4" w:space="0" w:color="auto"/>
              <w:right w:val="single" w:sz="4" w:space="0" w:color="auto"/>
            </w:tcBorders>
            <w:vAlign w:val="center"/>
            <w:hideMark/>
          </w:tcPr>
          <w:p w14:paraId="164233AC" w14:textId="67C42CF4" w:rsidR="00E77140" w:rsidRPr="00E77140" w:rsidRDefault="00E77140" w:rsidP="00E77140">
            <w:pPr>
              <w:jc w:val="center"/>
              <w:rPr>
                <w:rFonts w:ascii="Cambria" w:hAnsi="Cambria" w:cs="Calibri"/>
                <w:color w:val="000000"/>
                <w:sz w:val="18"/>
                <w:szCs w:val="18"/>
                <w:lang w:val="en-IN" w:eastAsia="en-IN"/>
              </w:rPr>
            </w:pPr>
            <w:r w:rsidRPr="00E77140">
              <w:rPr>
                <w:sz w:val="18"/>
                <w:szCs w:val="18"/>
              </w:rPr>
              <w:t>9.94</w:t>
            </w:r>
          </w:p>
        </w:tc>
        <w:tc>
          <w:tcPr>
            <w:tcW w:w="992" w:type="dxa"/>
            <w:gridSpan w:val="2"/>
            <w:tcBorders>
              <w:top w:val="nil"/>
              <w:left w:val="nil"/>
              <w:bottom w:val="single" w:sz="4" w:space="0" w:color="auto"/>
              <w:right w:val="single" w:sz="4" w:space="0" w:color="auto"/>
            </w:tcBorders>
            <w:vAlign w:val="center"/>
            <w:hideMark/>
          </w:tcPr>
          <w:p w14:paraId="04C5114C" w14:textId="7756600E" w:rsidR="00E77140" w:rsidRPr="00E77140" w:rsidRDefault="00E77140" w:rsidP="00E77140">
            <w:pPr>
              <w:jc w:val="center"/>
              <w:rPr>
                <w:rFonts w:ascii="Cambria" w:hAnsi="Cambria" w:cs="Calibri"/>
                <w:color w:val="000000"/>
                <w:sz w:val="18"/>
                <w:szCs w:val="18"/>
                <w:lang w:val="en-IN" w:eastAsia="en-IN"/>
              </w:rPr>
            </w:pPr>
            <w:r w:rsidRPr="00E77140">
              <w:rPr>
                <w:sz w:val="18"/>
                <w:szCs w:val="18"/>
              </w:rPr>
              <w:t>7.50</w:t>
            </w:r>
          </w:p>
        </w:tc>
        <w:tc>
          <w:tcPr>
            <w:tcW w:w="987" w:type="dxa"/>
            <w:gridSpan w:val="2"/>
            <w:tcBorders>
              <w:top w:val="nil"/>
              <w:left w:val="nil"/>
              <w:bottom w:val="single" w:sz="4" w:space="0" w:color="auto"/>
              <w:right w:val="single" w:sz="4" w:space="0" w:color="auto"/>
            </w:tcBorders>
            <w:vAlign w:val="center"/>
            <w:hideMark/>
          </w:tcPr>
          <w:p w14:paraId="173552D9" w14:textId="42497CAB" w:rsidR="00E77140" w:rsidRPr="00E77140" w:rsidRDefault="00E77140" w:rsidP="00E77140">
            <w:pPr>
              <w:jc w:val="center"/>
              <w:rPr>
                <w:rFonts w:ascii="Cambria" w:hAnsi="Cambria" w:cs="Calibri"/>
                <w:color w:val="000000"/>
                <w:sz w:val="18"/>
                <w:szCs w:val="18"/>
                <w:lang w:val="en-IN" w:eastAsia="en-IN"/>
              </w:rPr>
            </w:pPr>
            <w:r w:rsidRPr="00E77140">
              <w:rPr>
                <w:sz w:val="18"/>
                <w:szCs w:val="18"/>
              </w:rPr>
              <w:t>0.18</w:t>
            </w:r>
          </w:p>
        </w:tc>
        <w:tc>
          <w:tcPr>
            <w:tcW w:w="927" w:type="dxa"/>
            <w:gridSpan w:val="2"/>
            <w:tcBorders>
              <w:top w:val="nil"/>
              <w:left w:val="nil"/>
              <w:bottom w:val="single" w:sz="4" w:space="0" w:color="auto"/>
              <w:right w:val="single" w:sz="4" w:space="0" w:color="auto"/>
            </w:tcBorders>
            <w:vAlign w:val="center"/>
            <w:hideMark/>
          </w:tcPr>
          <w:p w14:paraId="73B8182F" w14:textId="7E182345" w:rsidR="00E77140" w:rsidRPr="00E77140" w:rsidRDefault="00E77140" w:rsidP="00E77140">
            <w:pPr>
              <w:jc w:val="center"/>
              <w:rPr>
                <w:rFonts w:ascii="Cambria" w:hAnsi="Cambria" w:cs="Calibri"/>
                <w:color w:val="000000"/>
                <w:sz w:val="18"/>
                <w:szCs w:val="18"/>
                <w:lang w:val="en-IN" w:eastAsia="en-IN"/>
              </w:rPr>
            </w:pPr>
            <w:r w:rsidRPr="00E77140">
              <w:rPr>
                <w:sz w:val="18"/>
                <w:szCs w:val="18"/>
              </w:rPr>
              <w:t>2.44</w:t>
            </w:r>
          </w:p>
        </w:tc>
        <w:tc>
          <w:tcPr>
            <w:tcW w:w="864" w:type="dxa"/>
            <w:tcBorders>
              <w:top w:val="nil"/>
              <w:left w:val="nil"/>
              <w:bottom w:val="single" w:sz="4" w:space="0" w:color="auto"/>
              <w:right w:val="single" w:sz="4" w:space="0" w:color="auto"/>
            </w:tcBorders>
            <w:vAlign w:val="center"/>
            <w:hideMark/>
          </w:tcPr>
          <w:p w14:paraId="7884BC9B" w14:textId="57663456" w:rsidR="00E77140" w:rsidRPr="00E77140" w:rsidRDefault="00E77140" w:rsidP="00E77140">
            <w:pPr>
              <w:jc w:val="center"/>
              <w:rPr>
                <w:rFonts w:ascii="Cambria" w:hAnsi="Cambria" w:cs="Calibri"/>
                <w:color w:val="000000"/>
                <w:sz w:val="18"/>
                <w:szCs w:val="18"/>
                <w:lang w:val="en-IN" w:eastAsia="en-IN"/>
              </w:rPr>
            </w:pPr>
            <w:r w:rsidRPr="00E77140">
              <w:rPr>
                <w:sz w:val="18"/>
                <w:szCs w:val="18"/>
              </w:rPr>
              <w:t>7.32</w:t>
            </w:r>
          </w:p>
        </w:tc>
      </w:tr>
      <w:tr w:rsidR="00E77140" w:rsidRPr="00B95FED" w14:paraId="338DDADD" w14:textId="77777777" w:rsidTr="00304420">
        <w:trPr>
          <w:trHeight w:val="224"/>
          <w:jc w:val="center"/>
        </w:trPr>
        <w:tc>
          <w:tcPr>
            <w:tcW w:w="1271" w:type="dxa"/>
            <w:vMerge/>
            <w:tcBorders>
              <w:top w:val="nil"/>
              <w:left w:val="single" w:sz="4" w:space="0" w:color="auto"/>
              <w:bottom w:val="single" w:sz="4" w:space="0" w:color="auto"/>
              <w:right w:val="single" w:sz="4" w:space="0" w:color="auto"/>
            </w:tcBorders>
            <w:vAlign w:val="center"/>
            <w:hideMark/>
          </w:tcPr>
          <w:p w14:paraId="38C13A2B" w14:textId="77777777" w:rsidR="00E77140" w:rsidRPr="00B95FED" w:rsidRDefault="00E77140" w:rsidP="00E77140">
            <w:pPr>
              <w:rPr>
                <w:rFonts w:ascii="Cambria" w:hAnsi="Cambria" w:cs="Calibri"/>
                <w:b/>
                <w:bCs/>
                <w:color w:val="000000"/>
                <w:sz w:val="18"/>
                <w:szCs w:val="18"/>
                <w:lang w:val="en-IN" w:eastAsia="en-IN"/>
              </w:rPr>
            </w:pPr>
          </w:p>
        </w:tc>
        <w:tc>
          <w:tcPr>
            <w:tcW w:w="1985" w:type="dxa"/>
            <w:tcBorders>
              <w:top w:val="nil"/>
              <w:left w:val="nil"/>
              <w:bottom w:val="single" w:sz="4" w:space="0" w:color="auto"/>
              <w:right w:val="single" w:sz="4" w:space="0" w:color="auto"/>
            </w:tcBorders>
            <w:vAlign w:val="center"/>
            <w:hideMark/>
          </w:tcPr>
          <w:p w14:paraId="67E15597" w14:textId="77777777" w:rsidR="00E77140" w:rsidRPr="00B95FED" w:rsidRDefault="00E77140" w:rsidP="00E77140">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TOTAL</w:t>
            </w:r>
          </w:p>
        </w:tc>
        <w:tc>
          <w:tcPr>
            <w:tcW w:w="1110" w:type="dxa"/>
            <w:tcBorders>
              <w:top w:val="nil"/>
              <w:left w:val="nil"/>
              <w:bottom w:val="single" w:sz="4" w:space="0" w:color="auto"/>
              <w:right w:val="single" w:sz="4" w:space="0" w:color="auto"/>
            </w:tcBorders>
            <w:vAlign w:val="center"/>
            <w:hideMark/>
          </w:tcPr>
          <w:p w14:paraId="4A9D771E" w14:textId="24B2F8F5" w:rsidR="00E77140" w:rsidRPr="00E77140" w:rsidRDefault="00E77140" w:rsidP="00E77140">
            <w:pPr>
              <w:jc w:val="center"/>
              <w:rPr>
                <w:rFonts w:ascii="Cambria" w:hAnsi="Cambria" w:cs="Calibri"/>
                <w:b/>
                <w:bCs/>
                <w:color w:val="000000"/>
                <w:sz w:val="18"/>
                <w:szCs w:val="18"/>
                <w:lang w:val="en-IN" w:eastAsia="en-IN"/>
              </w:rPr>
            </w:pPr>
            <w:r w:rsidRPr="00E77140">
              <w:rPr>
                <w:sz w:val="18"/>
                <w:szCs w:val="18"/>
              </w:rPr>
              <w:t>51.53</w:t>
            </w:r>
          </w:p>
        </w:tc>
        <w:tc>
          <w:tcPr>
            <w:tcW w:w="894" w:type="dxa"/>
            <w:tcBorders>
              <w:top w:val="nil"/>
              <w:left w:val="nil"/>
              <w:bottom w:val="single" w:sz="4" w:space="0" w:color="auto"/>
              <w:right w:val="single" w:sz="4" w:space="0" w:color="auto"/>
            </w:tcBorders>
            <w:vAlign w:val="center"/>
            <w:hideMark/>
          </w:tcPr>
          <w:p w14:paraId="15EF9E01" w14:textId="505681B6" w:rsidR="00E77140" w:rsidRPr="00E77140" w:rsidRDefault="00E77140" w:rsidP="00E77140">
            <w:pPr>
              <w:jc w:val="center"/>
              <w:rPr>
                <w:rFonts w:ascii="Cambria" w:hAnsi="Cambria" w:cs="Calibri"/>
                <w:b/>
                <w:bCs/>
                <w:color w:val="000000"/>
                <w:sz w:val="18"/>
                <w:szCs w:val="18"/>
                <w:lang w:val="en-IN" w:eastAsia="en-IN"/>
              </w:rPr>
            </w:pPr>
            <w:r w:rsidRPr="00E77140">
              <w:rPr>
                <w:sz w:val="18"/>
                <w:szCs w:val="18"/>
              </w:rPr>
              <w:t>0.00</w:t>
            </w:r>
          </w:p>
        </w:tc>
        <w:tc>
          <w:tcPr>
            <w:tcW w:w="1171" w:type="dxa"/>
            <w:tcBorders>
              <w:top w:val="nil"/>
              <w:left w:val="nil"/>
              <w:bottom w:val="single" w:sz="4" w:space="0" w:color="auto"/>
              <w:right w:val="single" w:sz="4" w:space="0" w:color="auto"/>
            </w:tcBorders>
            <w:vAlign w:val="center"/>
            <w:hideMark/>
          </w:tcPr>
          <w:p w14:paraId="248D599E" w14:textId="1D2B2448" w:rsidR="00E77140" w:rsidRPr="00E77140" w:rsidRDefault="00E77140" w:rsidP="00E77140">
            <w:pPr>
              <w:jc w:val="center"/>
              <w:rPr>
                <w:rFonts w:ascii="Cambria" w:hAnsi="Cambria" w:cs="Calibri"/>
                <w:b/>
                <w:bCs/>
                <w:color w:val="000000"/>
                <w:sz w:val="18"/>
                <w:szCs w:val="18"/>
                <w:lang w:val="en-IN" w:eastAsia="en-IN"/>
              </w:rPr>
            </w:pPr>
            <w:r w:rsidRPr="00E77140">
              <w:rPr>
                <w:sz w:val="18"/>
                <w:szCs w:val="18"/>
              </w:rPr>
              <w:t>51.53</w:t>
            </w:r>
          </w:p>
        </w:tc>
        <w:tc>
          <w:tcPr>
            <w:tcW w:w="992" w:type="dxa"/>
            <w:gridSpan w:val="2"/>
            <w:tcBorders>
              <w:top w:val="nil"/>
              <w:left w:val="nil"/>
              <w:bottom w:val="single" w:sz="4" w:space="0" w:color="auto"/>
              <w:right w:val="single" w:sz="4" w:space="0" w:color="auto"/>
            </w:tcBorders>
            <w:vAlign w:val="center"/>
            <w:hideMark/>
          </w:tcPr>
          <w:p w14:paraId="5DB3C04A" w14:textId="0CEDD72C" w:rsidR="00E77140" w:rsidRPr="00E77140" w:rsidRDefault="00E77140" w:rsidP="00E77140">
            <w:pPr>
              <w:jc w:val="center"/>
              <w:rPr>
                <w:rFonts w:ascii="Cambria" w:hAnsi="Cambria" w:cs="Calibri"/>
                <w:b/>
                <w:bCs/>
                <w:color w:val="000000"/>
                <w:sz w:val="18"/>
                <w:szCs w:val="18"/>
                <w:lang w:val="en-IN" w:eastAsia="en-IN"/>
              </w:rPr>
            </w:pPr>
            <w:r w:rsidRPr="00E77140">
              <w:rPr>
                <w:sz w:val="18"/>
                <w:szCs w:val="18"/>
              </w:rPr>
              <w:t>45.40</w:t>
            </w:r>
          </w:p>
        </w:tc>
        <w:tc>
          <w:tcPr>
            <w:tcW w:w="987" w:type="dxa"/>
            <w:gridSpan w:val="2"/>
            <w:tcBorders>
              <w:top w:val="nil"/>
              <w:left w:val="nil"/>
              <w:bottom w:val="single" w:sz="4" w:space="0" w:color="auto"/>
              <w:right w:val="single" w:sz="4" w:space="0" w:color="auto"/>
            </w:tcBorders>
            <w:vAlign w:val="center"/>
            <w:hideMark/>
          </w:tcPr>
          <w:p w14:paraId="53E4B212" w14:textId="761A6A45" w:rsidR="00E77140" w:rsidRPr="00E77140" w:rsidRDefault="00E77140" w:rsidP="00E77140">
            <w:pPr>
              <w:jc w:val="center"/>
              <w:rPr>
                <w:rFonts w:ascii="Cambria" w:hAnsi="Cambria" w:cs="Calibri"/>
                <w:b/>
                <w:bCs/>
                <w:color w:val="000000"/>
                <w:sz w:val="18"/>
                <w:szCs w:val="18"/>
                <w:lang w:val="en-IN" w:eastAsia="en-IN"/>
              </w:rPr>
            </w:pPr>
            <w:r w:rsidRPr="00E77140">
              <w:rPr>
                <w:sz w:val="18"/>
                <w:szCs w:val="18"/>
              </w:rPr>
              <w:t>1.24</w:t>
            </w:r>
          </w:p>
        </w:tc>
        <w:tc>
          <w:tcPr>
            <w:tcW w:w="927" w:type="dxa"/>
            <w:gridSpan w:val="2"/>
            <w:tcBorders>
              <w:top w:val="nil"/>
              <w:left w:val="nil"/>
              <w:bottom w:val="single" w:sz="4" w:space="0" w:color="auto"/>
              <w:right w:val="single" w:sz="4" w:space="0" w:color="auto"/>
            </w:tcBorders>
            <w:vAlign w:val="center"/>
            <w:hideMark/>
          </w:tcPr>
          <w:p w14:paraId="0790388E" w14:textId="3747C2BF" w:rsidR="00E77140" w:rsidRPr="00E77140" w:rsidRDefault="00E77140" w:rsidP="00E77140">
            <w:pPr>
              <w:jc w:val="center"/>
              <w:rPr>
                <w:rFonts w:ascii="Cambria" w:hAnsi="Cambria" w:cs="Calibri"/>
                <w:b/>
                <w:bCs/>
                <w:color w:val="000000"/>
                <w:sz w:val="18"/>
                <w:szCs w:val="18"/>
                <w:lang w:val="en-IN" w:eastAsia="en-IN"/>
              </w:rPr>
            </w:pPr>
            <w:r w:rsidRPr="00E77140">
              <w:rPr>
                <w:sz w:val="18"/>
                <w:szCs w:val="18"/>
              </w:rPr>
              <w:t>6.13</w:t>
            </w:r>
          </w:p>
        </w:tc>
        <w:tc>
          <w:tcPr>
            <w:tcW w:w="864" w:type="dxa"/>
            <w:tcBorders>
              <w:top w:val="nil"/>
              <w:left w:val="nil"/>
              <w:bottom w:val="single" w:sz="4" w:space="0" w:color="auto"/>
              <w:right w:val="single" w:sz="4" w:space="0" w:color="auto"/>
            </w:tcBorders>
            <w:vAlign w:val="center"/>
            <w:hideMark/>
          </w:tcPr>
          <w:p w14:paraId="42D65529" w14:textId="407FCBD0" w:rsidR="00E77140" w:rsidRPr="00E77140" w:rsidRDefault="00E77140" w:rsidP="00E77140">
            <w:pPr>
              <w:jc w:val="center"/>
              <w:rPr>
                <w:rFonts w:ascii="Cambria" w:hAnsi="Cambria" w:cs="Calibri"/>
                <w:b/>
                <w:bCs/>
                <w:color w:val="000000"/>
                <w:sz w:val="18"/>
                <w:szCs w:val="18"/>
                <w:lang w:val="en-IN" w:eastAsia="en-IN"/>
              </w:rPr>
            </w:pPr>
            <w:r w:rsidRPr="00E77140">
              <w:rPr>
                <w:sz w:val="18"/>
                <w:szCs w:val="18"/>
              </w:rPr>
              <w:t>44.15</w:t>
            </w:r>
          </w:p>
        </w:tc>
      </w:tr>
      <w:tr w:rsidR="0075072B" w:rsidRPr="00B95FED" w14:paraId="74C9E99E" w14:textId="77777777" w:rsidTr="00304420">
        <w:trPr>
          <w:trHeight w:val="449"/>
          <w:jc w:val="center"/>
        </w:trPr>
        <w:tc>
          <w:tcPr>
            <w:tcW w:w="1271" w:type="dxa"/>
            <w:vMerge w:val="restart"/>
            <w:tcBorders>
              <w:top w:val="nil"/>
              <w:left w:val="single" w:sz="4" w:space="0" w:color="auto"/>
              <w:bottom w:val="single" w:sz="4" w:space="0" w:color="auto"/>
              <w:right w:val="single" w:sz="4" w:space="0" w:color="auto"/>
            </w:tcBorders>
            <w:vAlign w:val="center"/>
            <w:hideMark/>
          </w:tcPr>
          <w:p w14:paraId="6412295F" w14:textId="77777777" w:rsidR="0075072B" w:rsidRPr="00B95FED" w:rsidRDefault="0075072B" w:rsidP="0075072B">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Loss Reduction</w:t>
            </w:r>
          </w:p>
        </w:tc>
        <w:tc>
          <w:tcPr>
            <w:tcW w:w="1985" w:type="dxa"/>
            <w:tcBorders>
              <w:top w:val="nil"/>
              <w:left w:val="nil"/>
              <w:bottom w:val="single" w:sz="4" w:space="0" w:color="auto"/>
              <w:right w:val="single" w:sz="4" w:space="0" w:color="auto"/>
            </w:tcBorders>
            <w:vAlign w:val="center"/>
            <w:hideMark/>
          </w:tcPr>
          <w:p w14:paraId="27CA2098" w14:textId="77777777" w:rsidR="0075072B" w:rsidRPr="00B95FED" w:rsidRDefault="0075072B" w:rsidP="0075072B">
            <w:pPr>
              <w:rPr>
                <w:rFonts w:ascii="Cambria" w:hAnsi="Cambria" w:cs="Calibri"/>
                <w:color w:val="000000"/>
                <w:sz w:val="18"/>
                <w:szCs w:val="18"/>
                <w:lang w:val="en-IN" w:eastAsia="en-IN"/>
              </w:rPr>
            </w:pPr>
            <w:r w:rsidRPr="00B95FED">
              <w:rPr>
                <w:rFonts w:ascii="Cambria" w:hAnsi="Cambria" w:cs="Calibri"/>
                <w:color w:val="000000"/>
                <w:sz w:val="18"/>
                <w:szCs w:val="18"/>
                <w:lang w:val="en-IN" w:eastAsia="en-IN"/>
              </w:rPr>
              <w:t>Energy Audit &amp; Meter Related</w:t>
            </w:r>
          </w:p>
        </w:tc>
        <w:tc>
          <w:tcPr>
            <w:tcW w:w="1110" w:type="dxa"/>
            <w:tcBorders>
              <w:top w:val="nil"/>
              <w:left w:val="nil"/>
              <w:bottom w:val="single" w:sz="4" w:space="0" w:color="auto"/>
              <w:right w:val="single" w:sz="4" w:space="0" w:color="auto"/>
            </w:tcBorders>
            <w:vAlign w:val="center"/>
            <w:hideMark/>
          </w:tcPr>
          <w:p w14:paraId="10511D18" w14:textId="13480653" w:rsidR="0075072B" w:rsidRPr="0075072B" w:rsidRDefault="0075072B" w:rsidP="0075072B">
            <w:pPr>
              <w:jc w:val="center"/>
              <w:rPr>
                <w:rFonts w:asciiTheme="majorHAnsi" w:hAnsiTheme="majorHAnsi" w:cs="Calibri"/>
                <w:color w:val="000000"/>
                <w:sz w:val="18"/>
                <w:szCs w:val="18"/>
                <w:lang w:val="en-IN" w:eastAsia="en-IN"/>
              </w:rPr>
            </w:pPr>
            <w:r w:rsidRPr="0075072B">
              <w:rPr>
                <w:rFonts w:asciiTheme="majorHAnsi" w:hAnsiTheme="majorHAnsi" w:cs="Calibri"/>
                <w:color w:val="000000"/>
                <w:sz w:val="18"/>
                <w:szCs w:val="18"/>
              </w:rPr>
              <w:t>43.68</w:t>
            </w:r>
          </w:p>
        </w:tc>
        <w:tc>
          <w:tcPr>
            <w:tcW w:w="894" w:type="dxa"/>
            <w:tcBorders>
              <w:top w:val="nil"/>
              <w:left w:val="nil"/>
              <w:bottom w:val="single" w:sz="4" w:space="0" w:color="auto"/>
              <w:right w:val="single" w:sz="4" w:space="0" w:color="auto"/>
            </w:tcBorders>
            <w:vAlign w:val="center"/>
            <w:hideMark/>
          </w:tcPr>
          <w:p w14:paraId="12D5EC33" w14:textId="76F7F03A" w:rsidR="0075072B" w:rsidRPr="0075072B" w:rsidRDefault="0075072B" w:rsidP="0075072B">
            <w:pPr>
              <w:jc w:val="center"/>
              <w:rPr>
                <w:rFonts w:asciiTheme="majorHAnsi" w:hAnsiTheme="majorHAnsi" w:cs="Calibri"/>
                <w:color w:val="000000"/>
                <w:sz w:val="18"/>
                <w:szCs w:val="18"/>
                <w:lang w:val="en-IN" w:eastAsia="en-IN"/>
              </w:rPr>
            </w:pPr>
            <w:r w:rsidRPr="0075072B">
              <w:rPr>
                <w:rFonts w:asciiTheme="majorHAnsi" w:hAnsiTheme="majorHAnsi" w:cs="Calibri"/>
                <w:color w:val="000000"/>
                <w:sz w:val="18"/>
                <w:szCs w:val="18"/>
              </w:rPr>
              <w:t>-1.20</w:t>
            </w:r>
          </w:p>
        </w:tc>
        <w:tc>
          <w:tcPr>
            <w:tcW w:w="1171" w:type="dxa"/>
            <w:tcBorders>
              <w:top w:val="nil"/>
              <w:left w:val="nil"/>
              <w:bottom w:val="single" w:sz="4" w:space="0" w:color="auto"/>
              <w:right w:val="single" w:sz="4" w:space="0" w:color="auto"/>
            </w:tcBorders>
            <w:vAlign w:val="center"/>
            <w:hideMark/>
          </w:tcPr>
          <w:p w14:paraId="33D32922" w14:textId="3011410E" w:rsidR="0075072B" w:rsidRPr="0075072B" w:rsidRDefault="0075072B" w:rsidP="0075072B">
            <w:pPr>
              <w:jc w:val="center"/>
              <w:rPr>
                <w:rFonts w:asciiTheme="majorHAnsi" w:hAnsiTheme="majorHAnsi" w:cs="Calibri"/>
                <w:color w:val="000000"/>
                <w:sz w:val="18"/>
                <w:szCs w:val="18"/>
                <w:lang w:val="en-IN" w:eastAsia="en-IN"/>
              </w:rPr>
            </w:pPr>
            <w:r w:rsidRPr="0075072B">
              <w:rPr>
                <w:rFonts w:asciiTheme="majorHAnsi" w:hAnsiTheme="majorHAnsi" w:cs="Calibri"/>
                <w:color w:val="000000"/>
                <w:sz w:val="18"/>
                <w:szCs w:val="18"/>
              </w:rPr>
              <w:t>42.48</w:t>
            </w:r>
          </w:p>
        </w:tc>
        <w:tc>
          <w:tcPr>
            <w:tcW w:w="992" w:type="dxa"/>
            <w:gridSpan w:val="2"/>
            <w:tcBorders>
              <w:top w:val="nil"/>
              <w:left w:val="nil"/>
              <w:bottom w:val="single" w:sz="4" w:space="0" w:color="auto"/>
              <w:right w:val="single" w:sz="4" w:space="0" w:color="auto"/>
            </w:tcBorders>
            <w:vAlign w:val="center"/>
            <w:hideMark/>
          </w:tcPr>
          <w:p w14:paraId="46DDD791" w14:textId="20AEAD4C" w:rsidR="0075072B" w:rsidRPr="0075072B" w:rsidRDefault="0075072B" w:rsidP="0075072B">
            <w:pPr>
              <w:jc w:val="center"/>
              <w:rPr>
                <w:rFonts w:asciiTheme="majorHAnsi" w:hAnsiTheme="majorHAnsi" w:cs="Calibri"/>
                <w:color w:val="000000"/>
                <w:sz w:val="18"/>
                <w:szCs w:val="18"/>
                <w:lang w:val="en-IN" w:eastAsia="en-IN"/>
              </w:rPr>
            </w:pPr>
            <w:r w:rsidRPr="0075072B">
              <w:rPr>
                <w:rFonts w:asciiTheme="majorHAnsi" w:hAnsiTheme="majorHAnsi" w:cs="Calibri"/>
                <w:color w:val="000000"/>
                <w:sz w:val="18"/>
                <w:szCs w:val="18"/>
              </w:rPr>
              <w:t>39.29</w:t>
            </w:r>
          </w:p>
        </w:tc>
        <w:tc>
          <w:tcPr>
            <w:tcW w:w="987" w:type="dxa"/>
            <w:gridSpan w:val="2"/>
            <w:tcBorders>
              <w:top w:val="nil"/>
              <w:left w:val="nil"/>
              <w:bottom w:val="single" w:sz="4" w:space="0" w:color="auto"/>
              <w:right w:val="single" w:sz="4" w:space="0" w:color="auto"/>
            </w:tcBorders>
            <w:vAlign w:val="center"/>
            <w:hideMark/>
          </w:tcPr>
          <w:p w14:paraId="47A3A3D3" w14:textId="3C663C22" w:rsidR="0075072B" w:rsidRPr="0075072B" w:rsidRDefault="0075072B" w:rsidP="0075072B">
            <w:pPr>
              <w:jc w:val="center"/>
              <w:rPr>
                <w:rFonts w:asciiTheme="majorHAnsi" w:hAnsiTheme="majorHAnsi" w:cs="Calibri"/>
                <w:color w:val="000000"/>
                <w:sz w:val="18"/>
                <w:szCs w:val="18"/>
                <w:lang w:val="en-IN" w:eastAsia="en-IN"/>
              </w:rPr>
            </w:pPr>
            <w:r w:rsidRPr="0075072B">
              <w:rPr>
                <w:rFonts w:asciiTheme="majorHAnsi" w:hAnsiTheme="majorHAnsi" w:cs="Calibri"/>
                <w:color w:val="000000"/>
                <w:sz w:val="18"/>
                <w:szCs w:val="18"/>
              </w:rPr>
              <w:t>3.93</w:t>
            </w:r>
          </w:p>
        </w:tc>
        <w:tc>
          <w:tcPr>
            <w:tcW w:w="927" w:type="dxa"/>
            <w:gridSpan w:val="2"/>
            <w:tcBorders>
              <w:top w:val="nil"/>
              <w:left w:val="nil"/>
              <w:bottom w:val="single" w:sz="4" w:space="0" w:color="auto"/>
              <w:right w:val="single" w:sz="4" w:space="0" w:color="auto"/>
            </w:tcBorders>
            <w:vAlign w:val="center"/>
            <w:hideMark/>
          </w:tcPr>
          <w:p w14:paraId="6BD0C0CC" w14:textId="443319B0" w:rsidR="0075072B" w:rsidRPr="0075072B" w:rsidRDefault="0075072B" w:rsidP="0075072B">
            <w:pPr>
              <w:jc w:val="center"/>
              <w:rPr>
                <w:rFonts w:asciiTheme="majorHAnsi" w:hAnsiTheme="majorHAnsi" w:cs="Calibri"/>
                <w:color w:val="000000"/>
                <w:sz w:val="18"/>
                <w:szCs w:val="18"/>
                <w:lang w:val="en-IN" w:eastAsia="en-IN"/>
              </w:rPr>
            </w:pPr>
            <w:r w:rsidRPr="0075072B">
              <w:rPr>
                <w:rFonts w:asciiTheme="majorHAnsi" w:hAnsiTheme="majorHAnsi" w:cs="Calibri"/>
                <w:color w:val="000000"/>
                <w:sz w:val="18"/>
                <w:szCs w:val="18"/>
              </w:rPr>
              <w:t>3.19</w:t>
            </w:r>
          </w:p>
        </w:tc>
        <w:tc>
          <w:tcPr>
            <w:tcW w:w="864" w:type="dxa"/>
            <w:tcBorders>
              <w:top w:val="nil"/>
              <w:left w:val="nil"/>
              <w:bottom w:val="single" w:sz="4" w:space="0" w:color="auto"/>
              <w:right w:val="single" w:sz="4" w:space="0" w:color="auto"/>
            </w:tcBorders>
            <w:vAlign w:val="center"/>
            <w:hideMark/>
          </w:tcPr>
          <w:p w14:paraId="42814892" w14:textId="3A2E7A8A" w:rsidR="0075072B" w:rsidRPr="0075072B" w:rsidRDefault="0075072B" w:rsidP="0075072B">
            <w:pPr>
              <w:jc w:val="center"/>
              <w:rPr>
                <w:rFonts w:asciiTheme="majorHAnsi" w:hAnsiTheme="majorHAnsi" w:cs="Calibri"/>
                <w:color w:val="000000"/>
                <w:sz w:val="18"/>
                <w:szCs w:val="18"/>
                <w:lang w:val="en-IN" w:eastAsia="en-IN"/>
              </w:rPr>
            </w:pPr>
            <w:r w:rsidRPr="0075072B">
              <w:rPr>
                <w:rFonts w:asciiTheme="majorHAnsi" w:hAnsiTheme="majorHAnsi" w:cs="Calibri"/>
                <w:color w:val="000000"/>
                <w:sz w:val="18"/>
                <w:szCs w:val="18"/>
              </w:rPr>
              <w:t>35.36</w:t>
            </w:r>
          </w:p>
        </w:tc>
      </w:tr>
      <w:tr w:rsidR="0075072B" w:rsidRPr="00B95FED" w14:paraId="7C8473A2" w14:textId="77777777" w:rsidTr="00304420">
        <w:trPr>
          <w:trHeight w:val="449"/>
          <w:jc w:val="center"/>
        </w:trPr>
        <w:tc>
          <w:tcPr>
            <w:tcW w:w="1271" w:type="dxa"/>
            <w:vMerge/>
            <w:tcBorders>
              <w:top w:val="nil"/>
              <w:left w:val="single" w:sz="4" w:space="0" w:color="auto"/>
              <w:bottom w:val="single" w:sz="4" w:space="0" w:color="auto"/>
              <w:right w:val="single" w:sz="4" w:space="0" w:color="auto"/>
            </w:tcBorders>
            <w:vAlign w:val="center"/>
            <w:hideMark/>
          </w:tcPr>
          <w:p w14:paraId="011457C6" w14:textId="77777777" w:rsidR="0075072B" w:rsidRPr="00B95FED" w:rsidRDefault="0075072B" w:rsidP="0075072B">
            <w:pPr>
              <w:rPr>
                <w:rFonts w:ascii="Cambria" w:hAnsi="Cambria" w:cs="Calibri"/>
                <w:b/>
                <w:bCs/>
                <w:color w:val="000000"/>
                <w:sz w:val="18"/>
                <w:szCs w:val="18"/>
                <w:lang w:val="en-IN" w:eastAsia="en-IN"/>
              </w:rPr>
            </w:pPr>
          </w:p>
        </w:tc>
        <w:tc>
          <w:tcPr>
            <w:tcW w:w="1985" w:type="dxa"/>
            <w:tcBorders>
              <w:top w:val="nil"/>
              <w:left w:val="nil"/>
              <w:bottom w:val="single" w:sz="4" w:space="0" w:color="auto"/>
              <w:right w:val="single" w:sz="4" w:space="0" w:color="auto"/>
            </w:tcBorders>
            <w:vAlign w:val="center"/>
            <w:hideMark/>
          </w:tcPr>
          <w:p w14:paraId="047806B3" w14:textId="77777777" w:rsidR="0075072B" w:rsidRPr="00B95FED" w:rsidRDefault="0075072B" w:rsidP="0075072B">
            <w:pPr>
              <w:rPr>
                <w:rFonts w:ascii="Cambria" w:hAnsi="Cambria" w:cs="Calibri"/>
                <w:color w:val="000000"/>
                <w:sz w:val="18"/>
                <w:szCs w:val="18"/>
                <w:lang w:val="en-IN" w:eastAsia="en-IN"/>
              </w:rPr>
            </w:pPr>
            <w:r w:rsidRPr="00B95FED">
              <w:rPr>
                <w:rFonts w:ascii="Cambria" w:hAnsi="Cambria" w:cs="Calibri"/>
                <w:color w:val="000000"/>
                <w:sz w:val="18"/>
                <w:szCs w:val="18"/>
                <w:lang w:val="en-IN" w:eastAsia="en-IN"/>
              </w:rPr>
              <w:t>Replace-LT Bare conductor/ AB cable</w:t>
            </w:r>
          </w:p>
        </w:tc>
        <w:tc>
          <w:tcPr>
            <w:tcW w:w="1110" w:type="dxa"/>
            <w:tcBorders>
              <w:top w:val="nil"/>
              <w:left w:val="nil"/>
              <w:bottom w:val="single" w:sz="4" w:space="0" w:color="auto"/>
              <w:right w:val="single" w:sz="4" w:space="0" w:color="auto"/>
            </w:tcBorders>
            <w:vAlign w:val="center"/>
            <w:hideMark/>
          </w:tcPr>
          <w:p w14:paraId="0BA5A440" w14:textId="74533EA0" w:rsidR="0075072B" w:rsidRPr="0075072B" w:rsidRDefault="0075072B" w:rsidP="0075072B">
            <w:pPr>
              <w:jc w:val="center"/>
              <w:rPr>
                <w:rFonts w:asciiTheme="majorHAnsi" w:hAnsiTheme="majorHAnsi" w:cs="Calibri"/>
                <w:color w:val="000000"/>
                <w:sz w:val="18"/>
                <w:szCs w:val="18"/>
                <w:lang w:val="en-IN" w:eastAsia="en-IN"/>
              </w:rPr>
            </w:pPr>
            <w:r w:rsidRPr="0075072B">
              <w:rPr>
                <w:rFonts w:asciiTheme="majorHAnsi" w:hAnsiTheme="majorHAnsi" w:cs="Calibri"/>
                <w:color w:val="000000"/>
                <w:sz w:val="18"/>
                <w:szCs w:val="18"/>
              </w:rPr>
              <w:t>10.93</w:t>
            </w:r>
          </w:p>
        </w:tc>
        <w:tc>
          <w:tcPr>
            <w:tcW w:w="894" w:type="dxa"/>
            <w:tcBorders>
              <w:top w:val="nil"/>
              <w:left w:val="nil"/>
              <w:bottom w:val="single" w:sz="4" w:space="0" w:color="auto"/>
              <w:right w:val="single" w:sz="4" w:space="0" w:color="auto"/>
            </w:tcBorders>
            <w:vAlign w:val="center"/>
            <w:hideMark/>
          </w:tcPr>
          <w:p w14:paraId="6C9AD218" w14:textId="0207D9C8" w:rsidR="0075072B" w:rsidRPr="0075072B" w:rsidRDefault="0075072B" w:rsidP="0075072B">
            <w:pPr>
              <w:jc w:val="center"/>
              <w:rPr>
                <w:rFonts w:asciiTheme="majorHAnsi" w:hAnsiTheme="majorHAnsi" w:cs="Calibri"/>
                <w:color w:val="000000"/>
                <w:sz w:val="18"/>
                <w:szCs w:val="18"/>
                <w:lang w:val="en-IN" w:eastAsia="en-IN"/>
              </w:rPr>
            </w:pPr>
            <w:r w:rsidRPr="0075072B">
              <w:rPr>
                <w:rFonts w:asciiTheme="majorHAnsi" w:hAnsiTheme="majorHAnsi" w:cs="Calibri"/>
                <w:color w:val="000000"/>
                <w:sz w:val="18"/>
                <w:szCs w:val="18"/>
              </w:rPr>
              <w:t>1.20</w:t>
            </w:r>
          </w:p>
        </w:tc>
        <w:tc>
          <w:tcPr>
            <w:tcW w:w="1171" w:type="dxa"/>
            <w:tcBorders>
              <w:top w:val="nil"/>
              <w:left w:val="nil"/>
              <w:bottom w:val="single" w:sz="4" w:space="0" w:color="auto"/>
              <w:right w:val="single" w:sz="4" w:space="0" w:color="auto"/>
            </w:tcBorders>
            <w:vAlign w:val="center"/>
            <w:hideMark/>
          </w:tcPr>
          <w:p w14:paraId="0A7ACF0D" w14:textId="1A44DDD9" w:rsidR="0075072B" w:rsidRPr="0075072B" w:rsidRDefault="0075072B" w:rsidP="0075072B">
            <w:pPr>
              <w:jc w:val="center"/>
              <w:rPr>
                <w:rFonts w:asciiTheme="majorHAnsi" w:hAnsiTheme="majorHAnsi" w:cs="Calibri"/>
                <w:color w:val="000000"/>
                <w:sz w:val="18"/>
                <w:szCs w:val="18"/>
                <w:lang w:val="en-IN" w:eastAsia="en-IN"/>
              </w:rPr>
            </w:pPr>
            <w:r w:rsidRPr="0075072B">
              <w:rPr>
                <w:rFonts w:asciiTheme="majorHAnsi" w:hAnsiTheme="majorHAnsi" w:cs="Calibri"/>
                <w:color w:val="000000"/>
                <w:sz w:val="18"/>
                <w:szCs w:val="18"/>
              </w:rPr>
              <w:t>12.13</w:t>
            </w:r>
          </w:p>
        </w:tc>
        <w:tc>
          <w:tcPr>
            <w:tcW w:w="992" w:type="dxa"/>
            <w:gridSpan w:val="2"/>
            <w:tcBorders>
              <w:top w:val="nil"/>
              <w:left w:val="nil"/>
              <w:bottom w:val="single" w:sz="4" w:space="0" w:color="auto"/>
              <w:right w:val="single" w:sz="4" w:space="0" w:color="auto"/>
            </w:tcBorders>
            <w:vAlign w:val="center"/>
            <w:hideMark/>
          </w:tcPr>
          <w:p w14:paraId="2465D3CE" w14:textId="0AD6D9F9" w:rsidR="0075072B" w:rsidRPr="0075072B" w:rsidRDefault="0075072B" w:rsidP="0075072B">
            <w:pPr>
              <w:jc w:val="center"/>
              <w:rPr>
                <w:rFonts w:asciiTheme="majorHAnsi" w:hAnsiTheme="majorHAnsi" w:cs="Calibri"/>
                <w:color w:val="000000"/>
                <w:sz w:val="18"/>
                <w:szCs w:val="18"/>
                <w:lang w:val="en-IN" w:eastAsia="en-IN"/>
              </w:rPr>
            </w:pPr>
            <w:r w:rsidRPr="0075072B">
              <w:rPr>
                <w:rFonts w:asciiTheme="majorHAnsi" w:hAnsiTheme="majorHAnsi" w:cs="Calibri"/>
                <w:color w:val="000000"/>
                <w:sz w:val="18"/>
                <w:szCs w:val="18"/>
              </w:rPr>
              <w:t>9.58</w:t>
            </w:r>
          </w:p>
        </w:tc>
        <w:tc>
          <w:tcPr>
            <w:tcW w:w="987" w:type="dxa"/>
            <w:gridSpan w:val="2"/>
            <w:tcBorders>
              <w:top w:val="nil"/>
              <w:left w:val="nil"/>
              <w:bottom w:val="single" w:sz="4" w:space="0" w:color="auto"/>
              <w:right w:val="single" w:sz="4" w:space="0" w:color="auto"/>
            </w:tcBorders>
            <w:vAlign w:val="center"/>
            <w:hideMark/>
          </w:tcPr>
          <w:p w14:paraId="717B5482" w14:textId="73061FB9" w:rsidR="0075072B" w:rsidRPr="0075072B" w:rsidRDefault="0075072B" w:rsidP="0075072B">
            <w:pPr>
              <w:jc w:val="center"/>
              <w:rPr>
                <w:rFonts w:asciiTheme="majorHAnsi" w:hAnsiTheme="majorHAnsi" w:cs="Calibri"/>
                <w:color w:val="000000"/>
                <w:sz w:val="18"/>
                <w:szCs w:val="18"/>
                <w:lang w:val="en-IN" w:eastAsia="en-IN"/>
              </w:rPr>
            </w:pPr>
            <w:r w:rsidRPr="0075072B">
              <w:rPr>
                <w:rFonts w:asciiTheme="majorHAnsi" w:hAnsiTheme="majorHAnsi" w:cs="Calibri"/>
                <w:color w:val="000000"/>
                <w:sz w:val="18"/>
                <w:szCs w:val="18"/>
              </w:rPr>
              <w:t>0.53</w:t>
            </w:r>
          </w:p>
        </w:tc>
        <w:tc>
          <w:tcPr>
            <w:tcW w:w="927" w:type="dxa"/>
            <w:gridSpan w:val="2"/>
            <w:tcBorders>
              <w:top w:val="nil"/>
              <w:left w:val="nil"/>
              <w:bottom w:val="single" w:sz="4" w:space="0" w:color="auto"/>
              <w:right w:val="single" w:sz="4" w:space="0" w:color="auto"/>
            </w:tcBorders>
            <w:vAlign w:val="center"/>
            <w:hideMark/>
          </w:tcPr>
          <w:p w14:paraId="2365F4CB" w14:textId="78A4EA2F" w:rsidR="0075072B" w:rsidRPr="0075072B" w:rsidRDefault="0075072B" w:rsidP="0075072B">
            <w:pPr>
              <w:jc w:val="center"/>
              <w:rPr>
                <w:rFonts w:asciiTheme="majorHAnsi" w:hAnsiTheme="majorHAnsi" w:cs="Calibri"/>
                <w:color w:val="000000"/>
                <w:sz w:val="18"/>
                <w:szCs w:val="18"/>
                <w:lang w:val="en-IN" w:eastAsia="en-IN"/>
              </w:rPr>
            </w:pPr>
            <w:r w:rsidRPr="0075072B">
              <w:rPr>
                <w:rFonts w:asciiTheme="majorHAnsi" w:hAnsiTheme="majorHAnsi" w:cs="Calibri"/>
                <w:color w:val="000000"/>
                <w:sz w:val="18"/>
                <w:szCs w:val="18"/>
              </w:rPr>
              <w:t>2.55</w:t>
            </w:r>
          </w:p>
        </w:tc>
        <w:tc>
          <w:tcPr>
            <w:tcW w:w="864" w:type="dxa"/>
            <w:tcBorders>
              <w:top w:val="nil"/>
              <w:left w:val="nil"/>
              <w:bottom w:val="single" w:sz="4" w:space="0" w:color="auto"/>
              <w:right w:val="single" w:sz="4" w:space="0" w:color="auto"/>
            </w:tcBorders>
            <w:vAlign w:val="center"/>
            <w:hideMark/>
          </w:tcPr>
          <w:p w14:paraId="196CC313" w14:textId="798D21FD" w:rsidR="0075072B" w:rsidRPr="0075072B" w:rsidRDefault="0075072B" w:rsidP="0075072B">
            <w:pPr>
              <w:jc w:val="center"/>
              <w:rPr>
                <w:rFonts w:asciiTheme="majorHAnsi" w:hAnsiTheme="majorHAnsi" w:cs="Calibri"/>
                <w:color w:val="000000"/>
                <w:sz w:val="18"/>
                <w:szCs w:val="18"/>
                <w:lang w:val="en-IN" w:eastAsia="en-IN"/>
              </w:rPr>
            </w:pPr>
            <w:r w:rsidRPr="0075072B">
              <w:rPr>
                <w:rFonts w:asciiTheme="majorHAnsi" w:hAnsiTheme="majorHAnsi" w:cs="Calibri"/>
                <w:color w:val="000000"/>
                <w:sz w:val="18"/>
                <w:szCs w:val="18"/>
              </w:rPr>
              <w:t>9.05</w:t>
            </w:r>
          </w:p>
        </w:tc>
      </w:tr>
      <w:tr w:rsidR="0075072B" w:rsidRPr="00B95FED" w14:paraId="5CBC990E" w14:textId="77777777" w:rsidTr="00304420">
        <w:trPr>
          <w:trHeight w:val="224"/>
          <w:jc w:val="center"/>
        </w:trPr>
        <w:tc>
          <w:tcPr>
            <w:tcW w:w="1271" w:type="dxa"/>
            <w:vMerge/>
            <w:tcBorders>
              <w:top w:val="nil"/>
              <w:left w:val="single" w:sz="4" w:space="0" w:color="auto"/>
              <w:bottom w:val="single" w:sz="4" w:space="0" w:color="auto"/>
              <w:right w:val="single" w:sz="4" w:space="0" w:color="auto"/>
            </w:tcBorders>
            <w:vAlign w:val="center"/>
            <w:hideMark/>
          </w:tcPr>
          <w:p w14:paraId="005515DA" w14:textId="77777777" w:rsidR="0075072B" w:rsidRPr="00B95FED" w:rsidRDefault="0075072B" w:rsidP="0075072B">
            <w:pPr>
              <w:rPr>
                <w:rFonts w:ascii="Cambria" w:hAnsi="Cambria" w:cs="Calibri"/>
                <w:b/>
                <w:bCs/>
                <w:color w:val="000000"/>
                <w:sz w:val="18"/>
                <w:szCs w:val="18"/>
                <w:lang w:val="en-IN" w:eastAsia="en-IN"/>
              </w:rPr>
            </w:pPr>
          </w:p>
        </w:tc>
        <w:tc>
          <w:tcPr>
            <w:tcW w:w="1985" w:type="dxa"/>
            <w:tcBorders>
              <w:top w:val="nil"/>
              <w:left w:val="nil"/>
              <w:bottom w:val="single" w:sz="4" w:space="0" w:color="auto"/>
              <w:right w:val="single" w:sz="4" w:space="0" w:color="auto"/>
            </w:tcBorders>
            <w:vAlign w:val="center"/>
            <w:hideMark/>
          </w:tcPr>
          <w:p w14:paraId="5B33F362" w14:textId="77777777" w:rsidR="0075072B" w:rsidRPr="00B95FED" w:rsidRDefault="0075072B" w:rsidP="0075072B">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TOTAL</w:t>
            </w:r>
          </w:p>
        </w:tc>
        <w:tc>
          <w:tcPr>
            <w:tcW w:w="1110" w:type="dxa"/>
            <w:tcBorders>
              <w:top w:val="nil"/>
              <w:left w:val="nil"/>
              <w:bottom w:val="single" w:sz="4" w:space="0" w:color="auto"/>
              <w:right w:val="single" w:sz="4" w:space="0" w:color="auto"/>
            </w:tcBorders>
            <w:vAlign w:val="center"/>
            <w:hideMark/>
          </w:tcPr>
          <w:p w14:paraId="730CD05D" w14:textId="4CABA785" w:rsidR="0075072B" w:rsidRPr="0075072B" w:rsidRDefault="0075072B" w:rsidP="0075072B">
            <w:pPr>
              <w:jc w:val="center"/>
              <w:rPr>
                <w:rFonts w:asciiTheme="majorHAnsi" w:hAnsiTheme="majorHAnsi" w:cs="Calibri"/>
                <w:b/>
                <w:bCs/>
                <w:color w:val="000000"/>
                <w:sz w:val="18"/>
                <w:szCs w:val="18"/>
                <w:lang w:val="en-IN" w:eastAsia="en-IN"/>
              </w:rPr>
            </w:pPr>
            <w:r w:rsidRPr="0075072B">
              <w:rPr>
                <w:rFonts w:asciiTheme="majorHAnsi" w:hAnsiTheme="majorHAnsi" w:cs="Calibri"/>
                <w:b/>
                <w:bCs/>
                <w:color w:val="000000"/>
                <w:sz w:val="18"/>
                <w:szCs w:val="18"/>
              </w:rPr>
              <w:t>54.61</w:t>
            </w:r>
          </w:p>
        </w:tc>
        <w:tc>
          <w:tcPr>
            <w:tcW w:w="894" w:type="dxa"/>
            <w:tcBorders>
              <w:top w:val="nil"/>
              <w:left w:val="nil"/>
              <w:bottom w:val="single" w:sz="4" w:space="0" w:color="auto"/>
              <w:right w:val="single" w:sz="4" w:space="0" w:color="auto"/>
            </w:tcBorders>
            <w:vAlign w:val="center"/>
            <w:hideMark/>
          </w:tcPr>
          <w:p w14:paraId="4DA27F3D" w14:textId="58EAC0A5" w:rsidR="0075072B" w:rsidRPr="0075072B" w:rsidRDefault="0075072B" w:rsidP="0075072B">
            <w:pPr>
              <w:jc w:val="center"/>
              <w:rPr>
                <w:rFonts w:asciiTheme="majorHAnsi" w:hAnsiTheme="majorHAnsi" w:cs="Calibri"/>
                <w:b/>
                <w:bCs/>
                <w:color w:val="000000"/>
                <w:sz w:val="18"/>
                <w:szCs w:val="18"/>
                <w:lang w:val="en-IN" w:eastAsia="en-IN"/>
              </w:rPr>
            </w:pPr>
            <w:r w:rsidRPr="0075072B">
              <w:rPr>
                <w:rFonts w:asciiTheme="majorHAnsi" w:hAnsiTheme="majorHAnsi" w:cs="Calibri"/>
                <w:b/>
                <w:bCs/>
                <w:color w:val="000000"/>
                <w:sz w:val="18"/>
                <w:szCs w:val="18"/>
              </w:rPr>
              <w:t>0.00</w:t>
            </w:r>
          </w:p>
        </w:tc>
        <w:tc>
          <w:tcPr>
            <w:tcW w:w="1171" w:type="dxa"/>
            <w:tcBorders>
              <w:top w:val="nil"/>
              <w:left w:val="nil"/>
              <w:bottom w:val="single" w:sz="4" w:space="0" w:color="auto"/>
              <w:right w:val="single" w:sz="4" w:space="0" w:color="auto"/>
            </w:tcBorders>
            <w:vAlign w:val="center"/>
            <w:hideMark/>
          </w:tcPr>
          <w:p w14:paraId="6DF81FF3" w14:textId="6ABCBC73" w:rsidR="0075072B" w:rsidRPr="0075072B" w:rsidRDefault="0075072B" w:rsidP="0075072B">
            <w:pPr>
              <w:jc w:val="center"/>
              <w:rPr>
                <w:rFonts w:asciiTheme="majorHAnsi" w:hAnsiTheme="majorHAnsi" w:cs="Calibri"/>
                <w:b/>
                <w:bCs/>
                <w:color w:val="000000"/>
                <w:sz w:val="18"/>
                <w:szCs w:val="18"/>
                <w:lang w:val="en-IN" w:eastAsia="en-IN"/>
              </w:rPr>
            </w:pPr>
            <w:r w:rsidRPr="0075072B">
              <w:rPr>
                <w:rFonts w:asciiTheme="majorHAnsi" w:hAnsiTheme="majorHAnsi" w:cs="Calibri"/>
                <w:b/>
                <w:bCs/>
                <w:color w:val="000000"/>
                <w:sz w:val="18"/>
                <w:szCs w:val="18"/>
              </w:rPr>
              <w:t>54.61</w:t>
            </w:r>
          </w:p>
        </w:tc>
        <w:tc>
          <w:tcPr>
            <w:tcW w:w="992" w:type="dxa"/>
            <w:gridSpan w:val="2"/>
            <w:tcBorders>
              <w:top w:val="nil"/>
              <w:left w:val="nil"/>
              <w:bottom w:val="single" w:sz="4" w:space="0" w:color="auto"/>
              <w:right w:val="single" w:sz="4" w:space="0" w:color="auto"/>
            </w:tcBorders>
            <w:vAlign w:val="center"/>
            <w:hideMark/>
          </w:tcPr>
          <w:p w14:paraId="62EE907B" w14:textId="56792D11" w:rsidR="0075072B" w:rsidRPr="0075072B" w:rsidRDefault="0075072B" w:rsidP="0075072B">
            <w:pPr>
              <w:jc w:val="center"/>
              <w:rPr>
                <w:rFonts w:asciiTheme="majorHAnsi" w:hAnsiTheme="majorHAnsi" w:cs="Calibri"/>
                <w:b/>
                <w:bCs/>
                <w:color w:val="000000"/>
                <w:sz w:val="18"/>
                <w:szCs w:val="18"/>
                <w:lang w:val="en-IN" w:eastAsia="en-IN"/>
              </w:rPr>
            </w:pPr>
            <w:r w:rsidRPr="0075072B">
              <w:rPr>
                <w:rFonts w:asciiTheme="majorHAnsi" w:hAnsiTheme="majorHAnsi" w:cs="Calibri"/>
                <w:b/>
                <w:bCs/>
                <w:color w:val="000000"/>
                <w:sz w:val="18"/>
                <w:szCs w:val="18"/>
              </w:rPr>
              <w:t>48.87</w:t>
            </w:r>
          </w:p>
        </w:tc>
        <w:tc>
          <w:tcPr>
            <w:tcW w:w="987" w:type="dxa"/>
            <w:gridSpan w:val="2"/>
            <w:tcBorders>
              <w:top w:val="nil"/>
              <w:left w:val="nil"/>
              <w:bottom w:val="single" w:sz="4" w:space="0" w:color="auto"/>
              <w:right w:val="single" w:sz="4" w:space="0" w:color="auto"/>
            </w:tcBorders>
            <w:vAlign w:val="center"/>
            <w:hideMark/>
          </w:tcPr>
          <w:p w14:paraId="7529AB67" w14:textId="2A2EEB35" w:rsidR="0075072B" w:rsidRPr="0075072B" w:rsidRDefault="0075072B" w:rsidP="0075072B">
            <w:pPr>
              <w:jc w:val="center"/>
              <w:rPr>
                <w:rFonts w:asciiTheme="majorHAnsi" w:hAnsiTheme="majorHAnsi" w:cs="Calibri"/>
                <w:b/>
                <w:bCs/>
                <w:color w:val="000000"/>
                <w:sz w:val="18"/>
                <w:szCs w:val="18"/>
                <w:lang w:val="en-IN" w:eastAsia="en-IN"/>
              </w:rPr>
            </w:pPr>
            <w:r w:rsidRPr="0075072B">
              <w:rPr>
                <w:rFonts w:asciiTheme="majorHAnsi" w:hAnsiTheme="majorHAnsi" w:cs="Calibri"/>
                <w:b/>
                <w:bCs/>
                <w:color w:val="000000"/>
                <w:sz w:val="18"/>
                <w:szCs w:val="18"/>
              </w:rPr>
              <w:t>4.46</w:t>
            </w:r>
          </w:p>
        </w:tc>
        <w:tc>
          <w:tcPr>
            <w:tcW w:w="927" w:type="dxa"/>
            <w:gridSpan w:val="2"/>
            <w:tcBorders>
              <w:top w:val="nil"/>
              <w:left w:val="nil"/>
              <w:bottom w:val="single" w:sz="4" w:space="0" w:color="auto"/>
              <w:right w:val="single" w:sz="4" w:space="0" w:color="auto"/>
            </w:tcBorders>
            <w:vAlign w:val="center"/>
            <w:hideMark/>
          </w:tcPr>
          <w:p w14:paraId="5AA17DC3" w14:textId="1EFEC46E" w:rsidR="0075072B" w:rsidRPr="0075072B" w:rsidRDefault="0075072B" w:rsidP="0075072B">
            <w:pPr>
              <w:jc w:val="center"/>
              <w:rPr>
                <w:rFonts w:asciiTheme="majorHAnsi" w:hAnsiTheme="majorHAnsi" w:cs="Calibri"/>
                <w:b/>
                <w:bCs/>
                <w:color w:val="000000"/>
                <w:sz w:val="18"/>
                <w:szCs w:val="18"/>
                <w:lang w:val="en-IN" w:eastAsia="en-IN"/>
              </w:rPr>
            </w:pPr>
            <w:r w:rsidRPr="0075072B">
              <w:rPr>
                <w:rFonts w:asciiTheme="majorHAnsi" w:hAnsiTheme="majorHAnsi" w:cs="Calibri"/>
                <w:b/>
                <w:bCs/>
                <w:color w:val="000000"/>
                <w:sz w:val="18"/>
                <w:szCs w:val="18"/>
              </w:rPr>
              <w:t>5.74</w:t>
            </w:r>
          </w:p>
        </w:tc>
        <w:tc>
          <w:tcPr>
            <w:tcW w:w="864" w:type="dxa"/>
            <w:tcBorders>
              <w:top w:val="nil"/>
              <w:left w:val="nil"/>
              <w:bottom w:val="single" w:sz="4" w:space="0" w:color="auto"/>
              <w:right w:val="single" w:sz="4" w:space="0" w:color="auto"/>
            </w:tcBorders>
            <w:vAlign w:val="center"/>
            <w:hideMark/>
          </w:tcPr>
          <w:p w14:paraId="006278B0" w14:textId="75F148E1" w:rsidR="0075072B" w:rsidRPr="0075072B" w:rsidRDefault="0075072B" w:rsidP="0075072B">
            <w:pPr>
              <w:jc w:val="center"/>
              <w:rPr>
                <w:rFonts w:asciiTheme="majorHAnsi" w:hAnsiTheme="majorHAnsi" w:cs="Calibri"/>
                <w:b/>
                <w:bCs/>
                <w:color w:val="000000"/>
                <w:sz w:val="18"/>
                <w:szCs w:val="18"/>
                <w:lang w:val="en-IN" w:eastAsia="en-IN"/>
              </w:rPr>
            </w:pPr>
            <w:r w:rsidRPr="0075072B">
              <w:rPr>
                <w:rFonts w:asciiTheme="majorHAnsi" w:hAnsiTheme="majorHAnsi" w:cs="Calibri"/>
                <w:b/>
                <w:bCs/>
                <w:color w:val="000000"/>
                <w:sz w:val="18"/>
                <w:szCs w:val="18"/>
              </w:rPr>
              <w:t>44.41</w:t>
            </w:r>
          </w:p>
        </w:tc>
      </w:tr>
      <w:tr w:rsidR="002F6F2B" w:rsidRPr="00B95FED" w14:paraId="4B3361FE" w14:textId="77777777" w:rsidTr="00304420">
        <w:trPr>
          <w:trHeight w:val="449"/>
          <w:jc w:val="center"/>
        </w:trPr>
        <w:tc>
          <w:tcPr>
            <w:tcW w:w="1271" w:type="dxa"/>
            <w:vMerge w:val="restart"/>
            <w:tcBorders>
              <w:top w:val="nil"/>
              <w:left w:val="single" w:sz="4" w:space="0" w:color="auto"/>
              <w:bottom w:val="single" w:sz="4" w:space="0" w:color="auto"/>
              <w:right w:val="single" w:sz="4" w:space="0" w:color="auto"/>
            </w:tcBorders>
            <w:vAlign w:val="center"/>
            <w:hideMark/>
          </w:tcPr>
          <w:p w14:paraId="4A4892DE" w14:textId="77777777" w:rsidR="002F6F2B" w:rsidRPr="00B95FED" w:rsidRDefault="002F6F2B" w:rsidP="002F6F2B">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Network Reliability</w:t>
            </w:r>
          </w:p>
        </w:tc>
        <w:tc>
          <w:tcPr>
            <w:tcW w:w="1985" w:type="dxa"/>
            <w:tcBorders>
              <w:top w:val="nil"/>
              <w:left w:val="nil"/>
              <w:bottom w:val="single" w:sz="4" w:space="0" w:color="auto"/>
              <w:right w:val="single" w:sz="4" w:space="0" w:color="auto"/>
            </w:tcBorders>
            <w:vAlign w:val="center"/>
            <w:hideMark/>
          </w:tcPr>
          <w:p w14:paraId="5D371C46" w14:textId="77777777" w:rsidR="002F6F2B" w:rsidRPr="00B95FED" w:rsidRDefault="002F6F2B" w:rsidP="002F6F2B">
            <w:pPr>
              <w:rPr>
                <w:rFonts w:ascii="Cambria" w:hAnsi="Cambria" w:cs="Calibri"/>
                <w:color w:val="000000"/>
                <w:sz w:val="18"/>
                <w:szCs w:val="18"/>
                <w:lang w:val="en-IN" w:eastAsia="en-IN"/>
              </w:rPr>
            </w:pPr>
            <w:r w:rsidRPr="00B95FED">
              <w:rPr>
                <w:rFonts w:ascii="Cambria" w:hAnsi="Cambria" w:cs="Calibri"/>
                <w:color w:val="000000"/>
                <w:sz w:val="18"/>
                <w:szCs w:val="18"/>
                <w:lang w:val="en-IN" w:eastAsia="en-IN"/>
              </w:rPr>
              <w:t>Network Comp-33/11Kv -</w:t>
            </w:r>
            <w:proofErr w:type="spellStart"/>
            <w:r w:rsidRPr="00B95FED">
              <w:rPr>
                <w:rFonts w:ascii="Cambria" w:hAnsi="Cambria" w:cs="Calibri"/>
                <w:color w:val="000000"/>
                <w:sz w:val="18"/>
                <w:szCs w:val="18"/>
                <w:lang w:val="en-IN" w:eastAsia="en-IN"/>
              </w:rPr>
              <w:t>Dist</w:t>
            </w:r>
            <w:proofErr w:type="spellEnd"/>
            <w:r w:rsidRPr="00B95FED">
              <w:rPr>
                <w:rFonts w:ascii="Cambria" w:hAnsi="Cambria" w:cs="Calibri"/>
                <w:color w:val="000000"/>
                <w:sz w:val="18"/>
                <w:szCs w:val="18"/>
                <w:lang w:val="en-IN" w:eastAsia="en-IN"/>
              </w:rPr>
              <w:t>- Substation*</w:t>
            </w:r>
          </w:p>
        </w:tc>
        <w:tc>
          <w:tcPr>
            <w:tcW w:w="1110" w:type="dxa"/>
            <w:tcBorders>
              <w:top w:val="nil"/>
              <w:left w:val="nil"/>
              <w:bottom w:val="single" w:sz="4" w:space="0" w:color="auto"/>
              <w:right w:val="single" w:sz="4" w:space="0" w:color="auto"/>
            </w:tcBorders>
            <w:vAlign w:val="center"/>
            <w:hideMark/>
          </w:tcPr>
          <w:p w14:paraId="26448A2A" w14:textId="7B202483" w:rsidR="002F6F2B" w:rsidRPr="002F6F2B" w:rsidRDefault="002F6F2B" w:rsidP="002F6F2B">
            <w:pPr>
              <w:jc w:val="center"/>
              <w:rPr>
                <w:rFonts w:asciiTheme="majorHAnsi" w:hAnsiTheme="majorHAnsi" w:cs="Calibri"/>
                <w:color w:val="000000"/>
                <w:sz w:val="18"/>
                <w:szCs w:val="18"/>
                <w:lang w:val="en-IN" w:eastAsia="en-IN"/>
              </w:rPr>
            </w:pPr>
            <w:r w:rsidRPr="002F6F2B">
              <w:rPr>
                <w:rFonts w:asciiTheme="majorHAnsi" w:hAnsiTheme="majorHAnsi" w:cs="Calibri"/>
                <w:color w:val="000000"/>
                <w:sz w:val="18"/>
                <w:szCs w:val="18"/>
              </w:rPr>
              <w:t>12.97</w:t>
            </w:r>
          </w:p>
        </w:tc>
        <w:tc>
          <w:tcPr>
            <w:tcW w:w="894" w:type="dxa"/>
            <w:tcBorders>
              <w:top w:val="nil"/>
              <w:left w:val="nil"/>
              <w:bottom w:val="single" w:sz="4" w:space="0" w:color="auto"/>
              <w:right w:val="single" w:sz="4" w:space="0" w:color="auto"/>
            </w:tcBorders>
            <w:vAlign w:val="center"/>
            <w:hideMark/>
          </w:tcPr>
          <w:p w14:paraId="2E7533D7" w14:textId="0D4C6612" w:rsidR="002F6F2B" w:rsidRPr="002F6F2B" w:rsidRDefault="002F6F2B" w:rsidP="002F6F2B">
            <w:pPr>
              <w:jc w:val="center"/>
              <w:rPr>
                <w:rFonts w:asciiTheme="majorHAnsi" w:hAnsiTheme="majorHAnsi" w:cs="Calibri"/>
                <w:color w:val="000000"/>
                <w:sz w:val="18"/>
                <w:szCs w:val="18"/>
                <w:lang w:val="en-IN" w:eastAsia="en-IN"/>
              </w:rPr>
            </w:pPr>
            <w:r w:rsidRPr="002F6F2B">
              <w:rPr>
                <w:rFonts w:asciiTheme="majorHAnsi" w:hAnsiTheme="majorHAnsi" w:cs="Calibri"/>
                <w:color w:val="000000"/>
                <w:sz w:val="18"/>
                <w:szCs w:val="18"/>
              </w:rPr>
              <w:t>-0.30</w:t>
            </w:r>
          </w:p>
        </w:tc>
        <w:tc>
          <w:tcPr>
            <w:tcW w:w="1171" w:type="dxa"/>
            <w:tcBorders>
              <w:top w:val="nil"/>
              <w:left w:val="nil"/>
              <w:bottom w:val="single" w:sz="4" w:space="0" w:color="auto"/>
              <w:right w:val="single" w:sz="4" w:space="0" w:color="auto"/>
            </w:tcBorders>
            <w:vAlign w:val="center"/>
            <w:hideMark/>
          </w:tcPr>
          <w:p w14:paraId="61529CFD" w14:textId="2B4FEC69" w:rsidR="002F6F2B" w:rsidRPr="002F6F2B" w:rsidRDefault="002F6F2B" w:rsidP="002F6F2B">
            <w:pPr>
              <w:jc w:val="center"/>
              <w:rPr>
                <w:rFonts w:asciiTheme="majorHAnsi" w:hAnsiTheme="majorHAnsi" w:cs="Calibri"/>
                <w:color w:val="000000"/>
                <w:sz w:val="18"/>
                <w:szCs w:val="18"/>
                <w:lang w:val="en-IN" w:eastAsia="en-IN"/>
              </w:rPr>
            </w:pPr>
            <w:r w:rsidRPr="002F6F2B">
              <w:rPr>
                <w:rFonts w:asciiTheme="majorHAnsi" w:hAnsiTheme="majorHAnsi" w:cs="Calibri"/>
                <w:color w:val="000000"/>
                <w:sz w:val="18"/>
                <w:szCs w:val="18"/>
              </w:rPr>
              <w:t>12.67</w:t>
            </w:r>
          </w:p>
        </w:tc>
        <w:tc>
          <w:tcPr>
            <w:tcW w:w="992" w:type="dxa"/>
            <w:gridSpan w:val="2"/>
            <w:tcBorders>
              <w:top w:val="nil"/>
              <w:left w:val="nil"/>
              <w:bottom w:val="single" w:sz="4" w:space="0" w:color="auto"/>
              <w:right w:val="single" w:sz="4" w:space="0" w:color="auto"/>
            </w:tcBorders>
            <w:vAlign w:val="center"/>
            <w:hideMark/>
          </w:tcPr>
          <w:p w14:paraId="395D869A" w14:textId="482533F0" w:rsidR="002F6F2B" w:rsidRPr="002F6F2B" w:rsidRDefault="002F6F2B" w:rsidP="002F6F2B">
            <w:pPr>
              <w:jc w:val="center"/>
              <w:rPr>
                <w:rFonts w:asciiTheme="majorHAnsi" w:hAnsiTheme="majorHAnsi" w:cs="Calibri"/>
                <w:color w:val="000000"/>
                <w:sz w:val="18"/>
                <w:szCs w:val="18"/>
                <w:lang w:val="en-IN" w:eastAsia="en-IN"/>
              </w:rPr>
            </w:pPr>
            <w:r w:rsidRPr="002F6F2B">
              <w:rPr>
                <w:rFonts w:asciiTheme="majorHAnsi" w:hAnsiTheme="majorHAnsi" w:cs="Calibri"/>
                <w:color w:val="000000"/>
                <w:sz w:val="18"/>
                <w:szCs w:val="18"/>
              </w:rPr>
              <w:t>4.79</w:t>
            </w:r>
          </w:p>
        </w:tc>
        <w:tc>
          <w:tcPr>
            <w:tcW w:w="987" w:type="dxa"/>
            <w:gridSpan w:val="2"/>
            <w:tcBorders>
              <w:top w:val="nil"/>
              <w:left w:val="nil"/>
              <w:bottom w:val="single" w:sz="4" w:space="0" w:color="auto"/>
              <w:right w:val="single" w:sz="4" w:space="0" w:color="auto"/>
            </w:tcBorders>
            <w:vAlign w:val="center"/>
            <w:hideMark/>
          </w:tcPr>
          <w:p w14:paraId="5401A2FA" w14:textId="61F9C9BE" w:rsidR="002F6F2B" w:rsidRPr="002F6F2B" w:rsidRDefault="002F6F2B" w:rsidP="002F6F2B">
            <w:pPr>
              <w:jc w:val="center"/>
              <w:rPr>
                <w:rFonts w:asciiTheme="majorHAnsi" w:hAnsiTheme="majorHAnsi" w:cs="Calibri"/>
                <w:color w:val="000000"/>
                <w:sz w:val="18"/>
                <w:szCs w:val="18"/>
                <w:lang w:val="en-IN" w:eastAsia="en-IN"/>
              </w:rPr>
            </w:pPr>
            <w:r w:rsidRPr="002F6F2B">
              <w:rPr>
                <w:rFonts w:asciiTheme="majorHAnsi" w:hAnsiTheme="majorHAnsi" w:cs="Calibri"/>
                <w:color w:val="000000"/>
                <w:sz w:val="18"/>
                <w:szCs w:val="18"/>
              </w:rPr>
              <w:t>2.53</w:t>
            </w:r>
          </w:p>
        </w:tc>
        <w:tc>
          <w:tcPr>
            <w:tcW w:w="927" w:type="dxa"/>
            <w:gridSpan w:val="2"/>
            <w:tcBorders>
              <w:top w:val="nil"/>
              <w:left w:val="nil"/>
              <w:bottom w:val="single" w:sz="4" w:space="0" w:color="auto"/>
              <w:right w:val="single" w:sz="4" w:space="0" w:color="auto"/>
            </w:tcBorders>
            <w:vAlign w:val="center"/>
            <w:hideMark/>
          </w:tcPr>
          <w:p w14:paraId="5DD63346" w14:textId="6A141D1E" w:rsidR="002F6F2B" w:rsidRPr="002F6F2B" w:rsidRDefault="002F6F2B" w:rsidP="002F6F2B">
            <w:pPr>
              <w:jc w:val="center"/>
              <w:rPr>
                <w:rFonts w:asciiTheme="majorHAnsi" w:hAnsiTheme="majorHAnsi" w:cs="Calibri"/>
                <w:color w:val="000000"/>
                <w:sz w:val="18"/>
                <w:szCs w:val="18"/>
                <w:lang w:val="en-IN" w:eastAsia="en-IN"/>
              </w:rPr>
            </w:pPr>
            <w:r w:rsidRPr="002F6F2B">
              <w:rPr>
                <w:rFonts w:asciiTheme="majorHAnsi" w:hAnsiTheme="majorHAnsi" w:cs="Calibri"/>
                <w:color w:val="000000"/>
                <w:sz w:val="18"/>
                <w:szCs w:val="18"/>
              </w:rPr>
              <w:t>7.88</w:t>
            </w:r>
          </w:p>
        </w:tc>
        <w:tc>
          <w:tcPr>
            <w:tcW w:w="864" w:type="dxa"/>
            <w:tcBorders>
              <w:top w:val="nil"/>
              <w:left w:val="nil"/>
              <w:bottom w:val="single" w:sz="4" w:space="0" w:color="auto"/>
              <w:right w:val="single" w:sz="4" w:space="0" w:color="auto"/>
            </w:tcBorders>
            <w:vAlign w:val="center"/>
            <w:hideMark/>
          </w:tcPr>
          <w:p w14:paraId="7D79F831" w14:textId="4C91209D" w:rsidR="002F6F2B" w:rsidRPr="002F6F2B" w:rsidRDefault="002F6F2B" w:rsidP="002F6F2B">
            <w:pPr>
              <w:jc w:val="center"/>
              <w:rPr>
                <w:rFonts w:asciiTheme="majorHAnsi" w:hAnsiTheme="majorHAnsi" w:cs="Calibri"/>
                <w:color w:val="000000"/>
                <w:sz w:val="18"/>
                <w:szCs w:val="18"/>
                <w:lang w:val="en-IN" w:eastAsia="en-IN"/>
              </w:rPr>
            </w:pPr>
            <w:r w:rsidRPr="002F6F2B">
              <w:rPr>
                <w:rFonts w:asciiTheme="majorHAnsi" w:hAnsiTheme="majorHAnsi" w:cs="Calibri"/>
                <w:color w:val="000000"/>
                <w:sz w:val="18"/>
                <w:szCs w:val="18"/>
              </w:rPr>
              <w:t>2.26</w:t>
            </w:r>
          </w:p>
        </w:tc>
      </w:tr>
      <w:tr w:rsidR="002F6F2B" w:rsidRPr="00B95FED" w14:paraId="23C40178" w14:textId="77777777" w:rsidTr="00304420">
        <w:trPr>
          <w:trHeight w:val="449"/>
          <w:jc w:val="center"/>
        </w:trPr>
        <w:tc>
          <w:tcPr>
            <w:tcW w:w="1271" w:type="dxa"/>
            <w:vMerge/>
            <w:tcBorders>
              <w:top w:val="nil"/>
              <w:left w:val="single" w:sz="4" w:space="0" w:color="auto"/>
              <w:bottom w:val="single" w:sz="4" w:space="0" w:color="auto"/>
              <w:right w:val="single" w:sz="4" w:space="0" w:color="auto"/>
            </w:tcBorders>
            <w:vAlign w:val="center"/>
            <w:hideMark/>
          </w:tcPr>
          <w:p w14:paraId="0D432039" w14:textId="77777777" w:rsidR="002F6F2B" w:rsidRPr="00B95FED" w:rsidRDefault="002F6F2B" w:rsidP="002F6F2B">
            <w:pPr>
              <w:rPr>
                <w:rFonts w:ascii="Cambria" w:hAnsi="Cambria" w:cs="Calibri"/>
                <w:b/>
                <w:bCs/>
                <w:color w:val="000000"/>
                <w:sz w:val="18"/>
                <w:szCs w:val="18"/>
                <w:lang w:val="en-IN" w:eastAsia="en-IN"/>
              </w:rPr>
            </w:pPr>
          </w:p>
        </w:tc>
        <w:tc>
          <w:tcPr>
            <w:tcW w:w="1985" w:type="dxa"/>
            <w:tcBorders>
              <w:top w:val="nil"/>
              <w:left w:val="nil"/>
              <w:bottom w:val="single" w:sz="4" w:space="0" w:color="auto"/>
              <w:right w:val="single" w:sz="4" w:space="0" w:color="auto"/>
            </w:tcBorders>
            <w:vAlign w:val="center"/>
            <w:hideMark/>
          </w:tcPr>
          <w:p w14:paraId="6337E11A" w14:textId="77777777" w:rsidR="002F6F2B" w:rsidRPr="00B95FED" w:rsidRDefault="002F6F2B" w:rsidP="002F6F2B">
            <w:pPr>
              <w:rPr>
                <w:rFonts w:ascii="Cambria" w:hAnsi="Cambria" w:cs="Calibri"/>
                <w:color w:val="000000"/>
                <w:sz w:val="18"/>
                <w:szCs w:val="18"/>
                <w:lang w:val="en-IN" w:eastAsia="en-IN"/>
              </w:rPr>
            </w:pPr>
            <w:r w:rsidRPr="00B95FED">
              <w:rPr>
                <w:rFonts w:ascii="Cambria" w:hAnsi="Cambria" w:cs="Calibri"/>
                <w:color w:val="000000"/>
                <w:sz w:val="18"/>
                <w:szCs w:val="18"/>
                <w:lang w:val="en-IN" w:eastAsia="en-IN"/>
              </w:rPr>
              <w:t>Network Components-33/11Kv -Lines*</w:t>
            </w:r>
          </w:p>
        </w:tc>
        <w:tc>
          <w:tcPr>
            <w:tcW w:w="1110" w:type="dxa"/>
            <w:tcBorders>
              <w:top w:val="nil"/>
              <w:left w:val="nil"/>
              <w:bottom w:val="single" w:sz="4" w:space="0" w:color="auto"/>
              <w:right w:val="single" w:sz="4" w:space="0" w:color="auto"/>
            </w:tcBorders>
            <w:vAlign w:val="center"/>
            <w:hideMark/>
          </w:tcPr>
          <w:p w14:paraId="71C39DB3" w14:textId="7F208F97" w:rsidR="002F6F2B" w:rsidRPr="002F6F2B" w:rsidRDefault="002F6F2B" w:rsidP="002F6F2B">
            <w:pPr>
              <w:jc w:val="center"/>
              <w:rPr>
                <w:rFonts w:asciiTheme="majorHAnsi" w:hAnsiTheme="majorHAnsi" w:cs="Calibri"/>
                <w:color w:val="000000"/>
                <w:sz w:val="18"/>
                <w:szCs w:val="18"/>
                <w:lang w:val="en-IN" w:eastAsia="en-IN"/>
              </w:rPr>
            </w:pPr>
            <w:r w:rsidRPr="002F6F2B">
              <w:rPr>
                <w:rFonts w:asciiTheme="majorHAnsi" w:hAnsiTheme="majorHAnsi" w:cs="Calibri"/>
                <w:color w:val="000000"/>
                <w:sz w:val="18"/>
                <w:szCs w:val="18"/>
              </w:rPr>
              <w:t>114.55</w:t>
            </w:r>
          </w:p>
        </w:tc>
        <w:tc>
          <w:tcPr>
            <w:tcW w:w="894" w:type="dxa"/>
            <w:tcBorders>
              <w:top w:val="nil"/>
              <w:left w:val="nil"/>
              <w:bottom w:val="single" w:sz="4" w:space="0" w:color="auto"/>
              <w:right w:val="single" w:sz="4" w:space="0" w:color="auto"/>
            </w:tcBorders>
            <w:vAlign w:val="center"/>
            <w:hideMark/>
          </w:tcPr>
          <w:p w14:paraId="7885D482" w14:textId="48A5BC41" w:rsidR="002F6F2B" w:rsidRPr="002F6F2B" w:rsidRDefault="002F6F2B" w:rsidP="002F6F2B">
            <w:pPr>
              <w:jc w:val="center"/>
              <w:rPr>
                <w:rFonts w:asciiTheme="majorHAnsi" w:hAnsiTheme="majorHAnsi" w:cs="Calibri"/>
                <w:color w:val="000000"/>
                <w:sz w:val="18"/>
                <w:szCs w:val="18"/>
                <w:lang w:val="en-IN" w:eastAsia="en-IN"/>
              </w:rPr>
            </w:pPr>
            <w:r w:rsidRPr="002F6F2B">
              <w:rPr>
                <w:rFonts w:asciiTheme="majorHAnsi" w:hAnsiTheme="majorHAnsi" w:cs="Calibri"/>
                <w:color w:val="000000"/>
                <w:sz w:val="18"/>
                <w:szCs w:val="18"/>
              </w:rPr>
              <w:t>-3.40</w:t>
            </w:r>
          </w:p>
        </w:tc>
        <w:tc>
          <w:tcPr>
            <w:tcW w:w="1171" w:type="dxa"/>
            <w:tcBorders>
              <w:top w:val="nil"/>
              <w:left w:val="nil"/>
              <w:bottom w:val="single" w:sz="4" w:space="0" w:color="auto"/>
              <w:right w:val="single" w:sz="4" w:space="0" w:color="auto"/>
            </w:tcBorders>
            <w:vAlign w:val="center"/>
            <w:hideMark/>
          </w:tcPr>
          <w:p w14:paraId="4136826D" w14:textId="746DA48C" w:rsidR="002F6F2B" w:rsidRPr="002F6F2B" w:rsidRDefault="002F6F2B" w:rsidP="002F6F2B">
            <w:pPr>
              <w:jc w:val="center"/>
              <w:rPr>
                <w:rFonts w:asciiTheme="majorHAnsi" w:hAnsiTheme="majorHAnsi" w:cs="Calibri"/>
                <w:color w:val="000000"/>
                <w:sz w:val="18"/>
                <w:szCs w:val="18"/>
                <w:lang w:val="en-IN" w:eastAsia="en-IN"/>
              </w:rPr>
            </w:pPr>
            <w:r w:rsidRPr="002F6F2B">
              <w:rPr>
                <w:rFonts w:asciiTheme="majorHAnsi" w:hAnsiTheme="majorHAnsi" w:cs="Calibri"/>
                <w:color w:val="000000"/>
                <w:sz w:val="18"/>
                <w:szCs w:val="18"/>
              </w:rPr>
              <w:t>111.15</w:t>
            </w:r>
          </w:p>
        </w:tc>
        <w:tc>
          <w:tcPr>
            <w:tcW w:w="992" w:type="dxa"/>
            <w:gridSpan w:val="2"/>
            <w:tcBorders>
              <w:top w:val="nil"/>
              <w:left w:val="nil"/>
              <w:bottom w:val="single" w:sz="4" w:space="0" w:color="auto"/>
              <w:right w:val="single" w:sz="4" w:space="0" w:color="auto"/>
            </w:tcBorders>
            <w:vAlign w:val="center"/>
            <w:hideMark/>
          </w:tcPr>
          <w:p w14:paraId="63366B88" w14:textId="362CF4AB" w:rsidR="002F6F2B" w:rsidRPr="002F6F2B" w:rsidRDefault="002F6F2B" w:rsidP="002F6F2B">
            <w:pPr>
              <w:jc w:val="center"/>
              <w:rPr>
                <w:rFonts w:asciiTheme="majorHAnsi" w:hAnsiTheme="majorHAnsi" w:cs="Calibri"/>
                <w:color w:val="000000"/>
                <w:sz w:val="18"/>
                <w:szCs w:val="18"/>
                <w:lang w:val="en-IN" w:eastAsia="en-IN"/>
              </w:rPr>
            </w:pPr>
            <w:r w:rsidRPr="002F6F2B">
              <w:rPr>
                <w:rFonts w:asciiTheme="majorHAnsi" w:hAnsiTheme="majorHAnsi" w:cs="Calibri"/>
                <w:color w:val="000000"/>
                <w:sz w:val="18"/>
                <w:szCs w:val="18"/>
              </w:rPr>
              <w:t>59.79</w:t>
            </w:r>
          </w:p>
        </w:tc>
        <w:tc>
          <w:tcPr>
            <w:tcW w:w="987" w:type="dxa"/>
            <w:gridSpan w:val="2"/>
            <w:tcBorders>
              <w:top w:val="nil"/>
              <w:left w:val="nil"/>
              <w:bottom w:val="single" w:sz="4" w:space="0" w:color="auto"/>
              <w:right w:val="single" w:sz="4" w:space="0" w:color="auto"/>
            </w:tcBorders>
            <w:vAlign w:val="center"/>
            <w:hideMark/>
          </w:tcPr>
          <w:p w14:paraId="39C83BBD" w14:textId="6F5588CB" w:rsidR="002F6F2B" w:rsidRPr="002F6F2B" w:rsidRDefault="002F6F2B" w:rsidP="002F6F2B">
            <w:pPr>
              <w:jc w:val="center"/>
              <w:rPr>
                <w:rFonts w:asciiTheme="majorHAnsi" w:hAnsiTheme="majorHAnsi" w:cs="Calibri"/>
                <w:color w:val="000000"/>
                <w:sz w:val="18"/>
                <w:szCs w:val="18"/>
                <w:lang w:val="en-IN" w:eastAsia="en-IN"/>
              </w:rPr>
            </w:pPr>
            <w:r w:rsidRPr="002F6F2B">
              <w:rPr>
                <w:rFonts w:asciiTheme="majorHAnsi" w:hAnsiTheme="majorHAnsi" w:cs="Calibri"/>
                <w:color w:val="000000"/>
                <w:sz w:val="18"/>
                <w:szCs w:val="18"/>
              </w:rPr>
              <w:t>3.17</w:t>
            </w:r>
          </w:p>
        </w:tc>
        <w:tc>
          <w:tcPr>
            <w:tcW w:w="927" w:type="dxa"/>
            <w:gridSpan w:val="2"/>
            <w:tcBorders>
              <w:top w:val="nil"/>
              <w:left w:val="nil"/>
              <w:bottom w:val="single" w:sz="4" w:space="0" w:color="auto"/>
              <w:right w:val="single" w:sz="4" w:space="0" w:color="auto"/>
            </w:tcBorders>
            <w:vAlign w:val="center"/>
            <w:hideMark/>
          </w:tcPr>
          <w:p w14:paraId="51A89AC0" w14:textId="7077C4E8" w:rsidR="002F6F2B" w:rsidRPr="002F6F2B" w:rsidRDefault="002F6F2B" w:rsidP="002F6F2B">
            <w:pPr>
              <w:jc w:val="center"/>
              <w:rPr>
                <w:rFonts w:asciiTheme="majorHAnsi" w:hAnsiTheme="majorHAnsi" w:cs="Calibri"/>
                <w:color w:val="000000"/>
                <w:sz w:val="18"/>
                <w:szCs w:val="18"/>
                <w:lang w:val="en-IN" w:eastAsia="en-IN"/>
              </w:rPr>
            </w:pPr>
            <w:r w:rsidRPr="002F6F2B">
              <w:rPr>
                <w:rFonts w:asciiTheme="majorHAnsi" w:hAnsiTheme="majorHAnsi" w:cs="Calibri"/>
                <w:color w:val="000000"/>
                <w:sz w:val="18"/>
                <w:szCs w:val="18"/>
              </w:rPr>
              <w:t>51.36</w:t>
            </w:r>
          </w:p>
        </w:tc>
        <w:tc>
          <w:tcPr>
            <w:tcW w:w="864" w:type="dxa"/>
            <w:tcBorders>
              <w:top w:val="nil"/>
              <w:left w:val="nil"/>
              <w:bottom w:val="single" w:sz="4" w:space="0" w:color="auto"/>
              <w:right w:val="single" w:sz="4" w:space="0" w:color="auto"/>
            </w:tcBorders>
            <w:vAlign w:val="center"/>
            <w:hideMark/>
          </w:tcPr>
          <w:p w14:paraId="4C459077" w14:textId="045D8C1E" w:rsidR="002F6F2B" w:rsidRPr="002F6F2B" w:rsidRDefault="002F6F2B" w:rsidP="002F6F2B">
            <w:pPr>
              <w:jc w:val="center"/>
              <w:rPr>
                <w:rFonts w:asciiTheme="majorHAnsi" w:hAnsiTheme="majorHAnsi" w:cs="Calibri"/>
                <w:color w:val="000000"/>
                <w:sz w:val="18"/>
                <w:szCs w:val="18"/>
                <w:lang w:val="en-IN" w:eastAsia="en-IN"/>
              </w:rPr>
            </w:pPr>
            <w:r w:rsidRPr="002F6F2B">
              <w:rPr>
                <w:rFonts w:asciiTheme="majorHAnsi" w:hAnsiTheme="majorHAnsi" w:cs="Calibri"/>
                <w:color w:val="000000"/>
                <w:sz w:val="18"/>
                <w:szCs w:val="18"/>
              </w:rPr>
              <w:t>56.63</w:t>
            </w:r>
          </w:p>
        </w:tc>
      </w:tr>
      <w:tr w:rsidR="002F6F2B" w:rsidRPr="00B95FED" w14:paraId="4A401F6A" w14:textId="77777777" w:rsidTr="00304420">
        <w:trPr>
          <w:trHeight w:val="449"/>
          <w:jc w:val="center"/>
        </w:trPr>
        <w:tc>
          <w:tcPr>
            <w:tcW w:w="1271" w:type="dxa"/>
            <w:vMerge/>
            <w:tcBorders>
              <w:top w:val="nil"/>
              <w:left w:val="single" w:sz="4" w:space="0" w:color="auto"/>
              <w:bottom w:val="single" w:sz="4" w:space="0" w:color="auto"/>
              <w:right w:val="single" w:sz="4" w:space="0" w:color="auto"/>
            </w:tcBorders>
            <w:vAlign w:val="center"/>
            <w:hideMark/>
          </w:tcPr>
          <w:p w14:paraId="31792313" w14:textId="77777777" w:rsidR="002F6F2B" w:rsidRPr="00B95FED" w:rsidRDefault="002F6F2B" w:rsidP="002F6F2B">
            <w:pPr>
              <w:rPr>
                <w:rFonts w:ascii="Cambria" w:hAnsi="Cambria" w:cs="Calibri"/>
                <w:b/>
                <w:bCs/>
                <w:color w:val="000000"/>
                <w:sz w:val="18"/>
                <w:szCs w:val="18"/>
                <w:lang w:val="en-IN" w:eastAsia="en-IN"/>
              </w:rPr>
            </w:pPr>
          </w:p>
        </w:tc>
        <w:tc>
          <w:tcPr>
            <w:tcW w:w="1985" w:type="dxa"/>
            <w:tcBorders>
              <w:top w:val="nil"/>
              <w:left w:val="nil"/>
              <w:bottom w:val="single" w:sz="4" w:space="0" w:color="auto"/>
              <w:right w:val="single" w:sz="4" w:space="0" w:color="auto"/>
            </w:tcBorders>
            <w:vAlign w:val="center"/>
            <w:hideMark/>
          </w:tcPr>
          <w:p w14:paraId="0F435883" w14:textId="77777777" w:rsidR="002F6F2B" w:rsidRPr="00B95FED" w:rsidRDefault="002F6F2B" w:rsidP="002F6F2B">
            <w:pPr>
              <w:rPr>
                <w:rFonts w:ascii="Cambria" w:hAnsi="Cambria" w:cs="Calibri"/>
                <w:color w:val="000000"/>
                <w:sz w:val="18"/>
                <w:szCs w:val="18"/>
                <w:lang w:val="en-IN" w:eastAsia="en-IN"/>
              </w:rPr>
            </w:pPr>
            <w:r w:rsidRPr="00B95FED">
              <w:rPr>
                <w:rFonts w:ascii="Cambria" w:hAnsi="Cambria" w:cs="Calibri"/>
                <w:color w:val="000000"/>
                <w:sz w:val="18"/>
                <w:szCs w:val="18"/>
                <w:lang w:val="en-IN" w:eastAsia="en-IN"/>
              </w:rPr>
              <w:t>Network Components-33/11Kv -Substation</w:t>
            </w:r>
          </w:p>
        </w:tc>
        <w:tc>
          <w:tcPr>
            <w:tcW w:w="1110" w:type="dxa"/>
            <w:tcBorders>
              <w:top w:val="nil"/>
              <w:left w:val="nil"/>
              <w:bottom w:val="single" w:sz="4" w:space="0" w:color="auto"/>
              <w:right w:val="single" w:sz="4" w:space="0" w:color="auto"/>
            </w:tcBorders>
            <w:vAlign w:val="center"/>
            <w:hideMark/>
          </w:tcPr>
          <w:p w14:paraId="25A74D71" w14:textId="6DD1FED9" w:rsidR="002F6F2B" w:rsidRPr="002F6F2B" w:rsidRDefault="002F6F2B" w:rsidP="002F6F2B">
            <w:pPr>
              <w:jc w:val="center"/>
              <w:rPr>
                <w:rFonts w:asciiTheme="majorHAnsi" w:hAnsiTheme="majorHAnsi" w:cs="Calibri"/>
                <w:color w:val="000000"/>
                <w:sz w:val="18"/>
                <w:szCs w:val="18"/>
                <w:lang w:val="en-IN" w:eastAsia="en-IN"/>
              </w:rPr>
            </w:pPr>
            <w:r w:rsidRPr="002F6F2B">
              <w:rPr>
                <w:rFonts w:asciiTheme="majorHAnsi" w:hAnsiTheme="majorHAnsi" w:cs="Calibri"/>
                <w:color w:val="000000"/>
                <w:sz w:val="18"/>
                <w:szCs w:val="18"/>
              </w:rPr>
              <w:t>28.58</w:t>
            </w:r>
          </w:p>
        </w:tc>
        <w:tc>
          <w:tcPr>
            <w:tcW w:w="894" w:type="dxa"/>
            <w:tcBorders>
              <w:top w:val="nil"/>
              <w:left w:val="nil"/>
              <w:bottom w:val="single" w:sz="4" w:space="0" w:color="auto"/>
              <w:right w:val="single" w:sz="4" w:space="0" w:color="auto"/>
            </w:tcBorders>
            <w:vAlign w:val="center"/>
            <w:hideMark/>
          </w:tcPr>
          <w:p w14:paraId="1E52B634" w14:textId="7FE453A3" w:rsidR="002F6F2B" w:rsidRPr="002F6F2B" w:rsidRDefault="002F6F2B" w:rsidP="002F6F2B">
            <w:pPr>
              <w:jc w:val="center"/>
              <w:rPr>
                <w:rFonts w:asciiTheme="majorHAnsi" w:hAnsiTheme="majorHAnsi" w:cs="Calibri"/>
                <w:color w:val="000000"/>
                <w:sz w:val="18"/>
                <w:szCs w:val="18"/>
                <w:lang w:val="en-IN" w:eastAsia="en-IN"/>
              </w:rPr>
            </w:pPr>
            <w:r w:rsidRPr="002F6F2B">
              <w:rPr>
                <w:rFonts w:asciiTheme="majorHAnsi" w:hAnsiTheme="majorHAnsi" w:cs="Calibri"/>
                <w:color w:val="000000"/>
                <w:sz w:val="18"/>
                <w:szCs w:val="18"/>
              </w:rPr>
              <w:t>3.70</w:t>
            </w:r>
          </w:p>
        </w:tc>
        <w:tc>
          <w:tcPr>
            <w:tcW w:w="1171" w:type="dxa"/>
            <w:tcBorders>
              <w:top w:val="nil"/>
              <w:left w:val="nil"/>
              <w:bottom w:val="single" w:sz="4" w:space="0" w:color="auto"/>
              <w:right w:val="single" w:sz="4" w:space="0" w:color="auto"/>
            </w:tcBorders>
            <w:vAlign w:val="center"/>
            <w:hideMark/>
          </w:tcPr>
          <w:p w14:paraId="6624ADAC" w14:textId="6EB1BBB7" w:rsidR="002F6F2B" w:rsidRPr="002F6F2B" w:rsidRDefault="002F6F2B" w:rsidP="002F6F2B">
            <w:pPr>
              <w:jc w:val="center"/>
              <w:rPr>
                <w:rFonts w:asciiTheme="majorHAnsi" w:hAnsiTheme="majorHAnsi" w:cs="Calibri"/>
                <w:color w:val="000000"/>
                <w:sz w:val="18"/>
                <w:szCs w:val="18"/>
                <w:lang w:val="en-IN" w:eastAsia="en-IN"/>
              </w:rPr>
            </w:pPr>
            <w:r w:rsidRPr="002F6F2B">
              <w:rPr>
                <w:rFonts w:asciiTheme="majorHAnsi" w:hAnsiTheme="majorHAnsi" w:cs="Calibri"/>
                <w:color w:val="000000"/>
                <w:sz w:val="18"/>
                <w:szCs w:val="18"/>
              </w:rPr>
              <w:t>32.28</w:t>
            </w:r>
          </w:p>
        </w:tc>
        <w:tc>
          <w:tcPr>
            <w:tcW w:w="992" w:type="dxa"/>
            <w:gridSpan w:val="2"/>
            <w:tcBorders>
              <w:top w:val="nil"/>
              <w:left w:val="nil"/>
              <w:bottom w:val="single" w:sz="4" w:space="0" w:color="auto"/>
              <w:right w:val="single" w:sz="4" w:space="0" w:color="auto"/>
            </w:tcBorders>
            <w:vAlign w:val="center"/>
            <w:hideMark/>
          </w:tcPr>
          <w:p w14:paraId="282795F3" w14:textId="1DCCA215" w:rsidR="002F6F2B" w:rsidRPr="002F6F2B" w:rsidRDefault="002F6F2B" w:rsidP="002F6F2B">
            <w:pPr>
              <w:jc w:val="center"/>
              <w:rPr>
                <w:rFonts w:asciiTheme="majorHAnsi" w:hAnsiTheme="majorHAnsi" w:cs="Calibri"/>
                <w:color w:val="000000"/>
                <w:sz w:val="18"/>
                <w:szCs w:val="18"/>
                <w:lang w:val="en-IN" w:eastAsia="en-IN"/>
              </w:rPr>
            </w:pPr>
            <w:r w:rsidRPr="002F6F2B">
              <w:rPr>
                <w:rFonts w:asciiTheme="majorHAnsi" w:hAnsiTheme="majorHAnsi" w:cs="Calibri"/>
                <w:color w:val="000000"/>
                <w:sz w:val="18"/>
                <w:szCs w:val="18"/>
              </w:rPr>
              <w:t>27.17</w:t>
            </w:r>
          </w:p>
        </w:tc>
        <w:tc>
          <w:tcPr>
            <w:tcW w:w="987" w:type="dxa"/>
            <w:gridSpan w:val="2"/>
            <w:tcBorders>
              <w:top w:val="nil"/>
              <w:left w:val="nil"/>
              <w:bottom w:val="single" w:sz="4" w:space="0" w:color="auto"/>
              <w:right w:val="single" w:sz="4" w:space="0" w:color="auto"/>
            </w:tcBorders>
            <w:vAlign w:val="center"/>
            <w:hideMark/>
          </w:tcPr>
          <w:p w14:paraId="11B0456D" w14:textId="24D75BBF" w:rsidR="002F6F2B" w:rsidRPr="002F6F2B" w:rsidRDefault="002F6F2B" w:rsidP="002F6F2B">
            <w:pPr>
              <w:jc w:val="center"/>
              <w:rPr>
                <w:rFonts w:asciiTheme="majorHAnsi" w:hAnsiTheme="majorHAnsi" w:cs="Calibri"/>
                <w:color w:val="000000"/>
                <w:sz w:val="18"/>
                <w:szCs w:val="18"/>
                <w:lang w:val="en-IN" w:eastAsia="en-IN"/>
              </w:rPr>
            </w:pPr>
            <w:r w:rsidRPr="002F6F2B">
              <w:rPr>
                <w:rFonts w:asciiTheme="majorHAnsi" w:hAnsiTheme="majorHAnsi" w:cs="Calibri"/>
                <w:color w:val="000000"/>
                <w:sz w:val="18"/>
                <w:szCs w:val="18"/>
              </w:rPr>
              <w:t>0.87</w:t>
            </w:r>
          </w:p>
        </w:tc>
        <w:tc>
          <w:tcPr>
            <w:tcW w:w="927" w:type="dxa"/>
            <w:gridSpan w:val="2"/>
            <w:tcBorders>
              <w:top w:val="nil"/>
              <w:left w:val="nil"/>
              <w:bottom w:val="single" w:sz="4" w:space="0" w:color="auto"/>
              <w:right w:val="single" w:sz="4" w:space="0" w:color="auto"/>
            </w:tcBorders>
            <w:vAlign w:val="center"/>
            <w:hideMark/>
          </w:tcPr>
          <w:p w14:paraId="32641847" w14:textId="6C7F82FF" w:rsidR="002F6F2B" w:rsidRPr="002F6F2B" w:rsidRDefault="002F6F2B" w:rsidP="002F6F2B">
            <w:pPr>
              <w:jc w:val="center"/>
              <w:rPr>
                <w:rFonts w:asciiTheme="majorHAnsi" w:hAnsiTheme="majorHAnsi" w:cs="Calibri"/>
                <w:color w:val="000000"/>
                <w:sz w:val="18"/>
                <w:szCs w:val="18"/>
                <w:lang w:val="en-IN" w:eastAsia="en-IN"/>
              </w:rPr>
            </w:pPr>
            <w:r w:rsidRPr="002F6F2B">
              <w:rPr>
                <w:rFonts w:asciiTheme="majorHAnsi" w:hAnsiTheme="majorHAnsi" w:cs="Calibri"/>
                <w:color w:val="000000"/>
                <w:sz w:val="18"/>
                <w:szCs w:val="18"/>
              </w:rPr>
              <w:t>5.11</w:t>
            </w:r>
          </w:p>
        </w:tc>
        <w:tc>
          <w:tcPr>
            <w:tcW w:w="864" w:type="dxa"/>
            <w:tcBorders>
              <w:top w:val="nil"/>
              <w:left w:val="nil"/>
              <w:bottom w:val="single" w:sz="4" w:space="0" w:color="auto"/>
              <w:right w:val="single" w:sz="4" w:space="0" w:color="auto"/>
            </w:tcBorders>
            <w:vAlign w:val="center"/>
            <w:hideMark/>
          </w:tcPr>
          <w:p w14:paraId="45041FAE" w14:textId="6644CC79" w:rsidR="002F6F2B" w:rsidRPr="002F6F2B" w:rsidRDefault="002F6F2B" w:rsidP="002F6F2B">
            <w:pPr>
              <w:jc w:val="center"/>
              <w:rPr>
                <w:rFonts w:asciiTheme="majorHAnsi" w:hAnsiTheme="majorHAnsi" w:cs="Calibri"/>
                <w:color w:val="000000"/>
                <w:sz w:val="18"/>
                <w:szCs w:val="18"/>
                <w:lang w:val="en-IN" w:eastAsia="en-IN"/>
              </w:rPr>
            </w:pPr>
            <w:r w:rsidRPr="002F6F2B">
              <w:rPr>
                <w:rFonts w:asciiTheme="majorHAnsi" w:hAnsiTheme="majorHAnsi" w:cs="Calibri"/>
                <w:color w:val="000000"/>
                <w:sz w:val="18"/>
                <w:szCs w:val="18"/>
              </w:rPr>
              <w:t>26.30</w:t>
            </w:r>
          </w:p>
        </w:tc>
      </w:tr>
      <w:tr w:rsidR="002F6F2B" w:rsidRPr="00B95FED" w14:paraId="0C39F865" w14:textId="77777777" w:rsidTr="00304420">
        <w:trPr>
          <w:trHeight w:val="449"/>
          <w:jc w:val="center"/>
        </w:trPr>
        <w:tc>
          <w:tcPr>
            <w:tcW w:w="1271" w:type="dxa"/>
            <w:vMerge/>
            <w:tcBorders>
              <w:top w:val="nil"/>
              <w:left w:val="single" w:sz="4" w:space="0" w:color="auto"/>
              <w:bottom w:val="single" w:sz="4" w:space="0" w:color="auto"/>
              <w:right w:val="single" w:sz="4" w:space="0" w:color="auto"/>
            </w:tcBorders>
            <w:vAlign w:val="center"/>
          </w:tcPr>
          <w:p w14:paraId="1902111C" w14:textId="77777777" w:rsidR="002F6F2B" w:rsidRPr="00B95FED" w:rsidRDefault="002F6F2B" w:rsidP="002F6F2B">
            <w:pPr>
              <w:rPr>
                <w:rFonts w:ascii="Cambria" w:hAnsi="Cambria" w:cs="Calibri"/>
                <w:b/>
                <w:bCs/>
                <w:color w:val="000000"/>
                <w:sz w:val="18"/>
                <w:szCs w:val="18"/>
                <w:lang w:val="en-IN" w:eastAsia="en-IN"/>
              </w:rPr>
            </w:pPr>
          </w:p>
        </w:tc>
        <w:tc>
          <w:tcPr>
            <w:tcW w:w="1985" w:type="dxa"/>
            <w:tcBorders>
              <w:top w:val="nil"/>
              <w:left w:val="nil"/>
              <w:bottom w:val="single" w:sz="4" w:space="0" w:color="auto"/>
              <w:right w:val="single" w:sz="4" w:space="0" w:color="auto"/>
            </w:tcBorders>
            <w:vAlign w:val="center"/>
          </w:tcPr>
          <w:p w14:paraId="7F570C5A" w14:textId="77777777" w:rsidR="002F6F2B" w:rsidRPr="00B95FED" w:rsidRDefault="002F6F2B" w:rsidP="002F6F2B">
            <w:pPr>
              <w:rPr>
                <w:rFonts w:ascii="Cambria" w:hAnsi="Cambria" w:cs="Calibri"/>
                <w:color w:val="000000"/>
                <w:sz w:val="18"/>
                <w:szCs w:val="18"/>
                <w:lang w:val="en-IN" w:eastAsia="en-IN"/>
              </w:rPr>
            </w:pPr>
            <w:r w:rsidRPr="00B95FED">
              <w:rPr>
                <w:rFonts w:ascii="Cambria" w:hAnsi="Cambria" w:cs="Calibri"/>
                <w:color w:val="000000"/>
                <w:sz w:val="18"/>
                <w:szCs w:val="18"/>
                <w:lang w:val="en-IN" w:eastAsia="en-IN"/>
              </w:rPr>
              <w:t xml:space="preserve">Reliability enhancement for Bolangir Town &amp; </w:t>
            </w:r>
            <w:proofErr w:type="spellStart"/>
            <w:r w:rsidRPr="00B95FED">
              <w:rPr>
                <w:rFonts w:ascii="Cambria" w:hAnsi="Cambria" w:cs="Calibri"/>
                <w:color w:val="000000"/>
                <w:sz w:val="18"/>
                <w:szCs w:val="18"/>
                <w:lang w:val="en-IN" w:eastAsia="en-IN"/>
              </w:rPr>
              <w:t>Patnagarh</w:t>
            </w:r>
            <w:proofErr w:type="spellEnd"/>
            <w:r w:rsidRPr="00B95FED">
              <w:rPr>
                <w:rFonts w:ascii="Cambria" w:hAnsi="Cambria" w:cs="Calibri"/>
                <w:color w:val="000000"/>
                <w:sz w:val="18"/>
                <w:szCs w:val="18"/>
                <w:lang w:val="en-IN" w:eastAsia="en-IN"/>
              </w:rPr>
              <w:t xml:space="preserve"> Town Areas</w:t>
            </w:r>
          </w:p>
        </w:tc>
        <w:tc>
          <w:tcPr>
            <w:tcW w:w="1110" w:type="dxa"/>
            <w:tcBorders>
              <w:top w:val="nil"/>
              <w:left w:val="nil"/>
              <w:bottom w:val="single" w:sz="4" w:space="0" w:color="auto"/>
              <w:right w:val="single" w:sz="4" w:space="0" w:color="auto"/>
            </w:tcBorders>
            <w:vAlign w:val="center"/>
          </w:tcPr>
          <w:p w14:paraId="4981C6D7" w14:textId="5CFD945C" w:rsidR="002F6F2B" w:rsidRPr="002F6F2B" w:rsidRDefault="002F6F2B" w:rsidP="002F6F2B">
            <w:pPr>
              <w:jc w:val="center"/>
              <w:rPr>
                <w:rFonts w:asciiTheme="majorHAnsi" w:hAnsiTheme="majorHAnsi" w:cs="Calibri"/>
                <w:color w:val="000000"/>
                <w:sz w:val="18"/>
                <w:szCs w:val="18"/>
              </w:rPr>
            </w:pPr>
            <w:r w:rsidRPr="002F6F2B">
              <w:rPr>
                <w:rFonts w:asciiTheme="majorHAnsi" w:hAnsiTheme="majorHAnsi" w:cs="Calibri"/>
                <w:color w:val="000000"/>
                <w:sz w:val="18"/>
                <w:szCs w:val="18"/>
              </w:rPr>
              <w:t>17.59</w:t>
            </w:r>
          </w:p>
        </w:tc>
        <w:tc>
          <w:tcPr>
            <w:tcW w:w="894" w:type="dxa"/>
            <w:tcBorders>
              <w:top w:val="nil"/>
              <w:left w:val="nil"/>
              <w:bottom w:val="single" w:sz="4" w:space="0" w:color="auto"/>
              <w:right w:val="single" w:sz="4" w:space="0" w:color="auto"/>
            </w:tcBorders>
            <w:vAlign w:val="center"/>
          </w:tcPr>
          <w:p w14:paraId="12B6008C" w14:textId="11AE94D6" w:rsidR="002F6F2B" w:rsidRPr="002F6F2B" w:rsidRDefault="002F6F2B" w:rsidP="002F6F2B">
            <w:pPr>
              <w:jc w:val="center"/>
              <w:rPr>
                <w:rFonts w:asciiTheme="majorHAnsi" w:hAnsiTheme="majorHAnsi" w:cs="Calibri"/>
                <w:color w:val="000000"/>
                <w:sz w:val="18"/>
                <w:szCs w:val="18"/>
              </w:rPr>
            </w:pPr>
            <w:r w:rsidRPr="002F6F2B">
              <w:rPr>
                <w:rFonts w:asciiTheme="majorHAnsi" w:hAnsiTheme="majorHAnsi" w:cs="Calibri"/>
                <w:color w:val="000000"/>
                <w:sz w:val="18"/>
                <w:szCs w:val="18"/>
              </w:rPr>
              <w:t>0.00</w:t>
            </w:r>
          </w:p>
        </w:tc>
        <w:tc>
          <w:tcPr>
            <w:tcW w:w="1171" w:type="dxa"/>
            <w:tcBorders>
              <w:top w:val="nil"/>
              <w:left w:val="nil"/>
              <w:bottom w:val="single" w:sz="4" w:space="0" w:color="auto"/>
              <w:right w:val="single" w:sz="4" w:space="0" w:color="auto"/>
            </w:tcBorders>
            <w:vAlign w:val="center"/>
          </w:tcPr>
          <w:p w14:paraId="6B3FB78D" w14:textId="52B32695" w:rsidR="002F6F2B" w:rsidRPr="002F6F2B" w:rsidRDefault="002F6F2B" w:rsidP="002F6F2B">
            <w:pPr>
              <w:jc w:val="center"/>
              <w:rPr>
                <w:rFonts w:asciiTheme="majorHAnsi" w:hAnsiTheme="majorHAnsi" w:cs="Calibri"/>
                <w:color w:val="000000"/>
                <w:sz w:val="18"/>
                <w:szCs w:val="18"/>
              </w:rPr>
            </w:pPr>
            <w:r w:rsidRPr="002F6F2B">
              <w:rPr>
                <w:rFonts w:asciiTheme="majorHAnsi" w:hAnsiTheme="majorHAnsi" w:cs="Calibri"/>
                <w:color w:val="000000"/>
                <w:sz w:val="18"/>
                <w:szCs w:val="18"/>
              </w:rPr>
              <w:t>17.59</w:t>
            </w:r>
          </w:p>
        </w:tc>
        <w:tc>
          <w:tcPr>
            <w:tcW w:w="992" w:type="dxa"/>
            <w:gridSpan w:val="2"/>
            <w:tcBorders>
              <w:top w:val="nil"/>
              <w:left w:val="nil"/>
              <w:bottom w:val="single" w:sz="4" w:space="0" w:color="auto"/>
              <w:right w:val="single" w:sz="4" w:space="0" w:color="auto"/>
            </w:tcBorders>
            <w:vAlign w:val="center"/>
          </w:tcPr>
          <w:p w14:paraId="06717B03" w14:textId="3B7529BB" w:rsidR="002F6F2B" w:rsidRPr="002F6F2B" w:rsidRDefault="002F6F2B" w:rsidP="002F6F2B">
            <w:pPr>
              <w:jc w:val="center"/>
              <w:rPr>
                <w:rFonts w:asciiTheme="majorHAnsi" w:hAnsiTheme="majorHAnsi" w:cs="Calibri"/>
                <w:color w:val="000000"/>
                <w:sz w:val="18"/>
                <w:szCs w:val="18"/>
              </w:rPr>
            </w:pPr>
            <w:r w:rsidRPr="002F6F2B">
              <w:rPr>
                <w:rFonts w:asciiTheme="majorHAnsi" w:hAnsiTheme="majorHAnsi" w:cs="Calibri"/>
                <w:color w:val="000000"/>
                <w:sz w:val="18"/>
                <w:szCs w:val="18"/>
              </w:rPr>
              <w:t>5.01</w:t>
            </w:r>
          </w:p>
        </w:tc>
        <w:tc>
          <w:tcPr>
            <w:tcW w:w="987" w:type="dxa"/>
            <w:gridSpan w:val="2"/>
            <w:tcBorders>
              <w:top w:val="nil"/>
              <w:left w:val="nil"/>
              <w:bottom w:val="single" w:sz="4" w:space="0" w:color="auto"/>
              <w:right w:val="single" w:sz="4" w:space="0" w:color="auto"/>
            </w:tcBorders>
            <w:vAlign w:val="center"/>
          </w:tcPr>
          <w:p w14:paraId="4A88CD06" w14:textId="501D6911" w:rsidR="002F6F2B" w:rsidRPr="002F6F2B" w:rsidRDefault="002F6F2B" w:rsidP="002F6F2B">
            <w:pPr>
              <w:jc w:val="center"/>
              <w:rPr>
                <w:rFonts w:asciiTheme="majorHAnsi" w:hAnsiTheme="majorHAnsi" w:cs="Calibri"/>
                <w:color w:val="000000"/>
                <w:sz w:val="18"/>
                <w:szCs w:val="18"/>
              </w:rPr>
            </w:pPr>
            <w:r w:rsidRPr="002F6F2B">
              <w:rPr>
                <w:rFonts w:asciiTheme="majorHAnsi" w:hAnsiTheme="majorHAnsi" w:cs="Calibri"/>
                <w:color w:val="000000"/>
                <w:sz w:val="18"/>
                <w:szCs w:val="18"/>
              </w:rPr>
              <w:t>4.82</w:t>
            </w:r>
          </w:p>
        </w:tc>
        <w:tc>
          <w:tcPr>
            <w:tcW w:w="927" w:type="dxa"/>
            <w:gridSpan w:val="2"/>
            <w:tcBorders>
              <w:top w:val="nil"/>
              <w:left w:val="nil"/>
              <w:bottom w:val="single" w:sz="4" w:space="0" w:color="auto"/>
              <w:right w:val="single" w:sz="4" w:space="0" w:color="auto"/>
            </w:tcBorders>
            <w:vAlign w:val="center"/>
          </w:tcPr>
          <w:p w14:paraId="7D2E3C16" w14:textId="2CD070DA" w:rsidR="002F6F2B" w:rsidRPr="002F6F2B" w:rsidRDefault="002F6F2B" w:rsidP="002F6F2B">
            <w:pPr>
              <w:jc w:val="center"/>
              <w:rPr>
                <w:rFonts w:asciiTheme="majorHAnsi" w:hAnsiTheme="majorHAnsi" w:cs="Calibri"/>
                <w:color w:val="000000"/>
                <w:sz w:val="18"/>
                <w:szCs w:val="18"/>
              </w:rPr>
            </w:pPr>
            <w:r w:rsidRPr="002F6F2B">
              <w:rPr>
                <w:rFonts w:asciiTheme="majorHAnsi" w:hAnsiTheme="majorHAnsi" w:cs="Calibri"/>
                <w:color w:val="000000"/>
                <w:sz w:val="18"/>
                <w:szCs w:val="18"/>
              </w:rPr>
              <w:t>12.58</w:t>
            </w:r>
          </w:p>
        </w:tc>
        <w:tc>
          <w:tcPr>
            <w:tcW w:w="864" w:type="dxa"/>
            <w:tcBorders>
              <w:top w:val="nil"/>
              <w:left w:val="nil"/>
              <w:bottom w:val="single" w:sz="4" w:space="0" w:color="auto"/>
              <w:right w:val="single" w:sz="4" w:space="0" w:color="auto"/>
            </w:tcBorders>
            <w:vAlign w:val="center"/>
          </w:tcPr>
          <w:p w14:paraId="71C4212F" w14:textId="5C3AC822" w:rsidR="002F6F2B" w:rsidRPr="002F6F2B" w:rsidRDefault="002F6F2B" w:rsidP="002F6F2B">
            <w:pPr>
              <w:jc w:val="center"/>
              <w:rPr>
                <w:rFonts w:asciiTheme="majorHAnsi" w:hAnsiTheme="majorHAnsi" w:cs="Calibri"/>
                <w:color w:val="000000"/>
                <w:sz w:val="18"/>
                <w:szCs w:val="18"/>
              </w:rPr>
            </w:pPr>
            <w:r w:rsidRPr="002F6F2B">
              <w:rPr>
                <w:rFonts w:asciiTheme="majorHAnsi" w:hAnsiTheme="majorHAnsi" w:cs="Calibri"/>
                <w:color w:val="000000"/>
                <w:sz w:val="18"/>
                <w:szCs w:val="18"/>
              </w:rPr>
              <w:t>0.19</w:t>
            </w:r>
          </w:p>
        </w:tc>
      </w:tr>
      <w:tr w:rsidR="002F6F2B" w:rsidRPr="00B95FED" w14:paraId="4ECA2C21" w14:textId="77777777" w:rsidTr="00304420">
        <w:trPr>
          <w:trHeight w:val="224"/>
          <w:jc w:val="center"/>
        </w:trPr>
        <w:tc>
          <w:tcPr>
            <w:tcW w:w="1271" w:type="dxa"/>
            <w:vMerge/>
            <w:tcBorders>
              <w:top w:val="nil"/>
              <w:left w:val="single" w:sz="4" w:space="0" w:color="auto"/>
              <w:bottom w:val="single" w:sz="4" w:space="0" w:color="auto"/>
              <w:right w:val="single" w:sz="4" w:space="0" w:color="auto"/>
            </w:tcBorders>
            <w:vAlign w:val="center"/>
            <w:hideMark/>
          </w:tcPr>
          <w:p w14:paraId="26FAF8F5" w14:textId="77777777" w:rsidR="002F6F2B" w:rsidRPr="00B95FED" w:rsidRDefault="002F6F2B" w:rsidP="002F6F2B">
            <w:pPr>
              <w:rPr>
                <w:rFonts w:ascii="Cambria" w:hAnsi="Cambria" w:cs="Calibri"/>
                <w:b/>
                <w:bCs/>
                <w:color w:val="000000"/>
                <w:sz w:val="18"/>
                <w:szCs w:val="18"/>
                <w:lang w:val="en-IN" w:eastAsia="en-IN"/>
              </w:rPr>
            </w:pPr>
          </w:p>
        </w:tc>
        <w:tc>
          <w:tcPr>
            <w:tcW w:w="1985" w:type="dxa"/>
            <w:tcBorders>
              <w:top w:val="nil"/>
              <w:left w:val="nil"/>
              <w:bottom w:val="single" w:sz="4" w:space="0" w:color="auto"/>
              <w:right w:val="single" w:sz="4" w:space="0" w:color="auto"/>
            </w:tcBorders>
            <w:vAlign w:val="center"/>
            <w:hideMark/>
          </w:tcPr>
          <w:p w14:paraId="052DA6AD" w14:textId="77777777" w:rsidR="002F6F2B" w:rsidRPr="00B95FED" w:rsidRDefault="002F6F2B" w:rsidP="002F6F2B">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TOTAL</w:t>
            </w:r>
          </w:p>
        </w:tc>
        <w:tc>
          <w:tcPr>
            <w:tcW w:w="1110" w:type="dxa"/>
            <w:tcBorders>
              <w:top w:val="nil"/>
              <w:left w:val="nil"/>
              <w:bottom w:val="single" w:sz="4" w:space="0" w:color="auto"/>
              <w:right w:val="single" w:sz="4" w:space="0" w:color="auto"/>
            </w:tcBorders>
            <w:vAlign w:val="center"/>
            <w:hideMark/>
          </w:tcPr>
          <w:p w14:paraId="435FDBE4" w14:textId="24AA0093" w:rsidR="002F6F2B" w:rsidRPr="002F6F2B" w:rsidRDefault="002F6F2B" w:rsidP="002F6F2B">
            <w:pPr>
              <w:jc w:val="center"/>
              <w:rPr>
                <w:rFonts w:asciiTheme="majorHAnsi" w:hAnsiTheme="majorHAnsi" w:cs="Calibri"/>
                <w:b/>
                <w:bCs/>
                <w:color w:val="FF0000"/>
                <w:sz w:val="18"/>
                <w:szCs w:val="18"/>
                <w:lang w:val="en-IN" w:eastAsia="en-IN"/>
              </w:rPr>
            </w:pPr>
            <w:r w:rsidRPr="002F6F2B">
              <w:rPr>
                <w:rFonts w:asciiTheme="majorHAnsi" w:hAnsiTheme="majorHAnsi" w:cs="Calibri"/>
                <w:b/>
                <w:bCs/>
                <w:color w:val="000000"/>
                <w:sz w:val="18"/>
                <w:szCs w:val="18"/>
              </w:rPr>
              <w:t>173.69</w:t>
            </w:r>
          </w:p>
        </w:tc>
        <w:tc>
          <w:tcPr>
            <w:tcW w:w="894" w:type="dxa"/>
            <w:tcBorders>
              <w:top w:val="nil"/>
              <w:left w:val="nil"/>
              <w:bottom w:val="single" w:sz="4" w:space="0" w:color="auto"/>
              <w:right w:val="single" w:sz="4" w:space="0" w:color="auto"/>
            </w:tcBorders>
            <w:vAlign w:val="center"/>
            <w:hideMark/>
          </w:tcPr>
          <w:p w14:paraId="4F8397A3" w14:textId="6D96B0BB" w:rsidR="002F6F2B" w:rsidRPr="002F6F2B" w:rsidRDefault="002F6F2B" w:rsidP="002F6F2B">
            <w:pPr>
              <w:jc w:val="center"/>
              <w:rPr>
                <w:rFonts w:asciiTheme="majorHAnsi" w:hAnsiTheme="majorHAnsi" w:cs="Calibri"/>
                <w:b/>
                <w:bCs/>
                <w:color w:val="000000"/>
                <w:sz w:val="18"/>
                <w:szCs w:val="18"/>
                <w:lang w:val="en-IN" w:eastAsia="en-IN"/>
              </w:rPr>
            </w:pPr>
            <w:r w:rsidRPr="002F6F2B">
              <w:rPr>
                <w:rFonts w:asciiTheme="majorHAnsi" w:hAnsiTheme="majorHAnsi" w:cs="Calibri"/>
                <w:b/>
                <w:bCs/>
                <w:color w:val="000000"/>
                <w:sz w:val="18"/>
                <w:szCs w:val="18"/>
              </w:rPr>
              <w:t>0.00</w:t>
            </w:r>
          </w:p>
        </w:tc>
        <w:tc>
          <w:tcPr>
            <w:tcW w:w="1171" w:type="dxa"/>
            <w:tcBorders>
              <w:top w:val="nil"/>
              <w:left w:val="nil"/>
              <w:bottom w:val="single" w:sz="4" w:space="0" w:color="auto"/>
              <w:right w:val="single" w:sz="4" w:space="0" w:color="auto"/>
            </w:tcBorders>
            <w:vAlign w:val="center"/>
            <w:hideMark/>
          </w:tcPr>
          <w:p w14:paraId="065D31F1" w14:textId="28770CFC" w:rsidR="002F6F2B" w:rsidRPr="002F6F2B" w:rsidRDefault="002F6F2B" w:rsidP="002F6F2B">
            <w:pPr>
              <w:jc w:val="center"/>
              <w:rPr>
                <w:rFonts w:asciiTheme="majorHAnsi" w:hAnsiTheme="majorHAnsi" w:cs="Calibri"/>
                <w:b/>
                <w:bCs/>
                <w:color w:val="000000"/>
                <w:sz w:val="18"/>
                <w:szCs w:val="18"/>
                <w:lang w:val="en-IN" w:eastAsia="en-IN"/>
              </w:rPr>
            </w:pPr>
            <w:r w:rsidRPr="002F6F2B">
              <w:rPr>
                <w:rFonts w:asciiTheme="majorHAnsi" w:hAnsiTheme="majorHAnsi" w:cs="Calibri"/>
                <w:b/>
                <w:bCs/>
                <w:color w:val="000000"/>
                <w:sz w:val="18"/>
                <w:szCs w:val="18"/>
              </w:rPr>
              <w:t>173.69</w:t>
            </w:r>
          </w:p>
        </w:tc>
        <w:tc>
          <w:tcPr>
            <w:tcW w:w="992" w:type="dxa"/>
            <w:gridSpan w:val="2"/>
            <w:tcBorders>
              <w:top w:val="nil"/>
              <w:left w:val="nil"/>
              <w:bottom w:val="single" w:sz="4" w:space="0" w:color="auto"/>
              <w:right w:val="single" w:sz="4" w:space="0" w:color="auto"/>
            </w:tcBorders>
            <w:vAlign w:val="center"/>
            <w:hideMark/>
          </w:tcPr>
          <w:p w14:paraId="4051A957" w14:textId="1A60DC53" w:rsidR="002F6F2B" w:rsidRPr="002F6F2B" w:rsidRDefault="002F6F2B" w:rsidP="002F6F2B">
            <w:pPr>
              <w:jc w:val="center"/>
              <w:rPr>
                <w:rFonts w:asciiTheme="majorHAnsi" w:hAnsiTheme="majorHAnsi" w:cs="Calibri"/>
                <w:b/>
                <w:bCs/>
                <w:color w:val="000000"/>
                <w:sz w:val="18"/>
                <w:szCs w:val="18"/>
                <w:lang w:val="en-IN" w:eastAsia="en-IN"/>
              </w:rPr>
            </w:pPr>
            <w:r w:rsidRPr="002F6F2B">
              <w:rPr>
                <w:rFonts w:asciiTheme="majorHAnsi" w:hAnsiTheme="majorHAnsi" w:cs="Calibri"/>
                <w:b/>
                <w:bCs/>
                <w:color w:val="000000"/>
                <w:sz w:val="18"/>
                <w:szCs w:val="18"/>
              </w:rPr>
              <w:t>96.77</w:t>
            </w:r>
          </w:p>
        </w:tc>
        <w:tc>
          <w:tcPr>
            <w:tcW w:w="987" w:type="dxa"/>
            <w:gridSpan w:val="2"/>
            <w:tcBorders>
              <w:top w:val="nil"/>
              <w:left w:val="nil"/>
              <w:bottom w:val="single" w:sz="4" w:space="0" w:color="auto"/>
              <w:right w:val="single" w:sz="4" w:space="0" w:color="auto"/>
            </w:tcBorders>
            <w:vAlign w:val="center"/>
            <w:hideMark/>
          </w:tcPr>
          <w:p w14:paraId="17DA50B0" w14:textId="0CB790BB" w:rsidR="002F6F2B" w:rsidRPr="002F6F2B" w:rsidRDefault="002F6F2B" w:rsidP="002F6F2B">
            <w:pPr>
              <w:jc w:val="center"/>
              <w:rPr>
                <w:rFonts w:asciiTheme="majorHAnsi" w:hAnsiTheme="majorHAnsi" w:cs="Calibri"/>
                <w:b/>
                <w:bCs/>
                <w:color w:val="000000"/>
                <w:sz w:val="18"/>
                <w:szCs w:val="18"/>
                <w:lang w:val="en-IN" w:eastAsia="en-IN"/>
              </w:rPr>
            </w:pPr>
            <w:r w:rsidRPr="002F6F2B">
              <w:rPr>
                <w:rFonts w:asciiTheme="majorHAnsi" w:hAnsiTheme="majorHAnsi" w:cs="Calibri"/>
                <w:b/>
                <w:bCs/>
                <w:color w:val="000000"/>
                <w:sz w:val="18"/>
                <w:szCs w:val="18"/>
              </w:rPr>
              <w:t>11.40</w:t>
            </w:r>
          </w:p>
        </w:tc>
        <w:tc>
          <w:tcPr>
            <w:tcW w:w="927" w:type="dxa"/>
            <w:gridSpan w:val="2"/>
            <w:tcBorders>
              <w:top w:val="nil"/>
              <w:left w:val="nil"/>
              <w:bottom w:val="single" w:sz="4" w:space="0" w:color="auto"/>
              <w:right w:val="single" w:sz="4" w:space="0" w:color="auto"/>
            </w:tcBorders>
            <w:vAlign w:val="center"/>
            <w:hideMark/>
          </w:tcPr>
          <w:p w14:paraId="2D5640DD" w14:textId="75E4D1C7" w:rsidR="002F6F2B" w:rsidRPr="002F6F2B" w:rsidRDefault="002F6F2B" w:rsidP="002F6F2B">
            <w:pPr>
              <w:jc w:val="center"/>
              <w:rPr>
                <w:rFonts w:asciiTheme="majorHAnsi" w:hAnsiTheme="majorHAnsi" w:cs="Calibri"/>
                <w:b/>
                <w:bCs/>
                <w:color w:val="000000"/>
                <w:sz w:val="18"/>
                <w:szCs w:val="18"/>
                <w:lang w:val="en-IN" w:eastAsia="en-IN"/>
              </w:rPr>
            </w:pPr>
            <w:r w:rsidRPr="002F6F2B">
              <w:rPr>
                <w:rFonts w:asciiTheme="majorHAnsi" w:hAnsiTheme="majorHAnsi" w:cs="Calibri"/>
                <w:b/>
                <w:bCs/>
                <w:color w:val="000000"/>
                <w:sz w:val="18"/>
                <w:szCs w:val="18"/>
              </w:rPr>
              <w:t>76.92</w:t>
            </w:r>
          </w:p>
        </w:tc>
        <w:tc>
          <w:tcPr>
            <w:tcW w:w="864" w:type="dxa"/>
            <w:tcBorders>
              <w:top w:val="nil"/>
              <w:left w:val="nil"/>
              <w:bottom w:val="single" w:sz="4" w:space="0" w:color="auto"/>
              <w:right w:val="single" w:sz="4" w:space="0" w:color="auto"/>
            </w:tcBorders>
            <w:vAlign w:val="center"/>
            <w:hideMark/>
          </w:tcPr>
          <w:p w14:paraId="6103185A" w14:textId="4392B417" w:rsidR="002F6F2B" w:rsidRPr="002F6F2B" w:rsidRDefault="002F6F2B" w:rsidP="002F6F2B">
            <w:pPr>
              <w:jc w:val="center"/>
              <w:rPr>
                <w:rFonts w:asciiTheme="majorHAnsi" w:hAnsiTheme="majorHAnsi" w:cs="Calibri"/>
                <w:b/>
                <w:bCs/>
                <w:color w:val="000000"/>
                <w:sz w:val="18"/>
                <w:szCs w:val="18"/>
                <w:lang w:val="en-IN" w:eastAsia="en-IN"/>
              </w:rPr>
            </w:pPr>
            <w:r w:rsidRPr="002F6F2B">
              <w:rPr>
                <w:rFonts w:asciiTheme="majorHAnsi" w:hAnsiTheme="majorHAnsi" w:cs="Calibri"/>
                <w:b/>
                <w:bCs/>
                <w:color w:val="000000"/>
                <w:sz w:val="18"/>
                <w:szCs w:val="18"/>
              </w:rPr>
              <w:t>85.37</w:t>
            </w:r>
          </w:p>
        </w:tc>
      </w:tr>
      <w:tr w:rsidR="00015D5B" w:rsidRPr="00B95FED" w14:paraId="05E1A175" w14:textId="77777777" w:rsidTr="00304420">
        <w:trPr>
          <w:trHeight w:val="675"/>
          <w:jc w:val="center"/>
        </w:trPr>
        <w:tc>
          <w:tcPr>
            <w:tcW w:w="1271" w:type="dxa"/>
            <w:vMerge w:val="restart"/>
            <w:tcBorders>
              <w:top w:val="nil"/>
              <w:left w:val="single" w:sz="4" w:space="0" w:color="auto"/>
              <w:bottom w:val="single" w:sz="4" w:space="0" w:color="auto"/>
              <w:right w:val="single" w:sz="4" w:space="0" w:color="auto"/>
            </w:tcBorders>
            <w:vAlign w:val="center"/>
            <w:hideMark/>
          </w:tcPr>
          <w:p w14:paraId="3D0BDC5C" w14:textId="77777777" w:rsidR="00015D5B" w:rsidRPr="00B95FED" w:rsidRDefault="00015D5B" w:rsidP="00015D5B">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Load Growth</w:t>
            </w:r>
          </w:p>
        </w:tc>
        <w:tc>
          <w:tcPr>
            <w:tcW w:w="1985" w:type="dxa"/>
            <w:tcBorders>
              <w:top w:val="nil"/>
              <w:left w:val="nil"/>
              <w:bottom w:val="single" w:sz="4" w:space="0" w:color="auto"/>
              <w:right w:val="single" w:sz="4" w:space="0" w:color="auto"/>
            </w:tcBorders>
            <w:vAlign w:val="center"/>
            <w:hideMark/>
          </w:tcPr>
          <w:p w14:paraId="0B117E41" w14:textId="77777777" w:rsidR="00015D5B" w:rsidRPr="00B95FED" w:rsidRDefault="00015D5B" w:rsidP="00015D5B">
            <w:pPr>
              <w:rPr>
                <w:rFonts w:ascii="Cambria" w:hAnsi="Cambria" w:cs="Calibri"/>
                <w:color w:val="000000"/>
                <w:sz w:val="18"/>
                <w:szCs w:val="18"/>
                <w:lang w:val="en-IN" w:eastAsia="en-IN"/>
              </w:rPr>
            </w:pPr>
            <w:r w:rsidRPr="00B95FED">
              <w:rPr>
                <w:rFonts w:ascii="Cambria" w:hAnsi="Cambria" w:cs="Calibri"/>
                <w:color w:val="000000"/>
                <w:sz w:val="18"/>
                <w:szCs w:val="18"/>
                <w:lang w:val="en-IN" w:eastAsia="en-IN"/>
              </w:rPr>
              <w:t>Network Enhancement/unforeseen Emergency</w:t>
            </w:r>
          </w:p>
        </w:tc>
        <w:tc>
          <w:tcPr>
            <w:tcW w:w="1110" w:type="dxa"/>
            <w:tcBorders>
              <w:top w:val="nil"/>
              <w:left w:val="nil"/>
              <w:bottom w:val="single" w:sz="4" w:space="0" w:color="auto"/>
              <w:right w:val="single" w:sz="4" w:space="0" w:color="auto"/>
            </w:tcBorders>
            <w:vAlign w:val="center"/>
            <w:hideMark/>
          </w:tcPr>
          <w:p w14:paraId="39254C5F" w14:textId="6B62A91E" w:rsidR="00015D5B" w:rsidRPr="00015D5B" w:rsidRDefault="00015D5B" w:rsidP="00015D5B">
            <w:pPr>
              <w:jc w:val="center"/>
              <w:rPr>
                <w:rFonts w:asciiTheme="majorHAnsi" w:hAnsiTheme="majorHAnsi" w:cs="Calibri"/>
                <w:color w:val="FF0000"/>
                <w:sz w:val="18"/>
                <w:szCs w:val="18"/>
                <w:lang w:val="en-IN" w:eastAsia="en-IN"/>
              </w:rPr>
            </w:pPr>
            <w:r w:rsidRPr="00015D5B">
              <w:rPr>
                <w:rFonts w:asciiTheme="majorHAnsi" w:hAnsiTheme="majorHAnsi" w:cs="Calibri"/>
                <w:color w:val="000000"/>
                <w:sz w:val="18"/>
                <w:szCs w:val="18"/>
              </w:rPr>
              <w:t>208.27</w:t>
            </w:r>
          </w:p>
        </w:tc>
        <w:tc>
          <w:tcPr>
            <w:tcW w:w="894" w:type="dxa"/>
            <w:tcBorders>
              <w:top w:val="nil"/>
              <w:left w:val="nil"/>
              <w:bottom w:val="single" w:sz="4" w:space="0" w:color="auto"/>
              <w:right w:val="single" w:sz="4" w:space="0" w:color="auto"/>
            </w:tcBorders>
            <w:vAlign w:val="center"/>
            <w:hideMark/>
          </w:tcPr>
          <w:p w14:paraId="66EF9A4C" w14:textId="47E626BE" w:rsidR="00015D5B" w:rsidRPr="00015D5B" w:rsidRDefault="00015D5B" w:rsidP="00015D5B">
            <w:pPr>
              <w:jc w:val="center"/>
              <w:rPr>
                <w:rFonts w:asciiTheme="majorHAnsi" w:hAnsiTheme="majorHAnsi" w:cs="Calibri"/>
                <w:color w:val="000000"/>
                <w:sz w:val="18"/>
                <w:szCs w:val="18"/>
                <w:lang w:val="en-IN" w:eastAsia="en-IN"/>
              </w:rPr>
            </w:pPr>
            <w:r w:rsidRPr="00015D5B">
              <w:rPr>
                <w:rFonts w:asciiTheme="majorHAnsi" w:hAnsiTheme="majorHAnsi" w:cs="Calibri"/>
                <w:color w:val="000000"/>
                <w:sz w:val="18"/>
                <w:szCs w:val="18"/>
              </w:rPr>
              <w:t>0.00</w:t>
            </w:r>
          </w:p>
        </w:tc>
        <w:tc>
          <w:tcPr>
            <w:tcW w:w="1171" w:type="dxa"/>
            <w:tcBorders>
              <w:top w:val="nil"/>
              <w:left w:val="nil"/>
              <w:bottom w:val="single" w:sz="4" w:space="0" w:color="auto"/>
              <w:right w:val="single" w:sz="4" w:space="0" w:color="auto"/>
            </w:tcBorders>
            <w:vAlign w:val="center"/>
            <w:hideMark/>
          </w:tcPr>
          <w:p w14:paraId="10FF41E2" w14:textId="50C5CAFC" w:rsidR="00015D5B" w:rsidRPr="00015D5B" w:rsidRDefault="00015D5B" w:rsidP="00015D5B">
            <w:pPr>
              <w:jc w:val="center"/>
              <w:rPr>
                <w:rFonts w:asciiTheme="majorHAnsi" w:hAnsiTheme="majorHAnsi" w:cs="Calibri"/>
                <w:color w:val="000000"/>
                <w:sz w:val="18"/>
                <w:szCs w:val="18"/>
                <w:lang w:val="en-IN" w:eastAsia="en-IN"/>
              </w:rPr>
            </w:pPr>
            <w:r w:rsidRPr="00015D5B">
              <w:rPr>
                <w:rFonts w:asciiTheme="majorHAnsi" w:hAnsiTheme="majorHAnsi" w:cs="Calibri"/>
                <w:color w:val="000000"/>
                <w:sz w:val="18"/>
                <w:szCs w:val="18"/>
              </w:rPr>
              <w:t>208.27</w:t>
            </w:r>
          </w:p>
        </w:tc>
        <w:tc>
          <w:tcPr>
            <w:tcW w:w="992" w:type="dxa"/>
            <w:gridSpan w:val="2"/>
            <w:tcBorders>
              <w:top w:val="nil"/>
              <w:left w:val="nil"/>
              <w:bottom w:val="single" w:sz="4" w:space="0" w:color="auto"/>
              <w:right w:val="single" w:sz="4" w:space="0" w:color="auto"/>
            </w:tcBorders>
            <w:vAlign w:val="center"/>
            <w:hideMark/>
          </w:tcPr>
          <w:p w14:paraId="2B8F40A3" w14:textId="29C10D8A" w:rsidR="00015D5B" w:rsidRPr="00015D5B" w:rsidRDefault="00015D5B" w:rsidP="00015D5B">
            <w:pPr>
              <w:jc w:val="center"/>
              <w:rPr>
                <w:rFonts w:asciiTheme="majorHAnsi" w:hAnsiTheme="majorHAnsi" w:cs="Calibri"/>
                <w:color w:val="000000"/>
                <w:sz w:val="18"/>
                <w:szCs w:val="18"/>
                <w:lang w:val="en-IN" w:eastAsia="en-IN"/>
              </w:rPr>
            </w:pPr>
            <w:r w:rsidRPr="00015D5B">
              <w:rPr>
                <w:rFonts w:asciiTheme="majorHAnsi" w:hAnsiTheme="majorHAnsi" w:cs="Calibri"/>
                <w:color w:val="000000"/>
                <w:sz w:val="18"/>
                <w:szCs w:val="18"/>
              </w:rPr>
              <w:t>168.49</w:t>
            </w:r>
          </w:p>
        </w:tc>
        <w:tc>
          <w:tcPr>
            <w:tcW w:w="987" w:type="dxa"/>
            <w:gridSpan w:val="2"/>
            <w:tcBorders>
              <w:top w:val="nil"/>
              <w:left w:val="nil"/>
              <w:bottom w:val="single" w:sz="4" w:space="0" w:color="auto"/>
              <w:right w:val="single" w:sz="4" w:space="0" w:color="auto"/>
            </w:tcBorders>
            <w:vAlign w:val="center"/>
            <w:hideMark/>
          </w:tcPr>
          <w:p w14:paraId="31AF7645" w14:textId="718B0E27" w:rsidR="00015D5B" w:rsidRPr="00015D5B" w:rsidRDefault="00015D5B" w:rsidP="00015D5B">
            <w:pPr>
              <w:jc w:val="center"/>
              <w:rPr>
                <w:rFonts w:asciiTheme="majorHAnsi" w:hAnsiTheme="majorHAnsi" w:cs="Calibri"/>
                <w:color w:val="000000"/>
                <w:sz w:val="18"/>
                <w:szCs w:val="18"/>
                <w:lang w:val="en-IN" w:eastAsia="en-IN"/>
              </w:rPr>
            </w:pPr>
            <w:r w:rsidRPr="00015D5B">
              <w:rPr>
                <w:rFonts w:asciiTheme="majorHAnsi" w:hAnsiTheme="majorHAnsi" w:cs="Calibri"/>
                <w:color w:val="000000"/>
                <w:sz w:val="18"/>
                <w:szCs w:val="18"/>
              </w:rPr>
              <w:t>18.89</w:t>
            </w:r>
          </w:p>
        </w:tc>
        <w:tc>
          <w:tcPr>
            <w:tcW w:w="927" w:type="dxa"/>
            <w:gridSpan w:val="2"/>
            <w:tcBorders>
              <w:top w:val="nil"/>
              <w:left w:val="nil"/>
              <w:bottom w:val="single" w:sz="4" w:space="0" w:color="auto"/>
              <w:right w:val="single" w:sz="4" w:space="0" w:color="auto"/>
            </w:tcBorders>
            <w:vAlign w:val="center"/>
            <w:hideMark/>
          </w:tcPr>
          <w:p w14:paraId="335912BA" w14:textId="7E6AC58C" w:rsidR="00015D5B" w:rsidRPr="00015D5B" w:rsidRDefault="00015D5B" w:rsidP="00015D5B">
            <w:pPr>
              <w:jc w:val="center"/>
              <w:rPr>
                <w:rFonts w:asciiTheme="majorHAnsi" w:hAnsiTheme="majorHAnsi" w:cs="Calibri"/>
                <w:color w:val="000000"/>
                <w:sz w:val="18"/>
                <w:szCs w:val="18"/>
                <w:lang w:val="en-IN" w:eastAsia="en-IN"/>
              </w:rPr>
            </w:pPr>
            <w:r w:rsidRPr="00015D5B">
              <w:rPr>
                <w:rFonts w:asciiTheme="majorHAnsi" w:hAnsiTheme="majorHAnsi" w:cs="Calibri"/>
                <w:color w:val="000000"/>
                <w:sz w:val="18"/>
                <w:szCs w:val="18"/>
              </w:rPr>
              <w:t>39.78</w:t>
            </w:r>
          </w:p>
        </w:tc>
        <w:tc>
          <w:tcPr>
            <w:tcW w:w="864" w:type="dxa"/>
            <w:tcBorders>
              <w:top w:val="nil"/>
              <w:left w:val="nil"/>
              <w:bottom w:val="single" w:sz="4" w:space="0" w:color="auto"/>
              <w:right w:val="single" w:sz="4" w:space="0" w:color="auto"/>
            </w:tcBorders>
            <w:vAlign w:val="center"/>
            <w:hideMark/>
          </w:tcPr>
          <w:p w14:paraId="7B30455B" w14:textId="13594344" w:rsidR="00015D5B" w:rsidRPr="00015D5B" w:rsidRDefault="00015D5B" w:rsidP="00015D5B">
            <w:pPr>
              <w:jc w:val="center"/>
              <w:rPr>
                <w:rFonts w:asciiTheme="majorHAnsi" w:hAnsiTheme="majorHAnsi" w:cs="Calibri"/>
                <w:color w:val="000000"/>
                <w:sz w:val="18"/>
                <w:szCs w:val="18"/>
                <w:lang w:val="en-IN" w:eastAsia="en-IN"/>
              </w:rPr>
            </w:pPr>
            <w:r w:rsidRPr="00015D5B">
              <w:rPr>
                <w:rFonts w:asciiTheme="majorHAnsi" w:hAnsiTheme="majorHAnsi" w:cs="Calibri"/>
                <w:color w:val="000000"/>
                <w:sz w:val="18"/>
                <w:szCs w:val="18"/>
              </w:rPr>
              <w:t>149.60</w:t>
            </w:r>
          </w:p>
        </w:tc>
      </w:tr>
      <w:tr w:rsidR="00015D5B" w:rsidRPr="00B95FED" w14:paraId="7007F8AA" w14:textId="77777777" w:rsidTr="00304420">
        <w:trPr>
          <w:trHeight w:val="224"/>
          <w:jc w:val="center"/>
        </w:trPr>
        <w:tc>
          <w:tcPr>
            <w:tcW w:w="1271" w:type="dxa"/>
            <w:vMerge/>
            <w:tcBorders>
              <w:top w:val="nil"/>
              <w:left w:val="single" w:sz="4" w:space="0" w:color="auto"/>
              <w:bottom w:val="single" w:sz="4" w:space="0" w:color="auto"/>
              <w:right w:val="single" w:sz="4" w:space="0" w:color="auto"/>
            </w:tcBorders>
            <w:vAlign w:val="center"/>
            <w:hideMark/>
          </w:tcPr>
          <w:p w14:paraId="3BFBC079" w14:textId="77777777" w:rsidR="00015D5B" w:rsidRPr="00B95FED" w:rsidRDefault="00015D5B" w:rsidP="00015D5B">
            <w:pPr>
              <w:rPr>
                <w:rFonts w:ascii="Cambria" w:hAnsi="Cambria" w:cs="Calibri"/>
                <w:b/>
                <w:bCs/>
                <w:color w:val="000000"/>
                <w:sz w:val="18"/>
                <w:szCs w:val="18"/>
                <w:lang w:val="en-IN" w:eastAsia="en-IN"/>
              </w:rPr>
            </w:pPr>
          </w:p>
        </w:tc>
        <w:tc>
          <w:tcPr>
            <w:tcW w:w="1985" w:type="dxa"/>
            <w:tcBorders>
              <w:top w:val="nil"/>
              <w:left w:val="nil"/>
              <w:bottom w:val="single" w:sz="4" w:space="0" w:color="auto"/>
              <w:right w:val="single" w:sz="4" w:space="0" w:color="auto"/>
            </w:tcBorders>
            <w:vAlign w:val="center"/>
            <w:hideMark/>
          </w:tcPr>
          <w:p w14:paraId="4413B9EC" w14:textId="77777777" w:rsidR="00015D5B" w:rsidRPr="00B95FED" w:rsidRDefault="00015D5B" w:rsidP="00015D5B">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TOTAL</w:t>
            </w:r>
          </w:p>
        </w:tc>
        <w:tc>
          <w:tcPr>
            <w:tcW w:w="1110" w:type="dxa"/>
            <w:tcBorders>
              <w:top w:val="nil"/>
              <w:left w:val="nil"/>
              <w:bottom w:val="single" w:sz="4" w:space="0" w:color="auto"/>
              <w:right w:val="single" w:sz="4" w:space="0" w:color="auto"/>
            </w:tcBorders>
            <w:vAlign w:val="center"/>
            <w:hideMark/>
          </w:tcPr>
          <w:p w14:paraId="43D07604" w14:textId="706F5B59" w:rsidR="00015D5B" w:rsidRPr="00015D5B" w:rsidRDefault="00015D5B" w:rsidP="00015D5B">
            <w:pPr>
              <w:jc w:val="center"/>
              <w:rPr>
                <w:rFonts w:asciiTheme="majorHAnsi" w:hAnsiTheme="majorHAnsi" w:cs="Calibri"/>
                <w:b/>
                <w:bCs/>
                <w:color w:val="FF0000"/>
                <w:sz w:val="18"/>
                <w:szCs w:val="18"/>
                <w:lang w:val="en-IN" w:eastAsia="en-IN"/>
              </w:rPr>
            </w:pPr>
            <w:r w:rsidRPr="00015D5B">
              <w:rPr>
                <w:rFonts w:asciiTheme="majorHAnsi" w:hAnsiTheme="majorHAnsi" w:cs="Calibri"/>
                <w:b/>
                <w:bCs/>
                <w:color w:val="000000"/>
                <w:sz w:val="18"/>
                <w:szCs w:val="18"/>
              </w:rPr>
              <w:t>208.27</w:t>
            </w:r>
          </w:p>
        </w:tc>
        <w:tc>
          <w:tcPr>
            <w:tcW w:w="894" w:type="dxa"/>
            <w:tcBorders>
              <w:top w:val="nil"/>
              <w:left w:val="nil"/>
              <w:bottom w:val="single" w:sz="4" w:space="0" w:color="auto"/>
              <w:right w:val="single" w:sz="4" w:space="0" w:color="auto"/>
            </w:tcBorders>
            <w:vAlign w:val="center"/>
            <w:hideMark/>
          </w:tcPr>
          <w:p w14:paraId="2F4C44C8" w14:textId="3F84258C" w:rsidR="00015D5B" w:rsidRPr="00015D5B" w:rsidRDefault="00015D5B" w:rsidP="00015D5B">
            <w:pPr>
              <w:jc w:val="center"/>
              <w:rPr>
                <w:rFonts w:asciiTheme="majorHAnsi" w:hAnsiTheme="majorHAnsi" w:cs="Calibri"/>
                <w:b/>
                <w:bCs/>
                <w:color w:val="000000"/>
                <w:sz w:val="18"/>
                <w:szCs w:val="18"/>
                <w:lang w:val="en-IN" w:eastAsia="en-IN"/>
              </w:rPr>
            </w:pPr>
            <w:r w:rsidRPr="00015D5B">
              <w:rPr>
                <w:rFonts w:asciiTheme="majorHAnsi" w:hAnsiTheme="majorHAnsi" w:cs="Calibri"/>
                <w:b/>
                <w:bCs/>
                <w:color w:val="000000"/>
                <w:sz w:val="18"/>
                <w:szCs w:val="18"/>
              </w:rPr>
              <w:t>0.00</w:t>
            </w:r>
          </w:p>
        </w:tc>
        <w:tc>
          <w:tcPr>
            <w:tcW w:w="1171" w:type="dxa"/>
            <w:tcBorders>
              <w:top w:val="nil"/>
              <w:left w:val="nil"/>
              <w:bottom w:val="single" w:sz="4" w:space="0" w:color="auto"/>
              <w:right w:val="single" w:sz="4" w:space="0" w:color="auto"/>
            </w:tcBorders>
            <w:vAlign w:val="center"/>
            <w:hideMark/>
          </w:tcPr>
          <w:p w14:paraId="1BF77185" w14:textId="05ED2AD7" w:rsidR="00015D5B" w:rsidRPr="00015D5B" w:rsidRDefault="00015D5B" w:rsidP="00015D5B">
            <w:pPr>
              <w:jc w:val="center"/>
              <w:rPr>
                <w:rFonts w:asciiTheme="majorHAnsi" w:hAnsiTheme="majorHAnsi" w:cs="Calibri"/>
                <w:b/>
                <w:bCs/>
                <w:color w:val="000000"/>
                <w:sz w:val="18"/>
                <w:szCs w:val="18"/>
                <w:lang w:val="en-IN" w:eastAsia="en-IN"/>
              </w:rPr>
            </w:pPr>
            <w:r w:rsidRPr="00015D5B">
              <w:rPr>
                <w:rFonts w:asciiTheme="majorHAnsi" w:hAnsiTheme="majorHAnsi" w:cs="Calibri"/>
                <w:b/>
                <w:bCs/>
                <w:color w:val="000000"/>
                <w:sz w:val="18"/>
                <w:szCs w:val="18"/>
              </w:rPr>
              <w:t>208.27</w:t>
            </w:r>
          </w:p>
        </w:tc>
        <w:tc>
          <w:tcPr>
            <w:tcW w:w="992" w:type="dxa"/>
            <w:gridSpan w:val="2"/>
            <w:tcBorders>
              <w:top w:val="nil"/>
              <w:left w:val="nil"/>
              <w:bottom w:val="single" w:sz="4" w:space="0" w:color="auto"/>
              <w:right w:val="single" w:sz="4" w:space="0" w:color="auto"/>
            </w:tcBorders>
            <w:vAlign w:val="center"/>
            <w:hideMark/>
          </w:tcPr>
          <w:p w14:paraId="7ECAAC04" w14:textId="3A5AC121" w:rsidR="00015D5B" w:rsidRPr="00015D5B" w:rsidRDefault="00015D5B" w:rsidP="00015D5B">
            <w:pPr>
              <w:jc w:val="center"/>
              <w:rPr>
                <w:rFonts w:asciiTheme="majorHAnsi" w:hAnsiTheme="majorHAnsi" w:cs="Calibri"/>
                <w:b/>
                <w:bCs/>
                <w:color w:val="000000"/>
                <w:sz w:val="18"/>
                <w:szCs w:val="18"/>
                <w:lang w:val="en-IN" w:eastAsia="en-IN"/>
              </w:rPr>
            </w:pPr>
            <w:r w:rsidRPr="00015D5B">
              <w:rPr>
                <w:rFonts w:asciiTheme="majorHAnsi" w:hAnsiTheme="majorHAnsi" w:cs="Calibri"/>
                <w:b/>
                <w:bCs/>
                <w:color w:val="000000"/>
                <w:sz w:val="18"/>
                <w:szCs w:val="18"/>
              </w:rPr>
              <w:t>168.49</w:t>
            </w:r>
          </w:p>
        </w:tc>
        <w:tc>
          <w:tcPr>
            <w:tcW w:w="987" w:type="dxa"/>
            <w:gridSpan w:val="2"/>
            <w:tcBorders>
              <w:top w:val="nil"/>
              <w:left w:val="nil"/>
              <w:bottom w:val="single" w:sz="4" w:space="0" w:color="auto"/>
              <w:right w:val="single" w:sz="4" w:space="0" w:color="auto"/>
            </w:tcBorders>
            <w:vAlign w:val="center"/>
            <w:hideMark/>
          </w:tcPr>
          <w:p w14:paraId="40361834" w14:textId="6510E3DC" w:rsidR="00015D5B" w:rsidRPr="00015D5B" w:rsidRDefault="00015D5B" w:rsidP="00015D5B">
            <w:pPr>
              <w:jc w:val="center"/>
              <w:rPr>
                <w:rFonts w:asciiTheme="majorHAnsi" w:hAnsiTheme="majorHAnsi" w:cs="Calibri"/>
                <w:b/>
                <w:bCs/>
                <w:color w:val="000000"/>
                <w:sz w:val="18"/>
                <w:szCs w:val="18"/>
                <w:lang w:val="en-IN" w:eastAsia="en-IN"/>
              </w:rPr>
            </w:pPr>
            <w:r w:rsidRPr="00015D5B">
              <w:rPr>
                <w:rFonts w:asciiTheme="majorHAnsi" w:hAnsiTheme="majorHAnsi" w:cs="Calibri"/>
                <w:b/>
                <w:bCs/>
                <w:color w:val="000000"/>
                <w:sz w:val="18"/>
                <w:szCs w:val="18"/>
              </w:rPr>
              <w:t>18.89</w:t>
            </w:r>
          </w:p>
        </w:tc>
        <w:tc>
          <w:tcPr>
            <w:tcW w:w="927" w:type="dxa"/>
            <w:gridSpan w:val="2"/>
            <w:tcBorders>
              <w:top w:val="nil"/>
              <w:left w:val="nil"/>
              <w:bottom w:val="single" w:sz="4" w:space="0" w:color="auto"/>
              <w:right w:val="single" w:sz="4" w:space="0" w:color="auto"/>
            </w:tcBorders>
            <w:vAlign w:val="center"/>
            <w:hideMark/>
          </w:tcPr>
          <w:p w14:paraId="764B5B61" w14:textId="7851DFA1" w:rsidR="00015D5B" w:rsidRPr="00015D5B" w:rsidRDefault="00015D5B" w:rsidP="00015D5B">
            <w:pPr>
              <w:jc w:val="center"/>
              <w:rPr>
                <w:rFonts w:asciiTheme="majorHAnsi" w:hAnsiTheme="majorHAnsi" w:cs="Calibri"/>
                <w:b/>
                <w:bCs/>
                <w:color w:val="000000"/>
                <w:sz w:val="18"/>
                <w:szCs w:val="18"/>
                <w:lang w:val="en-IN" w:eastAsia="en-IN"/>
              </w:rPr>
            </w:pPr>
            <w:r w:rsidRPr="00015D5B">
              <w:rPr>
                <w:rFonts w:asciiTheme="majorHAnsi" w:hAnsiTheme="majorHAnsi" w:cs="Calibri"/>
                <w:b/>
                <w:bCs/>
                <w:color w:val="000000"/>
                <w:sz w:val="18"/>
                <w:szCs w:val="18"/>
              </w:rPr>
              <w:t>39.78</w:t>
            </w:r>
          </w:p>
        </w:tc>
        <w:tc>
          <w:tcPr>
            <w:tcW w:w="864" w:type="dxa"/>
            <w:tcBorders>
              <w:top w:val="nil"/>
              <w:left w:val="nil"/>
              <w:bottom w:val="single" w:sz="4" w:space="0" w:color="auto"/>
              <w:right w:val="single" w:sz="4" w:space="0" w:color="auto"/>
            </w:tcBorders>
            <w:vAlign w:val="center"/>
            <w:hideMark/>
          </w:tcPr>
          <w:p w14:paraId="43FD85EF" w14:textId="414FBD16" w:rsidR="00015D5B" w:rsidRPr="00015D5B" w:rsidRDefault="00015D5B" w:rsidP="00015D5B">
            <w:pPr>
              <w:jc w:val="center"/>
              <w:rPr>
                <w:rFonts w:asciiTheme="majorHAnsi" w:hAnsiTheme="majorHAnsi" w:cs="Calibri"/>
                <w:b/>
                <w:bCs/>
                <w:color w:val="000000"/>
                <w:sz w:val="18"/>
                <w:szCs w:val="18"/>
                <w:lang w:val="en-IN" w:eastAsia="en-IN"/>
              </w:rPr>
            </w:pPr>
            <w:r w:rsidRPr="00015D5B">
              <w:rPr>
                <w:rFonts w:asciiTheme="majorHAnsi" w:hAnsiTheme="majorHAnsi" w:cs="Calibri"/>
                <w:b/>
                <w:bCs/>
                <w:color w:val="000000"/>
                <w:sz w:val="18"/>
                <w:szCs w:val="18"/>
              </w:rPr>
              <w:t>149.60</w:t>
            </w:r>
          </w:p>
        </w:tc>
      </w:tr>
      <w:tr w:rsidR="00C931E2" w:rsidRPr="00B95FED" w14:paraId="32853194" w14:textId="77777777" w:rsidTr="00304420">
        <w:trPr>
          <w:trHeight w:val="449"/>
          <w:jc w:val="center"/>
        </w:trPr>
        <w:tc>
          <w:tcPr>
            <w:tcW w:w="1271" w:type="dxa"/>
            <w:vMerge w:val="restart"/>
            <w:tcBorders>
              <w:top w:val="nil"/>
              <w:left w:val="single" w:sz="4" w:space="0" w:color="auto"/>
              <w:bottom w:val="single" w:sz="4" w:space="0" w:color="auto"/>
              <w:right w:val="single" w:sz="4" w:space="0" w:color="auto"/>
            </w:tcBorders>
            <w:vAlign w:val="center"/>
            <w:hideMark/>
          </w:tcPr>
          <w:p w14:paraId="7CDB7F99" w14:textId="77777777" w:rsidR="00C931E2" w:rsidRPr="00B95FED" w:rsidRDefault="00C931E2" w:rsidP="00C931E2">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Technology and Civil Infrastructure</w:t>
            </w:r>
          </w:p>
        </w:tc>
        <w:tc>
          <w:tcPr>
            <w:tcW w:w="1985" w:type="dxa"/>
            <w:tcBorders>
              <w:top w:val="nil"/>
              <w:left w:val="nil"/>
              <w:bottom w:val="single" w:sz="4" w:space="0" w:color="auto"/>
              <w:right w:val="single" w:sz="4" w:space="0" w:color="auto"/>
            </w:tcBorders>
            <w:vAlign w:val="center"/>
            <w:hideMark/>
          </w:tcPr>
          <w:p w14:paraId="0BBB1BE1" w14:textId="77777777" w:rsidR="00C931E2" w:rsidRPr="00B95FED" w:rsidRDefault="00C931E2" w:rsidP="00C931E2">
            <w:pPr>
              <w:rPr>
                <w:rFonts w:ascii="Cambria" w:hAnsi="Cambria" w:cs="Calibri"/>
                <w:color w:val="000000"/>
                <w:sz w:val="18"/>
                <w:szCs w:val="18"/>
                <w:lang w:val="en-IN" w:eastAsia="en-IN"/>
              </w:rPr>
            </w:pPr>
            <w:r w:rsidRPr="00B95FED">
              <w:rPr>
                <w:rFonts w:ascii="Cambria" w:hAnsi="Cambria" w:cs="Calibri"/>
                <w:color w:val="000000"/>
                <w:sz w:val="18"/>
                <w:szCs w:val="18"/>
                <w:lang w:val="en-IN" w:eastAsia="en-IN"/>
              </w:rPr>
              <w:t>Improvement of Civil Infrastructure</w:t>
            </w:r>
          </w:p>
        </w:tc>
        <w:tc>
          <w:tcPr>
            <w:tcW w:w="1110" w:type="dxa"/>
            <w:tcBorders>
              <w:top w:val="nil"/>
              <w:left w:val="nil"/>
              <w:bottom w:val="single" w:sz="4" w:space="0" w:color="auto"/>
              <w:right w:val="single" w:sz="4" w:space="0" w:color="auto"/>
            </w:tcBorders>
            <w:vAlign w:val="center"/>
            <w:hideMark/>
          </w:tcPr>
          <w:p w14:paraId="24292DA1" w14:textId="7034BEE7" w:rsidR="00C931E2" w:rsidRPr="00C931E2" w:rsidRDefault="00C931E2" w:rsidP="00C931E2">
            <w:pPr>
              <w:jc w:val="center"/>
              <w:rPr>
                <w:rFonts w:ascii="Cambria" w:hAnsi="Cambria" w:cs="Calibri"/>
                <w:color w:val="000000"/>
                <w:sz w:val="18"/>
                <w:szCs w:val="18"/>
                <w:lang w:val="en-IN" w:eastAsia="en-IN"/>
              </w:rPr>
            </w:pPr>
            <w:r w:rsidRPr="00C931E2">
              <w:rPr>
                <w:sz w:val="18"/>
                <w:szCs w:val="18"/>
              </w:rPr>
              <w:t>37.00</w:t>
            </w:r>
          </w:p>
        </w:tc>
        <w:tc>
          <w:tcPr>
            <w:tcW w:w="894" w:type="dxa"/>
            <w:tcBorders>
              <w:top w:val="nil"/>
              <w:left w:val="nil"/>
              <w:bottom w:val="single" w:sz="4" w:space="0" w:color="auto"/>
              <w:right w:val="single" w:sz="4" w:space="0" w:color="auto"/>
            </w:tcBorders>
            <w:vAlign w:val="center"/>
            <w:hideMark/>
          </w:tcPr>
          <w:p w14:paraId="5AC83761" w14:textId="555C2F38" w:rsidR="00C931E2" w:rsidRPr="00C931E2" w:rsidRDefault="00C931E2" w:rsidP="00C931E2">
            <w:pPr>
              <w:jc w:val="center"/>
              <w:rPr>
                <w:rFonts w:ascii="Cambria" w:hAnsi="Cambria" w:cs="Calibri"/>
                <w:color w:val="000000"/>
                <w:sz w:val="18"/>
                <w:szCs w:val="18"/>
                <w:lang w:val="en-IN" w:eastAsia="en-IN"/>
              </w:rPr>
            </w:pPr>
            <w:r w:rsidRPr="00C931E2">
              <w:rPr>
                <w:sz w:val="18"/>
                <w:szCs w:val="18"/>
              </w:rPr>
              <w:t>0.50</w:t>
            </w:r>
          </w:p>
        </w:tc>
        <w:tc>
          <w:tcPr>
            <w:tcW w:w="1171" w:type="dxa"/>
            <w:tcBorders>
              <w:top w:val="nil"/>
              <w:left w:val="nil"/>
              <w:bottom w:val="single" w:sz="4" w:space="0" w:color="auto"/>
              <w:right w:val="single" w:sz="4" w:space="0" w:color="auto"/>
            </w:tcBorders>
            <w:vAlign w:val="center"/>
            <w:hideMark/>
          </w:tcPr>
          <w:p w14:paraId="4E015F6D" w14:textId="3F805952" w:rsidR="00C931E2" w:rsidRPr="00C931E2" w:rsidRDefault="00C931E2" w:rsidP="00C931E2">
            <w:pPr>
              <w:jc w:val="center"/>
              <w:rPr>
                <w:rFonts w:ascii="Cambria" w:hAnsi="Cambria" w:cs="Calibri"/>
                <w:color w:val="000000"/>
                <w:sz w:val="18"/>
                <w:szCs w:val="18"/>
                <w:lang w:val="en-IN" w:eastAsia="en-IN"/>
              </w:rPr>
            </w:pPr>
            <w:r w:rsidRPr="00C931E2">
              <w:rPr>
                <w:sz w:val="18"/>
                <w:szCs w:val="18"/>
              </w:rPr>
              <w:t>37.50</w:t>
            </w:r>
          </w:p>
        </w:tc>
        <w:tc>
          <w:tcPr>
            <w:tcW w:w="992" w:type="dxa"/>
            <w:gridSpan w:val="2"/>
            <w:tcBorders>
              <w:top w:val="nil"/>
              <w:left w:val="nil"/>
              <w:bottom w:val="single" w:sz="4" w:space="0" w:color="auto"/>
              <w:right w:val="single" w:sz="4" w:space="0" w:color="auto"/>
            </w:tcBorders>
            <w:vAlign w:val="center"/>
            <w:hideMark/>
          </w:tcPr>
          <w:p w14:paraId="25B6B49D" w14:textId="34F05345" w:rsidR="00C931E2" w:rsidRPr="00C931E2" w:rsidRDefault="00C931E2" w:rsidP="00C931E2">
            <w:pPr>
              <w:jc w:val="center"/>
              <w:rPr>
                <w:rFonts w:ascii="Cambria" w:hAnsi="Cambria" w:cs="Calibri"/>
                <w:color w:val="000000"/>
                <w:sz w:val="18"/>
                <w:szCs w:val="18"/>
                <w:lang w:val="en-IN" w:eastAsia="en-IN"/>
              </w:rPr>
            </w:pPr>
            <w:r w:rsidRPr="00C931E2">
              <w:rPr>
                <w:sz w:val="18"/>
                <w:szCs w:val="18"/>
              </w:rPr>
              <w:t>26.20</w:t>
            </w:r>
          </w:p>
        </w:tc>
        <w:tc>
          <w:tcPr>
            <w:tcW w:w="987" w:type="dxa"/>
            <w:gridSpan w:val="2"/>
            <w:tcBorders>
              <w:top w:val="nil"/>
              <w:left w:val="nil"/>
              <w:bottom w:val="single" w:sz="4" w:space="0" w:color="auto"/>
              <w:right w:val="single" w:sz="4" w:space="0" w:color="auto"/>
            </w:tcBorders>
            <w:vAlign w:val="center"/>
            <w:hideMark/>
          </w:tcPr>
          <w:p w14:paraId="6D3BA09B" w14:textId="4E8ED2A2" w:rsidR="00C931E2" w:rsidRPr="00C931E2" w:rsidRDefault="00C931E2" w:rsidP="00C931E2">
            <w:pPr>
              <w:jc w:val="center"/>
              <w:rPr>
                <w:rFonts w:ascii="Cambria" w:hAnsi="Cambria" w:cs="Calibri"/>
                <w:color w:val="000000"/>
                <w:sz w:val="18"/>
                <w:szCs w:val="18"/>
                <w:lang w:val="en-IN" w:eastAsia="en-IN"/>
              </w:rPr>
            </w:pPr>
            <w:r w:rsidRPr="00C931E2">
              <w:rPr>
                <w:sz w:val="18"/>
                <w:szCs w:val="18"/>
              </w:rPr>
              <w:t>0.30</w:t>
            </w:r>
          </w:p>
        </w:tc>
        <w:tc>
          <w:tcPr>
            <w:tcW w:w="927" w:type="dxa"/>
            <w:gridSpan w:val="2"/>
            <w:tcBorders>
              <w:top w:val="nil"/>
              <w:left w:val="nil"/>
              <w:bottom w:val="single" w:sz="4" w:space="0" w:color="auto"/>
              <w:right w:val="single" w:sz="4" w:space="0" w:color="auto"/>
            </w:tcBorders>
            <w:vAlign w:val="center"/>
            <w:hideMark/>
          </w:tcPr>
          <w:p w14:paraId="238D55A5" w14:textId="49C73780" w:rsidR="00C931E2" w:rsidRPr="00C931E2" w:rsidRDefault="00C931E2" w:rsidP="00C931E2">
            <w:pPr>
              <w:jc w:val="center"/>
              <w:rPr>
                <w:rFonts w:ascii="Cambria" w:hAnsi="Cambria" w:cs="Calibri"/>
                <w:color w:val="000000"/>
                <w:sz w:val="18"/>
                <w:szCs w:val="18"/>
                <w:lang w:val="en-IN" w:eastAsia="en-IN"/>
              </w:rPr>
            </w:pPr>
            <w:r w:rsidRPr="00C931E2">
              <w:rPr>
                <w:sz w:val="18"/>
                <w:szCs w:val="18"/>
              </w:rPr>
              <w:t>11.30</w:t>
            </w:r>
          </w:p>
        </w:tc>
        <w:tc>
          <w:tcPr>
            <w:tcW w:w="864" w:type="dxa"/>
            <w:tcBorders>
              <w:top w:val="nil"/>
              <w:left w:val="nil"/>
              <w:bottom w:val="single" w:sz="4" w:space="0" w:color="auto"/>
              <w:right w:val="single" w:sz="4" w:space="0" w:color="auto"/>
            </w:tcBorders>
            <w:vAlign w:val="center"/>
            <w:hideMark/>
          </w:tcPr>
          <w:p w14:paraId="001B4DD2" w14:textId="3E964D70" w:rsidR="00C931E2" w:rsidRPr="00C931E2" w:rsidRDefault="00C931E2" w:rsidP="00C931E2">
            <w:pPr>
              <w:jc w:val="center"/>
              <w:rPr>
                <w:rFonts w:ascii="Cambria" w:hAnsi="Cambria" w:cs="Calibri"/>
                <w:color w:val="000000"/>
                <w:sz w:val="18"/>
                <w:szCs w:val="18"/>
                <w:lang w:val="en-IN" w:eastAsia="en-IN"/>
              </w:rPr>
            </w:pPr>
            <w:r w:rsidRPr="00C931E2">
              <w:rPr>
                <w:sz w:val="18"/>
                <w:szCs w:val="18"/>
              </w:rPr>
              <w:t>25.90</w:t>
            </w:r>
          </w:p>
        </w:tc>
      </w:tr>
      <w:tr w:rsidR="00C931E2" w:rsidRPr="00B95FED" w14:paraId="17EE7AD7" w14:textId="77777777" w:rsidTr="00304420">
        <w:trPr>
          <w:trHeight w:val="224"/>
          <w:jc w:val="center"/>
        </w:trPr>
        <w:tc>
          <w:tcPr>
            <w:tcW w:w="1271" w:type="dxa"/>
            <w:vMerge/>
            <w:tcBorders>
              <w:top w:val="nil"/>
              <w:left w:val="single" w:sz="4" w:space="0" w:color="auto"/>
              <w:bottom w:val="single" w:sz="4" w:space="0" w:color="auto"/>
              <w:right w:val="single" w:sz="4" w:space="0" w:color="auto"/>
            </w:tcBorders>
            <w:vAlign w:val="center"/>
            <w:hideMark/>
          </w:tcPr>
          <w:p w14:paraId="3ACBCEC3" w14:textId="77777777" w:rsidR="00C931E2" w:rsidRPr="00B95FED" w:rsidRDefault="00C931E2" w:rsidP="00C931E2">
            <w:pPr>
              <w:rPr>
                <w:rFonts w:ascii="Cambria" w:hAnsi="Cambria" w:cs="Calibri"/>
                <w:b/>
                <w:bCs/>
                <w:color w:val="000000"/>
                <w:sz w:val="18"/>
                <w:szCs w:val="18"/>
                <w:lang w:val="en-IN" w:eastAsia="en-IN"/>
              </w:rPr>
            </w:pPr>
          </w:p>
        </w:tc>
        <w:tc>
          <w:tcPr>
            <w:tcW w:w="1985" w:type="dxa"/>
            <w:tcBorders>
              <w:top w:val="nil"/>
              <w:left w:val="nil"/>
              <w:bottom w:val="single" w:sz="4" w:space="0" w:color="auto"/>
              <w:right w:val="single" w:sz="4" w:space="0" w:color="auto"/>
            </w:tcBorders>
            <w:vAlign w:val="center"/>
            <w:hideMark/>
          </w:tcPr>
          <w:p w14:paraId="37C7E874" w14:textId="77777777" w:rsidR="00C931E2" w:rsidRPr="00B95FED" w:rsidRDefault="00C931E2" w:rsidP="00C931E2">
            <w:pPr>
              <w:rPr>
                <w:rFonts w:ascii="Cambria" w:hAnsi="Cambria" w:cs="Calibri"/>
                <w:color w:val="000000"/>
                <w:sz w:val="18"/>
                <w:szCs w:val="18"/>
                <w:lang w:val="en-IN" w:eastAsia="en-IN"/>
              </w:rPr>
            </w:pPr>
            <w:r w:rsidRPr="00B95FED">
              <w:rPr>
                <w:rFonts w:ascii="Cambria" w:hAnsi="Cambria" w:cs="Calibri"/>
                <w:color w:val="000000"/>
                <w:sz w:val="18"/>
                <w:szCs w:val="18"/>
                <w:lang w:val="en-IN" w:eastAsia="en-IN"/>
              </w:rPr>
              <w:t>Infrastructure - Admin</w:t>
            </w:r>
          </w:p>
        </w:tc>
        <w:tc>
          <w:tcPr>
            <w:tcW w:w="1110" w:type="dxa"/>
            <w:tcBorders>
              <w:top w:val="nil"/>
              <w:left w:val="nil"/>
              <w:bottom w:val="single" w:sz="4" w:space="0" w:color="auto"/>
              <w:right w:val="single" w:sz="4" w:space="0" w:color="auto"/>
            </w:tcBorders>
            <w:vAlign w:val="center"/>
            <w:hideMark/>
          </w:tcPr>
          <w:p w14:paraId="0B2D8D46" w14:textId="663179B7" w:rsidR="00C931E2" w:rsidRPr="00C931E2" w:rsidRDefault="00C931E2" w:rsidP="00C931E2">
            <w:pPr>
              <w:jc w:val="center"/>
              <w:rPr>
                <w:rFonts w:ascii="Cambria" w:hAnsi="Cambria" w:cs="Calibri"/>
                <w:color w:val="000000"/>
                <w:sz w:val="18"/>
                <w:szCs w:val="18"/>
                <w:lang w:val="en-IN" w:eastAsia="en-IN"/>
              </w:rPr>
            </w:pPr>
            <w:r w:rsidRPr="00C931E2">
              <w:rPr>
                <w:sz w:val="18"/>
                <w:szCs w:val="18"/>
              </w:rPr>
              <w:t>1.47</w:t>
            </w:r>
          </w:p>
        </w:tc>
        <w:tc>
          <w:tcPr>
            <w:tcW w:w="894" w:type="dxa"/>
            <w:tcBorders>
              <w:top w:val="nil"/>
              <w:left w:val="nil"/>
              <w:bottom w:val="single" w:sz="4" w:space="0" w:color="auto"/>
              <w:right w:val="single" w:sz="4" w:space="0" w:color="auto"/>
            </w:tcBorders>
            <w:vAlign w:val="center"/>
            <w:hideMark/>
          </w:tcPr>
          <w:p w14:paraId="6D9175D1" w14:textId="02870E33" w:rsidR="00C931E2" w:rsidRPr="00C931E2" w:rsidRDefault="00C931E2" w:rsidP="00C931E2">
            <w:pPr>
              <w:jc w:val="center"/>
              <w:rPr>
                <w:rFonts w:ascii="Cambria" w:hAnsi="Cambria" w:cs="Calibri"/>
                <w:color w:val="000000"/>
                <w:sz w:val="18"/>
                <w:szCs w:val="18"/>
                <w:lang w:val="en-IN" w:eastAsia="en-IN"/>
              </w:rPr>
            </w:pPr>
            <w:r w:rsidRPr="00C931E2">
              <w:rPr>
                <w:sz w:val="18"/>
                <w:szCs w:val="18"/>
              </w:rPr>
              <w:t>0.33</w:t>
            </w:r>
          </w:p>
        </w:tc>
        <w:tc>
          <w:tcPr>
            <w:tcW w:w="1171" w:type="dxa"/>
            <w:tcBorders>
              <w:top w:val="nil"/>
              <w:left w:val="nil"/>
              <w:bottom w:val="single" w:sz="4" w:space="0" w:color="auto"/>
              <w:right w:val="single" w:sz="4" w:space="0" w:color="auto"/>
            </w:tcBorders>
            <w:vAlign w:val="center"/>
            <w:hideMark/>
          </w:tcPr>
          <w:p w14:paraId="0061C665" w14:textId="197972B2" w:rsidR="00C931E2" w:rsidRPr="00C931E2" w:rsidRDefault="00C931E2" w:rsidP="00C931E2">
            <w:pPr>
              <w:jc w:val="center"/>
              <w:rPr>
                <w:rFonts w:ascii="Cambria" w:hAnsi="Cambria" w:cs="Calibri"/>
                <w:color w:val="000000"/>
                <w:sz w:val="18"/>
                <w:szCs w:val="18"/>
                <w:lang w:val="en-IN" w:eastAsia="en-IN"/>
              </w:rPr>
            </w:pPr>
            <w:r w:rsidRPr="00C931E2">
              <w:rPr>
                <w:sz w:val="18"/>
                <w:szCs w:val="18"/>
              </w:rPr>
              <w:t>1.80</w:t>
            </w:r>
          </w:p>
        </w:tc>
        <w:tc>
          <w:tcPr>
            <w:tcW w:w="992" w:type="dxa"/>
            <w:gridSpan w:val="2"/>
            <w:tcBorders>
              <w:top w:val="nil"/>
              <w:left w:val="nil"/>
              <w:bottom w:val="single" w:sz="4" w:space="0" w:color="auto"/>
              <w:right w:val="single" w:sz="4" w:space="0" w:color="auto"/>
            </w:tcBorders>
            <w:vAlign w:val="center"/>
            <w:hideMark/>
          </w:tcPr>
          <w:p w14:paraId="4204C0B8" w14:textId="0AC25A9F" w:rsidR="00C931E2" w:rsidRPr="00C931E2" w:rsidRDefault="00C931E2" w:rsidP="00C931E2">
            <w:pPr>
              <w:jc w:val="center"/>
              <w:rPr>
                <w:rFonts w:ascii="Cambria" w:hAnsi="Cambria" w:cs="Calibri"/>
                <w:color w:val="000000"/>
                <w:sz w:val="18"/>
                <w:szCs w:val="18"/>
                <w:lang w:val="en-IN" w:eastAsia="en-IN"/>
              </w:rPr>
            </w:pPr>
            <w:r w:rsidRPr="00C931E2">
              <w:rPr>
                <w:sz w:val="18"/>
                <w:szCs w:val="18"/>
              </w:rPr>
              <w:t>1.75</w:t>
            </w:r>
          </w:p>
        </w:tc>
        <w:tc>
          <w:tcPr>
            <w:tcW w:w="987" w:type="dxa"/>
            <w:gridSpan w:val="2"/>
            <w:tcBorders>
              <w:top w:val="nil"/>
              <w:left w:val="nil"/>
              <w:bottom w:val="single" w:sz="4" w:space="0" w:color="auto"/>
              <w:right w:val="single" w:sz="4" w:space="0" w:color="auto"/>
            </w:tcBorders>
            <w:vAlign w:val="center"/>
            <w:hideMark/>
          </w:tcPr>
          <w:p w14:paraId="4B623D3E" w14:textId="78334D8B" w:rsidR="00C931E2" w:rsidRPr="00C931E2" w:rsidRDefault="00C931E2" w:rsidP="00C931E2">
            <w:pPr>
              <w:jc w:val="center"/>
              <w:rPr>
                <w:rFonts w:ascii="Cambria" w:hAnsi="Cambria" w:cs="Calibri"/>
                <w:color w:val="000000"/>
                <w:sz w:val="18"/>
                <w:szCs w:val="18"/>
                <w:lang w:val="en-IN" w:eastAsia="en-IN"/>
              </w:rPr>
            </w:pPr>
            <w:r w:rsidRPr="00C931E2">
              <w:rPr>
                <w:sz w:val="18"/>
                <w:szCs w:val="18"/>
              </w:rPr>
              <w:t>0.03</w:t>
            </w:r>
          </w:p>
        </w:tc>
        <w:tc>
          <w:tcPr>
            <w:tcW w:w="927" w:type="dxa"/>
            <w:gridSpan w:val="2"/>
            <w:tcBorders>
              <w:top w:val="nil"/>
              <w:left w:val="nil"/>
              <w:bottom w:val="single" w:sz="4" w:space="0" w:color="auto"/>
              <w:right w:val="single" w:sz="4" w:space="0" w:color="auto"/>
            </w:tcBorders>
            <w:vAlign w:val="center"/>
            <w:hideMark/>
          </w:tcPr>
          <w:p w14:paraId="12D4590E" w14:textId="30716D89" w:rsidR="00C931E2" w:rsidRPr="00C931E2" w:rsidRDefault="00C931E2" w:rsidP="00C931E2">
            <w:pPr>
              <w:jc w:val="center"/>
              <w:rPr>
                <w:rFonts w:ascii="Cambria" w:hAnsi="Cambria" w:cs="Calibri"/>
                <w:color w:val="000000"/>
                <w:sz w:val="18"/>
                <w:szCs w:val="18"/>
                <w:lang w:val="en-IN" w:eastAsia="en-IN"/>
              </w:rPr>
            </w:pPr>
            <w:r w:rsidRPr="00C931E2">
              <w:rPr>
                <w:sz w:val="18"/>
                <w:szCs w:val="18"/>
              </w:rPr>
              <w:t>0.05</w:t>
            </w:r>
          </w:p>
        </w:tc>
        <w:tc>
          <w:tcPr>
            <w:tcW w:w="864" w:type="dxa"/>
            <w:tcBorders>
              <w:top w:val="nil"/>
              <w:left w:val="nil"/>
              <w:bottom w:val="single" w:sz="4" w:space="0" w:color="auto"/>
              <w:right w:val="single" w:sz="4" w:space="0" w:color="auto"/>
            </w:tcBorders>
            <w:vAlign w:val="center"/>
            <w:hideMark/>
          </w:tcPr>
          <w:p w14:paraId="77692647" w14:textId="01AB4172" w:rsidR="00C931E2" w:rsidRPr="00C931E2" w:rsidRDefault="00C931E2" w:rsidP="00C931E2">
            <w:pPr>
              <w:jc w:val="center"/>
              <w:rPr>
                <w:rFonts w:ascii="Cambria" w:hAnsi="Cambria" w:cs="Calibri"/>
                <w:color w:val="000000"/>
                <w:sz w:val="18"/>
                <w:szCs w:val="18"/>
                <w:lang w:val="en-IN" w:eastAsia="en-IN"/>
              </w:rPr>
            </w:pPr>
            <w:r w:rsidRPr="00C931E2">
              <w:rPr>
                <w:sz w:val="18"/>
                <w:szCs w:val="18"/>
              </w:rPr>
              <w:t>1.73</w:t>
            </w:r>
          </w:p>
        </w:tc>
      </w:tr>
      <w:tr w:rsidR="00C931E2" w:rsidRPr="00B95FED" w14:paraId="42607271" w14:textId="77777777" w:rsidTr="00304420">
        <w:trPr>
          <w:trHeight w:val="224"/>
          <w:jc w:val="center"/>
        </w:trPr>
        <w:tc>
          <w:tcPr>
            <w:tcW w:w="1271" w:type="dxa"/>
            <w:vMerge/>
            <w:tcBorders>
              <w:top w:val="nil"/>
              <w:left w:val="single" w:sz="4" w:space="0" w:color="auto"/>
              <w:bottom w:val="single" w:sz="4" w:space="0" w:color="auto"/>
              <w:right w:val="single" w:sz="4" w:space="0" w:color="auto"/>
            </w:tcBorders>
            <w:vAlign w:val="center"/>
            <w:hideMark/>
          </w:tcPr>
          <w:p w14:paraId="32EB4620" w14:textId="77777777" w:rsidR="00C931E2" w:rsidRPr="00B95FED" w:rsidRDefault="00C931E2" w:rsidP="00C931E2">
            <w:pPr>
              <w:rPr>
                <w:rFonts w:ascii="Cambria" w:hAnsi="Cambria" w:cs="Calibri"/>
                <w:b/>
                <w:bCs/>
                <w:color w:val="000000"/>
                <w:sz w:val="18"/>
                <w:szCs w:val="18"/>
                <w:lang w:val="en-IN" w:eastAsia="en-IN"/>
              </w:rPr>
            </w:pPr>
          </w:p>
        </w:tc>
        <w:tc>
          <w:tcPr>
            <w:tcW w:w="1985" w:type="dxa"/>
            <w:tcBorders>
              <w:top w:val="nil"/>
              <w:left w:val="nil"/>
              <w:bottom w:val="single" w:sz="4" w:space="0" w:color="auto"/>
              <w:right w:val="single" w:sz="4" w:space="0" w:color="auto"/>
            </w:tcBorders>
            <w:vAlign w:val="center"/>
            <w:hideMark/>
          </w:tcPr>
          <w:p w14:paraId="06EE0010" w14:textId="77777777" w:rsidR="00C931E2" w:rsidRPr="00B95FED" w:rsidRDefault="00C931E2" w:rsidP="00C931E2">
            <w:pPr>
              <w:rPr>
                <w:rFonts w:ascii="Cambria" w:hAnsi="Cambria" w:cs="Calibri"/>
                <w:color w:val="000000"/>
                <w:sz w:val="18"/>
                <w:szCs w:val="18"/>
                <w:lang w:val="en-IN" w:eastAsia="en-IN"/>
              </w:rPr>
            </w:pPr>
            <w:r w:rsidRPr="00B95FED">
              <w:rPr>
                <w:rFonts w:ascii="Cambria" w:hAnsi="Cambria" w:cs="Calibri"/>
                <w:color w:val="000000"/>
                <w:sz w:val="18"/>
                <w:szCs w:val="18"/>
                <w:lang w:val="en-IN" w:eastAsia="en-IN"/>
              </w:rPr>
              <w:t xml:space="preserve">Infrastructure - Stores </w:t>
            </w:r>
          </w:p>
        </w:tc>
        <w:tc>
          <w:tcPr>
            <w:tcW w:w="1110" w:type="dxa"/>
            <w:tcBorders>
              <w:top w:val="nil"/>
              <w:left w:val="nil"/>
              <w:bottom w:val="single" w:sz="4" w:space="0" w:color="auto"/>
              <w:right w:val="single" w:sz="4" w:space="0" w:color="auto"/>
            </w:tcBorders>
            <w:vAlign w:val="center"/>
            <w:hideMark/>
          </w:tcPr>
          <w:p w14:paraId="73850F65" w14:textId="1F0C8307" w:rsidR="00C931E2" w:rsidRPr="00C931E2" w:rsidRDefault="00C931E2" w:rsidP="00C931E2">
            <w:pPr>
              <w:jc w:val="center"/>
              <w:rPr>
                <w:rFonts w:ascii="Cambria" w:hAnsi="Cambria" w:cs="Calibri"/>
                <w:color w:val="000000"/>
                <w:sz w:val="18"/>
                <w:szCs w:val="18"/>
                <w:lang w:val="en-IN" w:eastAsia="en-IN"/>
              </w:rPr>
            </w:pPr>
            <w:r w:rsidRPr="00C931E2">
              <w:rPr>
                <w:sz w:val="18"/>
                <w:szCs w:val="18"/>
              </w:rPr>
              <w:t>5.26</w:t>
            </w:r>
          </w:p>
        </w:tc>
        <w:tc>
          <w:tcPr>
            <w:tcW w:w="894" w:type="dxa"/>
            <w:tcBorders>
              <w:top w:val="nil"/>
              <w:left w:val="nil"/>
              <w:bottom w:val="single" w:sz="4" w:space="0" w:color="auto"/>
              <w:right w:val="single" w:sz="4" w:space="0" w:color="auto"/>
            </w:tcBorders>
            <w:vAlign w:val="center"/>
            <w:hideMark/>
          </w:tcPr>
          <w:p w14:paraId="52AC8EA0" w14:textId="592F31C6" w:rsidR="00C931E2" w:rsidRPr="00C931E2" w:rsidRDefault="00C931E2" w:rsidP="00C931E2">
            <w:pPr>
              <w:jc w:val="center"/>
              <w:rPr>
                <w:rFonts w:ascii="Cambria" w:hAnsi="Cambria" w:cs="Calibri"/>
                <w:color w:val="000000"/>
                <w:sz w:val="18"/>
                <w:szCs w:val="18"/>
                <w:lang w:val="en-IN" w:eastAsia="en-IN"/>
              </w:rPr>
            </w:pPr>
            <w:r w:rsidRPr="00C931E2">
              <w:rPr>
                <w:sz w:val="18"/>
                <w:szCs w:val="18"/>
              </w:rPr>
              <w:t>0.79</w:t>
            </w:r>
          </w:p>
        </w:tc>
        <w:tc>
          <w:tcPr>
            <w:tcW w:w="1171" w:type="dxa"/>
            <w:tcBorders>
              <w:top w:val="nil"/>
              <w:left w:val="nil"/>
              <w:bottom w:val="single" w:sz="4" w:space="0" w:color="auto"/>
              <w:right w:val="single" w:sz="4" w:space="0" w:color="auto"/>
            </w:tcBorders>
            <w:vAlign w:val="center"/>
            <w:hideMark/>
          </w:tcPr>
          <w:p w14:paraId="40E8708F" w14:textId="36D712C1" w:rsidR="00C931E2" w:rsidRPr="00C931E2" w:rsidRDefault="00C931E2" w:rsidP="00C931E2">
            <w:pPr>
              <w:jc w:val="center"/>
              <w:rPr>
                <w:rFonts w:ascii="Cambria" w:hAnsi="Cambria" w:cs="Calibri"/>
                <w:color w:val="000000"/>
                <w:sz w:val="18"/>
                <w:szCs w:val="18"/>
                <w:lang w:val="en-IN" w:eastAsia="en-IN"/>
              </w:rPr>
            </w:pPr>
            <w:r w:rsidRPr="00C931E2">
              <w:rPr>
                <w:sz w:val="18"/>
                <w:szCs w:val="18"/>
              </w:rPr>
              <w:t>6.05</w:t>
            </w:r>
          </w:p>
        </w:tc>
        <w:tc>
          <w:tcPr>
            <w:tcW w:w="992" w:type="dxa"/>
            <w:gridSpan w:val="2"/>
            <w:tcBorders>
              <w:top w:val="nil"/>
              <w:left w:val="nil"/>
              <w:bottom w:val="single" w:sz="4" w:space="0" w:color="auto"/>
              <w:right w:val="single" w:sz="4" w:space="0" w:color="auto"/>
            </w:tcBorders>
            <w:vAlign w:val="center"/>
            <w:hideMark/>
          </w:tcPr>
          <w:p w14:paraId="3032EF06" w14:textId="7183EF28" w:rsidR="00C931E2" w:rsidRPr="00C931E2" w:rsidRDefault="00C931E2" w:rsidP="00C931E2">
            <w:pPr>
              <w:jc w:val="center"/>
              <w:rPr>
                <w:rFonts w:ascii="Cambria" w:hAnsi="Cambria" w:cs="Calibri"/>
                <w:color w:val="000000"/>
                <w:sz w:val="18"/>
                <w:szCs w:val="18"/>
                <w:lang w:val="en-IN" w:eastAsia="en-IN"/>
              </w:rPr>
            </w:pPr>
            <w:r w:rsidRPr="00C931E2">
              <w:rPr>
                <w:sz w:val="18"/>
                <w:szCs w:val="18"/>
              </w:rPr>
              <w:t>5.62</w:t>
            </w:r>
          </w:p>
        </w:tc>
        <w:tc>
          <w:tcPr>
            <w:tcW w:w="987" w:type="dxa"/>
            <w:gridSpan w:val="2"/>
            <w:tcBorders>
              <w:top w:val="nil"/>
              <w:left w:val="nil"/>
              <w:bottom w:val="single" w:sz="4" w:space="0" w:color="auto"/>
              <w:right w:val="single" w:sz="4" w:space="0" w:color="auto"/>
            </w:tcBorders>
            <w:vAlign w:val="center"/>
            <w:hideMark/>
          </w:tcPr>
          <w:p w14:paraId="2D088130" w14:textId="1C796349" w:rsidR="00C931E2" w:rsidRPr="00C931E2" w:rsidRDefault="00C931E2" w:rsidP="00C931E2">
            <w:pPr>
              <w:jc w:val="center"/>
              <w:rPr>
                <w:rFonts w:ascii="Cambria" w:hAnsi="Cambria" w:cs="Calibri"/>
                <w:color w:val="000000"/>
                <w:sz w:val="18"/>
                <w:szCs w:val="18"/>
                <w:lang w:val="en-IN" w:eastAsia="en-IN"/>
              </w:rPr>
            </w:pPr>
            <w:r w:rsidRPr="00C931E2">
              <w:rPr>
                <w:sz w:val="18"/>
                <w:szCs w:val="18"/>
              </w:rPr>
              <w:t>0.00</w:t>
            </w:r>
          </w:p>
        </w:tc>
        <w:tc>
          <w:tcPr>
            <w:tcW w:w="927" w:type="dxa"/>
            <w:gridSpan w:val="2"/>
            <w:tcBorders>
              <w:top w:val="nil"/>
              <w:left w:val="nil"/>
              <w:bottom w:val="single" w:sz="4" w:space="0" w:color="auto"/>
              <w:right w:val="single" w:sz="4" w:space="0" w:color="auto"/>
            </w:tcBorders>
            <w:vAlign w:val="center"/>
            <w:hideMark/>
          </w:tcPr>
          <w:p w14:paraId="3A50D745" w14:textId="4F8E4A33" w:rsidR="00C931E2" w:rsidRPr="00C931E2" w:rsidRDefault="00C931E2" w:rsidP="00C931E2">
            <w:pPr>
              <w:jc w:val="center"/>
              <w:rPr>
                <w:rFonts w:ascii="Cambria" w:hAnsi="Cambria" w:cs="Calibri"/>
                <w:color w:val="000000"/>
                <w:sz w:val="18"/>
                <w:szCs w:val="18"/>
                <w:lang w:val="en-IN" w:eastAsia="en-IN"/>
              </w:rPr>
            </w:pPr>
            <w:r w:rsidRPr="00C931E2">
              <w:rPr>
                <w:sz w:val="18"/>
                <w:szCs w:val="18"/>
              </w:rPr>
              <w:t>0.43</w:t>
            </w:r>
          </w:p>
        </w:tc>
        <w:tc>
          <w:tcPr>
            <w:tcW w:w="864" w:type="dxa"/>
            <w:tcBorders>
              <w:top w:val="nil"/>
              <w:left w:val="nil"/>
              <w:bottom w:val="single" w:sz="4" w:space="0" w:color="auto"/>
              <w:right w:val="single" w:sz="4" w:space="0" w:color="auto"/>
            </w:tcBorders>
            <w:vAlign w:val="center"/>
            <w:hideMark/>
          </w:tcPr>
          <w:p w14:paraId="4A5F3AD2" w14:textId="35C8C5C1" w:rsidR="00C931E2" w:rsidRPr="00C931E2" w:rsidRDefault="00C931E2" w:rsidP="00C931E2">
            <w:pPr>
              <w:jc w:val="center"/>
              <w:rPr>
                <w:rFonts w:ascii="Cambria" w:hAnsi="Cambria" w:cs="Calibri"/>
                <w:color w:val="000000"/>
                <w:sz w:val="18"/>
                <w:szCs w:val="18"/>
                <w:lang w:val="en-IN" w:eastAsia="en-IN"/>
              </w:rPr>
            </w:pPr>
            <w:r w:rsidRPr="00C931E2">
              <w:rPr>
                <w:sz w:val="18"/>
                <w:szCs w:val="18"/>
              </w:rPr>
              <w:t>5.62</w:t>
            </w:r>
          </w:p>
        </w:tc>
      </w:tr>
      <w:tr w:rsidR="00C931E2" w:rsidRPr="00B95FED" w14:paraId="6FEB9D5B" w14:textId="77777777" w:rsidTr="00304420">
        <w:trPr>
          <w:trHeight w:val="449"/>
          <w:jc w:val="center"/>
        </w:trPr>
        <w:tc>
          <w:tcPr>
            <w:tcW w:w="1271" w:type="dxa"/>
            <w:vMerge/>
            <w:tcBorders>
              <w:top w:val="nil"/>
              <w:left w:val="single" w:sz="4" w:space="0" w:color="auto"/>
              <w:bottom w:val="single" w:sz="4" w:space="0" w:color="auto"/>
              <w:right w:val="single" w:sz="4" w:space="0" w:color="auto"/>
            </w:tcBorders>
            <w:vAlign w:val="center"/>
            <w:hideMark/>
          </w:tcPr>
          <w:p w14:paraId="09131EF6" w14:textId="77777777" w:rsidR="00C931E2" w:rsidRPr="00B95FED" w:rsidRDefault="00C931E2" w:rsidP="00C931E2">
            <w:pPr>
              <w:rPr>
                <w:rFonts w:ascii="Cambria" w:hAnsi="Cambria" w:cs="Calibri"/>
                <w:b/>
                <w:bCs/>
                <w:color w:val="000000"/>
                <w:sz w:val="18"/>
                <w:szCs w:val="18"/>
                <w:lang w:val="en-IN" w:eastAsia="en-IN"/>
              </w:rPr>
            </w:pPr>
          </w:p>
        </w:tc>
        <w:tc>
          <w:tcPr>
            <w:tcW w:w="1985" w:type="dxa"/>
            <w:tcBorders>
              <w:top w:val="nil"/>
              <w:left w:val="nil"/>
              <w:bottom w:val="single" w:sz="4" w:space="0" w:color="auto"/>
              <w:right w:val="single" w:sz="4" w:space="0" w:color="auto"/>
            </w:tcBorders>
            <w:vAlign w:val="center"/>
            <w:hideMark/>
          </w:tcPr>
          <w:p w14:paraId="3D9788E7" w14:textId="77777777" w:rsidR="00C931E2" w:rsidRPr="00B95FED" w:rsidRDefault="00C931E2" w:rsidP="00C931E2">
            <w:pPr>
              <w:rPr>
                <w:rFonts w:ascii="Cambria" w:hAnsi="Cambria" w:cs="Calibri"/>
                <w:color w:val="000000"/>
                <w:sz w:val="18"/>
                <w:szCs w:val="18"/>
                <w:lang w:val="en-IN" w:eastAsia="en-IN"/>
              </w:rPr>
            </w:pPr>
            <w:r w:rsidRPr="00B95FED">
              <w:rPr>
                <w:rFonts w:ascii="Cambria" w:hAnsi="Cambria" w:cs="Calibri"/>
                <w:color w:val="000000"/>
                <w:sz w:val="18"/>
                <w:szCs w:val="18"/>
                <w:lang w:val="en-IN" w:eastAsia="en-IN"/>
              </w:rPr>
              <w:t>IT &amp; Technology Intervention</w:t>
            </w:r>
          </w:p>
        </w:tc>
        <w:tc>
          <w:tcPr>
            <w:tcW w:w="1110" w:type="dxa"/>
            <w:tcBorders>
              <w:top w:val="nil"/>
              <w:left w:val="nil"/>
              <w:bottom w:val="single" w:sz="4" w:space="0" w:color="auto"/>
              <w:right w:val="single" w:sz="4" w:space="0" w:color="auto"/>
            </w:tcBorders>
            <w:vAlign w:val="center"/>
            <w:hideMark/>
          </w:tcPr>
          <w:p w14:paraId="796BCEF8" w14:textId="177C90AF" w:rsidR="00C931E2" w:rsidRPr="00C931E2" w:rsidRDefault="00C931E2" w:rsidP="00C931E2">
            <w:pPr>
              <w:jc w:val="center"/>
              <w:rPr>
                <w:rFonts w:ascii="Cambria" w:hAnsi="Cambria" w:cs="Calibri"/>
                <w:color w:val="000000"/>
                <w:sz w:val="18"/>
                <w:szCs w:val="18"/>
                <w:lang w:val="en-IN" w:eastAsia="en-IN"/>
              </w:rPr>
            </w:pPr>
            <w:r w:rsidRPr="00C931E2">
              <w:rPr>
                <w:sz w:val="18"/>
                <w:szCs w:val="18"/>
              </w:rPr>
              <w:t>16.63</w:t>
            </w:r>
          </w:p>
        </w:tc>
        <w:tc>
          <w:tcPr>
            <w:tcW w:w="894" w:type="dxa"/>
            <w:tcBorders>
              <w:top w:val="nil"/>
              <w:left w:val="nil"/>
              <w:bottom w:val="single" w:sz="4" w:space="0" w:color="auto"/>
              <w:right w:val="single" w:sz="4" w:space="0" w:color="auto"/>
            </w:tcBorders>
            <w:vAlign w:val="center"/>
            <w:hideMark/>
          </w:tcPr>
          <w:p w14:paraId="37F0041E" w14:textId="176F6289" w:rsidR="00C931E2" w:rsidRPr="00C931E2" w:rsidRDefault="00C931E2" w:rsidP="00C931E2">
            <w:pPr>
              <w:jc w:val="center"/>
              <w:rPr>
                <w:rFonts w:ascii="Cambria" w:hAnsi="Cambria" w:cs="Calibri"/>
                <w:color w:val="000000"/>
                <w:sz w:val="18"/>
                <w:szCs w:val="18"/>
                <w:lang w:val="en-IN" w:eastAsia="en-IN"/>
              </w:rPr>
            </w:pPr>
            <w:r w:rsidRPr="00C931E2">
              <w:rPr>
                <w:sz w:val="18"/>
                <w:szCs w:val="18"/>
              </w:rPr>
              <w:t>0.59</w:t>
            </w:r>
          </w:p>
        </w:tc>
        <w:tc>
          <w:tcPr>
            <w:tcW w:w="1171" w:type="dxa"/>
            <w:tcBorders>
              <w:top w:val="nil"/>
              <w:left w:val="nil"/>
              <w:bottom w:val="single" w:sz="4" w:space="0" w:color="auto"/>
              <w:right w:val="single" w:sz="4" w:space="0" w:color="auto"/>
            </w:tcBorders>
            <w:vAlign w:val="center"/>
            <w:hideMark/>
          </w:tcPr>
          <w:p w14:paraId="0DDACED7" w14:textId="2484E5E3" w:rsidR="00C931E2" w:rsidRPr="00C931E2" w:rsidRDefault="00C931E2" w:rsidP="00C931E2">
            <w:pPr>
              <w:jc w:val="center"/>
              <w:rPr>
                <w:rFonts w:ascii="Cambria" w:hAnsi="Cambria" w:cs="Calibri"/>
                <w:color w:val="000000"/>
                <w:sz w:val="18"/>
                <w:szCs w:val="18"/>
                <w:lang w:val="en-IN" w:eastAsia="en-IN"/>
              </w:rPr>
            </w:pPr>
            <w:r w:rsidRPr="00C931E2">
              <w:rPr>
                <w:sz w:val="18"/>
                <w:szCs w:val="18"/>
              </w:rPr>
              <w:t>17.22</w:t>
            </w:r>
          </w:p>
        </w:tc>
        <w:tc>
          <w:tcPr>
            <w:tcW w:w="992" w:type="dxa"/>
            <w:gridSpan w:val="2"/>
            <w:tcBorders>
              <w:top w:val="nil"/>
              <w:left w:val="nil"/>
              <w:bottom w:val="single" w:sz="4" w:space="0" w:color="auto"/>
              <w:right w:val="single" w:sz="4" w:space="0" w:color="auto"/>
            </w:tcBorders>
            <w:vAlign w:val="center"/>
            <w:hideMark/>
          </w:tcPr>
          <w:p w14:paraId="1E3DBCB7" w14:textId="1408FA2F" w:rsidR="00C931E2" w:rsidRPr="00C931E2" w:rsidRDefault="00C931E2" w:rsidP="00C931E2">
            <w:pPr>
              <w:jc w:val="center"/>
              <w:rPr>
                <w:rFonts w:ascii="Cambria" w:hAnsi="Cambria" w:cs="Calibri"/>
                <w:color w:val="000000"/>
                <w:sz w:val="18"/>
                <w:szCs w:val="18"/>
                <w:lang w:val="en-IN" w:eastAsia="en-IN"/>
              </w:rPr>
            </w:pPr>
            <w:r w:rsidRPr="00C931E2">
              <w:rPr>
                <w:sz w:val="18"/>
                <w:szCs w:val="18"/>
              </w:rPr>
              <w:t>16.43</w:t>
            </w:r>
          </w:p>
        </w:tc>
        <w:tc>
          <w:tcPr>
            <w:tcW w:w="987" w:type="dxa"/>
            <w:gridSpan w:val="2"/>
            <w:tcBorders>
              <w:top w:val="nil"/>
              <w:left w:val="nil"/>
              <w:bottom w:val="single" w:sz="4" w:space="0" w:color="auto"/>
              <w:right w:val="single" w:sz="4" w:space="0" w:color="auto"/>
            </w:tcBorders>
            <w:vAlign w:val="center"/>
            <w:hideMark/>
          </w:tcPr>
          <w:p w14:paraId="417D6B35" w14:textId="42C3F003" w:rsidR="00C931E2" w:rsidRPr="00C931E2" w:rsidRDefault="00C931E2" w:rsidP="00C931E2">
            <w:pPr>
              <w:jc w:val="center"/>
              <w:rPr>
                <w:rFonts w:ascii="Cambria" w:hAnsi="Cambria" w:cs="Calibri"/>
                <w:color w:val="000000"/>
                <w:sz w:val="18"/>
                <w:szCs w:val="18"/>
                <w:lang w:val="en-IN" w:eastAsia="en-IN"/>
              </w:rPr>
            </w:pPr>
            <w:r w:rsidRPr="00C931E2">
              <w:rPr>
                <w:sz w:val="18"/>
                <w:szCs w:val="18"/>
              </w:rPr>
              <w:t>0.00</w:t>
            </w:r>
          </w:p>
        </w:tc>
        <w:tc>
          <w:tcPr>
            <w:tcW w:w="927" w:type="dxa"/>
            <w:gridSpan w:val="2"/>
            <w:tcBorders>
              <w:top w:val="nil"/>
              <w:left w:val="nil"/>
              <w:bottom w:val="single" w:sz="4" w:space="0" w:color="auto"/>
              <w:right w:val="single" w:sz="4" w:space="0" w:color="auto"/>
            </w:tcBorders>
            <w:vAlign w:val="center"/>
            <w:hideMark/>
          </w:tcPr>
          <w:p w14:paraId="0386A8F9" w14:textId="0E14F3F6" w:rsidR="00C931E2" w:rsidRPr="00C931E2" w:rsidRDefault="00C931E2" w:rsidP="00C931E2">
            <w:pPr>
              <w:jc w:val="center"/>
              <w:rPr>
                <w:rFonts w:ascii="Cambria" w:hAnsi="Cambria" w:cs="Calibri"/>
                <w:color w:val="000000"/>
                <w:sz w:val="18"/>
                <w:szCs w:val="18"/>
                <w:lang w:val="en-IN" w:eastAsia="en-IN"/>
              </w:rPr>
            </w:pPr>
            <w:r w:rsidRPr="00C931E2">
              <w:rPr>
                <w:sz w:val="18"/>
                <w:szCs w:val="18"/>
              </w:rPr>
              <w:t>0.79</w:t>
            </w:r>
          </w:p>
        </w:tc>
        <w:tc>
          <w:tcPr>
            <w:tcW w:w="864" w:type="dxa"/>
            <w:tcBorders>
              <w:top w:val="nil"/>
              <w:left w:val="nil"/>
              <w:bottom w:val="single" w:sz="4" w:space="0" w:color="auto"/>
              <w:right w:val="single" w:sz="4" w:space="0" w:color="auto"/>
            </w:tcBorders>
            <w:vAlign w:val="center"/>
            <w:hideMark/>
          </w:tcPr>
          <w:p w14:paraId="600D0E54" w14:textId="2BC13B9F" w:rsidR="00C931E2" w:rsidRPr="00C931E2" w:rsidRDefault="00C931E2" w:rsidP="00C931E2">
            <w:pPr>
              <w:jc w:val="center"/>
              <w:rPr>
                <w:rFonts w:ascii="Cambria" w:hAnsi="Cambria" w:cs="Calibri"/>
                <w:color w:val="000000"/>
                <w:sz w:val="18"/>
                <w:szCs w:val="18"/>
                <w:lang w:val="en-IN" w:eastAsia="en-IN"/>
              </w:rPr>
            </w:pPr>
            <w:r w:rsidRPr="00C931E2">
              <w:rPr>
                <w:sz w:val="18"/>
                <w:szCs w:val="18"/>
              </w:rPr>
              <w:t>16.43</w:t>
            </w:r>
          </w:p>
        </w:tc>
      </w:tr>
      <w:tr w:rsidR="00C931E2" w:rsidRPr="00B95FED" w14:paraId="0B24ACD4" w14:textId="77777777" w:rsidTr="00304420">
        <w:trPr>
          <w:trHeight w:val="449"/>
          <w:jc w:val="center"/>
        </w:trPr>
        <w:tc>
          <w:tcPr>
            <w:tcW w:w="1271" w:type="dxa"/>
            <w:vMerge/>
            <w:tcBorders>
              <w:top w:val="nil"/>
              <w:left w:val="single" w:sz="4" w:space="0" w:color="auto"/>
              <w:bottom w:val="single" w:sz="4" w:space="0" w:color="auto"/>
              <w:right w:val="single" w:sz="4" w:space="0" w:color="auto"/>
            </w:tcBorders>
            <w:vAlign w:val="center"/>
            <w:hideMark/>
          </w:tcPr>
          <w:p w14:paraId="3D009B07" w14:textId="77777777" w:rsidR="00C931E2" w:rsidRPr="00B95FED" w:rsidRDefault="00C931E2" w:rsidP="00C931E2">
            <w:pPr>
              <w:rPr>
                <w:rFonts w:ascii="Cambria" w:hAnsi="Cambria" w:cs="Calibri"/>
                <w:b/>
                <w:bCs/>
                <w:color w:val="000000"/>
                <w:sz w:val="18"/>
                <w:szCs w:val="18"/>
                <w:lang w:val="en-IN" w:eastAsia="en-IN"/>
              </w:rPr>
            </w:pPr>
          </w:p>
        </w:tc>
        <w:tc>
          <w:tcPr>
            <w:tcW w:w="1985" w:type="dxa"/>
            <w:tcBorders>
              <w:top w:val="nil"/>
              <w:left w:val="nil"/>
              <w:bottom w:val="single" w:sz="4" w:space="0" w:color="auto"/>
              <w:right w:val="single" w:sz="4" w:space="0" w:color="auto"/>
            </w:tcBorders>
            <w:vAlign w:val="center"/>
            <w:hideMark/>
          </w:tcPr>
          <w:p w14:paraId="5B4835D5" w14:textId="77777777" w:rsidR="00C931E2" w:rsidRPr="00B95FED" w:rsidRDefault="00C931E2" w:rsidP="00C931E2">
            <w:pPr>
              <w:rPr>
                <w:rFonts w:ascii="Cambria" w:hAnsi="Cambria" w:cs="Calibri"/>
                <w:color w:val="000000"/>
                <w:sz w:val="18"/>
                <w:szCs w:val="18"/>
                <w:lang w:val="en-IN" w:eastAsia="en-IN"/>
              </w:rPr>
            </w:pPr>
            <w:r w:rsidRPr="00B95FED">
              <w:rPr>
                <w:rFonts w:ascii="Cambria" w:hAnsi="Cambria" w:cs="Calibri"/>
                <w:color w:val="000000"/>
                <w:sz w:val="18"/>
                <w:szCs w:val="18"/>
                <w:lang w:val="en-IN" w:eastAsia="en-IN"/>
              </w:rPr>
              <w:t>OT-GIS Communication &amp; Other</w:t>
            </w:r>
          </w:p>
        </w:tc>
        <w:tc>
          <w:tcPr>
            <w:tcW w:w="1110" w:type="dxa"/>
            <w:tcBorders>
              <w:top w:val="nil"/>
              <w:left w:val="nil"/>
              <w:bottom w:val="single" w:sz="4" w:space="0" w:color="auto"/>
              <w:right w:val="single" w:sz="4" w:space="0" w:color="auto"/>
            </w:tcBorders>
            <w:vAlign w:val="center"/>
            <w:hideMark/>
          </w:tcPr>
          <w:p w14:paraId="7C46017E" w14:textId="71FACB26" w:rsidR="00C931E2" w:rsidRPr="00C931E2" w:rsidRDefault="00C931E2" w:rsidP="00C931E2">
            <w:pPr>
              <w:jc w:val="center"/>
              <w:rPr>
                <w:rFonts w:ascii="Cambria" w:hAnsi="Cambria" w:cs="Calibri"/>
                <w:color w:val="000000"/>
                <w:sz w:val="18"/>
                <w:szCs w:val="18"/>
                <w:lang w:val="en-IN" w:eastAsia="en-IN"/>
              </w:rPr>
            </w:pPr>
            <w:r w:rsidRPr="00C931E2">
              <w:rPr>
                <w:sz w:val="18"/>
                <w:szCs w:val="18"/>
              </w:rPr>
              <w:t>17.65</w:t>
            </w:r>
          </w:p>
        </w:tc>
        <w:tc>
          <w:tcPr>
            <w:tcW w:w="894" w:type="dxa"/>
            <w:tcBorders>
              <w:top w:val="nil"/>
              <w:left w:val="nil"/>
              <w:bottom w:val="single" w:sz="4" w:space="0" w:color="auto"/>
              <w:right w:val="single" w:sz="4" w:space="0" w:color="auto"/>
            </w:tcBorders>
            <w:vAlign w:val="center"/>
            <w:hideMark/>
          </w:tcPr>
          <w:p w14:paraId="24B44C2A" w14:textId="4FD8C4D2" w:rsidR="00C931E2" w:rsidRPr="00C931E2" w:rsidRDefault="00C931E2" w:rsidP="00C931E2">
            <w:pPr>
              <w:jc w:val="center"/>
              <w:rPr>
                <w:rFonts w:ascii="Cambria" w:hAnsi="Cambria" w:cs="Calibri"/>
                <w:color w:val="000000"/>
                <w:sz w:val="18"/>
                <w:szCs w:val="18"/>
                <w:lang w:val="en-IN" w:eastAsia="en-IN"/>
              </w:rPr>
            </w:pPr>
            <w:r w:rsidRPr="00C931E2">
              <w:rPr>
                <w:sz w:val="18"/>
                <w:szCs w:val="18"/>
              </w:rPr>
              <w:t>-0.03</w:t>
            </w:r>
          </w:p>
        </w:tc>
        <w:tc>
          <w:tcPr>
            <w:tcW w:w="1171" w:type="dxa"/>
            <w:tcBorders>
              <w:top w:val="nil"/>
              <w:left w:val="nil"/>
              <w:bottom w:val="single" w:sz="4" w:space="0" w:color="auto"/>
              <w:right w:val="single" w:sz="4" w:space="0" w:color="auto"/>
            </w:tcBorders>
            <w:vAlign w:val="center"/>
            <w:hideMark/>
          </w:tcPr>
          <w:p w14:paraId="33DAB7CF" w14:textId="058802CB" w:rsidR="00C931E2" w:rsidRPr="00C931E2" w:rsidRDefault="00C931E2" w:rsidP="00C931E2">
            <w:pPr>
              <w:jc w:val="center"/>
              <w:rPr>
                <w:rFonts w:ascii="Cambria" w:hAnsi="Cambria" w:cs="Calibri"/>
                <w:color w:val="000000"/>
                <w:sz w:val="18"/>
                <w:szCs w:val="18"/>
                <w:lang w:val="en-IN" w:eastAsia="en-IN"/>
              </w:rPr>
            </w:pPr>
            <w:r w:rsidRPr="00C931E2">
              <w:rPr>
                <w:sz w:val="18"/>
                <w:szCs w:val="18"/>
              </w:rPr>
              <w:t>17.62</w:t>
            </w:r>
          </w:p>
        </w:tc>
        <w:tc>
          <w:tcPr>
            <w:tcW w:w="992" w:type="dxa"/>
            <w:gridSpan w:val="2"/>
            <w:tcBorders>
              <w:top w:val="nil"/>
              <w:left w:val="nil"/>
              <w:bottom w:val="single" w:sz="4" w:space="0" w:color="auto"/>
              <w:right w:val="single" w:sz="4" w:space="0" w:color="auto"/>
            </w:tcBorders>
            <w:vAlign w:val="center"/>
            <w:hideMark/>
          </w:tcPr>
          <w:p w14:paraId="68CA3DCA" w14:textId="1D83A991" w:rsidR="00C931E2" w:rsidRPr="00C931E2" w:rsidRDefault="00C931E2" w:rsidP="00C931E2">
            <w:pPr>
              <w:jc w:val="center"/>
              <w:rPr>
                <w:rFonts w:ascii="Cambria" w:hAnsi="Cambria" w:cs="Calibri"/>
                <w:color w:val="000000"/>
                <w:sz w:val="18"/>
                <w:szCs w:val="18"/>
                <w:lang w:val="en-IN" w:eastAsia="en-IN"/>
              </w:rPr>
            </w:pPr>
            <w:r w:rsidRPr="00C931E2">
              <w:rPr>
                <w:sz w:val="18"/>
                <w:szCs w:val="18"/>
              </w:rPr>
              <w:t>3.75</w:t>
            </w:r>
          </w:p>
        </w:tc>
        <w:tc>
          <w:tcPr>
            <w:tcW w:w="987" w:type="dxa"/>
            <w:gridSpan w:val="2"/>
            <w:tcBorders>
              <w:top w:val="nil"/>
              <w:left w:val="nil"/>
              <w:bottom w:val="single" w:sz="4" w:space="0" w:color="auto"/>
              <w:right w:val="single" w:sz="4" w:space="0" w:color="auto"/>
            </w:tcBorders>
            <w:vAlign w:val="center"/>
            <w:hideMark/>
          </w:tcPr>
          <w:p w14:paraId="31B15410" w14:textId="0A7D6BCD" w:rsidR="00C931E2" w:rsidRPr="00C931E2" w:rsidRDefault="00C931E2" w:rsidP="00C931E2">
            <w:pPr>
              <w:jc w:val="center"/>
              <w:rPr>
                <w:rFonts w:ascii="Cambria" w:hAnsi="Cambria" w:cs="Calibri"/>
                <w:color w:val="000000"/>
                <w:sz w:val="18"/>
                <w:szCs w:val="18"/>
                <w:lang w:val="en-IN" w:eastAsia="en-IN"/>
              </w:rPr>
            </w:pPr>
            <w:r w:rsidRPr="00C931E2">
              <w:rPr>
                <w:sz w:val="18"/>
                <w:szCs w:val="18"/>
              </w:rPr>
              <w:t>0.98</w:t>
            </w:r>
          </w:p>
        </w:tc>
        <w:tc>
          <w:tcPr>
            <w:tcW w:w="927" w:type="dxa"/>
            <w:gridSpan w:val="2"/>
            <w:tcBorders>
              <w:top w:val="nil"/>
              <w:left w:val="nil"/>
              <w:bottom w:val="single" w:sz="4" w:space="0" w:color="auto"/>
              <w:right w:val="single" w:sz="4" w:space="0" w:color="auto"/>
            </w:tcBorders>
            <w:vAlign w:val="center"/>
            <w:hideMark/>
          </w:tcPr>
          <w:p w14:paraId="7AF2AFF1" w14:textId="14290B46" w:rsidR="00C931E2" w:rsidRPr="00C931E2" w:rsidRDefault="00C931E2" w:rsidP="00C931E2">
            <w:pPr>
              <w:jc w:val="center"/>
              <w:rPr>
                <w:rFonts w:ascii="Cambria" w:hAnsi="Cambria" w:cs="Calibri"/>
                <w:color w:val="000000"/>
                <w:sz w:val="18"/>
                <w:szCs w:val="18"/>
                <w:lang w:val="en-IN" w:eastAsia="en-IN"/>
              </w:rPr>
            </w:pPr>
            <w:r w:rsidRPr="00C931E2">
              <w:rPr>
                <w:sz w:val="18"/>
                <w:szCs w:val="18"/>
              </w:rPr>
              <w:t>13.87</w:t>
            </w:r>
          </w:p>
        </w:tc>
        <w:tc>
          <w:tcPr>
            <w:tcW w:w="864" w:type="dxa"/>
            <w:tcBorders>
              <w:top w:val="nil"/>
              <w:left w:val="nil"/>
              <w:bottom w:val="single" w:sz="4" w:space="0" w:color="auto"/>
              <w:right w:val="single" w:sz="4" w:space="0" w:color="auto"/>
            </w:tcBorders>
            <w:vAlign w:val="center"/>
            <w:hideMark/>
          </w:tcPr>
          <w:p w14:paraId="4B54B15A" w14:textId="3A624576" w:rsidR="00C931E2" w:rsidRPr="00C931E2" w:rsidRDefault="00C931E2" w:rsidP="00C931E2">
            <w:pPr>
              <w:jc w:val="center"/>
              <w:rPr>
                <w:rFonts w:ascii="Cambria" w:hAnsi="Cambria" w:cs="Calibri"/>
                <w:color w:val="000000"/>
                <w:sz w:val="18"/>
                <w:szCs w:val="18"/>
                <w:lang w:val="en-IN" w:eastAsia="en-IN"/>
              </w:rPr>
            </w:pPr>
            <w:r w:rsidRPr="00C931E2">
              <w:rPr>
                <w:sz w:val="18"/>
                <w:szCs w:val="18"/>
              </w:rPr>
              <w:t>2.77</w:t>
            </w:r>
          </w:p>
        </w:tc>
      </w:tr>
      <w:tr w:rsidR="00C931E2" w:rsidRPr="00B95FED" w14:paraId="0382C8B3" w14:textId="77777777" w:rsidTr="00304420">
        <w:trPr>
          <w:trHeight w:val="224"/>
          <w:jc w:val="center"/>
        </w:trPr>
        <w:tc>
          <w:tcPr>
            <w:tcW w:w="1271" w:type="dxa"/>
            <w:vMerge/>
            <w:tcBorders>
              <w:top w:val="nil"/>
              <w:left w:val="single" w:sz="4" w:space="0" w:color="auto"/>
              <w:bottom w:val="single" w:sz="4" w:space="0" w:color="auto"/>
              <w:right w:val="single" w:sz="4" w:space="0" w:color="auto"/>
            </w:tcBorders>
            <w:vAlign w:val="center"/>
            <w:hideMark/>
          </w:tcPr>
          <w:p w14:paraId="19070068" w14:textId="77777777" w:rsidR="00C931E2" w:rsidRPr="00B95FED" w:rsidRDefault="00C931E2" w:rsidP="00C931E2">
            <w:pPr>
              <w:rPr>
                <w:rFonts w:ascii="Cambria" w:hAnsi="Cambria" w:cs="Calibri"/>
                <w:b/>
                <w:bCs/>
                <w:color w:val="000000"/>
                <w:sz w:val="18"/>
                <w:szCs w:val="18"/>
                <w:lang w:val="en-IN" w:eastAsia="en-IN"/>
              </w:rPr>
            </w:pPr>
          </w:p>
        </w:tc>
        <w:tc>
          <w:tcPr>
            <w:tcW w:w="1985" w:type="dxa"/>
            <w:tcBorders>
              <w:top w:val="nil"/>
              <w:left w:val="nil"/>
              <w:bottom w:val="single" w:sz="4" w:space="0" w:color="auto"/>
              <w:right w:val="single" w:sz="4" w:space="0" w:color="auto"/>
            </w:tcBorders>
            <w:vAlign w:val="center"/>
            <w:hideMark/>
          </w:tcPr>
          <w:p w14:paraId="3CA762E2" w14:textId="77777777" w:rsidR="00C931E2" w:rsidRPr="00B95FED" w:rsidRDefault="00C931E2" w:rsidP="00C931E2">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TOTAL</w:t>
            </w:r>
          </w:p>
        </w:tc>
        <w:tc>
          <w:tcPr>
            <w:tcW w:w="1110" w:type="dxa"/>
            <w:tcBorders>
              <w:top w:val="nil"/>
              <w:left w:val="nil"/>
              <w:bottom w:val="single" w:sz="4" w:space="0" w:color="auto"/>
              <w:right w:val="single" w:sz="4" w:space="0" w:color="auto"/>
            </w:tcBorders>
            <w:vAlign w:val="center"/>
            <w:hideMark/>
          </w:tcPr>
          <w:p w14:paraId="7C894E6A" w14:textId="5D09E09B" w:rsidR="00C931E2" w:rsidRPr="00C931E2" w:rsidRDefault="00C931E2" w:rsidP="00C931E2">
            <w:pPr>
              <w:jc w:val="center"/>
              <w:rPr>
                <w:rFonts w:ascii="Cambria" w:hAnsi="Cambria" w:cs="Calibri"/>
                <w:b/>
                <w:bCs/>
                <w:color w:val="000000"/>
                <w:sz w:val="18"/>
                <w:szCs w:val="18"/>
                <w:lang w:val="en-IN" w:eastAsia="en-IN"/>
              </w:rPr>
            </w:pPr>
            <w:r w:rsidRPr="00C931E2">
              <w:rPr>
                <w:sz w:val="18"/>
                <w:szCs w:val="18"/>
              </w:rPr>
              <w:t>78.01</w:t>
            </w:r>
          </w:p>
        </w:tc>
        <w:tc>
          <w:tcPr>
            <w:tcW w:w="894" w:type="dxa"/>
            <w:tcBorders>
              <w:top w:val="nil"/>
              <w:left w:val="nil"/>
              <w:bottom w:val="single" w:sz="4" w:space="0" w:color="auto"/>
              <w:right w:val="single" w:sz="4" w:space="0" w:color="auto"/>
            </w:tcBorders>
            <w:vAlign w:val="center"/>
            <w:hideMark/>
          </w:tcPr>
          <w:p w14:paraId="3A92424D" w14:textId="4A29BD42" w:rsidR="00C931E2" w:rsidRPr="00C931E2" w:rsidRDefault="00C931E2" w:rsidP="00C931E2">
            <w:pPr>
              <w:jc w:val="center"/>
              <w:rPr>
                <w:rFonts w:ascii="Cambria" w:hAnsi="Cambria" w:cs="Calibri"/>
                <w:b/>
                <w:bCs/>
                <w:color w:val="000000"/>
                <w:sz w:val="18"/>
                <w:szCs w:val="18"/>
                <w:lang w:val="en-IN" w:eastAsia="en-IN"/>
              </w:rPr>
            </w:pPr>
            <w:r w:rsidRPr="00C931E2">
              <w:rPr>
                <w:sz w:val="18"/>
                <w:szCs w:val="18"/>
              </w:rPr>
              <w:t>2.18</w:t>
            </w:r>
          </w:p>
        </w:tc>
        <w:tc>
          <w:tcPr>
            <w:tcW w:w="1171" w:type="dxa"/>
            <w:tcBorders>
              <w:top w:val="nil"/>
              <w:left w:val="nil"/>
              <w:bottom w:val="single" w:sz="4" w:space="0" w:color="auto"/>
              <w:right w:val="single" w:sz="4" w:space="0" w:color="auto"/>
            </w:tcBorders>
            <w:vAlign w:val="center"/>
            <w:hideMark/>
          </w:tcPr>
          <w:p w14:paraId="18065F50" w14:textId="63ADF05C" w:rsidR="00C931E2" w:rsidRPr="00C931E2" w:rsidRDefault="00C931E2" w:rsidP="00C931E2">
            <w:pPr>
              <w:jc w:val="center"/>
              <w:rPr>
                <w:rFonts w:ascii="Cambria" w:hAnsi="Cambria" w:cs="Calibri"/>
                <w:b/>
                <w:bCs/>
                <w:color w:val="000000"/>
                <w:sz w:val="18"/>
                <w:szCs w:val="18"/>
                <w:lang w:val="en-IN" w:eastAsia="en-IN"/>
              </w:rPr>
            </w:pPr>
            <w:r w:rsidRPr="00C931E2">
              <w:rPr>
                <w:sz w:val="18"/>
                <w:szCs w:val="18"/>
              </w:rPr>
              <w:t>80.19</w:t>
            </w:r>
          </w:p>
        </w:tc>
        <w:tc>
          <w:tcPr>
            <w:tcW w:w="992" w:type="dxa"/>
            <w:gridSpan w:val="2"/>
            <w:tcBorders>
              <w:top w:val="nil"/>
              <w:left w:val="nil"/>
              <w:bottom w:val="single" w:sz="4" w:space="0" w:color="auto"/>
              <w:right w:val="single" w:sz="4" w:space="0" w:color="auto"/>
            </w:tcBorders>
            <w:vAlign w:val="center"/>
            <w:hideMark/>
          </w:tcPr>
          <w:p w14:paraId="478343A6" w14:textId="27E809CC" w:rsidR="00C931E2" w:rsidRPr="00C931E2" w:rsidRDefault="00C931E2" w:rsidP="00C931E2">
            <w:pPr>
              <w:jc w:val="center"/>
              <w:rPr>
                <w:rFonts w:ascii="Cambria" w:hAnsi="Cambria" w:cs="Calibri"/>
                <w:b/>
                <w:bCs/>
                <w:color w:val="000000"/>
                <w:sz w:val="18"/>
                <w:szCs w:val="18"/>
                <w:lang w:val="en-IN" w:eastAsia="en-IN"/>
              </w:rPr>
            </w:pPr>
            <w:r w:rsidRPr="00C931E2">
              <w:rPr>
                <w:sz w:val="18"/>
                <w:szCs w:val="18"/>
              </w:rPr>
              <w:t>53.75</w:t>
            </w:r>
          </w:p>
        </w:tc>
        <w:tc>
          <w:tcPr>
            <w:tcW w:w="987" w:type="dxa"/>
            <w:gridSpan w:val="2"/>
            <w:tcBorders>
              <w:top w:val="nil"/>
              <w:left w:val="nil"/>
              <w:bottom w:val="single" w:sz="4" w:space="0" w:color="auto"/>
              <w:right w:val="single" w:sz="4" w:space="0" w:color="auto"/>
            </w:tcBorders>
            <w:vAlign w:val="center"/>
            <w:hideMark/>
          </w:tcPr>
          <w:p w14:paraId="11C70B01" w14:textId="4129CB73" w:rsidR="00C931E2" w:rsidRPr="00C931E2" w:rsidRDefault="00C931E2" w:rsidP="00C931E2">
            <w:pPr>
              <w:jc w:val="center"/>
              <w:rPr>
                <w:rFonts w:ascii="Cambria" w:hAnsi="Cambria" w:cs="Calibri"/>
                <w:b/>
                <w:bCs/>
                <w:color w:val="000000"/>
                <w:sz w:val="18"/>
                <w:szCs w:val="18"/>
                <w:lang w:val="en-IN" w:eastAsia="en-IN"/>
              </w:rPr>
            </w:pPr>
            <w:r w:rsidRPr="00C931E2">
              <w:rPr>
                <w:sz w:val="18"/>
                <w:szCs w:val="18"/>
              </w:rPr>
              <w:t>1.30</w:t>
            </w:r>
          </w:p>
        </w:tc>
        <w:tc>
          <w:tcPr>
            <w:tcW w:w="927" w:type="dxa"/>
            <w:gridSpan w:val="2"/>
            <w:tcBorders>
              <w:top w:val="nil"/>
              <w:left w:val="nil"/>
              <w:bottom w:val="single" w:sz="4" w:space="0" w:color="auto"/>
              <w:right w:val="single" w:sz="4" w:space="0" w:color="auto"/>
            </w:tcBorders>
            <w:vAlign w:val="center"/>
            <w:hideMark/>
          </w:tcPr>
          <w:p w14:paraId="1BFDD4B8" w14:textId="6455B4C9" w:rsidR="00C931E2" w:rsidRPr="00C931E2" w:rsidRDefault="00C931E2" w:rsidP="00C931E2">
            <w:pPr>
              <w:jc w:val="center"/>
              <w:rPr>
                <w:rFonts w:ascii="Cambria" w:hAnsi="Cambria" w:cs="Calibri"/>
                <w:b/>
                <w:bCs/>
                <w:color w:val="000000"/>
                <w:sz w:val="18"/>
                <w:szCs w:val="18"/>
                <w:lang w:val="en-IN" w:eastAsia="en-IN"/>
              </w:rPr>
            </w:pPr>
            <w:r w:rsidRPr="00C931E2">
              <w:rPr>
                <w:sz w:val="18"/>
                <w:szCs w:val="18"/>
              </w:rPr>
              <w:t>26.44</w:t>
            </w:r>
          </w:p>
        </w:tc>
        <w:tc>
          <w:tcPr>
            <w:tcW w:w="864" w:type="dxa"/>
            <w:tcBorders>
              <w:top w:val="nil"/>
              <w:left w:val="nil"/>
              <w:bottom w:val="single" w:sz="4" w:space="0" w:color="auto"/>
              <w:right w:val="single" w:sz="4" w:space="0" w:color="auto"/>
            </w:tcBorders>
            <w:vAlign w:val="center"/>
            <w:hideMark/>
          </w:tcPr>
          <w:p w14:paraId="73D668E3" w14:textId="37D8C6C7" w:rsidR="00C931E2" w:rsidRPr="00C931E2" w:rsidRDefault="00C931E2" w:rsidP="00C931E2">
            <w:pPr>
              <w:jc w:val="center"/>
              <w:rPr>
                <w:rFonts w:ascii="Cambria" w:hAnsi="Cambria" w:cs="Calibri"/>
                <w:b/>
                <w:bCs/>
                <w:color w:val="000000"/>
                <w:sz w:val="18"/>
                <w:szCs w:val="18"/>
                <w:lang w:val="en-IN" w:eastAsia="en-IN"/>
              </w:rPr>
            </w:pPr>
            <w:r w:rsidRPr="00C931E2">
              <w:rPr>
                <w:sz w:val="18"/>
                <w:szCs w:val="18"/>
              </w:rPr>
              <w:t>52.45</w:t>
            </w:r>
          </w:p>
        </w:tc>
      </w:tr>
      <w:tr w:rsidR="00C34780" w:rsidRPr="00B95FED" w14:paraId="31562271" w14:textId="77777777" w:rsidTr="00304420">
        <w:trPr>
          <w:trHeight w:val="224"/>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4B5A34CC" w14:textId="77777777" w:rsidR="00C34780" w:rsidRPr="00B95FED" w:rsidRDefault="00C34780" w:rsidP="00C34780">
            <w:pPr>
              <w:jc w:val="center"/>
              <w:rPr>
                <w:rFonts w:ascii="Cambria" w:hAnsi="Cambria" w:cs="Calibri"/>
                <w:b/>
                <w:bCs/>
                <w:color w:val="000000"/>
                <w:sz w:val="18"/>
                <w:szCs w:val="18"/>
                <w:lang w:val="en-IN" w:eastAsia="en-IN"/>
              </w:rPr>
            </w:pPr>
            <w:r w:rsidRPr="00B95FED">
              <w:rPr>
                <w:rFonts w:ascii="Cambria" w:hAnsi="Cambria" w:cs="Calibri"/>
                <w:b/>
                <w:bCs/>
                <w:color w:val="000000"/>
                <w:sz w:val="18"/>
                <w:szCs w:val="18"/>
                <w:lang w:val="en-IN" w:eastAsia="en-IN"/>
              </w:rPr>
              <w:t>GRAND TOTAL</w:t>
            </w:r>
          </w:p>
        </w:tc>
        <w:tc>
          <w:tcPr>
            <w:tcW w:w="1110" w:type="dxa"/>
            <w:tcBorders>
              <w:top w:val="nil"/>
              <w:left w:val="nil"/>
              <w:bottom w:val="single" w:sz="4" w:space="0" w:color="auto"/>
              <w:right w:val="single" w:sz="4" w:space="0" w:color="auto"/>
            </w:tcBorders>
          </w:tcPr>
          <w:p w14:paraId="5EA851AC" w14:textId="65DCA331" w:rsidR="00C34780" w:rsidRPr="00C34780" w:rsidRDefault="00C34780" w:rsidP="00C34780">
            <w:pPr>
              <w:jc w:val="center"/>
              <w:rPr>
                <w:rFonts w:ascii="Cambria" w:hAnsi="Cambria" w:cs="Calibri"/>
                <w:b/>
                <w:bCs/>
                <w:color w:val="000000"/>
                <w:sz w:val="20"/>
                <w:szCs w:val="20"/>
              </w:rPr>
            </w:pPr>
            <w:r w:rsidRPr="00C34780">
              <w:rPr>
                <w:b/>
                <w:bCs/>
                <w:sz w:val="20"/>
                <w:szCs w:val="20"/>
              </w:rPr>
              <w:t>566.11</w:t>
            </w:r>
          </w:p>
        </w:tc>
        <w:tc>
          <w:tcPr>
            <w:tcW w:w="894" w:type="dxa"/>
            <w:tcBorders>
              <w:top w:val="nil"/>
              <w:left w:val="nil"/>
              <w:bottom w:val="single" w:sz="4" w:space="0" w:color="auto"/>
              <w:right w:val="single" w:sz="4" w:space="0" w:color="auto"/>
            </w:tcBorders>
          </w:tcPr>
          <w:p w14:paraId="7A520BF9" w14:textId="719570B9" w:rsidR="00C34780" w:rsidRPr="00C34780" w:rsidRDefault="00C34780" w:rsidP="00C34780">
            <w:pPr>
              <w:jc w:val="center"/>
              <w:rPr>
                <w:rFonts w:ascii="Cambria" w:hAnsi="Cambria" w:cs="Calibri"/>
                <w:b/>
                <w:bCs/>
                <w:color w:val="000000"/>
                <w:sz w:val="20"/>
                <w:szCs w:val="20"/>
              </w:rPr>
            </w:pPr>
            <w:r w:rsidRPr="00C34780">
              <w:rPr>
                <w:b/>
                <w:bCs/>
                <w:sz w:val="20"/>
                <w:szCs w:val="20"/>
              </w:rPr>
              <w:t>2.18</w:t>
            </w:r>
          </w:p>
        </w:tc>
        <w:tc>
          <w:tcPr>
            <w:tcW w:w="1171" w:type="dxa"/>
            <w:tcBorders>
              <w:top w:val="nil"/>
              <w:left w:val="nil"/>
              <w:bottom w:val="single" w:sz="4" w:space="0" w:color="auto"/>
              <w:right w:val="single" w:sz="4" w:space="0" w:color="auto"/>
            </w:tcBorders>
          </w:tcPr>
          <w:p w14:paraId="38A23D27" w14:textId="14BF05C7" w:rsidR="00C34780" w:rsidRPr="00C34780" w:rsidRDefault="00C34780" w:rsidP="00C34780">
            <w:pPr>
              <w:jc w:val="center"/>
              <w:rPr>
                <w:rFonts w:ascii="Cambria" w:hAnsi="Cambria" w:cs="Calibri"/>
                <w:b/>
                <w:bCs/>
                <w:color w:val="000000"/>
                <w:sz w:val="20"/>
                <w:szCs w:val="20"/>
              </w:rPr>
            </w:pPr>
            <w:r w:rsidRPr="00C34780">
              <w:rPr>
                <w:b/>
                <w:bCs/>
                <w:sz w:val="20"/>
                <w:szCs w:val="20"/>
              </w:rPr>
              <w:t>568.29</w:t>
            </w:r>
          </w:p>
        </w:tc>
        <w:tc>
          <w:tcPr>
            <w:tcW w:w="982" w:type="dxa"/>
            <w:tcBorders>
              <w:top w:val="nil"/>
              <w:left w:val="nil"/>
              <w:bottom w:val="single" w:sz="4" w:space="0" w:color="auto"/>
              <w:right w:val="single" w:sz="4" w:space="0" w:color="auto"/>
            </w:tcBorders>
          </w:tcPr>
          <w:p w14:paraId="4310D803" w14:textId="542EFEF0" w:rsidR="00C34780" w:rsidRPr="00C34780" w:rsidRDefault="00C34780" w:rsidP="00C34780">
            <w:pPr>
              <w:jc w:val="center"/>
              <w:rPr>
                <w:rFonts w:ascii="Cambria" w:hAnsi="Cambria" w:cs="Calibri"/>
                <w:b/>
                <w:bCs/>
                <w:color w:val="000000"/>
                <w:sz w:val="20"/>
                <w:szCs w:val="20"/>
              </w:rPr>
            </w:pPr>
            <w:r w:rsidRPr="00C34780">
              <w:rPr>
                <w:b/>
                <w:bCs/>
                <w:sz w:val="20"/>
                <w:szCs w:val="20"/>
              </w:rPr>
              <w:t>413.27</w:t>
            </w:r>
          </w:p>
        </w:tc>
        <w:tc>
          <w:tcPr>
            <w:tcW w:w="987" w:type="dxa"/>
            <w:gridSpan w:val="2"/>
            <w:tcBorders>
              <w:top w:val="nil"/>
              <w:left w:val="nil"/>
              <w:bottom w:val="single" w:sz="4" w:space="0" w:color="auto"/>
              <w:right w:val="single" w:sz="4" w:space="0" w:color="auto"/>
            </w:tcBorders>
          </w:tcPr>
          <w:p w14:paraId="783BB291" w14:textId="0780361D" w:rsidR="00C34780" w:rsidRPr="00C34780" w:rsidRDefault="00C34780" w:rsidP="00C34780">
            <w:pPr>
              <w:jc w:val="center"/>
              <w:rPr>
                <w:rFonts w:ascii="Cambria" w:hAnsi="Cambria" w:cs="Calibri"/>
                <w:b/>
                <w:bCs/>
                <w:color w:val="000000"/>
                <w:sz w:val="20"/>
                <w:szCs w:val="20"/>
              </w:rPr>
            </w:pPr>
            <w:r w:rsidRPr="00C34780">
              <w:rPr>
                <w:b/>
                <w:bCs/>
                <w:sz w:val="20"/>
                <w:szCs w:val="20"/>
              </w:rPr>
              <w:t>37.30</w:t>
            </w:r>
          </w:p>
        </w:tc>
        <w:tc>
          <w:tcPr>
            <w:tcW w:w="927" w:type="dxa"/>
            <w:gridSpan w:val="2"/>
            <w:tcBorders>
              <w:top w:val="nil"/>
              <w:left w:val="nil"/>
              <w:bottom w:val="single" w:sz="4" w:space="0" w:color="auto"/>
              <w:right w:val="single" w:sz="4" w:space="0" w:color="auto"/>
            </w:tcBorders>
          </w:tcPr>
          <w:p w14:paraId="253E6FD2" w14:textId="4FEAAB9A" w:rsidR="00C34780" w:rsidRPr="00C34780" w:rsidRDefault="00C34780" w:rsidP="00C34780">
            <w:pPr>
              <w:jc w:val="center"/>
              <w:rPr>
                <w:rFonts w:ascii="Cambria" w:hAnsi="Cambria" w:cs="Calibri"/>
                <w:b/>
                <w:bCs/>
                <w:color w:val="000000"/>
                <w:sz w:val="20"/>
                <w:szCs w:val="20"/>
              </w:rPr>
            </w:pPr>
            <w:r w:rsidRPr="00C34780">
              <w:rPr>
                <w:b/>
                <w:bCs/>
                <w:sz w:val="20"/>
                <w:szCs w:val="20"/>
              </w:rPr>
              <w:t>155.02</w:t>
            </w:r>
          </w:p>
        </w:tc>
        <w:tc>
          <w:tcPr>
            <w:tcW w:w="874" w:type="dxa"/>
            <w:gridSpan w:val="2"/>
            <w:tcBorders>
              <w:top w:val="nil"/>
              <w:left w:val="nil"/>
              <w:bottom w:val="single" w:sz="4" w:space="0" w:color="auto"/>
              <w:right w:val="single" w:sz="4" w:space="0" w:color="auto"/>
            </w:tcBorders>
          </w:tcPr>
          <w:p w14:paraId="67548A9A" w14:textId="635DB03D" w:rsidR="00C34780" w:rsidRPr="00C34780" w:rsidRDefault="00C34780" w:rsidP="00C34780">
            <w:pPr>
              <w:jc w:val="center"/>
              <w:rPr>
                <w:rFonts w:ascii="Cambria" w:hAnsi="Cambria" w:cs="Calibri"/>
                <w:b/>
                <w:bCs/>
                <w:color w:val="000000"/>
                <w:sz w:val="20"/>
                <w:szCs w:val="20"/>
              </w:rPr>
            </w:pPr>
            <w:r w:rsidRPr="00C34780">
              <w:rPr>
                <w:b/>
                <w:bCs/>
                <w:sz w:val="20"/>
                <w:szCs w:val="20"/>
              </w:rPr>
              <w:t>375.98</w:t>
            </w:r>
          </w:p>
        </w:tc>
      </w:tr>
    </w:tbl>
    <w:p w14:paraId="31257FA1" w14:textId="77777777" w:rsidR="00C00A77" w:rsidRDefault="00C00A77" w:rsidP="00B95FED">
      <w:pPr>
        <w:spacing w:line="360" w:lineRule="auto"/>
        <w:ind w:left="-709"/>
        <w:rPr>
          <w:highlight w:val="yellow"/>
        </w:rPr>
      </w:pPr>
    </w:p>
    <w:p w14:paraId="7EFDD167" w14:textId="0068212F" w:rsidR="0040243E" w:rsidRDefault="0040243E" w:rsidP="00B95FED">
      <w:pPr>
        <w:spacing w:line="360" w:lineRule="auto"/>
        <w:ind w:left="-709"/>
        <w:rPr>
          <w:rFonts w:asciiTheme="majorHAnsi" w:hAnsiTheme="majorHAnsi"/>
          <w:b/>
          <w:bCs/>
          <w:u w:val="single"/>
        </w:rPr>
      </w:pPr>
      <w:r w:rsidRPr="00912B86">
        <w:rPr>
          <w:rFonts w:asciiTheme="majorHAnsi" w:hAnsiTheme="majorHAnsi"/>
          <w:b/>
          <w:bCs/>
          <w:u w:val="single"/>
        </w:rPr>
        <w:t>FY 202</w:t>
      </w:r>
      <w:r>
        <w:rPr>
          <w:rFonts w:asciiTheme="majorHAnsi" w:hAnsiTheme="majorHAnsi"/>
          <w:b/>
          <w:bCs/>
          <w:u w:val="single"/>
        </w:rPr>
        <w:t>5</w:t>
      </w:r>
      <w:r w:rsidRPr="00912B86">
        <w:rPr>
          <w:rFonts w:asciiTheme="majorHAnsi" w:hAnsiTheme="majorHAnsi"/>
          <w:b/>
          <w:bCs/>
          <w:u w:val="single"/>
        </w:rPr>
        <w:t>-2</w:t>
      </w:r>
      <w:r>
        <w:rPr>
          <w:rFonts w:asciiTheme="majorHAnsi" w:hAnsiTheme="majorHAnsi"/>
          <w:b/>
          <w:bCs/>
          <w:u w:val="single"/>
        </w:rPr>
        <w:t>6</w:t>
      </w:r>
      <w:r w:rsidR="00D6736A">
        <w:rPr>
          <w:rFonts w:asciiTheme="majorHAnsi" w:hAnsiTheme="majorHAnsi"/>
          <w:b/>
          <w:bCs/>
          <w:u w:val="single"/>
        </w:rPr>
        <w:t>:</w:t>
      </w:r>
    </w:p>
    <w:tbl>
      <w:tblPr>
        <w:tblW w:w="10037" w:type="dxa"/>
        <w:tblInd w:w="-714" w:type="dxa"/>
        <w:tblLayout w:type="fixed"/>
        <w:tblLook w:val="04A0" w:firstRow="1" w:lastRow="0" w:firstColumn="1" w:lastColumn="0" w:noHBand="0" w:noVBand="1"/>
      </w:tblPr>
      <w:tblGrid>
        <w:gridCol w:w="1276"/>
        <w:gridCol w:w="1586"/>
        <w:gridCol w:w="11"/>
        <w:gridCol w:w="1113"/>
        <w:gridCol w:w="11"/>
        <w:gridCol w:w="931"/>
        <w:gridCol w:w="11"/>
        <w:gridCol w:w="1265"/>
        <w:gridCol w:w="11"/>
        <w:gridCol w:w="981"/>
        <w:gridCol w:w="11"/>
        <w:gridCol w:w="981"/>
        <w:gridCol w:w="11"/>
        <w:gridCol w:w="982"/>
        <w:gridCol w:w="11"/>
        <w:gridCol w:w="834"/>
        <w:gridCol w:w="11"/>
      </w:tblGrid>
      <w:tr w:rsidR="006E0276" w:rsidRPr="006E0276" w14:paraId="763D1B62" w14:textId="77777777" w:rsidTr="00304420">
        <w:trPr>
          <w:gridAfter w:val="1"/>
          <w:wAfter w:w="11" w:type="dxa"/>
          <w:trHeight w:val="1160"/>
          <w:tblHeader/>
        </w:trPr>
        <w:tc>
          <w:tcPr>
            <w:tcW w:w="1276" w:type="dxa"/>
            <w:tcBorders>
              <w:top w:val="single" w:sz="4" w:space="0" w:color="auto"/>
              <w:left w:val="single" w:sz="4" w:space="0" w:color="auto"/>
              <w:bottom w:val="single" w:sz="4" w:space="0" w:color="auto"/>
              <w:right w:val="single" w:sz="4" w:space="0" w:color="auto"/>
            </w:tcBorders>
            <w:vAlign w:val="center"/>
            <w:hideMark/>
          </w:tcPr>
          <w:p w14:paraId="66599EA6"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Particulars</w:t>
            </w:r>
          </w:p>
        </w:tc>
        <w:tc>
          <w:tcPr>
            <w:tcW w:w="1586" w:type="dxa"/>
            <w:tcBorders>
              <w:top w:val="single" w:sz="4" w:space="0" w:color="auto"/>
              <w:left w:val="nil"/>
              <w:bottom w:val="single" w:sz="4" w:space="0" w:color="auto"/>
              <w:right w:val="single" w:sz="4" w:space="0" w:color="auto"/>
            </w:tcBorders>
            <w:vAlign w:val="center"/>
            <w:hideMark/>
          </w:tcPr>
          <w:p w14:paraId="1728222B"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Description</w:t>
            </w:r>
          </w:p>
        </w:tc>
        <w:tc>
          <w:tcPr>
            <w:tcW w:w="1124" w:type="dxa"/>
            <w:gridSpan w:val="2"/>
            <w:tcBorders>
              <w:top w:val="single" w:sz="4" w:space="0" w:color="auto"/>
              <w:left w:val="nil"/>
              <w:bottom w:val="single" w:sz="4" w:space="0" w:color="auto"/>
              <w:right w:val="single" w:sz="4" w:space="0" w:color="auto"/>
            </w:tcBorders>
            <w:vAlign w:val="center"/>
            <w:hideMark/>
          </w:tcPr>
          <w:p w14:paraId="79B3999E"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OERC Approved Budget</w:t>
            </w:r>
          </w:p>
        </w:tc>
        <w:tc>
          <w:tcPr>
            <w:tcW w:w="942" w:type="dxa"/>
            <w:gridSpan w:val="2"/>
            <w:tcBorders>
              <w:top w:val="single" w:sz="4" w:space="0" w:color="auto"/>
              <w:left w:val="nil"/>
              <w:bottom w:val="single" w:sz="4" w:space="0" w:color="auto"/>
              <w:right w:val="single" w:sz="4" w:space="0" w:color="auto"/>
            </w:tcBorders>
            <w:vAlign w:val="center"/>
            <w:hideMark/>
          </w:tcPr>
          <w:p w14:paraId="7A1945F8"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 xml:space="preserve">Adjustment </w:t>
            </w:r>
            <w:r w:rsidRPr="006E0276">
              <w:rPr>
                <w:rFonts w:ascii="Cambria" w:hAnsi="Cambria" w:cs="Calibri"/>
                <w:b/>
                <w:bCs/>
                <w:color w:val="000000"/>
                <w:sz w:val="18"/>
                <w:szCs w:val="18"/>
                <w:lang w:val="en-IN" w:eastAsia="en-IN"/>
              </w:rPr>
              <w:br/>
              <w:t>(if any)</w:t>
            </w:r>
          </w:p>
        </w:tc>
        <w:tc>
          <w:tcPr>
            <w:tcW w:w="1276" w:type="dxa"/>
            <w:gridSpan w:val="2"/>
            <w:tcBorders>
              <w:top w:val="single" w:sz="4" w:space="0" w:color="auto"/>
              <w:left w:val="nil"/>
              <w:bottom w:val="single" w:sz="4" w:space="0" w:color="auto"/>
              <w:right w:val="single" w:sz="4" w:space="0" w:color="auto"/>
            </w:tcBorders>
            <w:vAlign w:val="center"/>
            <w:hideMark/>
          </w:tcPr>
          <w:p w14:paraId="369E39CC"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Allocated/ Actual Budget Used</w:t>
            </w:r>
          </w:p>
        </w:tc>
        <w:tc>
          <w:tcPr>
            <w:tcW w:w="992" w:type="dxa"/>
            <w:gridSpan w:val="2"/>
            <w:tcBorders>
              <w:top w:val="single" w:sz="4" w:space="0" w:color="auto"/>
              <w:left w:val="nil"/>
              <w:bottom w:val="single" w:sz="4" w:space="0" w:color="auto"/>
              <w:right w:val="single" w:sz="4" w:space="0" w:color="auto"/>
            </w:tcBorders>
            <w:vAlign w:val="center"/>
            <w:hideMark/>
          </w:tcPr>
          <w:p w14:paraId="6F1C26F1"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Actual CAPEX</w:t>
            </w:r>
          </w:p>
        </w:tc>
        <w:tc>
          <w:tcPr>
            <w:tcW w:w="992" w:type="dxa"/>
            <w:gridSpan w:val="2"/>
            <w:tcBorders>
              <w:top w:val="single" w:sz="4" w:space="0" w:color="auto"/>
              <w:left w:val="nil"/>
              <w:bottom w:val="single" w:sz="4" w:space="0" w:color="auto"/>
              <w:right w:val="single" w:sz="4" w:space="0" w:color="auto"/>
            </w:tcBorders>
            <w:vAlign w:val="center"/>
            <w:hideMark/>
          </w:tcPr>
          <w:p w14:paraId="260ED19B"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WIP</w:t>
            </w:r>
          </w:p>
        </w:tc>
        <w:tc>
          <w:tcPr>
            <w:tcW w:w="993" w:type="dxa"/>
            <w:gridSpan w:val="2"/>
            <w:tcBorders>
              <w:top w:val="single" w:sz="4" w:space="0" w:color="auto"/>
              <w:left w:val="nil"/>
              <w:bottom w:val="single" w:sz="4" w:space="0" w:color="auto"/>
              <w:right w:val="single" w:sz="4" w:space="0" w:color="auto"/>
            </w:tcBorders>
            <w:vAlign w:val="center"/>
            <w:hideMark/>
          </w:tcPr>
          <w:p w14:paraId="218BEA12"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Balance</w:t>
            </w:r>
          </w:p>
        </w:tc>
        <w:tc>
          <w:tcPr>
            <w:tcW w:w="845" w:type="dxa"/>
            <w:gridSpan w:val="2"/>
            <w:tcBorders>
              <w:top w:val="single" w:sz="4" w:space="0" w:color="auto"/>
              <w:left w:val="nil"/>
              <w:bottom w:val="single" w:sz="4" w:space="0" w:color="auto"/>
              <w:right w:val="single" w:sz="4" w:space="0" w:color="auto"/>
            </w:tcBorders>
            <w:vAlign w:val="center"/>
            <w:hideMark/>
          </w:tcPr>
          <w:p w14:paraId="0F9F8850"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Capitalization</w:t>
            </w:r>
          </w:p>
        </w:tc>
      </w:tr>
      <w:tr w:rsidR="006E0276" w:rsidRPr="006E0276" w14:paraId="638F6F8A" w14:textId="77777777" w:rsidTr="00304420">
        <w:trPr>
          <w:gridAfter w:val="1"/>
          <w:wAfter w:w="11" w:type="dxa"/>
          <w:trHeight w:val="54"/>
          <w:tblHeader/>
        </w:trPr>
        <w:tc>
          <w:tcPr>
            <w:tcW w:w="1276" w:type="dxa"/>
            <w:tcBorders>
              <w:top w:val="single" w:sz="4" w:space="0" w:color="auto"/>
              <w:left w:val="single" w:sz="4" w:space="0" w:color="auto"/>
              <w:bottom w:val="single" w:sz="4" w:space="0" w:color="auto"/>
              <w:right w:val="single" w:sz="4" w:space="0" w:color="auto"/>
            </w:tcBorders>
            <w:vAlign w:val="center"/>
          </w:tcPr>
          <w:p w14:paraId="215072E4"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A</w:t>
            </w:r>
          </w:p>
        </w:tc>
        <w:tc>
          <w:tcPr>
            <w:tcW w:w="1586" w:type="dxa"/>
            <w:tcBorders>
              <w:top w:val="single" w:sz="4" w:space="0" w:color="auto"/>
              <w:left w:val="nil"/>
              <w:bottom w:val="single" w:sz="4" w:space="0" w:color="auto"/>
              <w:right w:val="single" w:sz="4" w:space="0" w:color="auto"/>
            </w:tcBorders>
            <w:vAlign w:val="center"/>
          </w:tcPr>
          <w:p w14:paraId="26546B13"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B</w:t>
            </w:r>
          </w:p>
        </w:tc>
        <w:tc>
          <w:tcPr>
            <w:tcW w:w="1124" w:type="dxa"/>
            <w:gridSpan w:val="2"/>
            <w:tcBorders>
              <w:top w:val="single" w:sz="4" w:space="0" w:color="auto"/>
              <w:left w:val="nil"/>
              <w:bottom w:val="single" w:sz="4" w:space="0" w:color="auto"/>
              <w:right w:val="single" w:sz="4" w:space="0" w:color="auto"/>
            </w:tcBorders>
            <w:vAlign w:val="center"/>
          </w:tcPr>
          <w:p w14:paraId="0F9C6E01"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C</w:t>
            </w:r>
          </w:p>
        </w:tc>
        <w:tc>
          <w:tcPr>
            <w:tcW w:w="942" w:type="dxa"/>
            <w:gridSpan w:val="2"/>
            <w:tcBorders>
              <w:top w:val="single" w:sz="4" w:space="0" w:color="auto"/>
              <w:left w:val="nil"/>
              <w:bottom w:val="single" w:sz="4" w:space="0" w:color="auto"/>
              <w:right w:val="single" w:sz="4" w:space="0" w:color="auto"/>
            </w:tcBorders>
            <w:vAlign w:val="center"/>
          </w:tcPr>
          <w:p w14:paraId="7F34D561"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D</w:t>
            </w:r>
          </w:p>
        </w:tc>
        <w:tc>
          <w:tcPr>
            <w:tcW w:w="1276" w:type="dxa"/>
            <w:gridSpan w:val="2"/>
            <w:tcBorders>
              <w:top w:val="single" w:sz="4" w:space="0" w:color="auto"/>
              <w:left w:val="nil"/>
              <w:bottom w:val="single" w:sz="4" w:space="0" w:color="auto"/>
              <w:right w:val="single" w:sz="4" w:space="0" w:color="auto"/>
            </w:tcBorders>
            <w:vAlign w:val="center"/>
          </w:tcPr>
          <w:p w14:paraId="28EAF335"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E</w:t>
            </w:r>
          </w:p>
        </w:tc>
        <w:tc>
          <w:tcPr>
            <w:tcW w:w="992" w:type="dxa"/>
            <w:gridSpan w:val="2"/>
            <w:tcBorders>
              <w:top w:val="single" w:sz="4" w:space="0" w:color="auto"/>
              <w:left w:val="nil"/>
              <w:bottom w:val="single" w:sz="4" w:space="0" w:color="auto"/>
              <w:right w:val="single" w:sz="4" w:space="0" w:color="auto"/>
            </w:tcBorders>
            <w:vAlign w:val="center"/>
          </w:tcPr>
          <w:p w14:paraId="58811397"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F</w:t>
            </w:r>
          </w:p>
        </w:tc>
        <w:tc>
          <w:tcPr>
            <w:tcW w:w="992" w:type="dxa"/>
            <w:gridSpan w:val="2"/>
            <w:tcBorders>
              <w:top w:val="single" w:sz="4" w:space="0" w:color="auto"/>
              <w:left w:val="nil"/>
              <w:bottom w:val="single" w:sz="4" w:space="0" w:color="auto"/>
              <w:right w:val="single" w:sz="4" w:space="0" w:color="auto"/>
            </w:tcBorders>
            <w:vAlign w:val="center"/>
          </w:tcPr>
          <w:p w14:paraId="6AD971CD"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G=F-I</w:t>
            </w:r>
          </w:p>
        </w:tc>
        <w:tc>
          <w:tcPr>
            <w:tcW w:w="993" w:type="dxa"/>
            <w:gridSpan w:val="2"/>
            <w:tcBorders>
              <w:top w:val="single" w:sz="4" w:space="0" w:color="auto"/>
              <w:left w:val="nil"/>
              <w:bottom w:val="single" w:sz="4" w:space="0" w:color="auto"/>
              <w:right w:val="single" w:sz="4" w:space="0" w:color="auto"/>
            </w:tcBorders>
            <w:vAlign w:val="center"/>
          </w:tcPr>
          <w:p w14:paraId="32EFBF88"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H=E-F</w:t>
            </w:r>
          </w:p>
        </w:tc>
        <w:tc>
          <w:tcPr>
            <w:tcW w:w="845" w:type="dxa"/>
            <w:gridSpan w:val="2"/>
            <w:tcBorders>
              <w:top w:val="single" w:sz="4" w:space="0" w:color="auto"/>
              <w:left w:val="nil"/>
              <w:bottom w:val="single" w:sz="4" w:space="0" w:color="auto"/>
              <w:right w:val="single" w:sz="4" w:space="0" w:color="auto"/>
            </w:tcBorders>
            <w:vAlign w:val="center"/>
          </w:tcPr>
          <w:p w14:paraId="32939A33"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I</w:t>
            </w:r>
          </w:p>
        </w:tc>
      </w:tr>
      <w:tr w:rsidR="006E0276" w:rsidRPr="006E0276" w14:paraId="595EE586" w14:textId="77777777" w:rsidTr="00304420">
        <w:trPr>
          <w:gridAfter w:val="1"/>
          <w:wAfter w:w="11" w:type="dxa"/>
          <w:trHeight w:val="290"/>
        </w:trPr>
        <w:tc>
          <w:tcPr>
            <w:tcW w:w="1276" w:type="dxa"/>
            <w:vMerge w:val="restart"/>
            <w:tcBorders>
              <w:top w:val="nil"/>
              <w:left w:val="single" w:sz="4" w:space="0" w:color="auto"/>
              <w:bottom w:val="single" w:sz="4" w:space="0" w:color="auto"/>
              <w:right w:val="single" w:sz="4" w:space="0" w:color="auto"/>
            </w:tcBorders>
            <w:vAlign w:val="center"/>
            <w:hideMark/>
          </w:tcPr>
          <w:p w14:paraId="10B6F93F"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Statutory, Safety &amp; Security</w:t>
            </w:r>
          </w:p>
        </w:tc>
        <w:tc>
          <w:tcPr>
            <w:tcW w:w="1586" w:type="dxa"/>
            <w:tcBorders>
              <w:top w:val="nil"/>
              <w:left w:val="nil"/>
              <w:bottom w:val="single" w:sz="4" w:space="0" w:color="auto"/>
              <w:right w:val="single" w:sz="4" w:space="0" w:color="auto"/>
            </w:tcBorders>
            <w:vAlign w:val="center"/>
            <w:hideMark/>
          </w:tcPr>
          <w:p w14:paraId="56849FE1" w14:textId="77777777" w:rsidR="006E0276" w:rsidRPr="006E0276" w:rsidRDefault="006E0276" w:rsidP="000F221E">
            <w:pPr>
              <w:rPr>
                <w:rFonts w:ascii="Cambria" w:hAnsi="Cambria" w:cs="Calibri"/>
                <w:color w:val="000000"/>
                <w:sz w:val="18"/>
                <w:szCs w:val="18"/>
                <w:lang w:val="en-IN" w:eastAsia="en-IN"/>
              </w:rPr>
            </w:pPr>
            <w:r w:rsidRPr="006E0276">
              <w:rPr>
                <w:rFonts w:ascii="Cambria" w:hAnsi="Cambria" w:cs="Calibri"/>
                <w:color w:val="000000"/>
                <w:sz w:val="18"/>
                <w:szCs w:val="18"/>
                <w:lang w:val="en-IN" w:eastAsia="en-IN"/>
              </w:rPr>
              <w:t>Fencing, Boundary wall and Infrastructure</w:t>
            </w:r>
          </w:p>
        </w:tc>
        <w:tc>
          <w:tcPr>
            <w:tcW w:w="1124" w:type="dxa"/>
            <w:gridSpan w:val="2"/>
            <w:tcBorders>
              <w:top w:val="nil"/>
              <w:left w:val="nil"/>
              <w:bottom w:val="single" w:sz="4" w:space="0" w:color="auto"/>
              <w:right w:val="single" w:sz="4" w:space="0" w:color="auto"/>
            </w:tcBorders>
            <w:vAlign w:val="center"/>
            <w:hideMark/>
          </w:tcPr>
          <w:p w14:paraId="38F66B35"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30.11</w:t>
            </w:r>
          </w:p>
        </w:tc>
        <w:tc>
          <w:tcPr>
            <w:tcW w:w="942" w:type="dxa"/>
            <w:gridSpan w:val="2"/>
            <w:tcBorders>
              <w:top w:val="nil"/>
              <w:left w:val="nil"/>
              <w:bottom w:val="single" w:sz="4" w:space="0" w:color="auto"/>
              <w:right w:val="single" w:sz="4" w:space="0" w:color="auto"/>
            </w:tcBorders>
            <w:vAlign w:val="center"/>
            <w:hideMark/>
          </w:tcPr>
          <w:p w14:paraId="607B9C61"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0.00</w:t>
            </w:r>
          </w:p>
        </w:tc>
        <w:tc>
          <w:tcPr>
            <w:tcW w:w="1276" w:type="dxa"/>
            <w:gridSpan w:val="2"/>
            <w:tcBorders>
              <w:top w:val="nil"/>
              <w:left w:val="nil"/>
              <w:bottom w:val="single" w:sz="4" w:space="0" w:color="auto"/>
              <w:right w:val="single" w:sz="4" w:space="0" w:color="auto"/>
            </w:tcBorders>
            <w:vAlign w:val="center"/>
            <w:hideMark/>
          </w:tcPr>
          <w:p w14:paraId="012B2410"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30.11</w:t>
            </w:r>
          </w:p>
        </w:tc>
        <w:tc>
          <w:tcPr>
            <w:tcW w:w="992" w:type="dxa"/>
            <w:gridSpan w:val="2"/>
            <w:tcBorders>
              <w:top w:val="nil"/>
              <w:left w:val="nil"/>
              <w:bottom w:val="single" w:sz="4" w:space="0" w:color="auto"/>
              <w:right w:val="single" w:sz="4" w:space="0" w:color="auto"/>
            </w:tcBorders>
            <w:vAlign w:val="center"/>
            <w:hideMark/>
          </w:tcPr>
          <w:p w14:paraId="6F131FB9"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8.75</w:t>
            </w:r>
          </w:p>
        </w:tc>
        <w:tc>
          <w:tcPr>
            <w:tcW w:w="992" w:type="dxa"/>
            <w:gridSpan w:val="2"/>
            <w:tcBorders>
              <w:top w:val="nil"/>
              <w:left w:val="nil"/>
              <w:bottom w:val="single" w:sz="4" w:space="0" w:color="auto"/>
              <w:right w:val="single" w:sz="4" w:space="0" w:color="auto"/>
            </w:tcBorders>
            <w:vAlign w:val="center"/>
            <w:hideMark/>
          </w:tcPr>
          <w:p w14:paraId="4BB4F8F7"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0.83</w:t>
            </w:r>
          </w:p>
        </w:tc>
        <w:tc>
          <w:tcPr>
            <w:tcW w:w="993" w:type="dxa"/>
            <w:gridSpan w:val="2"/>
            <w:tcBorders>
              <w:top w:val="nil"/>
              <w:left w:val="nil"/>
              <w:bottom w:val="single" w:sz="4" w:space="0" w:color="auto"/>
              <w:right w:val="single" w:sz="4" w:space="0" w:color="auto"/>
            </w:tcBorders>
            <w:vAlign w:val="center"/>
            <w:hideMark/>
          </w:tcPr>
          <w:p w14:paraId="78BFEB60"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21.36</w:t>
            </w:r>
          </w:p>
        </w:tc>
        <w:tc>
          <w:tcPr>
            <w:tcW w:w="845" w:type="dxa"/>
            <w:gridSpan w:val="2"/>
            <w:tcBorders>
              <w:top w:val="nil"/>
              <w:left w:val="nil"/>
              <w:bottom w:val="single" w:sz="4" w:space="0" w:color="auto"/>
              <w:right w:val="single" w:sz="4" w:space="0" w:color="auto"/>
            </w:tcBorders>
            <w:vAlign w:val="center"/>
            <w:hideMark/>
          </w:tcPr>
          <w:p w14:paraId="75B5C54C"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7.92</w:t>
            </w:r>
          </w:p>
        </w:tc>
      </w:tr>
      <w:tr w:rsidR="006E0276" w:rsidRPr="006E0276" w14:paraId="147CC387" w14:textId="77777777" w:rsidTr="00304420">
        <w:trPr>
          <w:gridAfter w:val="1"/>
          <w:wAfter w:w="11" w:type="dxa"/>
          <w:trHeight w:val="290"/>
        </w:trPr>
        <w:tc>
          <w:tcPr>
            <w:tcW w:w="1276" w:type="dxa"/>
            <w:vMerge/>
            <w:tcBorders>
              <w:top w:val="nil"/>
              <w:left w:val="single" w:sz="4" w:space="0" w:color="auto"/>
              <w:bottom w:val="single" w:sz="4" w:space="0" w:color="auto"/>
              <w:right w:val="single" w:sz="4" w:space="0" w:color="auto"/>
            </w:tcBorders>
            <w:vAlign w:val="center"/>
            <w:hideMark/>
          </w:tcPr>
          <w:p w14:paraId="28983BB2" w14:textId="77777777" w:rsidR="006E0276" w:rsidRPr="006E0276" w:rsidRDefault="006E0276" w:rsidP="000F221E">
            <w:pPr>
              <w:rPr>
                <w:rFonts w:ascii="Cambria" w:hAnsi="Cambria" w:cs="Calibri"/>
                <w:b/>
                <w:bCs/>
                <w:color w:val="000000"/>
                <w:sz w:val="18"/>
                <w:szCs w:val="18"/>
                <w:lang w:val="en-IN" w:eastAsia="en-IN"/>
              </w:rPr>
            </w:pPr>
          </w:p>
        </w:tc>
        <w:tc>
          <w:tcPr>
            <w:tcW w:w="1586" w:type="dxa"/>
            <w:tcBorders>
              <w:top w:val="nil"/>
              <w:left w:val="nil"/>
              <w:bottom w:val="single" w:sz="4" w:space="0" w:color="auto"/>
              <w:right w:val="single" w:sz="4" w:space="0" w:color="auto"/>
            </w:tcBorders>
            <w:vAlign w:val="center"/>
            <w:hideMark/>
          </w:tcPr>
          <w:p w14:paraId="7336D25C" w14:textId="77777777" w:rsidR="006E0276" w:rsidRPr="006E0276" w:rsidRDefault="006E0276" w:rsidP="000F221E">
            <w:pPr>
              <w:rPr>
                <w:rFonts w:ascii="Cambria" w:hAnsi="Cambria" w:cs="Calibri"/>
                <w:color w:val="000000"/>
                <w:sz w:val="18"/>
                <w:szCs w:val="18"/>
                <w:lang w:val="en-IN" w:eastAsia="en-IN"/>
              </w:rPr>
            </w:pPr>
            <w:r w:rsidRPr="006E0276">
              <w:rPr>
                <w:rFonts w:ascii="Cambria" w:hAnsi="Cambria" w:cs="Calibri"/>
                <w:color w:val="000000"/>
                <w:sz w:val="18"/>
                <w:szCs w:val="18"/>
                <w:lang w:val="en-IN" w:eastAsia="en-IN"/>
              </w:rPr>
              <w:t>Life Enhancement of Network</w:t>
            </w:r>
          </w:p>
        </w:tc>
        <w:tc>
          <w:tcPr>
            <w:tcW w:w="1124" w:type="dxa"/>
            <w:gridSpan w:val="2"/>
            <w:tcBorders>
              <w:top w:val="nil"/>
              <w:left w:val="nil"/>
              <w:bottom w:val="single" w:sz="4" w:space="0" w:color="auto"/>
              <w:right w:val="single" w:sz="4" w:space="0" w:color="auto"/>
            </w:tcBorders>
            <w:vAlign w:val="center"/>
            <w:hideMark/>
          </w:tcPr>
          <w:p w14:paraId="19310431"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8.98</w:t>
            </w:r>
          </w:p>
        </w:tc>
        <w:tc>
          <w:tcPr>
            <w:tcW w:w="942" w:type="dxa"/>
            <w:gridSpan w:val="2"/>
            <w:tcBorders>
              <w:top w:val="nil"/>
              <w:left w:val="nil"/>
              <w:bottom w:val="single" w:sz="4" w:space="0" w:color="auto"/>
              <w:right w:val="single" w:sz="4" w:space="0" w:color="auto"/>
            </w:tcBorders>
            <w:vAlign w:val="center"/>
            <w:hideMark/>
          </w:tcPr>
          <w:p w14:paraId="087A8D84"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0.00</w:t>
            </w:r>
          </w:p>
        </w:tc>
        <w:tc>
          <w:tcPr>
            <w:tcW w:w="1276" w:type="dxa"/>
            <w:gridSpan w:val="2"/>
            <w:tcBorders>
              <w:top w:val="nil"/>
              <w:left w:val="nil"/>
              <w:bottom w:val="single" w:sz="4" w:space="0" w:color="auto"/>
              <w:right w:val="single" w:sz="4" w:space="0" w:color="auto"/>
            </w:tcBorders>
            <w:vAlign w:val="center"/>
            <w:hideMark/>
          </w:tcPr>
          <w:p w14:paraId="6093BFE4"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8.98</w:t>
            </w:r>
          </w:p>
        </w:tc>
        <w:tc>
          <w:tcPr>
            <w:tcW w:w="992" w:type="dxa"/>
            <w:gridSpan w:val="2"/>
            <w:tcBorders>
              <w:top w:val="nil"/>
              <w:left w:val="nil"/>
              <w:bottom w:val="single" w:sz="4" w:space="0" w:color="auto"/>
              <w:right w:val="single" w:sz="4" w:space="0" w:color="auto"/>
            </w:tcBorders>
            <w:vAlign w:val="center"/>
            <w:hideMark/>
          </w:tcPr>
          <w:p w14:paraId="1F357DD9"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3.90</w:t>
            </w:r>
          </w:p>
        </w:tc>
        <w:tc>
          <w:tcPr>
            <w:tcW w:w="992" w:type="dxa"/>
            <w:gridSpan w:val="2"/>
            <w:tcBorders>
              <w:top w:val="nil"/>
              <w:left w:val="nil"/>
              <w:bottom w:val="single" w:sz="4" w:space="0" w:color="auto"/>
              <w:right w:val="single" w:sz="4" w:space="0" w:color="auto"/>
            </w:tcBorders>
            <w:vAlign w:val="center"/>
            <w:hideMark/>
          </w:tcPr>
          <w:p w14:paraId="6229B683"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3.46</w:t>
            </w:r>
          </w:p>
        </w:tc>
        <w:tc>
          <w:tcPr>
            <w:tcW w:w="993" w:type="dxa"/>
            <w:gridSpan w:val="2"/>
            <w:tcBorders>
              <w:top w:val="nil"/>
              <w:left w:val="nil"/>
              <w:bottom w:val="single" w:sz="4" w:space="0" w:color="auto"/>
              <w:right w:val="single" w:sz="4" w:space="0" w:color="auto"/>
            </w:tcBorders>
            <w:vAlign w:val="center"/>
            <w:hideMark/>
          </w:tcPr>
          <w:p w14:paraId="754BA0C5"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5.08</w:t>
            </w:r>
          </w:p>
        </w:tc>
        <w:tc>
          <w:tcPr>
            <w:tcW w:w="845" w:type="dxa"/>
            <w:gridSpan w:val="2"/>
            <w:tcBorders>
              <w:top w:val="nil"/>
              <w:left w:val="nil"/>
              <w:bottom w:val="single" w:sz="4" w:space="0" w:color="auto"/>
              <w:right w:val="single" w:sz="4" w:space="0" w:color="auto"/>
            </w:tcBorders>
            <w:vAlign w:val="center"/>
            <w:hideMark/>
          </w:tcPr>
          <w:p w14:paraId="716395F5"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0.44</w:t>
            </w:r>
          </w:p>
        </w:tc>
      </w:tr>
      <w:tr w:rsidR="006E0276" w:rsidRPr="006E0276" w14:paraId="680A1E5A" w14:textId="77777777" w:rsidTr="00304420">
        <w:trPr>
          <w:gridAfter w:val="1"/>
          <w:wAfter w:w="11" w:type="dxa"/>
          <w:trHeight w:val="290"/>
        </w:trPr>
        <w:tc>
          <w:tcPr>
            <w:tcW w:w="1276" w:type="dxa"/>
            <w:vMerge/>
            <w:tcBorders>
              <w:top w:val="nil"/>
              <w:left w:val="single" w:sz="4" w:space="0" w:color="auto"/>
              <w:bottom w:val="single" w:sz="4" w:space="0" w:color="auto"/>
              <w:right w:val="single" w:sz="4" w:space="0" w:color="auto"/>
            </w:tcBorders>
            <w:vAlign w:val="center"/>
            <w:hideMark/>
          </w:tcPr>
          <w:p w14:paraId="1165DEB3" w14:textId="77777777" w:rsidR="006E0276" w:rsidRPr="006E0276" w:rsidRDefault="006E0276" w:rsidP="000F221E">
            <w:pPr>
              <w:rPr>
                <w:rFonts w:ascii="Cambria" w:hAnsi="Cambria" w:cs="Calibri"/>
                <w:b/>
                <w:bCs/>
                <w:color w:val="000000"/>
                <w:sz w:val="18"/>
                <w:szCs w:val="18"/>
                <w:lang w:val="en-IN" w:eastAsia="en-IN"/>
              </w:rPr>
            </w:pPr>
          </w:p>
        </w:tc>
        <w:tc>
          <w:tcPr>
            <w:tcW w:w="1586" w:type="dxa"/>
            <w:tcBorders>
              <w:top w:val="nil"/>
              <w:left w:val="nil"/>
              <w:bottom w:val="single" w:sz="4" w:space="0" w:color="auto"/>
              <w:right w:val="single" w:sz="4" w:space="0" w:color="auto"/>
            </w:tcBorders>
            <w:vAlign w:val="center"/>
            <w:hideMark/>
          </w:tcPr>
          <w:p w14:paraId="0C1D258A" w14:textId="77777777" w:rsidR="006E0276" w:rsidRPr="006E0276" w:rsidRDefault="006E0276" w:rsidP="000F221E">
            <w:pPr>
              <w:rPr>
                <w:rFonts w:ascii="Cambria" w:hAnsi="Cambria" w:cs="Calibri"/>
                <w:color w:val="000000"/>
                <w:sz w:val="18"/>
                <w:szCs w:val="18"/>
                <w:lang w:val="en-IN" w:eastAsia="en-IN"/>
              </w:rPr>
            </w:pPr>
            <w:r w:rsidRPr="006E0276">
              <w:rPr>
                <w:rFonts w:ascii="Cambria" w:hAnsi="Cambria" w:cs="Calibri"/>
                <w:color w:val="000000"/>
                <w:sz w:val="18"/>
                <w:szCs w:val="18"/>
                <w:lang w:val="en-IN" w:eastAsia="en-IN"/>
              </w:rPr>
              <w:t>Testing and Safety Equipment &amp; PPE</w:t>
            </w:r>
          </w:p>
        </w:tc>
        <w:tc>
          <w:tcPr>
            <w:tcW w:w="1124" w:type="dxa"/>
            <w:gridSpan w:val="2"/>
            <w:tcBorders>
              <w:top w:val="nil"/>
              <w:left w:val="nil"/>
              <w:bottom w:val="single" w:sz="4" w:space="0" w:color="auto"/>
              <w:right w:val="single" w:sz="4" w:space="0" w:color="auto"/>
            </w:tcBorders>
            <w:vAlign w:val="center"/>
            <w:hideMark/>
          </w:tcPr>
          <w:p w14:paraId="5535CE90"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4.20</w:t>
            </w:r>
          </w:p>
        </w:tc>
        <w:tc>
          <w:tcPr>
            <w:tcW w:w="942" w:type="dxa"/>
            <w:gridSpan w:val="2"/>
            <w:tcBorders>
              <w:top w:val="nil"/>
              <w:left w:val="nil"/>
              <w:bottom w:val="single" w:sz="4" w:space="0" w:color="auto"/>
              <w:right w:val="single" w:sz="4" w:space="0" w:color="auto"/>
            </w:tcBorders>
            <w:vAlign w:val="center"/>
            <w:hideMark/>
          </w:tcPr>
          <w:p w14:paraId="0C424355"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0.00</w:t>
            </w:r>
          </w:p>
        </w:tc>
        <w:tc>
          <w:tcPr>
            <w:tcW w:w="1276" w:type="dxa"/>
            <w:gridSpan w:val="2"/>
            <w:tcBorders>
              <w:top w:val="nil"/>
              <w:left w:val="nil"/>
              <w:bottom w:val="single" w:sz="4" w:space="0" w:color="auto"/>
              <w:right w:val="single" w:sz="4" w:space="0" w:color="auto"/>
            </w:tcBorders>
            <w:vAlign w:val="center"/>
            <w:hideMark/>
          </w:tcPr>
          <w:p w14:paraId="651DBF43"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4.20</w:t>
            </w:r>
          </w:p>
        </w:tc>
        <w:tc>
          <w:tcPr>
            <w:tcW w:w="992" w:type="dxa"/>
            <w:gridSpan w:val="2"/>
            <w:tcBorders>
              <w:top w:val="nil"/>
              <w:left w:val="nil"/>
              <w:bottom w:val="single" w:sz="4" w:space="0" w:color="auto"/>
              <w:right w:val="single" w:sz="4" w:space="0" w:color="auto"/>
            </w:tcBorders>
            <w:vAlign w:val="center"/>
            <w:hideMark/>
          </w:tcPr>
          <w:p w14:paraId="413F4DB3"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0.32</w:t>
            </w:r>
          </w:p>
        </w:tc>
        <w:tc>
          <w:tcPr>
            <w:tcW w:w="992" w:type="dxa"/>
            <w:gridSpan w:val="2"/>
            <w:tcBorders>
              <w:top w:val="nil"/>
              <w:left w:val="nil"/>
              <w:bottom w:val="single" w:sz="4" w:space="0" w:color="auto"/>
              <w:right w:val="single" w:sz="4" w:space="0" w:color="auto"/>
            </w:tcBorders>
            <w:vAlign w:val="center"/>
            <w:hideMark/>
          </w:tcPr>
          <w:p w14:paraId="34949622"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0.32</w:t>
            </w:r>
          </w:p>
        </w:tc>
        <w:tc>
          <w:tcPr>
            <w:tcW w:w="993" w:type="dxa"/>
            <w:gridSpan w:val="2"/>
            <w:tcBorders>
              <w:top w:val="nil"/>
              <w:left w:val="nil"/>
              <w:bottom w:val="single" w:sz="4" w:space="0" w:color="auto"/>
              <w:right w:val="single" w:sz="4" w:space="0" w:color="auto"/>
            </w:tcBorders>
            <w:vAlign w:val="center"/>
            <w:hideMark/>
          </w:tcPr>
          <w:p w14:paraId="4350627B"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3.88</w:t>
            </w:r>
          </w:p>
        </w:tc>
        <w:tc>
          <w:tcPr>
            <w:tcW w:w="845" w:type="dxa"/>
            <w:gridSpan w:val="2"/>
            <w:tcBorders>
              <w:top w:val="nil"/>
              <w:left w:val="nil"/>
              <w:bottom w:val="single" w:sz="4" w:space="0" w:color="auto"/>
              <w:right w:val="single" w:sz="4" w:space="0" w:color="auto"/>
            </w:tcBorders>
            <w:vAlign w:val="center"/>
            <w:hideMark/>
          </w:tcPr>
          <w:p w14:paraId="7DDED123"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0.00</w:t>
            </w:r>
          </w:p>
        </w:tc>
      </w:tr>
      <w:tr w:rsidR="006E0276" w:rsidRPr="006E0276" w14:paraId="4C85CA37" w14:textId="77777777" w:rsidTr="00304420">
        <w:trPr>
          <w:gridAfter w:val="1"/>
          <w:wAfter w:w="11" w:type="dxa"/>
          <w:trHeight w:val="290"/>
        </w:trPr>
        <w:tc>
          <w:tcPr>
            <w:tcW w:w="1276" w:type="dxa"/>
            <w:vMerge/>
            <w:tcBorders>
              <w:top w:val="nil"/>
              <w:left w:val="single" w:sz="4" w:space="0" w:color="auto"/>
              <w:bottom w:val="single" w:sz="4" w:space="0" w:color="auto"/>
              <w:right w:val="single" w:sz="4" w:space="0" w:color="auto"/>
            </w:tcBorders>
            <w:vAlign w:val="center"/>
            <w:hideMark/>
          </w:tcPr>
          <w:p w14:paraId="673B5F99" w14:textId="77777777" w:rsidR="006E0276" w:rsidRPr="006E0276" w:rsidRDefault="006E0276" w:rsidP="000F221E">
            <w:pPr>
              <w:rPr>
                <w:rFonts w:ascii="Cambria" w:hAnsi="Cambria" w:cs="Calibri"/>
                <w:b/>
                <w:bCs/>
                <w:color w:val="000000"/>
                <w:sz w:val="18"/>
                <w:szCs w:val="18"/>
                <w:lang w:val="en-IN" w:eastAsia="en-IN"/>
              </w:rPr>
            </w:pPr>
          </w:p>
        </w:tc>
        <w:tc>
          <w:tcPr>
            <w:tcW w:w="1586" w:type="dxa"/>
            <w:tcBorders>
              <w:top w:val="nil"/>
              <w:left w:val="nil"/>
              <w:bottom w:val="single" w:sz="4" w:space="0" w:color="auto"/>
              <w:right w:val="single" w:sz="4" w:space="0" w:color="auto"/>
            </w:tcBorders>
            <w:vAlign w:val="center"/>
            <w:hideMark/>
          </w:tcPr>
          <w:p w14:paraId="6BCF68EA"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TOTAL</w:t>
            </w:r>
          </w:p>
        </w:tc>
        <w:tc>
          <w:tcPr>
            <w:tcW w:w="1124" w:type="dxa"/>
            <w:gridSpan w:val="2"/>
            <w:tcBorders>
              <w:top w:val="nil"/>
              <w:left w:val="nil"/>
              <w:bottom w:val="single" w:sz="4" w:space="0" w:color="auto"/>
              <w:right w:val="single" w:sz="4" w:space="0" w:color="auto"/>
            </w:tcBorders>
            <w:vAlign w:val="center"/>
            <w:hideMark/>
          </w:tcPr>
          <w:p w14:paraId="0EF8CE46"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43.29</w:t>
            </w:r>
          </w:p>
        </w:tc>
        <w:tc>
          <w:tcPr>
            <w:tcW w:w="942" w:type="dxa"/>
            <w:gridSpan w:val="2"/>
            <w:tcBorders>
              <w:top w:val="nil"/>
              <w:left w:val="nil"/>
              <w:bottom w:val="single" w:sz="4" w:space="0" w:color="auto"/>
              <w:right w:val="single" w:sz="4" w:space="0" w:color="auto"/>
            </w:tcBorders>
            <w:vAlign w:val="center"/>
            <w:hideMark/>
          </w:tcPr>
          <w:p w14:paraId="7A0E113E"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0.00</w:t>
            </w:r>
          </w:p>
        </w:tc>
        <w:tc>
          <w:tcPr>
            <w:tcW w:w="1276" w:type="dxa"/>
            <w:gridSpan w:val="2"/>
            <w:tcBorders>
              <w:top w:val="nil"/>
              <w:left w:val="nil"/>
              <w:bottom w:val="single" w:sz="4" w:space="0" w:color="auto"/>
              <w:right w:val="single" w:sz="4" w:space="0" w:color="auto"/>
            </w:tcBorders>
            <w:vAlign w:val="center"/>
            <w:hideMark/>
          </w:tcPr>
          <w:p w14:paraId="08B8721C"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43.29</w:t>
            </w:r>
          </w:p>
        </w:tc>
        <w:tc>
          <w:tcPr>
            <w:tcW w:w="992" w:type="dxa"/>
            <w:gridSpan w:val="2"/>
            <w:tcBorders>
              <w:top w:val="nil"/>
              <w:left w:val="nil"/>
              <w:bottom w:val="single" w:sz="4" w:space="0" w:color="auto"/>
              <w:right w:val="single" w:sz="4" w:space="0" w:color="auto"/>
            </w:tcBorders>
            <w:vAlign w:val="center"/>
            <w:hideMark/>
          </w:tcPr>
          <w:p w14:paraId="26FE55F2"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12.98</w:t>
            </w:r>
          </w:p>
        </w:tc>
        <w:tc>
          <w:tcPr>
            <w:tcW w:w="992" w:type="dxa"/>
            <w:gridSpan w:val="2"/>
            <w:tcBorders>
              <w:top w:val="nil"/>
              <w:left w:val="nil"/>
              <w:bottom w:val="single" w:sz="4" w:space="0" w:color="auto"/>
              <w:right w:val="single" w:sz="4" w:space="0" w:color="auto"/>
            </w:tcBorders>
            <w:vAlign w:val="center"/>
            <w:hideMark/>
          </w:tcPr>
          <w:p w14:paraId="0633DA1E"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4.62</w:t>
            </w:r>
          </w:p>
        </w:tc>
        <w:tc>
          <w:tcPr>
            <w:tcW w:w="993" w:type="dxa"/>
            <w:gridSpan w:val="2"/>
            <w:tcBorders>
              <w:top w:val="nil"/>
              <w:left w:val="nil"/>
              <w:bottom w:val="single" w:sz="4" w:space="0" w:color="auto"/>
              <w:right w:val="single" w:sz="4" w:space="0" w:color="auto"/>
            </w:tcBorders>
            <w:vAlign w:val="center"/>
            <w:hideMark/>
          </w:tcPr>
          <w:p w14:paraId="0E436307"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30.31</w:t>
            </w:r>
          </w:p>
        </w:tc>
        <w:tc>
          <w:tcPr>
            <w:tcW w:w="845" w:type="dxa"/>
            <w:gridSpan w:val="2"/>
            <w:tcBorders>
              <w:top w:val="nil"/>
              <w:left w:val="nil"/>
              <w:bottom w:val="single" w:sz="4" w:space="0" w:color="auto"/>
              <w:right w:val="single" w:sz="4" w:space="0" w:color="auto"/>
            </w:tcBorders>
            <w:vAlign w:val="center"/>
            <w:hideMark/>
          </w:tcPr>
          <w:p w14:paraId="4A3ACAE0"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8.36</w:t>
            </w:r>
          </w:p>
        </w:tc>
      </w:tr>
      <w:tr w:rsidR="006E0276" w:rsidRPr="006E0276" w14:paraId="4AF1C326" w14:textId="77777777" w:rsidTr="00304420">
        <w:trPr>
          <w:gridAfter w:val="1"/>
          <w:wAfter w:w="11" w:type="dxa"/>
          <w:trHeight w:val="290"/>
        </w:trPr>
        <w:tc>
          <w:tcPr>
            <w:tcW w:w="1276" w:type="dxa"/>
            <w:vMerge w:val="restart"/>
            <w:tcBorders>
              <w:top w:val="nil"/>
              <w:left w:val="single" w:sz="4" w:space="0" w:color="auto"/>
              <w:bottom w:val="single" w:sz="4" w:space="0" w:color="auto"/>
              <w:right w:val="single" w:sz="4" w:space="0" w:color="auto"/>
            </w:tcBorders>
            <w:vAlign w:val="center"/>
            <w:hideMark/>
          </w:tcPr>
          <w:p w14:paraId="43AB8DD3"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Loss Reduction</w:t>
            </w:r>
          </w:p>
        </w:tc>
        <w:tc>
          <w:tcPr>
            <w:tcW w:w="1586" w:type="dxa"/>
            <w:tcBorders>
              <w:top w:val="nil"/>
              <w:left w:val="nil"/>
              <w:bottom w:val="single" w:sz="4" w:space="0" w:color="auto"/>
              <w:right w:val="single" w:sz="4" w:space="0" w:color="auto"/>
            </w:tcBorders>
            <w:vAlign w:val="center"/>
            <w:hideMark/>
          </w:tcPr>
          <w:p w14:paraId="276CBC6F" w14:textId="77777777" w:rsidR="006E0276" w:rsidRPr="006E0276" w:rsidRDefault="006E0276" w:rsidP="000F221E">
            <w:pPr>
              <w:rPr>
                <w:rFonts w:ascii="Cambria" w:hAnsi="Cambria" w:cs="Calibri"/>
                <w:color w:val="000000"/>
                <w:sz w:val="18"/>
                <w:szCs w:val="18"/>
                <w:lang w:val="en-IN" w:eastAsia="en-IN"/>
              </w:rPr>
            </w:pPr>
            <w:r w:rsidRPr="006E0276">
              <w:rPr>
                <w:rFonts w:ascii="Cambria" w:hAnsi="Cambria" w:cs="Calibri"/>
                <w:color w:val="000000"/>
                <w:sz w:val="18"/>
                <w:szCs w:val="18"/>
                <w:lang w:val="en-IN" w:eastAsia="en-IN"/>
              </w:rPr>
              <w:t>Energy Audit &amp; Meter Related</w:t>
            </w:r>
          </w:p>
        </w:tc>
        <w:tc>
          <w:tcPr>
            <w:tcW w:w="1124" w:type="dxa"/>
            <w:gridSpan w:val="2"/>
            <w:tcBorders>
              <w:top w:val="nil"/>
              <w:left w:val="nil"/>
              <w:bottom w:val="single" w:sz="4" w:space="0" w:color="auto"/>
              <w:right w:val="single" w:sz="4" w:space="0" w:color="auto"/>
            </w:tcBorders>
            <w:vAlign w:val="center"/>
            <w:hideMark/>
          </w:tcPr>
          <w:p w14:paraId="1185AD91"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37.12</w:t>
            </w:r>
          </w:p>
        </w:tc>
        <w:tc>
          <w:tcPr>
            <w:tcW w:w="942" w:type="dxa"/>
            <w:gridSpan w:val="2"/>
            <w:tcBorders>
              <w:top w:val="nil"/>
              <w:left w:val="nil"/>
              <w:bottom w:val="single" w:sz="4" w:space="0" w:color="auto"/>
              <w:right w:val="single" w:sz="4" w:space="0" w:color="auto"/>
            </w:tcBorders>
            <w:vAlign w:val="center"/>
            <w:hideMark/>
          </w:tcPr>
          <w:p w14:paraId="506052D7"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-3.62</w:t>
            </w:r>
          </w:p>
        </w:tc>
        <w:tc>
          <w:tcPr>
            <w:tcW w:w="1276" w:type="dxa"/>
            <w:gridSpan w:val="2"/>
            <w:tcBorders>
              <w:top w:val="nil"/>
              <w:left w:val="nil"/>
              <w:bottom w:val="single" w:sz="4" w:space="0" w:color="auto"/>
              <w:right w:val="single" w:sz="4" w:space="0" w:color="auto"/>
            </w:tcBorders>
            <w:vAlign w:val="center"/>
            <w:hideMark/>
          </w:tcPr>
          <w:p w14:paraId="1A56E0AB"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33.50</w:t>
            </w:r>
          </w:p>
        </w:tc>
        <w:tc>
          <w:tcPr>
            <w:tcW w:w="992" w:type="dxa"/>
            <w:gridSpan w:val="2"/>
            <w:tcBorders>
              <w:top w:val="nil"/>
              <w:left w:val="nil"/>
              <w:bottom w:val="single" w:sz="4" w:space="0" w:color="auto"/>
              <w:right w:val="single" w:sz="4" w:space="0" w:color="auto"/>
            </w:tcBorders>
            <w:vAlign w:val="center"/>
            <w:hideMark/>
          </w:tcPr>
          <w:p w14:paraId="11F5BC71"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8.76</w:t>
            </w:r>
          </w:p>
        </w:tc>
        <w:tc>
          <w:tcPr>
            <w:tcW w:w="992" w:type="dxa"/>
            <w:gridSpan w:val="2"/>
            <w:tcBorders>
              <w:top w:val="nil"/>
              <w:left w:val="nil"/>
              <w:bottom w:val="single" w:sz="4" w:space="0" w:color="auto"/>
              <w:right w:val="single" w:sz="4" w:space="0" w:color="auto"/>
            </w:tcBorders>
            <w:vAlign w:val="center"/>
            <w:hideMark/>
          </w:tcPr>
          <w:p w14:paraId="1B4AF6FF"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1.11</w:t>
            </w:r>
          </w:p>
        </w:tc>
        <w:tc>
          <w:tcPr>
            <w:tcW w:w="993" w:type="dxa"/>
            <w:gridSpan w:val="2"/>
            <w:tcBorders>
              <w:top w:val="nil"/>
              <w:left w:val="nil"/>
              <w:bottom w:val="single" w:sz="4" w:space="0" w:color="auto"/>
              <w:right w:val="single" w:sz="4" w:space="0" w:color="auto"/>
            </w:tcBorders>
            <w:vAlign w:val="center"/>
            <w:hideMark/>
          </w:tcPr>
          <w:p w14:paraId="25F2541A"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24.74</w:t>
            </w:r>
          </w:p>
        </w:tc>
        <w:tc>
          <w:tcPr>
            <w:tcW w:w="845" w:type="dxa"/>
            <w:gridSpan w:val="2"/>
            <w:tcBorders>
              <w:top w:val="nil"/>
              <w:left w:val="nil"/>
              <w:bottom w:val="single" w:sz="4" w:space="0" w:color="auto"/>
              <w:right w:val="single" w:sz="4" w:space="0" w:color="auto"/>
            </w:tcBorders>
            <w:vAlign w:val="center"/>
            <w:hideMark/>
          </w:tcPr>
          <w:p w14:paraId="5C913D83"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7.65</w:t>
            </w:r>
          </w:p>
        </w:tc>
      </w:tr>
      <w:tr w:rsidR="006E0276" w:rsidRPr="006E0276" w14:paraId="0460B27A" w14:textId="77777777" w:rsidTr="00304420">
        <w:trPr>
          <w:gridAfter w:val="1"/>
          <w:wAfter w:w="11" w:type="dxa"/>
          <w:trHeight w:val="290"/>
        </w:trPr>
        <w:tc>
          <w:tcPr>
            <w:tcW w:w="1276" w:type="dxa"/>
            <w:vMerge/>
            <w:tcBorders>
              <w:top w:val="nil"/>
              <w:left w:val="single" w:sz="4" w:space="0" w:color="auto"/>
              <w:bottom w:val="single" w:sz="4" w:space="0" w:color="auto"/>
              <w:right w:val="single" w:sz="4" w:space="0" w:color="auto"/>
            </w:tcBorders>
            <w:vAlign w:val="center"/>
            <w:hideMark/>
          </w:tcPr>
          <w:p w14:paraId="37D86C9C" w14:textId="77777777" w:rsidR="006E0276" w:rsidRPr="006E0276" w:rsidRDefault="006E0276" w:rsidP="000F221E">
            <w:pPr>
              <w:rPr>
                <w:rFonts w:ascii="Cambria" w:hAnsi="Cambria" w:cs="Calibri"/>
                <w:b/>
                <w:bCs/>
                <w:color w:val="000000"/>
                <w:sz w:val="18"/>
                <w:szCs w:val="18"/>
                <w:lang w:val="en-IN" w:eastAsia="en-IN"/>
              </w:rPr>
            </w:pPr>
          </w:p>
        </w:tc>
        <w:tc>
          <w:tcPr>
            <w:tcW w:w="1586" w:type="dxa"/>
            <w:tcBorders>
              <w:top w:val="nil"/>
              <w:left w:val="nil"/>
              <w:bottom w:val="single" w:sz="4" w:space="0" w:color="auto"/>
              <w:right w:val="single" w:sz="4" w:space="0" w:color="auto"/>
            </w:tcBorders>
            <w:vAlign w:val="center"/>
            <w:hideMark/>
          </w:tcPr>
          <w:p w14:paraId="04CB746B" w14:textId="77777777" w:rsidR="006E0276" w:rsidRPr="006E0276" w:rsidRDefault="006E0276" w:rsidP="000F221E">
            <w:pPr>
              <w:rPr>
                <w:rFonts w:ascii="Cambria" w:hAnsi="Cambria" w:cs="Calibri"/>
                <w:color w:val="000000"/>
                <w:sz w:val="18"/>
                <w:szCs w:val="18"/>
                <w:lang w:val="en-IN" w:eastAsia="en-IN"/>
              </w:rPr>
            </w:pPr>
            <w:r w:rsidRPr="006E0276">
              <w:rPr>
                <w:rFonts w:ascii="Cambria" w:hAnsi="Cambria" w:cs="Calibri"/>
                <w:color w:val="000000"/>
                <w:sz w:val="18"/>
                <w:szCs w:val="18"/>
                <w:lang w:val="en-IN" w:eastAsia="en-IN"/>
              </w:rPr>
              <w:t>Replace-LT Bare conductor/ AB cable</w:t>
            </w:r>
          </w:p>
        </w:tc>
        <w:tc>
          <w:tcPr>
            <w:tcW w:w="1124" w:type="dxa"/>
            <w:gridSpan w:val="2"/>
            <w:tcBorders>
              <w:top w:val="nil"/>
              <w:left w:val="nil"/>
              <w:bottom w:val="single" w:sz="4" w:space="0" w:color="auto"/>
              <w:right w:val="single" w:sz="4" w:space="0" w:color="auto"/>
            </w:tcBorders>
            <w:vAlign w:val="center"/>
            <w:hideMark/>
          </w:tcPr>
          <w:p w14:paraId="0C3DD4E3"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10.00</w:t>
            </w:r>
          </w:p>
        </w:tc>
        <w:tc>
          <w:tcPr>
            <w:tcW w:w="942" w:type="dxa"/>
            <w:gridSpan w:val="2"/>
            <w:tcBorders>
              <w:top w:val="nil"/>
              <w:left w:val="nil"/>
              <w:bottom w:val="single" w:sz="4" w:space="0" w:color="auto"/>
              <w:right w:val="single" w:sz="4" w:space="0" w:color="auto"/>
            </w:tcBorders>
            <w:vAlign w:val="center"/>
            <w:hideMark/>
          </w:tcPr>
          <w:p w14:paraId="3B1CBBCB"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3.62</w:t>
            </w:r>
          </w:p>
        </w:tc>
        <w:tc>
          <w:tcPr>
            <w:tcW w:w="1276" w:type="dxa"/>
            <w:gridSpan w:val="2"/>
            <w:tcBorders>
              <w:top w:val="nil"/>
              <w:left w:val="nil"/>
              <w:bottom w:val="single" w:sz="4" w:space="0" w:color="auto"/>
              <w:right w:val="single" w:sz="4" w:space="0" w:color="auto"/>
            </w:tcBorders>
            <w:vAlign w:val="center"/>
            <w:hideMark/>
          </w:tcPr>
          <w:p w14:paraId="585D1E7B"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13.62</w:t>
            </w:r>
          </w:p>
        </w:tc>
        <w:tc>
          <w:tcPr>
            <w:tcW w:w="992" w:type="dxa"/>
            <w:gridSpan w:val="2"/>
            <w:tcBorders>
              <w:top w:val="nil"/>
              <w:left w:val="nil"/>
              <w:bottom w:val="single" w:sz="4" w:space="0" w:color="auto"/>
              <w:right w:val="single" w:sz="4" w:space="0" w:color="auto"/>
            </w:tcBorders>
            <w:vAlign w:val="center"/>
            <w:hideMark/>
          </w:tcPr>
          <w:p w14:paraId="07673652"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7.77</w:t>
            </w:r>
          </w:p>
        </w:tc>
        <w:tc>
          <w:tcPr>
            <w:tcW w:w="992" w:type="dxa"/>
            <w:gridSpan w:val="2"/>
            <w:tcBorders>
              <w:top w:val="nil"/>
              <w:left w:val="nil"/>
              <w:bottom w:val="single" w:sz="4" w:space="0" w:color="auto"/>
              <w:right w:val="single" w:sz="4" w:space="0" w:color="auto"/>
            </w:tcBorders>
            <w:vAlign w:val="center"/>
            <w:hideMark/>
          </w:tcPr>
          <w:p w14:paraId="1D9B8EE7"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4.01</w:t>
            </w:r>
          </w:p>
        </w:tc>
        <w:tc>
          <w:tcPr>
            <w:tcW w:w="993" w:type="dxa"/>
            <w:gridSpan w:val="2"/>
            <w:tcBorders>
              <w:top w:val="nil"/>
              <w:left w:val="nil"/>
              <w:bottom w:val="single" w:sz="4" w:space="0" w:color="auto"/>
              <w:right w:val="single" w:sz="4" w:space="0" w:color="auto"/>
            </w:tcBorders>
            <w:vAlign w:val="center"/>
            <w:hideMark/>
          </w:tcPr>
          <w:p w14:paraId="73C606B6"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5.85</w:t>
            </w:r>
          </w:p>
        </w:tc>
        <w:tc>
          <w:tcPr>
            <w:tcW w:w="845" w:type="dxa"/>
            <w:gridSpan w:val="2"/>
            <w:tcBorders>
              <w:top w:val="nil"/>
              <w:left w:val="nil"/>
              <w:bottom w:val="single" w:sz="4" w:space="0" w:color="auto"/>
              <w:right w:val="single" w:sz="4" w:space="0" w:color="auto"/>
            </w:tcBorders>
            <w:vAlign w:val="center"/>
            <w:hideMark/>
          </w:tcPr>
          <w:p w14:paraId="0EFC694F"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3.75</w:t>
            </w:r>
          </w:p>
        </w:tc>
      </w:tr>
      <w:tr w:rsidR="006E0276" w:rsidRPr="006E0276" w14:paraId="665FD64D" w14:textId="77777777" w:rsidTr="00304420">
        <w:trPr>
          <w:gridAfter w:val="1"/>
          <w:wAfter w:w="11" w:type="dxa"/>
          <w:trHeight w:val="290"/>
        </w:trPr>
        <w:tc>
          <w:tcPr>
            <w:tcW w:w="1276" w:type="dxa"/>
            <w:vMerge/>
            <w:tcBorders>
              <w:top w:val="nil"/>
              <w:left w:val="single" w:sz="4" w:space="0" w:color="auto"/>
              <w:bottom w:val="single" w:sz="4" w:space="0" w:color="auto"/>
              <w:right w:val="single" w:sz="4" w:space="0" w:color="auto"/>
            </w:tcBorders>
            <w:vAlign w:val="center"/>
            <w:hideMark/>
          </w:tcPr>
          <w:p w14:paraId="0CAB9D55" w14:textId="77777777" w:rsidR="006E0276" w:rsidRPr="006E0276" w:rsidRDefault="006E0276" w:rsidP="000F221E">
            <w:pPr>
              <w:rPr>
                <w:rFonts w:ascii="Cambria" w:hAnsi="Cambria" w:cs="Calibri"/>
                <w:b/>
                <w:bCs/>
                <w:color w:val="000000"/>
                <w:sz w:val="18"/>
                <w:szCs w:val="18"/>
                <w:lang w:val="en-IN" w:eastAsia="en-IN"/>
              </w:rPr>
            </w:pPr>
          </w:p>
        </w:tc>
        <w:tc>
          <w:tcPr>
            <w:tcW w:w="1586" w:type="dxa"/>
            <w:tcBorders>
              <w:top w:val="nil"/>
              <w:left w:val="nil"/>
              <w:bottom w:val="single" w:sz="4" w:space="0" w:color="auto"/>
              <w:right w:val="single" w:sz="4" w:space="0" w:color="auto"/>
            </w:tcBorders>
            <w:vAlign w:val="center"/>
            <w:hideMark/>
          </w:tcPr>
          <w:p w14:paraId="2EBF8365"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TOTAL</w:t>
            </w:r>
          </w:p>
        </w:tc>
        <w:tc>
          <w:tcPr>
            <w:tcW w:w="1124" w:type="dxa"/>
            <w:gridSpan w:val="2"/>
            <w:tcBorders>
              <w:top w:val="nil"/>
              <w:left w:val="nil"/>
              <w:bottom w:val="single" w:sz="4" w:space="0" w:color="auto"/>
              <w:right w:val="single" w:sz="4" w:space="0" w:color="auto"/>
            </w:tcBorders>
            <w:vAlign w:val="center"/>
            <w:hideMark/>
          </w:tcPr>
          <w:p w14:paraId="04209868"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47.12</w:t>
            </w:r>
          </w:p>
        </w:tc>
        <w:tc>
          <w:tcPr>
            <w:tcW w:w="942" w:type="dxa"/>
            <w:gridSpan w:val="2"/>
            <w:tcBorders>
              <w:top w:val="nil"/>
              <w:left w:val="nil"/>
              <w:bottom w:val="single" w:sz="4" w:space="0" w:color="auto"/>
              <w:right w:val="single" w:sz="4" w:space="0" w:color="auto"/>
            </w:tcBorders>
            <w:vAlign w:val="center"/>
            <w:hideMark/>
          </w:tcPr>
          <w:p w14:paraId="718371AB"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0.00</w:t>
            </w:r>
          </w:p>
        </w:tc>
        <w:tc>
          <w:tcPr>
            <w:tcW w:w="1276" w:type="dxa"/>
            <w:gridSpan w:val="2"/>
            <w:tcBorders>
              <w:top w:val="nil"/>
              <w:left w:val="nil"/>
              <w:bottom w:val="single" w:sz="4" w:space="0" w:color="auto"/>
              <w:right w:val="single" w:sz="4" w:space="0" w:color="auto"/>
            </w:tcBorders>
            <w:vAlign w:val="center"/>
            <w:hideMark/>
          </w:tcPr>
          <w:p w14:paraId="5AACAD8C"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47.12</w:t>
            </w:r>
          </w:p>
        </w:tc>
        <w:tc>
          <w:tcPr>
            <w:tcW w:w="992" w:type="dxa"/>
            <w:gridSpan w:val="2"/>
            <w:tcBorders>
              <w:top w:val="nil"/>
              <w:left w:val="nil"/>
              <w:bottom w:val="single" w:sz="4" w:space="0" w:color="auto"/>
              <w:right w:val="single" w:sz="4" w:space="0" w:color="auto"/>
            </w:tcBorders>
            <w:vAlign w:val="center"/>
            <w:hideMark/>
          </w:tcPr>
          <w:p w14:paraId="2D8ABA96"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16.53</w:t>
            </w:r>
          </w:p>
        </w:tc>
        <w:tc>
          <w:tcPr>
            <w:tcW w:w="992" w:type="dxa"/>
            <w:gridSpan w:val="2"/>
            <w:tcBorders>
              <w:top w:val="nil"/>
              <w:left w:val="nil"/>
              <w:bottom w:val="single" w:sz="4" w:space="0" w:color="auto"/>
              <w:right w:val="single" w:sz="4" w:space="0" w:color="auto"/>
            </w:tcBorders>
            <w:vAlign w:val="center"/>
            <w:hideMark/>
          </w:tcPr>
          <w:p w14:paraId="3E24E775"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5.13</w:t>
            </w:r>
          </w:p>
        </w:tc>
        <w:tc>
          <w:tcPr>
            <w:tcW w:w="993" w:type="dxa"/>
            <w:gridSpan w:val="2"/>
            <w:tcBorders>
              <w:top w:val="nil"/>
              <w:left w:val="nil"/>
              <w:bottom w:val="single" w:sz="4" w:space="0" w:color="auto"/>
              <w:right w:val="single" w:sz="4" w:space="0" w:color="auto"/>
            </w:tcBorders>
            <w:vAlign w:val="center"/>
            <w:hideMark/>
          </w:tcPr>
          <w:p w14:paraId="28D03A9D"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30.59</w:t>
            </w:r>
          </w:p>
        </w:tc>
        <w:tc>
          <w:tcPr>
            <w:tcW w:w="845" w:type="dxa"/>
            <w:gridSpan w:val="2"/>
            <w:tcBorders>
              <w:top w:val="nil"/>
              <w:left w:val="nil"/>
              <w:bottom w:val="single" w:sz="4" w:space="0" w:color="auto"/>
              <w:right w:val="single" w:sz="4" w:space="0" w:color="auto"/>
            </w:tcBorders>
            <w:vAlign w:val="center"/>
            <w:hideMark/>
          </w:tcPr>
          <w:p w14:paraId="57655AF9"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11.40</w:t>
            </w:r>
          </w:p>
        </w:tc>
      </w:tr>
      <w:tr w:rsidR="006E0276" w:rsidRPr="006E0276" w14:paraId="3C7149B8" w14:textId="77777777" w:rsidTr="00304420">
        <w:trPr>
          <w:gridAfter w:val="1"/>
          <w:wAfter w:w="11" w:type="dxa"/>
          <w:trHeight w:val="290"/>
        </w:trPr>
        <w:tc>
          <w:tcPr>
            <w:tcW w:w="1276" w:type="dxa"/>
            <w:vMerge w:val="restart"/>
            <w:tcBorders>
              <w:top w:val="nil"/>
              <w:left w:val="single" w:sz="4" w:space="0" w:color="auto"/>
              <w:bottom w:val="single" w:sz="4" w:space="0" w:color="auto"/>
              <w:right w:val="single" w:sz="4" w:space="0" w:color="auto"/>
            </w:tcBorders>
            <w:vAlign w:val="center"/>
            <w:hideMark/>
          </w:tcPr>
          <w:p w14:paraId="05AD2BA2"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Network Reliability</w:t>
            </w:r>
          </w:p>
        </w:tc>
        <w:tc>
          <w:tcPr>
            <w:tcW w:w="1586" w:type="dxa"/>
            <w:tcBorders>
              <w:top w:val="nil"/>
              <w:left w:val="nil"/>
              <w:bottom w:val="single" w:sz="4" w:space="0" w:color="auto"/>
              <w:right w:val="single" w:sz="4" w:space="0" w:color="auto"/>
            </w:tcBorders>
            <w:vAlign w:val="center"/>
            <w:hideMark/>
          </w:tcPr>
          <w:p w14:paraId="5F6F894B" w14:textId="77777777" w:rsidR="006E0276" w:rsidRPr="006E0276" w:rsidRDefault="006E0276" w:rsidP="000F221E">
            <w:pPr>
              <w:rPr>
                <w:rFonts w:ascii="Cambria" w:hAnsi="Cambria" w:cs="Calibri"/>
                <w:color w:val="000000"/>
                <w:sz w:val="18"/>
                <w:szCs w:val="18"/>
                <w:lang w:val="en-IN" w:eastAsia="en-IN"/>
              </w:rPr>
            </w:pPr>
            <w:r w:rsidRPr="006E0276">
              <w:rPr>
                <w:rFonts w:ascii="Cambria" w:hAnsi="Cambria" w:cs="Calibri"/>
                <w:color w:val="000000"/>
                <w:sz w:val="18"/>
                <w:szCs w:val="18"/>
                <w:lang w:val="en-IN" w:eastAsia="en-IN"/>
              </w:rPr>
              <w:t>Network Comp-33/11Kv -</w:t>
            </w:r>
            <w:proofErr w:type="spellStart"/>
            <w:r w:rsidRPr="006E0276">
              <w:rPr>
                <w:rFonts w:ascii="Cambria" w:hAnsi="Cambria" w:cs="Calibri"/>
                <w:color w:val="000000"/>
                <w:sz w:val="18"/>
                <w:szCs w:val="18"/>
                <w:lang w:val="en-IN" w:eastAsia="en-IN"/>
              </w:rPr>
              <w:t>Dist</w:t>
            </w:r>
            <w:proofErr w:type="spellEnd"/>
            <w:r w:rsidRPr="006E0276">
              <w:rPr>
                <w:rFonts w:ascii="Cambria" w:hAnsi="Cambria" w:cs="Calibri"/>
                <w:color w:val="000000"/>
                <w:sz w:val="18"/>
                <w:szCs w:val="18"/>
                <w:lang w:val="en-IN" w:eastAsia="en-IN"/>
              </w:rPr>
              <w:t>- Substation</w:t>
            </w:r>
          </w:p>
        </w:tc>
        <w:tc>
          <w:tcPr>
            <w:tcW w:w="1124" w:type="dxa"/>
            <w:gridSpan w:val="2"/>
            <w:tcBorders>
              <w:top w:val="nil"/>
              <w:left w:val="nil"/>
              <w:bottom w:val="single" w:sz="4" w:space="0" w:color="auto"/>
              <w:right w:val="single" w:sz="4" w:space="0" w:color="auto"/>
            </w:tcBorders>
            <w:vAlign w:val="center"/>
            <w:hideMark/>
          </w:tcPr>
          <w:p w14:paraId="54F2D8DD"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8.59</w:t>
            </w:r>
          </w:p>
        </w:tc>
        <w:tc>
          <w:tcPr>
            <w:tcW w:w="942" w:type="dxa"/>
            <w:gridSpan w:val="2"/>
            <w:tcBorders>
              <w:top w:val="nil"/>
              <w:left w:val="nil"/>
              <w:bottom w:val="single" w:sz="4" w:space="0" w:color="auto"/>
              <w:right w:val="single" w:sz="4" w:space="0" w:color="auto"/>
            </w:tcBorders>
            <w:vAlign w:val="center"/>
            <w:hideMark/>
          </w:tcPr>
          <w:p w14:paraId="03766F3B"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-2.00</w:t>
            </w:r>
          </w:p>
        </w:tc>
        <w:tc>
          <w:tcPr>
            <w:tcW w:w="1276" w:type="dxa"/>
            <w:gridSpan w:val="2"/>
            <w:tcBorders>
              <w:top w:val="nil"/>
              <w:left w:val="nil"/>
              <w:bottom w:val="single" w:sz="4" w:space="0" w:color="auto"/>
              <w:right w:val="single" w:sz="4" w:space="0" w:color="auto"/>
            </w:tcBorders>
            <w:vAlign w:val="center"/>
            <w:hideMark/>
          </w:tcPr>
          <w:p w14:paraId="7195CED9"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6.59</w:t>
            </w:r>
          </w:p>
        </w:tc>
        <w:tc>
          <w:tcPr>
            <w:tcW w:w="992" w:type="dxa"/>
            <w:gridSpan w:val="2"/>
            <w:tcBorders>
              <w:top w:val="nil"/>
              <w:left w:val="nil"/>
              <w:bottom w:val="single" w:sz="4" w:space="0" w:color="auto"/>
              <w:right w:val="single" w:sz="4" w:space="0" w:color="auto"/>
            </w:tcBorders>
            <w:vAlign w:val="center"/>
            <w:hideMark/>
          </w:tcPr>
          <w:p w14:paraId="1B2D3F50"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0.00</w:t>
            </w:r>
          </w:p>
        </w:tc>
        <w:tc>
          <w:tcPr>
            <w:tcW w:w="992" w:type="dxa"/>
            <w:gridSpan w:val="2"/>
            <w:tcBorders>
              <w:top w:val="nil"/>
              <w:left w:val="nil"/>
              <w:bottom w:val="single" w:sz="4" w:space="0" w:color="auto"/>
              <w:right w:val="single" w:sz="4" w:space="0" w:color="auto"/>
            </w:tcBorders>
            <w:vAlign w:val="center"/>
            <w:hideMark/>
          </w:tcPr>
          <w:p w14:paraId="31E2A9DE"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0.00</w:t>
            </w:r>
          </w:p>
        </w:tc>
        <w:tc>
          <w:tcPr>
            <w:tcW w:w="993" w:type="dxa"/>
            <w:gridSpan w:val="2"/>
            <w:tcBorders>
              <w:top w:val="nil"/>
              <w:left w:val="nil"/>
              <w:bottom w:val="single" w:sz="4" w:space="0" w:color="auto"/>
              <w:right w:val="single" w:sz="4" w:space="0" w:color="auto"/>
            </w:tcBorders>
            <w:vAlign w:val="center"/>
            <w:hideMark/>
          </w:tcPr>
          <w:p w14:paraId="5F9B8044"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6.59</w:t>
            </w:r>
          </w:p>
        </w:tc>
        <w:tc>
          <w:tcPr>
            <w:tcW w:w="845" w:type="dxa"/>
            <w:gridSpan w:val="2"/>
            <w:tcBorders>
              <w:top w:val="nil"/>
              <w:left w:val="nil"/>
              <w:bottom w:val="single" w:sz="4" w:space="0" w:color="auto"/>
              <w:right w:val="single" w:sz="4" w:space="0" w:color="auto"/>
            </w:tcBorders>
            <w:vAlign w:val="center"/>
            <w:hideMark/>
          </w:tcPr>
          <w:p w14:paraId="6B9489A4"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0.00</w:t>
            </w:r>
          </w:p>
        </w:tc>
      </w:tr>
      <w:tr w:rsidR="006E0276" w:rsidRPr="006E0276" w14:paraId="6D8D4395" w14:textId="77777777" w:rsidTr="00304420">
        <w:trPr>
          <w:gridAfter w:val="1"/>
          <w:wAfter w:w="11" w:type="dxa"/>
          <w:trHeight w:val="290"/>
        </w:trPr>
        <w:tc>
          <w:tcPr>
            <w:tcW w:w="1276" w:type="dxa"/>
            <w:vMerge/>
            <w:tcBorders>
              <w:top w:val="nil"/>
              <w:left w:val="single" w:sz="4" w:space="0" w:color="auto"/>
              <w:bottom w:val="single" w:sz="4" w:space="0" w:color="auto"/>
              <w:right w:val="single" w:sz="4" w:space="0" w:color="auto"/>
            </w:tcBorders>
            <w:vAlign w:val="center"/>
            <w:hideMark/>
          </w:tcPr>
          <w:p w14:paraId="6125FC79" w14:textId="77777777" w:rsidR="006E0276" w:rsidRPr="006E0276" w:rsidRDefault="006E0276" w:rsidP="000F221E">
            <w:pPr>
              <w:rPr>
                <w:rFonts w:ascii="Cambria" w:hAnsi="Cambria" w:cs="Calibri"/>
                <w:b/>
                <w:bCs/>
                <w:color w:val="000000"/>
                <w:sz w:val="18"/>
                <w:szCs w:val="18"/>
                <w:lang w:val="en-IN" w:eastAsia="en-IN"/>
              </w:rPr>
            </w:pPr>
          </w:p>
        </w:tc>
        <w:tc>
          <w:tcPr>
            <w:tcW w:w="1586" w:type="dxa"/>
            <w:tcBorders>
              <w:top w:val="nil"/>
              <w:left w:val="nil"/>
              <w:bottom w:val="single" w:sz="4" w:space="0" w:color="auto"/>
              <w:right w:val="single" w:sz="4" w:space="0" w:color="auto"/>
            </w:tcBorders>
            <w:vAlign w:val="center"/>
            <w:hideMark/>
          </w:tcPr>
          <w:p w14:paraId="095385A0" w14:textId="77777777" w:rsidR="006E0276" w:rsidRPr="006E0276" w:rsidRDefault="006E0276" w:rsidP="000F221E">
            <w:pPr>
              <w:rPr>
                <w:rFonts w:ascii="Cambria" w:hAnsi="Cambria" w:cs="Calibri"/>
                <w:color w:val="000000"/>
                <w:sz w:val="18"/>
                <w:szCs w:val="18"/>
                <w:lang w:val="en-IN" w:eastAsia="en-IN"/>
              </w:rPr>
            </w:pPr>
            <w:r w:rsidRPr="006E0276">
              <w:rPr>
                <w:rFonts w:ascii="Cambria" w:hAnsi="Cambria" w:cs="Calibri"/>
                <w:color w:val="000000"/>
                <w:sz w:val="18"/>
                <w:szCs w:val="18"/>
                <w:lang w:val="en-IN" w:eastAsia="en-IN"/>
              </w:rPr>
              <w:t>Network Components-33/11Kv -Lines</w:t>
            </w:r>
          </w:p>
        </w:tc>
        <w:tc>
          <w:tcPr>
            <w:tcW w:w="1124" w:type="dxa"/>
            <w:gridSpan w:val="2"/>
            <w:tcBorders>
              <w:top w:val="nil"/>
              <w:left w:val="nil"/>
              <w:bottom w:val="single" w:sz="4" w:space="0" w:color="auto"/>
              <w:right w:val="single" w:sz="4" w:space="0" w:color="auto"/>
            </w:tcBorders>
            <w:vAlign w:val="center"/>
            <w:hideMark/>
          </w:tcPr>
          <w:p w14:paraId="643A1288"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111.98</w:t>
            </w:r>
          </w:p>
        </w:tc>
        <w:tc>
          <w:tcPr>
            <w:tcW w:w="942" w:type="dxa"/>
            <w:gridSpan w:val="2"/>
            <w:tcBorders>
              <w:top w:val="nil"/>
              <w:left w:val="nil"/>
              <w:bottom w:val="single" w:sz="4" w:space="0" w:color="auto"/>
              <w:right w:val="single" w:sz="4" w:space="0" w:color="auto"/>
            </w:tcBorders>
            <w:vAlign w:val="center"/>
            <w:hideMark/>
          </w:tcPr>
          <w:p w14:paraId="22E5C938"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-1.30</w:t>
            </w:r>
          </w:p>
        </w:tc>
        <w:tc>
          <w:tcPr>
            <w:tcW w:w="1276" w:type="dxa"/>
            <w:gridSpan w:val="2"/>
            <w:tcBorders>
              <w:top w:val="nil"/>
              <w:left w:val="nil"/>
              <w:bottom w:val="single" w:sz="4" w:space="0" w:color="auto"/>
              <w:right w:val="single" w:sz="4" w:space="0" w:color="auto"/>
            </w:tcBorders>
            <w:vAlign w:val="center"/>
            <w:hideMark/>
          </w:tcPr>
          <w:p w14:paraId="64652CB4"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110.68</w:t>
            </w:r>
          </w:p>
        </w:tc>
        <w:tc>
          <w:tcPr>
            <w:tcW w:w="992" w:type="dxa"/>
            <w:gridSpan w:val="2"/>
            <w:tcBorders>
              <w:top w:val="nil"/>
              <w:left w:val="nil"/>
              <w:bottom w:val="single" w:sz="4" w:space="0" w:color="auto"/>
              <w:right w:val="single" w:sz="4" w:space="0" w:color="auto"/>
            </w:tcBorders>
            <w:vAlign w:val="center"/>
            <w:hideMark/>
          </w:tcPr>
          <w:p w14:paraId="1870DA8C"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15.94</w:t>
            </w:r>
          </w:p>
        </w:tc>
        <w:tc>
          <w:tcPr>
            <w:tcW w:w="992" w:type="dxa"/>
            <w:gridSpan w:val="2"/>
            <w:tcBorders>
              <w:top w:val="nil"/>
              <w:left w:val="nil"/>
              <w:bottom w:val="single" w:sz="4" w:space="0" w:color="auto"/>
              <w:right w:val="single" w:sz="4" w:space="0" w:color="auto"/>
            </w:tcBorders>
            <w:vAlign w:val="center"/>
            <w:hideMark/>
          </w:tcPr>
          <w:p w14:paraId="3C7CE894"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11.61</w:t>
            </w:r>
          </w:p>
        </w:tc>
        <w:tc>
          <w:tcPr>
            <w:tcW w:w="993" w:type="dxa"/>
            <w:gridSpan w:val="2"/>
            <w:tcBorders>
              <w:top w:val="nil"/>
              <w:left w:val="nil"/>
              <w:bottom w:val="single" w:sz="4" w:space="0" w:color="auto"/>
              <w:right w:val="single" w:sz="4" w:space="0" w:color="auto"/>
            </w:tcBorders>
            <w:vAlign w:val="center"/>
            <w:hideMark/>
          </w:tcPr>
          <w:p w14:paraId="1EF346B1"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94.74</w:t>
            </w:r>
          </w:p>
        </w:tc>
        <w:tc>
          <w:tcPr>
            <w:tcW w:w="845" w:type="dxa"/>
            <w:gridSpan w:val="2"/>
            <w:tcBorders>
              <w:top w:val="nil"/>
              <w:left w:val="nil"/>
              <w:bottom w:val="single" w:sz="4" w:space="0" w:color="auto"/>
              <w:right w:val="single" w:sz="4" w:space="0" w:color="auto"/>
            </w:tcBorders>
            <w:vAlign w:val="center"/>
            <w:hideMark/>
          </w:tcPr>
          <w:p w14:paraId="75EBAE5E"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4.33</w:t>
            </w:r>
          </w:p>
        </w:tc>
      </w:tr>
      <w:tr w:rsidR="006E0276" w:rsidRPr="006E0276" w14:paraId="646D50AD" w14:textId="77777777" w:rsidTr="00304420">
        <w:trPr>
          <w:gridAfter w:val="1"/>
          <w:wAfter w:w="11" w:type="dxa"/>
          <w:trHeight w:val="290"/>
        </w:trPr>
        <w:tc>
          <w:tcPr>
            <w:tcW w:w="1276" w:type="dxa"/>
            <w:vMerge/>
            <w:tcBorders>
              <w:top w:val="nil"/>
              <w:left w:val="single" w:sz="4" w:space="0" w:color="auto"/>
              <w:bottom w:val="single" w:sz="4" w:space="0" w:color="auto"/>
              <w:right w:val="single" w:sz="4" w:space="0" w:color="auto"/>
            </w:tcBorders>
            <w:vAlign w:val="center"/>
            <w:hideMark/>
          </w:tcPr>
          <w:p w14:paraId="5F6699A6" w14:textId="77777777" w:rsidR="006E0276" w:rsidRPr="006E0276" w:rsidRDefault="006E0276" w:rsidP="000F221E">
            <w:pPr>
              <w:rPr>
                <w:rFonts w:ascii="Cambria" w:hAnsi="Cambria" w:cs="Calibri"/>
                <w:b/>
                <w:bCs/>
                <w:color w:val="000000"/>
                <w:sz w:val="18"/>
                <w:szCs w:val="18"/>
                <w:lang w:val="en-IN" w:eastAsia="en-IN"/>
              </w:rPr>
            </w:pPr>
          </w:p>
        </w:tc>
        <w:tc>
          <w:tcPr>
            <w:tcW w:w="1586" w:type="dxa"/>
            <w:tcBorders>
              <w:top w:val="nil"/>
              <w:left w:val="nil"/>
              <w:bottom w:val="single" w:sz="4" w:space="0" w:color="auto"/>
              <w:right w:val="single" w:sz="4" w:space="0" w:color="auto"/>
            </w:tcBorders>
            <w:vAlign w:val="center"/>
            <w:hideMark/>
          </w:tcPr>
          <w:p w14:paraId="7E214C25" w14:textId="77777777" w:rsidR="006E0276" w:rsidRPr="006E0276" w:rsidRDefault="006E0276" w:rsidP="000F221E">
            <w:pPr>
              <w:rPr>
                <w:rFonts w:ascii="Cambria" w:hAnsi="Cambria" w:cs="Calibri"/>
                <w:color w:val="000000"/>
                <w:sz w:val="18"/>
                <w:szCs w:val="18"/>
                <w:lang w:val="en-IN" w:eastAsia="en-IN"/>
              </w:rPr>
            </w:pPr>
            <w:r w:rsidRPr="006E0276">
              <w:rPr>
                <w:rFonts w:ascii="Cambria" w:hAnsi="Cambria" w:cs="Calibri"/>
                <w:color w:val="000000"/>
                <w:sz w:val="18"/>
                <w:szCs w:val="18"/>
                <w:lang w:val="en-IN" w:eastAsia="en-IN"/>
              </w:rPr>
              <w:t>Network Components-33/11Kv -Substation</w:t>
            </w:r>
          </w:p>
        </w:tc>
        <w:tc>
          <w:tcPr>
            <w:tcW w:w="1124" w:type="dxa"/>
            <w:gridSpan w:val="2"/>
            <w:tcBorders>
              <w:top w:val="nil"/>
              <w:left w:val="nil"/>
              <w:bottom w:val="single" w:sz="4" w:space="0" w:color="auto"/>
              <w:right w:val="single" w:sz="4" w:space="0" w:color="auto"/>
            </w:tcBorders>
            <w:vAlign w:val="center"/>
            <w:hideMark/>
          </w:tcPr>
          <w:p w14:paraId="5E731549"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18.76</w:t>
            </w:r>
          </w:p>
        </w:tc>
        <w:tc>
          <w:tcPr>
            <w:tcW w:w="942" w:type="dxa"/>
            <w:gridSpan w:val="2"/>
            <w:tcBorders>
              <w:top w:val="nil"/>
              <w:left w:val="nil"/>
              <w:bottom w:val="single" w:sz="4" w:space="0" w:color="auto"/>
              <w:right w:val="single" w:sz="4" w:space="0" w:color="auto"/>
            </w:tcBorders>
            <w:vAlign w:val="center"/>
            <w:hideMark/>
          </w:tcPr>
          <w:p w14:paraId="00047674"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3.30</w:t>
            </w:r>
          </w:p>
        </w:tc>
        <w:tc>
          <w:tcPr>
            <w:tcW w:w="1276" w:type="dxa"/>
            <w:gridSpan w:val="2"/>
            <w:tcBorders>
              <w:top w:val="nil"/>
              <w:left w:val="nil"/>
              <w:bottom w:val="single" w:sz="4" w:space="0" w:color="auto"/>
              <w:right w:val="single" w:sz="4" w:space="0" w:color="auto"/>
            </w:tcBorders>
            <w:vAlign w:val="center"/>
            <w:hideMark/>
          </w:tcPr>
          <w:p w14:paraId="4640E6F4"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22.06</w:t>
            </w:r>
          </w:p>
        </w:tc>
        <w:tc>
          <w:tcPr>
            <w:tcW w:w="992" w:type="dxa"/>
            <w:gridSpan w:val="2"/>
            <w:tcBorders>
              <w:top w:val="nil"/>
              <w:left w:val="nil"/>
              <w:bottom w:val="single" w:sz="4" w:space="0" w:color="auto"/>
              <w:right w:val="single" w:sz="4" w:space="0" w:color="auto"/>
            </w:tcBorders>
            <w:vAlign w:val="center"/>
            <w:hideMark/>
          </w:tcPr>
          <w:p w14:paraId="42E8FBEE"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4.90</w:t>
            </w:r>
          </w:p>
        </w:tc>
        <w:tc>
          <w:tcPr>
            <w:tcW w:w="992" w:type="dxa"/>
            <w:gridSpan w:val="2"/>
            <w:tcBorders>
              <w:top w:val="nil"/>
              <w:left w:val="nil"/>
              <w:bottom w:val="single" w:sz="4" w:space="0" w:color="auto"/>
              <w:right w:val="single" w:sz="4" w:space="0" w:color="auto"/>
            </w:tcBorders>
            <w:vAlign w:val="center"/>
            <w:hideMark/>
          </w:tcPr>
          <w:p w14:paraId="7F15A044"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3.54</w:t>
            </w:r>
          </w:p>
        </w:tc>
        <w:tc>
          <w:tcPr>
            <w:tcW w:w="993" w:type="dxa"/>
            <w:gridSpan w:val="2"/>
            <w:tcBorders>
              <w:top w:val="nil"/>
              <w:left w:val="nil"/>
              <w:bottom w:val="single" w:sz="4" w:space="0" w:color="auto"/>
              <w:right w:val="single" w:sz="4" w:space="0" w:color="auto"/>
            </w:tcBorders>
            <w:vAlign w:val="center"/>
            <w:hideMark/>
          </w:tcPr>
          <w:p w14:paraId="7BB2437D"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17.16</w:t>
            </w:r>
          </w:p>
        </w:tc>
        <w:tc>
          <w:tcPr>
            <w:tcW w:w="845" w:type="dxa"/>
            <w:gridSpan w:val="2"/>
            <w:tcBorders>
              <w:top w:val="nil"/>
              <w:left w:val="nil"/>
              <w:bottom w:val="single" w:sz="4" w:space="0" w:color="auto"/>
              <w:right w:val="single" w:sz="4" w:space="0" w:color="auto"/>
            </w:tcBorders>
            <w:vAlign w:val="center"/>
            <w:hideMark/>
          </w:tcPr>
          <w:p w14:paraId="00D41D1B"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1.35</w:t>
            </w:r>
          </w:p>
        </w:tc>
      </w:tr>
      <w:tr w:rsidR="006E0276" w:rsidRPr="006E0276" w14:paraId="147C43B2" w14:textId="77777777" w:rsidTr="00304420">
        <w:trPr>
          <w:gridAfter w:val="1"/>
          <w:wAfter w:w="11" w:type="dxa"/>
          <w:trHeight w:val="290"/>
        </w:trPr>
        <w:tc>
          <w:tcPr>
            <w:tcW w:w="1276" w:type="dxa"/>
            <w:vMerge/>
            <w:tcBorders>
              <w:top w:val="nil"/>
              <w:left w:val="single" w:sz="4" w:space="0" w:color="auto"/>
              <w:bottom w:val="single" w:sz="4" w:space="0" w:color="auto"/>
              <w:right w:val="single" w:sz="4" w:space="0" w:color="auto"/>
            </w:tcBorders>
            <w:vAlign w:val="center"/>
            <w:hideMark/>
          </w:tcPr>
          <w:p w14:paraId="50BCDBB5" w14:textId="77777777" w:rsidR="006E0276" w:rsidRPr="006E0276" w:rsidRDefault="006E0276" w:rsidP="000F221E">
            <w:pPr>
              <w:rPr>
                <w:rFonts w:ascii="Cambria" w:hAnsi="Cambria" w:cs="Calibri"/>
                <w:b/>
                <w:bCs/>
                <w:color w:val="000000"/>
                <w:sz w:val="18"/>
                <w:szCs w:val="18"/>
                <w:lang w:val="en-IN" w:eastAsia="en-IN"/>
              </w:rPr>
            </w:pPr>
          </w:p>
        </w:tc>
        <w:tc>
          <w:tcPr>
            <w:tcW w:w="1586" w:type="dxa"/>
            <w:tcBorders>
              <w:top w:val="nil"/>
              <w:left w:val="nil"/>
              <w:bottom w:val="single" w:sz="4" w:space="0" w:color="auto"/>
              <w:right w:val="single" w:sz="4" w:space="0" w:color="auto"/>
            </w:tcBorders>
            <w:vAlign w:val="center"/>
            <w:hideMark/>
          </w:tcPr>
          <w:p w14:paraId="78459268"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TOTAL</w:t>
            </w:r>
          </w:p>
        </w:tc>
        <w:tc>
          <w:tcPr>
            <w:tcW w:w="1124" w:type="dxa"/>
            <w:gridSpan w:val="2"/>
            <w:tcBorders>
              <w:top w:val="nil"/>
              <w:left w:val="nil"/>
              <w:bottom w:val="single" w:sz="4" w:space="0" w:color="auto"/>
              <w:right w:val="single" w:sz="4" w:space="0" w:color="auto"/>
            </w:tcBorders>
            <w:vAlign w:val="center"/>
            <w:hideMark/>
          </w:tcPr>
          <w:p w14:paraId="200E8FF4"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139.33</w:t>
            </w:r>
          </w:p>
        </w:tc>
        <w:tc>
          <w:tcPr>
            <w:tcW w:w="942" w:type="dxa"/>
            <w:gridSpan w:val="2"/>
            <w:tcBorders>
              <w:top w:val="nil"/>
              <w:left w:val="nil"/>
              <w:bottom w:val="single" w:sz="4" w:space="0" w:color="auto"/>
              <w:right w:val="single" w:sz="4" w:space="0" w:color="auto"/>
            </w:tcBorders>
            <w:vAlign w:val="center"/>
            <w:hideMark/>
          </w:tcPr>
          <w:p w14:paraId="69B533F8"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0.00</w:t>
            </w:r>
          </w:p>
        </w:tc>
        <w:tc>
          <w:tcPr>
            <w:tcW w:w="1276" w:type="dxa"/>
            <w:gridSpan w:val="2"/>
            <w:tcBorders>
              <w:top w:val="nil"/>
              <w:left w:val="nil"/>
              <w:bottom w:val="single" w:sz="4" w:space="0" w:color="auto"/>
              <w:right w:val="single" w:sz="4" w:space="0" w:color="auto"/>
            </w:tcBorders>
            <w:vAlign w:val="center"/>
            <w:hideMark/>
          </w:tcPr>
          <w:p w14:paraId="67979100"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139.33</w:t>
            </w:r>
          </w:p>
        </w:tc>
        <w:tc>
          <w:tcPr>
            <w:tcW w:w="992" w:type="dxa"/>
            <w:gridSpan w:val="2"/>
            <w:tcBorders>
              <w:top w:val="nil"/>
              <w:left w:val="nil"/>
              <w:bottom w:val="single" w:sz="4" w:space="0" w:color="auto"/>
              <w:right w:val="single" w:sz="4" w:space="0" w:color="auto"/>
            </w:tcBorders>
            <w:vAlign w:val="center"/>
            <w:hideMark/>
          </w:tcPr>
          <w:p w14:paraId="3CA29A05"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20.83</w:t>
            </w:r>
          </w:p>
        </w:tc>
        <w:tc>
          <w:tcPr>
            <w:tcW w:w="992" w:type="dxa"/>
            <w:gridSpan w:val="2"/>
            <w:tcBorders>
              <w:top w:val="nil"/>
              <w:left w:val="nil"/>
              <w:bottom w:val="single" w:sz="4" w:space="0" w:color="auto"/>
              <w:right w:val="single" w:sz="4" w:space="0" w:color="auto"/>
            </w:tcBorders>
            <w:vAlign w:val="center"/>
            <w:hideMark/>
          </w:tcPr>
          <w:p w14:paraId="44FB96AB"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15.15</w:t>
            </w:r>
          </w:p>
        </w:tc>
        <w:tc>
          <w:tcPr>
            <w:tcW w:w="993" w:type="dxa"/>
            <w:gridSpan w:val="2"/>
            <w:tcBorders>
              <w:top w:val="nil"/>
              <w:left w:val="nil"/>
              <w:bottom w:val="single" w:sz="4" w:space="0" w:color="auto"/>
              <w:right w:val="single" w:sz="4" w:space="0" w:color="auto"/>
            </w:tcBorders>
            <w:vAlign w:val="center"/>
            <w:hideMark/>
          </w:tcPr>
          <w:p w14:paraId="02D00AB2"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118.50</w:t>
            </w:r>
          </w:p>
        </w:tc>
        <w:tc>
          <w:tcPr>
            <w:tcW w:w="845" w:type="dxa"/>
            <w:gridSpan w:val="2"/>
            <w:tcBorders>
              <w:top w:val="nil"/>
              <w:left w:val="nil"/>
              <w:bottom w:val="single" w:sz="4" w:space="0" w:color="auto"/>
              <w:right w:val="single" w:sz="4" w:space="0" w:color="auto"/>
            </w:tcBorders>
            <w:vAlign w:val="center"/>
            <w:hideMark/>
          </w:tcPr>
          <w:p w14:paraId="023709B6"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5.68</w:t>
            </w:r>
          </w:p>
        </w:tc>
      </w:tr>
      <w:tr w:rsidR="006E0276" w:rsidRPr="006E0276" w14:paraId="25AF4CF9" w14:textId="77777777" w:rsidTr="00304420">
        <w:trPr>
          <w:gridAfter w:val="1"/>
          <w:wAfter w:w="11" w:type="dxa"/>
          <w:trHeight w:val="290"/>
        </w:trPr>
        <w:tc>
          <w:tcPr>
            <w:tcW w:w="1276" w:type="dxa"/>
            <w:vMerge w:val="restart"/>
            <w:tcBorders>
              <w:top w:val="nil"/>
              <w:left w:val="single" w:sz="4" w:space="0" w:color="auto"/>
              <w:bottom w:val="single" w:sz="4" w:space="0" w:color="auto"/>
              <w:right w:val="single" w:sz="4" w:space="0" w:color="auto"/>
            </w:tcBorders>
            <w:vAlign w:val="center"/>
            <w:hideMark/>
          </w:tcPr>
          <w:p w14:paraId="7E3DAD17"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Load Growth</w:t>
            </w:r>
          </w:p>
        </w:tc>
        <w:tc>
          <w:tcPr>
            <w:tcW w:w="1586" w:type="dxa"/>
            <w:tcBorders>
              <w:top w:val="nil"/>
              <w:left w:val="nil"/>
              <w:bottom w:val="single" w:sz="4" w:space="0" w:color="auto"/>
              <w:right w:val="single" w:sz="4" w:space="0" w:color="auto"/>
            </w:tcBorders>
            <w:vAlign w:val="center"/>
            <w:hideMark/>
          </w:tcPr>
          <w:p w14:paraId="1F265518" w14:textId="77777777" w:rsidR="006E0276" w:rsidRPr="006E0276" w:rsidRDefault="006E0276" w:rsidP="000F221E">
            <w:pPr>
              <w:rPr>
                <w:rFonts w:ascii="Cambria" w:hAnsi="Cambria" w:cs="Calibri"/>
                <w:color w:val="000000"/>
                <w:sz w:val="18"/>
                <w:szCs w:val="18"/>
                <w:lang w:val="en-IN" w:eastAsia="en-IN"/>
              </w:rPr>
            </w:pPr>
            <w:r w:rsidRPr="006E0276">
              <w:rPr>
                <w:rFonts w:ascii="Cambria" w:hAnsi="Cambria" w:cs="Calibri"/>
                <w:color w:val="000000"/>
                <w:sz w:val="18"/>
                <w:szCs w:val="18"/>
                <w:lang w:val="en-IN" w:eastAsia="en-IN"/>
              </w:rPr>
              <w:t>Network Enhancement/unforeseen Emergency</w:t>
            </w:r>
          </w:p>
        </w:tc>
        <w:tc>
          <w:tcPr>
            <w:tcW w:w="1124" w:type="dxa"/>
            <w:gridSpan w:val="2"/>
            <w:tcBorders>
              <w:top w:val="nil"/>
              <w:left w:val="nil"/>
              <w:bottom w:val="single" w:sz="4" w:space="0" w:color="auto"/>
              <w:right w:val="single" w:sz="4" w:space="0" w:color="auto"/>
            </w:tcBorders>
            <w:vAlign w:val="center"/>
            <w:hideMark/>
          </w:tcPr>
          <w:p w14:paraId="1C9B4639"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119.95</w:t>
            </w:r>
          </w:p>
        </w:tc>
        <w:tc>
          <w:tcPr>
            <w:tcW w:w="942" w:type="dxa"/>
            <w:gridSpan w:val="2"/>
            <w:tcBorders>
              <w:top w:val="nil"/>
              <w:left w:val="nil"/>
              <w:bottom w:val="single" w:sz="4" w:space="0" w:color="auto"/>
              <w:right w:val="single" w:sz="4" w:space="0" w:color="auto"/>
            </w:tcBorders>
            <w:vAlign w:val="center"/>
            <w:hideMark/>
          </w:tcPr>
          <w:p w14:paraId="0BE1BDA5"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0.00</w:t>
            </w:r>
          </w:p>
        </w:tc>
        <w:tc>
          <w:tcPr>
            <w:tcW w:w="1276" w:type="dxa"/>
            <w:gridSpan w:val="2"/>
            <w:tcBorders>
              <w:top w:val="nil"/>
              <w:left w:val="nil"/>
              <w:bottom w:val="single" w:sz="4" w:space="0" w:color="auto"/>
              <w:right w:val="single" w:sz="4" w:space="0" w:color="auto"/>
            </w:tcBorders>
            <w:vAlign w:val="center"/>
            <w:hideMark/>
          </w:tcPr>
          <w:p w14:paraId="6E351A9C"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119.95</w:t>
            </w:r>
          </w:p>
        </w:tc>
        <w:tc>
          <w:tcPr>
            <w:tcW w:w="992" w:type="dxa"/>
            <w:gridSpan w:val="2"/>
            <w:tcBorders>
              <w:top w:val="nil"/>
              <w:left w:val="nil"/>
              <w:bottom w:val="single" w:sz="4" w:space="0" w:color="auto"/>
              <w:right w:val="single" w:sz="4" w:space="0" w:color="auto"/>
            </w:tcBorders>
            <w:vAlign w:val="center"/>
            <w:hideMark/>
          </w:tcPr>
          <w:p w14:paraId="064AD14E"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33.92</w:t>
            </w:r>
          </w:p>
        </w:tc>
        <w:tc>
          <w:tcPr>
            <w:tcW w:w="992" w:type="dxa"/>
            <w:gridSpan w:val="2"/>
            <w:tcBorders>
              <w:top w:val="nil"/>
              <w:left w:val="nil"/>
              <w:bottom w:val="single" w:sz="4" w:space="0" w:color="auto"/>
              <w:right w:val="single" w:sz="4" w:space="0" w:color="auto"/>
            </w:tcBorders>
            <w:vAlign w:val="center"/>
            <w:hideMark/>
          </w:tcPr>
          <w:p w14:paraId="7F4C4FE9"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19.29</w:t>
            </w:r>
          </w:p>
        </w:tc>
        <w:tc>
          <w:tcPr>
            <w:tcW w:w="993" w:type="dxa"/>
            <w:gridSpan w:val="2"/>
            <w:tcBorders>
              <w:top w:val="nil"/>
              <w:left w:val="nil"/>
              <w:bottom w:val="single" w:sz="4" w:space="0" w:color="auto"/>
              <w:right w:val="single" w:sz="4" w:space="0" w:color="auto"/>
            </w:tcBorders>
            <w:vAlign w:val="center"/>
            <w:hideMark/>
          </w:tcPr>
          <w:p w14:paraId="2DA28ECA"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86.03</w:t>
            </w:r>
          </w:p>
        </w:tc>
        <w:tc>
          <w:tcPr>
            <w:tcW w:w="845" w:type="dxa"/>
            <w:gridSpan w:val="2"/>
            <w:tcBorders>
              <w:top w:val="nil"/>
              <w:left w:val="nil"/>
              <w:bottom w:val="single" w:sz="4" w:space="0" w:color="auto"/>
              <w:right w:val="single" w:sz="4" w:space="0" w:color="auto"/>
            </w:tcBorders>
            <w:vAlign w:val="center"/>
            <w:hideMark/>
          </w:tcPr>
          <w:p w14:paraId="504C99A6"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14.62</w:t>
            </w:r>
          </w:p>
        </w:tc>
      </w:tr>
      <w:tr w:rsidR="006E0276" w:rsidRPr="006E0276" w14:paraId="281834BA" w14:textId="77777777" w:rsidTr="00304420">
        <w:trPr>
          <w:gridAfter w:val="1"/>
          <w:wAfter w:w="11" w:type="dxa"/>
          <w:trHeight w:val="290"/>
        </w:trPr>
        <w:tc>
          <w:tcPr>
            <w:tcW w:w="1276" w:type="dxa"/>
            <w:vMerge/>
            <w:tcBorders>
              <w:top w:val="nil"/>
              <w:left w:val="single" w:sz="4" w:space="0" w:color="auto"/>
              <w:bottom w:val="single" w:sz="4" w:space="0" w:color="auto"/>
              <w:right w:val="single" w:sz="4" w:space="0" w:color="auto"/>
            </w:tcBorders>
            <w:vAlign w:val="center"/>
            <w:hideMark/>
          </w:tcPr>
          <w:p w14:paraId="5128B3DD" w14:textId="77777777" w:rsidR="006E0276" w:rsidRPr="006E0276" w:rsidRDefault="006E0276" w:rsidP="000F221E">
            <w:pPr>
              <w:rPr>
                <w:rFonts w:ascii="Cambria" w:hAnsi="Cambria" w:cs="Calibri"/>
                <w:b/>
                <w:bCs/>
                <w:color w:val="000000"/>
                <w:sz w:val="18"/>
                <w:szCs w:val="18"/>
                <w:lang w:val="en-IN" w:eastAsia="en-IN"/>
              </w:rPr>
            </w:pPr>
          </w:p>
        </w:tc>
        <w:tc>
          <w:tcPr>
            <w:tcW w:w="1586" w:type="dxa"/>
            <w:tcBorders>
              <w:top w:val="nil"/>
              <w:left w:val="nil"/>
              <w:bottom w:val="single" w:sz="4" w:space="0" w:color="auto"/>
              <w:right w:val="single" w:sz="4" w:space="0" w:color="auto"/>
            </w:tcBorders>
            <w:vAlign w:val="center"/>
            <w:hideMark/>
          </w:tcPr>
          <w:p w14:paraId="21890319"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TOTAL</w:t>
            </w:r>
          </w:p>
        </w:tc>
        <w:tc>
          <w:tcPr>
            <w:tcW w:w="1124" w:type="dxa"/>
            <w:gridSpan w:val="2"/>
            <w:tcBorders>
              <w:top w:val="nil"/>
              <w:left w:val="nil"/>
              <w:bottom w:val="single" w:sz="4" w:space="0" w:color="auto"/>
              <w:right w:val="single" w:sz="4" w:space="0" w:color="auto"/>
            </w:tcBorders>
            <w:vAlign w:val="center"/>
            <w:hideMark/>
          </w:tcPr>
          <w:p w14:paraId="20489972"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119.95</w:t>
            </w:r>
          </w:p>
        </w:tc>
        <w:tc>
          <w:tcPr>
            <w:tcW w:w="942" w:type="dxa"/>
            <w:gridSpan w:val="2"/>
            <w:tcBorders>
              <w:top w:val="nil"/>
              <w:left w:val="nil"/>
              <w:bottom w:val="single" w:sz="4" w:space="0" w:color="auto"/>
              <w:right w:val="single" w:sz="4" w:space="0" w:color="auto"/>
            </w:tcBorders>
            <w:vAlign w:val="center"/>
            <w:hideMark/>
          </w:tcPr>
          <w:p w14:paraId="1C336935"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0.00</w:t>
            </w:r>
          </w:p>
        </w:tc>
        <w:tc>
          <w:tcPr>
            <w:tcW w:w="1276" w:type="dxa"/>
            <w:gridSpan w:val="2"/>
            <w:tcBorders>
              <w:top w:val="nil"/>
              <w:left w:val="nil"/>
              <w:bottom w:val="single" w:sz="4" w:space="0" w:color="auto"/>
              <w:right w:val="single" w:sz="4" w:space="0" w:color="auto"/>
            </w:tcBorders>
            <w:vAlign w:val="center"/>
            <w:hideMark/>
          </w:tcPr>
          <w:p w14:paraId="7B57D1F8"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119.95</w:t>
            </w:r>
          </w:p>
        </w:tc>
        <w:tc>
          <w:tcPr>
            <w:tcW w:w="992" w:type="dxa"/>
            <w:gridSpan w:val="2"/>
            <w:tcBorders>
              <w:top w:val="nil"/>
              <w:left w:val="nil"/>
              <w:bottom w:val="single" w:sz="4" w:space="0" w:color="auto"/>
              <w:right w:val="single" w:sz="4" w:space="0" w:color="auto"/>
            </w:tcBorders>
            <w:vAlign w:val="center"/>
            <w:hideMark/>
          </w:tcPr>
          <w:p w14:paraId="731F0E60"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33.92</w:t>
            </w:r>
          </w:p>
        </w:tc>
        <w:tc>
          <w:tcPr>
            <w:tcW w:w="992" w:type="dxa"/>
            <w:gridSpan w:val="2"/>
            <w:tcBorders>
              <w:top w:val="nil"/>
              <w:left w:val="nil"/>
              <w:bottom w:val="single" w:sz="4" w:space="0" w:color="auto"/>
              <w:right w:val="single" w:sz="4" w:space="0" w:color="auto"/>
            </w:tcBorders>
            <w:vAlign w:val="center"/>
            <w:hideMark/>
          </w:tcPr>
          <w:p w14:paraId="09777FAD"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19.29</w:t>
            </w:r>
          </w:p>
        </w:tc>
        <w:tc>
          <w:tcPr>
            <w:tcW w:w="993" w:type="dxa"/>
            <w:gridSpan w:val="2"/>
            <w:tcBorders>
              <w:top w:val="nil"/>
              <w:left w:val="nil"/>
              <w:bottom w:val="single" w:sz="4" w:space="0" w:color="auto"/>
              <w:right w:val="single" w:sz="4" w:space="0" w:color="auto"/>
            </w:tcBorders>
            <w:vAlign w:val="center"/>
            <w:hideMark/>
          </w:tcPr>
          <w:p w14:paraId="4869BAA2"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86.03</w:t>
            </w:r>
          </w:p>
        </w:tc>
        <w:tc>
          <w:tcPr>
            <w:tcW w:w="845" w:type="dxa"/>
            <w:gridSpan w:val="2"/>
            <w:tcBorders>
              <w:top w:val="nil"/>
              <w:left w:val="nil"/>
              <w:bottom w:val="single" w:sz="4" w:space="0" w:color="auto"/>
              <w:right w:val="single" w:sz="4" w:space="0" w:color="auto"/>
            </w:tcBorders>
            <w:vAlign w:val="center"/>
            <w:hideMark/>
          </w:tcPr>
          <w:p w14:paraId="1B29A7D4"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14.62</w:t>
            </w:r>
          </w:p>
        </w:tc>
      </w:tr>
      <w:tr w:rsidR="006E0276" w:rsidRPr="006E0276" w14:paraId="152F4AE1" w14:textId="77777777" w:rsidTr="00304420">
        <w:trPr>
          <w:gridAfter w:val="1"/>
          <w:wAfter w:w="11" w:type="dxa"/>
          <w:trHeight w:val="290"/>
        </w:trPr>
        <w:tc>
          <w:tcPr>
            <w:tcW w:w="1276" w:type="dxa"/>
            <w:vMerge w:val="restart"/>
            <w:tcBorders>
              <w:top w:val="nil"/>
              <w:left w:val="single" w:sz="4" w:space="0" w:color="auto"/>
              <w:bottom w:val="single" w:sz="4" w:space="0" w:color="auto"/>
              <w:right w:val="single" w:sz="4" w:space="0" w:color="auto"/>
            </w:tcBorders>
            <w:vAlign w:val="center"/>
            <w:hideMark/>
          </w:tcPr>
          <w:p w14:paraId="43AB8CB3"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Technology and Civil Infrastructure</w:t>
            </w:r>
          </w:p>
        </w:tc>
        <w:tc>
          <w:tcPr>
            <w:tcW w:w="1586" w:type="dxa"/>
            <w:tcBorders>
              <w:top w:val="nil"/>
              <w:left w:val="nil"/>
              <w:bottom w:val="single" w:sz="4" w:space="0" w:color="auto"/>
              <w:right w:val="single" w:sz="4" w:space="0" w:color="auto"/>
            </w:tcBorders>
            <w:vAlign w:val="center"/>
            <w:hideMark/>
          </w:tcPr>
          <w:p w14:paraId="274193A8" w14:textId="77777777" w:rsidR="006E0276" w:rsidRPr="006E0276" w:rsidRDefault="006E0276" w:rsidP="000F221E">
            <w:pPr>
              <w:rPr>
                <w:rFonts w:ascii="Cambria" w:hAnsi="Cambria" w:cs="Calibri"/>
                <w:color w:val="000000"/>
                <w:sz w:val="18"/>
                <w:szCs w:val="18"/>
                <w:lang w:val="en-IN" w:eastAsia="en-IN"/>
              </w:rPr>
            </w:pPr>
            <w:r w:rsidRPr="006E0276">
              <w:rPr>
                <w:rFonts w:ascii="Cambria" w:hAnsi="Cambria" w:cs="Calibri"/>
                <w:color w:val="000000"/>
                <w:sz w:val="18"/>
                <w:szCs w:val="18"/>
                <w:lang w:val="en-IN" w:eastAsia="en-IN"/>
              </w:rPr>
              <w:t>Improvement of Civil Infrastructure</w:t>
            </w:r>
          </w:p>
        </w:tc>
        <w:tc>
          <w:tcPr>
            <w:tcW w:w="1124" w:type="dxa"/>
            <w:gridSpan w:val="2"/>
            <w:tcBorders>
              <w:top w:val="nil"/>
              <w:left w:val="nil"/>
              <w:bottom w:val="single" w:sz="4" w:space="0" w:color="auto"/>
              <w:right w:val="single" w:sz="4" w:space="0" w:color="auto"/>
            </w:tcBorders>
            <w:vAlign w:val="center"/>
            <w:hideMark/>
          </w:tcPr>
          <w:p w14:paraId="19CA6BB3"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10.00</w:t>
            </w:r>
          </w:p>
        </w:tc>
        <w:tc>
          <w:tcPr>
            <w:tcW w:w="942" w:type="dxa"/>
            <w:gridSpan w:val="2"/>
            <w:tcBorders>
              <w:top w:val="nil"/>
              <w:left w:val="nil"/>
              <w:bottom w:val="single" w:sz="4" w:space="0" w:color="auto"/>
              <w:right w:val="single" w:sz="4" w:space="0" w:color="auto"/>
            </w:tcBorders>
            <w:vAlign w:val="center"/>
            <w:hideMark/>
          </w:tcPr>
          <w:p w14:paraId="05927970"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1.80</w:t>
            </w:r>
          </w:p>
        </w:tc>
        <w:tc>
          <w:tcPr>
            <w:tcW w:w="1276" w:type="dxa"/>
            <w:gridSpan w:val="2"/>
            <w:tcBorders>
              <w:top w:val="nil"/>
              <w:left w:val="nil"/>
              <w:bottom w:val="single" w:sz="4" w:space="0" w:color="auto"/>
              <w:right w:val="single" w:sz="4" w:space="0" w:color="auto"/>
            </w:tcBorders>
            <w:vAlign w:val="center"/>
            <w:hideMark/>
          </w:tcPr>
          <w:p w14:paraId="5F497522"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11.80</w:t>
            </w:r>
          </w:p>
        </w:tc>
        <w:tc>
          <w:tcPr>
            <w:tcW w:w="992" w:type="dxa"/>
            <w:gridSpan w:val="2"/>
            <w:tcBorders>
              <w:top w:val="nil"/>
              <w:left w:val="nil"/>
              <w:bottom w:val="single" w:sz="4" w:space="0" w:color="auto"/>
              <w:right w:val="single" w:sz="4" w:space="0" w:color="auto"/>
            </w:tcBorders>
            <w:vAlign w:val="center"/>
            <w:hideMark/>
          </w:tcPr>
          <w:p w14:paraId="201F8314"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0.00</w:t>
            </w:r>
          </w:p>
        </w:tc>
        <w:tc>
          <w:tcPr>
            <w:tcW w:w="992" w:type="dxa"/>
            <w:gridSpan w:val="2"/>
            <w:tcBorders>
              <w:top w:val="nil"/>
              <w:left w:val="nil"/>
              <w:bottom w:val="single" w:sz="4" w:space="0" w:color="auto"/>
              <w:right w:val="single" w:sz="4" w:space="0" w:color="auto"/>
            </w:tcBorders>
            <w:vAlign w:val="center"/>
            <w:hideMark/>
          </w:tcPr>
          <w:p w14:paraId="73F4550D"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0.00</w:t>
            </w:r>
          </w:p>
        </w:tc>
        <w:tc>
          <w:tcPr>
            <w:tcW w:w="993" w:type="dxa"/>
            <w:gridSpan w:val="2"/>
            <w:tcBorders>
              <w:top w:val="nil"/>
              <w:left w:val="nil"/>
              <w:bottom w:val="single" w:sz="4" w:space="0" w:color="auto"/>
              <w:right w:val="single" w:sz="4" w:space="0" w:color="auto"/>
            </w:tcBorders>
            <w:vAlign w:val="center"/>
            <w:hideMark/>
          </w:tcPr>
          <w:p w14:paraId="7F6FDC2A"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11.80</w:t>
            </w:r>
          </w:p>
        </w:tc>
        <w:tc>
          <w:tcPr>
            <w:tcW w:w="845" w:type="dxa"/>
            <w:gridSpan w:val="2"/>
            <w:tcBorders>
              <w:top w:val="nil"/>
              <w:left w:val="nil"/>
              <w:bottom w:val="single" w:sz="4" w:space="0" w:color="auto"/>
              <w:right w:val="single" w:sz="4" w:space="0" w:color="auto"/>
            </w:tcBorders>
            <w:vAlign w:val="center"/>
            <w:hideMark/>
          </w:tcPr>
          <w:p w14:paraId="015E2E9F"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0.00</w:t>
            </w:r>
          </w:p>
        </w:tc>
      </w:tr>
      <w:tr w:rsidR="006E0276" w:rsidRPr="006E0276" w14:paraId="3B193767" w14:textId="77777777" w:rsidTr="00304420">
        <w:trPr>
          <w:gridAfter w:val="1"/>
          <w:wAfter w:w="11" w:type="dxa"/>
          <w:trHeight w:val="290"/>
        </w:trPr>
        <w:tc>
          <w:tcPr>
            <w:tcW w:w="1276" w:type="dxa"/>
            <w:vMerge/>
            <w:tcBorders>
              <w:top w:val="nil"/>
              <w:left w:val="single" w:sz="4" w:space="0" w:color="auto"/>
              <w:bottom w:val="single" w:sz="4" w:space="0" w:color="auto"/>
              <w:right w:val="single" w:sz="4" w:space="0" w:color="auto"/>
            </w:tcBorders>
            <w:vAlign w:val="center"/>
            <w:hideMark/>
          </w:tcPr>
          <w:p w14:paraId="5258474C" w14:textId="77777777" w:rsidR="006E0276" w:rsidRPr="006E0276" w:rsidRDefault="006E0276" w:rsidP="000F221E">
            <w:pPr>
              <w:rPr>
                <w:rFonts w:ascii="Cambria" w:hAnsi="Cambria" w:cs="Calibri"/>
                <w:b/>
                <w:bCs/>
                <w:color w:val="000000"/>
                <w:sz w:val="18"/>
                <w:szCs w:val="18"/>
                <w:lang w:val="en-IN" w:eastAsia="en-IN"/>
              </w:rPr>
            </w:pPr>
          </w:p>
        </w:tc>
        <w:tc>
          <w:tcPr>
            <w:tcW w:w="1586" w:type="dxa"/>
            <w:tcBorders>
              <w:top w:val="nil"/>
              <w:left w:val="nil"/>
              <w:bottom w:val="single" w:sz="4" w:space="0" w:color="auto"/>
              <w:right w:val="single" w:sz="4" w:space="0" w:color="auto"/>
            </w:tcBorders>
            <w:vAlign w:val="center"/>
            <w:hideMark/>
          </w:tcPr>
          <w:p w14:paraId="1FB3FE5F" w14:textId="77777777" w:rsidR="006E0276" w:rsidRPr="006E0276" w:rsidRDefault="006E0276" w:rsidP="000F221E">
            <w:pPr>
              <w:rPr>
                <w:rFonts w:ascii="Cambria" w:hAnsi="Cambria" w:cs="Calibri"/>
                <w:color w:val="000000"/>
                <w:sz w:val="18"/>
                <w:szCs w:val="18"/>
                <w:lang w:val="en-IN" w:eastAsia="en-IN"/>
              </w:rPr>
            </w:pPr>
            <w:r w:rsidRPr="006E0276">
              <w:rPr>
                <w:rFonts w:ascii="Cambria" w:hAnsi="Cambria" w:cs="Calibri"/>
                <w:color w:val="000000"/>
                <w:sz w:val="18"/>
                <w:szCs w:val="18"/>
                <w:lang w:val="en-IN" w:eastAsia="en-IN"/>
              </w:rPr>
              <w:t xml:space="preserve">Infrastructure - Stores </w:t>
            </w:r>
          </w:p>
        </w:tc>
        <w:tc>
          <w:tcPr>
            <w:tcW w:w="1124" w:type="dxa"/>
            <w:gridSpan w:val="2"/>
            <w:tcBorders>
              <w:top w:val="nil"/>
              <w:left w:val="nil"/>
              <w:bottom w:val="single" w:sz="4" w:space="0" w:color="auto"/>
              <w:right w:val="single" w:sz="4" w:space="0" w:color="auto"/>
            </w:tcBorders>
            <w:vAlign w:val="center"/>
            <w:hideMark/>
          </w:tcPr>
          <w:p w14:paraId="573256E1"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3.30</w:t>
            </w:r>
          </w:p>
        </w:tc>
        <w:tc>
          <w:tcPr>
            <w:tcW w:w="942" w:type="dxa"/>
            <w:gridSpan w:val="2"/>
            <w:tcBorders>
              <w:top w:val="nil"/>
              <w:left w:val="nil"/>
              <w:bottom w:val="single" w:sz="4" w:space="0" w:color="auto"/>
              <w:right w:val="single" w:sz="4" w:space="0" w:color="auto"/>
            </w:tcBorders>
            <w:vAlign w:val="center"/>
            <w:hideMark/>
          </w:tcPr>
          <w:p w14:paraId="413BE3CF"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-1.09</w:t>
            </w:r>
          </w:p>
        </w:tc>
        <w:tc>
          <w:tcPr>
            <w:tcW w:w="1276" w:type="dxa"/>
            <w:gridSpan w:val="2"/>
            <w:tcBorders>
              <w:top w:val="nil"/>
              <w:left w:val="nil"/>
              <w:bottom w:val="single" w:sz="4" w:space="0" w:color="auto"/>
              <w:right w:val="single" w:sz="4" w:space="0" w:color="auto"/>
            </w:tcBorders>
            <w:vAlign w:val="center"/>
            <w:hideMark/>
          </w:tcPr>
          <w:p w14:paraId="319F4F85"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2.21</w:t>
            </w:r>
          </w:p>
        </w:tc>
        <w:tc>
          <w:tcPr>
            <w:tcW w:w="992" w:type="dxa"/>
            <w:gridSpan w:val="2"/>
            <w:tcBorders>
              <w:top w:val="nil"/>
              <w:left w:val="nil"/>
              <w:bottom w:val="single" w:sz="4" w:space="0" w:color="auto"/>
              <w:right w:val="single" w:sz="4" w:space="0" w:color="auto"/>
            </w:tcBorders>
            <w:vAlign w:val="center"/>
            <w:hideMark/>
          </w:tcPr>
          <w:p w14:paraId="47BA7A8E"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0.70</w:t>
            </w:r>
          </w:p>
        </w:tc>
        <w:tc>
          <w:tcPr>
            <w:tcW w:w="992" w:type="dxa"/>
            <w:gridSpan w:val="2"/>
            <w:tcBorders>
              <w:top w:val="nil"/>
              <w:left w:val="nil"/>
              <w:bottom w:val="single" w:sz="4" w:space="0" w:color="auto"/>
              <w:right w:val="single" w:sz="4" w:space="0" w:color="auto"/>
            </w:tcBorders>
            <w:vAlign w:val="center"/>
            <w:hideMark/>
          </w:tcPr>
          <w:p w14:paraId="57FC803D"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0.00</w:t>
            </w:r>
          </w:p>
        </w:tc>
        <w:tc>
          <w:tcPr>
            <w:tcW w:w="993" w:type="dxa"/>
            <w:gridSpan w:val="2"/>
            <w:tcBorders>
              <w:top w:val="nil"/>
              <w:left w:val="nil"/>
              <w:bottom w:val="single" w:sz="4" w:space="0" w:color="auto"/>
              <w:right w:val="single" w:sz="4" w:space="0" w:color="auto"/>
            </w:tcBorders>
            <w:vAlign w:val="center"/>
            <w:hideMark/>
          </w:tcPr>
          <w:p w14:paraId="0CD07829"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1.51</w:t>
            </w:r>
          </w:p>
        </w:tc>
        <w:tc>
          <w:tcPr>
            <w:tcW w:w="845" w:type="dxa"/>
            <w:gridSpan w:val="2"/>
            <w:tcBorders>
              <w:top w:val="nil"/>
              <w:left w:val="nil"/>
              <w:bottom w:val="single" w:sz="4" w:space="0" w:color="auto"/>
              <w:right w:val="single" w:sz="4" w:space="0" w:color="auto"/>
            </w:tcBorders>
            <w:vAlign w:val="center"/>
            <w:hideMark/>
          </w:tcPr>
          <w:p w14:paraId="349E61C3"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0.70</w:t>
            </w:r>
          </w:p>
        </w:tc>
      </w:tr>
      <w:tr w:rsidR="006E0276" w:rsidRPr="006E0276" w14:paraId="7D60C01E" w14:textId="77777777" w:rsidTr="00304420">
        <w:trPr>
          <w:gridAfter w:val="1"/>
          <w:wAfter w:w="11" w:type="dxa"/>
          <w:trHeight w:val="290"/>
        </w:trPr>
        <w:tc>
          <w:tcPr>
            <w:tcW w:w="1276" w:type="dxa"/>
            <w:vMerge/>
            <w:tcBorders>
              <w:top w:val="nil"/>
              <w:left w:val="single" w:sz="4" w:space="0" w:color="auto"/>
              <w:bottom w:val="single" w:sz="4" w:space="0" w:color="auto"/>
              <w:right w:val="single" w:sz="4" w:space="0" w:color="auto"/>
            </w:tcBorders>
            <w:vAlign w:val="center"/>
            <w:hideMark/>
          </w:tcPr>
          <w:p w14:paraId="516F41C9" w14:textId="77777777" w:rsidR="006E0276" w:rsidRPr="006E0276" w:rsidRDefault="006E0276" w:rsidP="000F221E">
            <w:pPr>
              <w:rPr>
                <w:rFonts w:ascii="Cambria" w:hAnsi="Cambria" w:cs="Calibri"/>
                <w:b/>
                <w:bCs/>
                <w:color w:val="000000"/>
                <w:sz w:val="18"/>
                <w:szCs w:val="18"/>
                <w:lang w:val="en-IN" w:eastAsia="en-IN"/>
              </w:rPr>
            </w:pPr>
          </w:p>
        </w:tc>
        <w:tc>
          <w:tcPr>
            <w:tcW w:w="1586" w:type="dxa"/>
            <w:tcBorders>
              <w:top w:val="nil"/>
              <w:left w:val="nil"/>
              <w:bottom w:val="single" w:sz="4" w:space="0" w:color="auto"/>
              <w:right w:val="single" w:sz="4" w:space="0" w:color="auto"/>
            </w:tcBorders>
            <w:vAlign w:val="center"/>
            <w:hideMark/>
          </w:tcPr>
          <w:p w14:paraId="343B8DEB" w14:textId="77777777" w:rsidR="006E0276" w:rsidRPr="006E0276" w:rsidRDefault="006E0276" w:rsidP="000F221E">
            <w:pPr>
              <w:rPr>
                <w:rFonts w:ascii="Cambria" w:hAnsi="Cambria" w:cs="Calibri"/>
                <w:color w:val="000000"/>
                <w:sz w:val="18"/>
                <w:szCs w:val="18"/>
                <w:lang w:val="en-IN" w:eastAsia="en-IN"/>
              </w:rPr>
            </w:pPr>
            <w:r w:rsidRPr="006E0276">
              <w:rPr>
                <w:rFonts w:ascii="Cambria" w:hAnsi="Cambria" w:cs="Calibri"/>
                <w:color w:val="000000"/>
                <w:sz w:val="18"/>
                <w:szCs w:val="18"/>
                <w:lang w:val="en-IN" w:eastAsia="en-IN"/>
              </w:rPr>
              <w:t>IT &amp; Technology Intervention</w:t>
            </w:r>
          </w:p>
        </w:tc>
        <w:tc>
          <w:tcPr>
            <w:tcW w:w="1124" w:type="dxa"/>
            <w:gridSpan w:val="2"/>
            <w:tcBorders>
              <w:top w:val="nil"/>
              <w:left w:val="nil"/>
              <w:bottom w:val="single" w:sz="4" w:space="0" w:color="auto"/>
              <w:right w:val="single" w:sz="4" w:space="0" w:color="auto"/>
            </w:tcBorders>
            <w:vAlign w:val="center"/>
            <w:hideMark/>
          </w:tcPr>
          <w:p w14:paraId="6BC0384D"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5.28</w:t>
            </w:r>
          </w:p>
        </w:tc>
        <w:tc>
          <w:tcPr>
            <w:tcW w:w="942" w:type="dxa"/>
            <w:gridSpan w:val="2"/>
            <w:tcBorders>
              <w:top w:val="nil"/>
              <w:left w:val="nil"/>
              <w:bottom w:val="single" w:sz="4" w:space="0" w:color="auto"/>
              <w:right w:val="single" w:sz="4" w:space="0" w:color="auto"/>
            </w:tcBorders>
            <w:vAlign w:val="center"/>
            <w:hideMark/>
          </w:tcPr>
          <w:p w14:paraId="483CCA33"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0.00</w:t>
            </w:r>
          </w:p>
        </w:tc>
        <w:tc>
          <w:tcPr>
            <w:tcW w:w="1276" w:type="dxa"/>
            <w:gridSpan w:val="2"/>
            <w:tcBorders>
              <w:top w:val="nil"/>
              <w:left w:val="nil"/>
              <w:bottom w:val="single" w:sz="4" w:space="0" w:color="auto"/>
              <w:right w:val="single" w:sz="4" w:space="0" w:color="auto"/>
            </w:tcBorders>
            <w:vAlign w:val="center"/>
            <w:hideMark/>
          </w:tcPr>
          <w:p w14:paraId="5F25D37A"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5.28</w:t>
            </w:r>
          </w:p>
        </w:tc>
        <w:tc>
          <w:tcPr>
            <w:tcW w:w="992" w:type="dxa"/>
            <w:gridSpan w:val="2"/>
            <w:tcBorders>
              <w:top w:val="nil"/>
              <w:left w:val="nil"/>
              <w:bottom w:val="single" w:sz="4" w:space="0" w:color="auto"/>
              <w:right w:val="single" w:sz="4" w:space="0" w:color="auto"/>
            </w:tcBorders>
            <w:vAlign w:val="center"/>
            <w:hideMark/>
          </w:tcPr>
          <w:p w14:paraId="492EDE10"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0.09</w:t>
            </w:r>
          </w:p>
        </w:tc>
        <w:tc>
          <w:tcPr>
            <w:tcW w:w="992" w:type="dxa"/>
            <w:gridSpan w:val="2"/>
            <w:tcBorders>
              <w:top w:val="nil"/>
              <w:left w:val="nil"/>
              <w:bottom w:val="single" w:sz="4" w:space="0" w:color="auto"/>
              <w:right w:val="single" w:sz="4" w:space="0" w:color="auto"/>
            </w:tcBorders>
            <w:vAlign w:val="center"/>
            <w:hideMark/>
          </w:tcPr>
          <w:p w14:paraId="2609F77D"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0.00</w:t>
            </w:r>
          </w:p>
        </w:tc>
        <w:tc>
          <w:tcPr>
            <w:tcW w:w="993" w:type="dxa"/>
            <w:gridSpan w:val="2"/>
            <w:tcBorders>
              <w:top w:val="nil"/>
              <w:left w:val="nil"/>
              <w:bottom w:val="single" w:sz="4" w:space="0" w:color="auto"/>
              <w:right w:val="single" w:sz="4" w:space="0" w:color="auto"/>
            </w:tcBorders>
            <w:vAlign w:val="center"/>
            <w:hideMark/>
          </w:tcPr>
          <w:p w14:paraId="67682A8F"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5.19</w:t>
            </w:r>
          </w:p>
        </w:tc>
        <w:tc>
          <w:tcPr>
            <w:tcW w:w="845" w:type="dxa"/>
            <w:gridSpan w:val="2"/>
            <w:tcBorders>
              <w:top w:val="nil"/>
              <w:left w:val="nil"/>
              <w:bottom w:val="single" w:sz="4" w:space="0" w:color="auto"/>
              <w:right w:val="single" w:sz="4" w:space="0" w:color="auto"/>
            </w:tcBorders>
            <w:vAlign w:val="center"/>
            <w:hideMark/>
          </w:tcPr>
          <w:p w14:paraId="223599FA"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0.09</w:t>
            </w:r>
          </w:p>
        </w:tc>
      </w:tr>
      <w:tr w:rsidR="006E0276" w:rsidRPr="006E0276" w14:paraId="52E4EE13" w14:textId="77777777" w:rsidTr="00304420">
        <w:trPr>
          <w:gridAfter w:val="1"/>
          <w:wAfter w:w="11" w:type="dxa"/>
          <w:trHeight w:val="290"/>
        </w:trPr>
        <w:tc>
          <w:tcPr>
            <w:tcW w:w="1276" w:type="dxa"/>
            <w:vMerge/>
            <w:tcBorders>
              <w:top w:val="nil"/>
              <w:left w:val="single" w:sz="4" w:space="0" w:color="auto"/>
              <w:bottom w:val="single" w:sz="4" w:space="0" w:color="auto"/>
              <w:right w:val="single" w:sz="4" w:space="0" w:color="auto"/>
            </w:tcBorders>
            <w:vAlign w:val="center"/>
            <w:hideMark/>
          </w:tcPr>
          <w:p w14:paraId="03B736DD" w14:textId="77777777" w:rsidR="006E0276" w:rsidRPr="006E0276" w:rsidRDefault="006E0276" w:rsidP="000F221E">
            <w:pPr>
              <w:rPr>
                <w:rFonts w:ascii="Cambria" w:hAnsi="Cambria" w:cs="Calibri"/>
                <w:b/>
                <w:bCs/>
                <w:color w:val="000000"/>
                <w:sz w:val="18"/>
                <w:szCs w:val="18"/>
                <w:lang w:val="en-IN" w:eastAsia="en-IN"/>
              </w:rPr>
            </w:pPr>
          </w:p>
        </w:tc>
        <w:tc>
          <w:tcPr>
            <w:tcW w:w="1586" w:type="dxa"/>
            <w:tcBorders>
              <w:top w:val="nil"/>
              <w:left w:val="nil"/>
              <w:bottom w:val="single" w:sz="4" w:space="0" w:color="auto"/>
              <w:right w:val="single" w:sz="4" w:space="0" w:color="auto"/>
            </w:tcBorders>
            <w:vAlign w:val="center"/>
            <w:hideMark/>
          </w:tcPr>
          <w:p w14:paraId="26C0686B" w14:textId="77777777" w:rsidR="006E0276" w:rsidRPr="006E0276" w:rsidRDefault="006E0276" w:rsidP="000F221E">
            <w:pPr>
              <w:rPr>
                <w:rFonts w:ascii="Cambria" w:hAnsi="Cambria" w:cs="Calibri"/>
                <w:color w:val="000000"/>
                <w:sz w:val="18"/>
                <w:szCs w:val="18"/>
                <w:lang w:val="en-IN" w:eastAsia="en-IN"/>
              </w:rPr>
            </w:pPr>
            <w:r w:rsidRPr="006E0276">
              <w:rPr>
                <w:rFonts w:ascii="Cambria" w:hAnsi="Cambria" w:cs="Calibri"/>
                <w:color w:val="000000"/>
                <w:sz w:val="18"/>
                <w:szCs w:val="18"/>
                <w:lang w:val="en-IN" w:eastAsia="en-IN"/>
              </w:rPr>
              <w:t>OT-GIS Communication&amp; Other</w:t>
            </w:r>
          </w:p>
        </w:tc>
        <w:tc>
          <w:tcPr>
            <w:tcW w:w="1124" w:type="dxa"/>
            <w:gridSpan w:val="2"/>
            <w:tcBorders>
              <w:top w:val="nil"/>
              <w:left w:val="nil"/>
              <w:bottom w:val="single" w:sz="4" w:space="0" w:color="auto"/>
              <w:right w:val="single" w:sz="4" w:space="0" w:color="auto"/>
            </w:tcBorders>
            <w:vAlign w:val="center"/>
            <w:hideMark/>
          </w:tcPr>
          <w:p w14:paraId="3E72AA30"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7.12</w:t>
            </w:r>
          </w:p>
        </w:tc>
        <w:tc>
          <w:tcPr>
            <w:tcW w:w="942" w:type="dxa"/>
            <w:gridSpan w:val="2"/>
            <w:tcBorders>
              <w:top w:val="nil"/>
              <w:left w:val="nil"/>
              <w:bottom w:val="single" w:sz="4" w:space="0" w:color="auto"/>
              <w:right w:val="single" w:sz="4" w:space="0" w:color="auto"/>
            </w:tcBorders>
            <w:vAlign w:val="center"/>
            <w:hideMark/>
          </w:tcPr>
          <w:p w14:paraId="4FF7BAB2"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0.00</w:t>
            </w:r>
          </w:p>
        </w:tc>
        <w:tc>
          <w:tcPr>
            <w:tcW w:w="1276" w:type="dxa"/>
            <w:gridSpan w:val="2"/>
            <w:tcBorders>
              <w:top w:val="nil"/>
              <w:left w:val="nil"/>
              <w:bottom w:val="single" w:sz="4" w:space="0" w:color="auto"/>
              <w:right w:val="single" w:sz="4" w:space="0" w:color="auto"/>
            </w:tcBorders>
            <w:vAlign w:val="center"/>
            <w:hideMark/>
          </w:tcPr>
          <w:p w14:paraId="6DC20E89"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7.12</w:t>
            </w:r>
          </w:p>
        </w:tc>
        <w:tc>
          <w:tcPr>
            <w:tcW w:w="992" w:type="dxa"/>
            <w:gridSpan w:val="2"/>
            <w:tcBorders>
              <w:top w:val="nil"/>
              <w:left w:val="nil"/>
              <w:bottom w:val="single" w:sz="4" w:space="0" w:color="auto"/>
              <w:right w:val="single" w:sz="4" w:space="0" w:color="auto"/>
            </w:tcBorders>
            <w:vAlign w:val="center"/>
            <w:hideMark/>
          </w:tcPr>
          <w:p w14:paraId="48B48FBC"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0.32</w:t>
            </w:r>
          </w:p>
        </w:tc>
        <w:tc>
          <w:tcPr>
            <w:tcW w:w="992" w:type="dxa"/>
            <w:gridSpan w:val="2"/>
            <w:tcBorders>
              <w:top w:val="nil"/>
              <w:left w:val="nil"/>
              <w:bottom w:val="single" w:sz="4" w:space="0" w:color="auto"/>
              <w:right w:val="single" w:sz="4" w:space="0" w:color="auto"/>
            </w:tcBorders>
            <w:vAlign w:val="center"/>
            <w:hideMark/>
          </w:tcPr>
          <w:p w14:paraId="51FB03C6"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0.32</w:t>
            </w:r>
          </w:p>
        </w:tc>
        <w:tc>
          <w:tcPr>
            <w:tcW w:w="993" w:type="dxa"/>
            <w:gridSpan w:val="2"/>
            <w:tcBorders>
              <w:top w:val="nil"/>
              <w:left w:val="nil"/>
              <w:bottom w:val="single" w:sz="4" w:space="0" w:color="auto"/>
              <w:right w:val="single" w:sz="4" w:space="0" w:color="auto"/>
            </w:tcBorders>
            <w:vAlign w:val="center"/>
            <w:hideMark/>
          </w:tcPr>
          <w:p w14:paraId="25CCB306"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6.80</w:t>
            </w:r>
          </w:p>
        </w:tc>
        <w:tc>
          <w:tcPr>
            <w:tcW w:w="845" w:type="dxa"/>
            <w:gridSpan w:val="2"/>
            <w:tcBorders>
              <w:top w:val="nil"/>
              <w:left w:val="nil"/>
              <w:bottom w:val="single" w:sz="4" w:space="0" w:color="auto"/>
              <w:right w:val="single" w:sz="4" w:space="0" w:color="auto"/>
            </w:tcBorders>
            <w:vAlign w:val="center"/>
            <w:hideMark/>
          </w:tcPr>
          <w:p w14:paraId="38FCBCD4" w14:textId="77777777" w:rsidR="006E0276" w:rsidRPr="006E0276" w:rsidRDefault="006E0276" w:rsidP="000F221E">
            <w:pPr>
              <w:jc w:val="center"/>
              <w:rPr>
                <w:rFonts w:ascii="Cambria" w:hAnsi="Cambria" w:cs="Calibri"/>
                <w:color w:val="000000"/>
                <w:sz w:val="18"/>
                <w:szCs w:val="18"/>
                <w:lang w:val="en-IN" w:eastAsia="en-IN"/>
              </w:rPr>
            </w:pPr>
            <w:r w:rsidRPr="006E0276">
              <w:rPr>
                <w:rFonts w:ascii="Cambria" w:hAnsi="Cambria" w:cs="Calibri"/>
                <w:color w:val="000000"/>
                <w:sz w:val="18"/>
                <w:szCs w:val="18"/>
              </w:rPr>
              <w:t>0.00</w:t>
            </w:r>
          </w:p>
        </w:tc>
      </w:tr>
      <w:tr w:rsidR="006E0276" w:rsidRPr="006E0276" w14:paraId="3732333B" w14:textId="77777777" w:rsidTr="00304420">
        <w:trPr>
          <w:gridAfter w:val="1"/>
          <w:wAfter w:w="11" w:type="dxa"/>
          <w:trHeight w:val="290"/>
        </w:trPr>
        <w:tc>
          <w:tcPr>
            <w:tcW w:w="1276" w:type="dxa"/>
            <w:vMerge/>
            <w:tcBorders>
              <w:top w:val="nil"/>
              <w:left w:val="single" w:sz="4" w:space="0" w:color="auto"/>
              <w:bottom w:val="single" w:sz="4" w:space="0" w:color="auto"/>
              <w:right w:val="single" w:sz="4" w:space="0" w:color="auto"/>
            </w:tcBorders>
            <w:vAlign w:val="center"/>
            <w:hideMark/>
          </w:tcPr>
          <w:p w14:paraId="338E3FAC" w14:textId="77777777" w:rsidR="006E0276" w:rsidRPr="006E0276" w:rsidRDefault="006E0276" w:rsidP="000F221E">
            <w:pPr>
              <w:rPr>
                <w:rFonts w:ascii="Cambria" w:hAnsi="Cambria" w:cs="Calibri"/>
                <w:b/>
                <w:bCs/>
                <w:color w:val="000000"/>
                <w:sz w:val="18"/>
                <w:szCs w:val="18"/>
                <w:lang w:val="en-IN" w:eastAsia="en-IN"/>
              </w:rPr>
            </w:pPr>
          </w:p>
        </w:tc>
        <w:tc>
          <w:tcPr>
            <w:tcW w:w="1586" w:type="dxa"/>
            <w:tcBorders>
              <w:top w:val="nil"/>
              <w:left w:val="nil"/>
              <w:bottom w:val="single" w:sz="4" w:space="0" w:color="auto"/>
              <w:right w:val="single" w:sz="4" w:space="0" w:color="auto"/>
            </w:tcBorders>
            <w:vAlign w:val="center"/>
            <w:hideMark/>
          </w:tcPr>
          <w:p w14:paraId="732D6B1E"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TOTAL</w:t>
            </w:r>
          </w:p>
        </w:tc>
        <w:tc>
          <w:tcPr>
            <w:tcW w:w="1124" w:type="dxa"/>
            <w:gridSpan w:val="2"/>
            <w:tcBorders>
              <w:top w:val="nil"/>
              <w:left w:val="nil"/>
              <w:bottom w:val="single" w:sz="4" w:space="0" w:color="auto"/>
              <w:right w:val="single" w:sz="4" w:space="0" w:color="auto"/>
            </w:tcBorders>
            <w:vAlign w:val="center"/>
            <w:hideMark/>
          </w:tcPr>
          <w:p w14:paraId="30736299"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25.70</w:t>
            </w:r>
          </w:p>
        </w:tc>
        <w:tc>
          <w:tcPr>
            <w:tcW w:w="942" w:type="dxa"/>
            <w:gridSpan w:val="2"/>
            <w:tcBorders>
              <w:top w:val="nil"/>
              <w:left w:val="nil"/>
              <w:bottom w:val="single" w:sz="4" w:space="0" w:color="auto"/>
              <w:right w:val="single" w:sz="4" w:space="0" w:color="auto"/>
            </w:tcBorders>
            <w:vAlign w:val="center"/>
            <w:hideMark/>
          </w:tcPr>
          <w:p w14:paraId="559A556E" w14:textId="2DF4003C"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0.71</w:t>
            </w:r>
          </w:p>
        </w:tc>
        <w:tc>
          <w:tcPr>
            <w:tcW w:w="1276" w:type="dxa"/>
            <w:gridSpan w:val="2"/>
            <w:tcBorders>
              <w:top w:val="nil"/>
              <w:left w:val="nil"/>
              <w:bottom w:val="single" w:sz="4" w:space="0" w:color="auto"/>
              <w:right w:val="single" w:sz="4" w:space="0" w:color="auto"/>
            </w:tcBorders>
            <w:vAlign w:val="center"/>
            <w:hideMark/>
          </w:tcPr>
          <w:p w14:paraId="1CCC529A"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26.41</w:t>
            </w:r>
          </w:p>
        </w:tc>
        <w:tc>
          <w:tcPr>
            <w:tcW w:w="992" w:type="dxa"/>
            <w:gridSpan w:val="2"/>
            <w:tcBorders>
              <w:top w:val="nil"/>
              <w:left w:val="nil"/>
              <w:bottom w:val="single" w:sz="4" w:space="0" w:color="auto"/>
              <w:right w:val="single" w:sz="4" w:space="0" w:color="auto"/>
            </w:tcBorders>
            <w:vAlign w:val="center"/>
            <w:hideMark/>
          </w:tcPr>
          <w:p w14:paraId="6589982A"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1.11</w:t>
            </w:r>
          </w:p>
        </w:tc>
        <w:tc>
          <w:tcPr>
            <w:tcW w:w="992" w:type="dxa"/>
            <w:gridSpan w:val="2"/>
            <w:tcBorders>
              <w:top w:val="nil"/>
              <w:left w:val="nil"/>
              <w:bottom w:val="single" w:sz="4" w:space="0" w:color="auto"/>
              <w:right w:val="single" w:sz="4" w:space="0" w:color="auto"/>
            </w:tcBorders>
            <w:vAlign w:val="center"/>
            <w:hideMark/>
          </w:tcPr>
          <w:p w14:paraId="6A9F6244"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0.32</w:t>
            </w:r>
          </w:p>
        </w:tc>
        <w:tc>
          <w:tcPr>
            <w:tcW w:w="993" w:type="dxa"/>
            <w:gridSpan w:val="2"/>
            <w:tcBorders>
              <w:top w:val="nil"/>
              <w:left w:val="nil"/>
              <w:bottom w:val="single" w:sz="4" w:space="0" w:color="auto"/>
              <w:right w:val="single" w:sz="4" w:space="0" w:color="auto"/>
            </w:tcBorders>
            <w:vAlign w:val="center"/>
            <w:hideMark/>
          </w:tcPr>
          <w:p w14:paraId="7F89B0D4"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25.30</w:t>
            </w:r>
          </w:p>
        </w:tc>
        <w:tc>
          <w:tcPr>
            <w:tcW w:w="845" w:type="dxa"/>
            <w:gridSpan w:val="2"/>
            <w:tcBorders>
              <w:top w:val="nil"/>
              <w:left w:val="nil"/>
              <w:bottom w:val="single" w:sz="4" w:space="0" w:color="auto"/>
              <w:right w:val="single" w:sz="4" w:space="0" w:color="auto"/>
            </w:tcBorders>
            <w:vAlign w:val="center"/>
            <w:hideMark/>
          </w:tcPr>
          <w:p w14:paraId="6051A4F5"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0.79</w:t>
            </w:r>
          </w:p>
        </w:tc>
      </w:tr>
      <w:tr w:rsidR="006E0276" w:rsidRPr="006E0276" w14:paraId="09E25751" w14:textId="77777777" w:rsidTr="00304420">
        <w:trPr>
          <w:trHeight w:val="290"/>
        </w:trPr>
        <w:tc>
          <w:tcPr>
            <w:tcW w:w="2873" w:type="dxa"/>
            <w:gridSpan w:val="3"/>
            <w:tcBorders>
              <w:top w:val="single" w:sz="4" w:space="0" w:color="auto"/>
              <w:left w:val="single" w:sz="4" w:space="0" w:color="auto"/>
              <w:bottom w:val="single" w:sz="4" w:space="0" w:color="auto"/>
              <w:right w:val="single" w:sz="4" w:space="0" w:color="auto"/>
            </w:tcBorders>
            <w:vAlign w:val="center"/>
            <w:hideMark/>
          </w:tcPr>
          <w:p w14:paraId="1BE42B50"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lang w:val="en-IN" w:eastAsia="en-IN"/>
              </w:rPr>
              <w:t>GRAND TOTAL</w:t>
            </w:r>
          </w:p>
        </w:tc>
        <w:tc>
          <w:tcPr>
            <w:tcW w:w="1124" w:type="dxa"/>
            <w:gridSpan w:val="2"/>
            <w:tcBorders>
              <w:top w:val="nil"/>
              <w:left w:val="nil"/>
              <w:bottom w:val="single" w:sz="4" w:space="0" w:color="auto"/>
              <w:right w:val="single" w:sz="4" w:space="0" w:color="auto"/>
            </w:tcBorders>
            <w:vAlign w:val="center"/>
            <w:hideMark/>
          </w:tcPr>
          <w:p w14:paraId="1B5E5D7A"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375.39</w:t>
            </w:r>
          </w:p>
        </w:tc>
        <w:tc>
          <w:tcPr>
            <w:tcW w:w="942" w:type="dxa"/>
            <w:gridSpan w:val="2"/>
            <w:tcBorders>
              <w:top w:val="nil"/>
              <w:left w:val="nil"/>
              <w:bottom w:val="single" w:sz="4" w:space="0" w:color="auto"/>
              <w:right w:val="single" w:sz="4" w:space="0" w:color="auto"/>
            </w:tcBorders>
            <w:vAlign w:val="center"/>
            <w:hideMark/>
          </w:tcPr>
          <w:p w14:paraId="0E34DAC1" w14:textId="64911C35"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0.71</w:t>
            </w:r>
          </w:p>
        </w:tc>
        <w:tc>
          <w:tcPr>
            <w:tcW w:w="1276" w:type="dxa"/>
            <w:gridSpan w:val="2"/>
            <w:tcBorders>
              <w:top w:val="nil"/>
              <w:left w:val="nil"/>
              <w:bottom w:val="single" w:sz="4" w:space="0" w:color="auto"/>
              <w:right w:val="single" w:sz="4" w:space="0" w:color="auto"/>
            </w:tcBorders>
            <w:vAlign w:val="center"/>
            <w:hideMark/>
          </w:tcPr>
          <w:p w14:paraId="1CB8D1E4"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376.10</w:t>
            </w:r>
          </w:p>
        </w:tc>
        <w:tc>
          <w:tcPr>
            <w:tcW w:w="992" w:type="dxa"/>
            <w:gridSpan w:val="2"/>
            <w:tcBorders>
              <w:top w:val="nil"/>
              <w:left w:val="nil"/>
              <w:bottom w:val="single" w:sz="4" w:space="0" w:color="auto"/>
              <w:right w:val="single" w:sz="4" w:space="0" w:color="auto"/>
            </w:tcBorders>
            <w:vAlign w:val="center"/>
            <w:hideMark/>
          </w:tcPr>
          <w:p w14:paraId="7958DF02"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85.37</w:t>
            </w:r>
          </w:p>
        </w:tc>
        <w:tc>
          <w:tcPr>
            <w:tcW w:w="992" w:type="dxa"/>
            <w:gridSpan w:val="2"/>
            <w:tcBorders>
              <w:top w:val="nil"/>
              <w:left w:val="nil"/>
              <w:bottom w:val="single" w:sz="4" w:space="0" w:color="auto"/>
              <w:right w:val="single" w:sz="4" w:space="0" w:color="auto"/>
            </w:tcBorders>
            <w:vAlign w:val="center"/>
            <w:hideMark/>
          </w:tcPr>
          <w:p w14:paraId="61703EFE"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44.51</w:t>
            </w:r>
          </w:p>
        </w:tc>
        <w:tc>
          <w:tcPr>
            <w:tcW w:w="993" w:type="dxa"/>
            <w:gridSpan w:val="2"/>
            <w:tcBorders>
              <w:top w:val="nil"/>
              <w:left w:val="nil"/>
              <w:bottom w:val="single" w:sz="4" w:space="0" w:color="auto"/>
              <w:right w:val="single" w:sz="4" w:space="0" w:color="auto"/>
            </w:tcBorders>
            <w:vAlign w:val="center"/>
            <w:hideMark/>
          </w:tcPr>
          <w:p w14:paraId="2A2D8C70"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290.73</w:t>
            </w:r>
          </w:p>
        </w:tc>
        <w:tc>
          <w:tcPr>
            <w:tcW w:w="845" w:type="dxa"/>
            <w:gridSpan w:val="2"/>
            <w:tcBorders>
              <w:top w:val="nil"/>
              <w:left w:val="nil"/>
              <w:bottom w:val="single" w:sz="4" w:space="0" w:color="auto"/>
              <w:right w:val="single" w:sz="4" w:space="0" w:color="auto"/>
            </w:tcBorders>
            <w:vAlign w:val="center"/>
            <w:hideMark/>
          </w:tcPr>
          <w:p w14:paraId="30716953" w14:textId="77777777" w:rsidR="006E0276" w:rsidRPr="006E0276" w:rsidRDefault="006E0276" w:rsidP="000F221E">
            <w:pPr>
              <w:jc w:val="center"/>
              <w:rPr>
                <w:rFonts w:ascii="Cambria" w:hAnsi="Cambria" w:cs="Calibri"/>
                <w:b/>
                <w:bCs/>
                <w:color w:val="000000"/>
                <w:sz w:val="18"/>
                <w:szCs w:val="18"/>
                <w:lang w:val="en-IN" w:eastAsia="en-IN"/>
              </w:rPr>
            </w:pPr>
            <w:r w:rsidRPr="006E0276">
              <w:rPr>
                <w:rFonts w:ascii="Cambria" w:hAnsi="Cambria" w:cs="Calibri"/>
                <w:b/>
                <w:bCs/>
                <w:color w:val="000000"/>
                <w:sz w:val="18"/>
                <w:szCs w:val="18"/>
              </w:rPr>
              <w:t>40.86</w:t>
            </w:r>
          </w:p>
        </w:tc>
      </w:tr>
    </w:tbl>
    <w:p w14:paraId="2E0BBFA4" w14:textId="77777777" w:rsidR="00D6736A" w:rsidRDefault="00D6736A" w:rsidP="00B95FED">
      <w:pPr>
        <w:spacing w:line="360" w:lineRule="auto"/>
        <w:ind w:left="-709"/>
        <w:rPr>
          <w:highlight w:val="yellow"/>
        </w:rPr>
      </w:pPr>
    </w:p>
    <w:p w14:paraId="728B8A72" w14:textId="4AC7B49A" w:rsidR="00CB43F5" w:rsidRDefault="00E527E2" w:rsidP="00E527E2">
      <w:pPr>
        <w:spacing w:after="120" w:line="360" w:lineRule="auto"/>
        <w:jc w:val="both"/>
        <w:rPr>
          <w:rFonts w:ascii="Cambria" w:hAnsi="Cambria" w:cs="Arial"/>
        </w:rPr>
      </w:pPr>
      <w:r w:rsidRPr="00A74C22">
        <w:rPr>
          <w:rFonts w:asciiTheme="majorHAnsi" w:hAnsiTheme="majorHAnsi"/>
        </w:rPr>
        <w:t xml:space="preserve">In compliance with the above, </w:t>
      </w:r>
      <w:r>
        <w:rPr>
          <w:rFonts w:asciiTheme="majorHAnsi" w:hAnsiTheme="majorHAnsi"/>
        </w:rPr>
        <w:t xml:space="preserve">and </w:t>
      </w:r>
      <w:r w:rsidRPr="002A5467">
        <w:rPr>
          <w:rFonts w:ascii="Cambria" w:hAnsi="Cambria" w:cs="Arial"/>
          <w:lang w:val="en-IN" w:eastAsia="en-IN" w:bidi="en-US"/>
        </w:rPr>
        <w:t>pursuant to the direction of the Hon</w:t>
      </w:r>
      <w:r>
        <w:rPr>
          <w:rFonts w:ascii="Cambria" w:hAnsi="Cambria" w:cs="Arial"/>
          <w:lang w:val="en-IN" w:eastAsia="en-IN" w:bidi="en-US"/>
        </w:rPr>
        <w:t>’</w:t>
      </w:r>
      <w:r w:rsidRPr="002A5467">
        <w:rPr>
          <w:rFonts w:ascii="Cambria" w:hAnsi="Cambria" w:cs="Arial"/>
          <w:lang w:val="en-IN" w:eastAsia="en-IN" w:bidi="en-US"/>
        </w:rPr>
        <w:t xml:space="preserve">ble Commission vide </w:t>
      </w:r>
      <w:proofErr w:type="spellStart"/>
      <w:r w:rsidRPr="002A5467">
        <w:rPr>
          <w:rFonts w:ascii="Cambria" w:hAnsi="Cambria" w:cs="Arial"/>
          <w:lang w:val="en-IN" w:eastAsia="en-IN" w:bidi="en-US"/>
        </w:rPr>
        <w:t>suo</w:t>
      </w:r>
      <w:proofErr w:type="spellEnd"/>
      <w:r w:rsidRPr="002A5467">
        <w:rPr>
          <w:rFonts w:ascii="Cambria" w:hAnsi="Cambria" w:cs="Arial"/>
          <w:lang w:val="en-IN" w:eastAsia="en-IN" w:bidi="en-US"/>
        </w:rPr>
        <w:t xml:space="preserve"> </w:t>
      </w:r>
      <w:proofErr w:type="spellStart"/>
      <w:r w:rsidRPr="002A5467">
        <w:rPr>
          <w:rFonts w:ascii="Cambria" w:hAnsi="Cambria" w:cs="Arial"/>
          <w:lang w:val="en-IN" w:eastAsia="en-IN" w:bidi="en-US"/>
        </w:rPr>
        <w:t>motu</w:t>
      </w:r>
      <w:proofErr w:type="spellEnd"/>
      <w:r w:rsidRPr="002A5467">
        <w:rPr>
          <w:rFonts w:ascii="Cambria" w:hAnsi="Cambria" w:cs="Arial"/>
          <w:lang w:val="en-IN" w:eastAsia="en-IN" w:bidi="en-US"/>
        </w:rPr>
        <w:t xml:space="preserve"> proceeding in case no 82/2020 dated 28.12.2020, para 39, </w:t>
      </w:r>
      <w:r w:rsidRPr="00A74C22">
        <w:rPr>
          <w:rFonts w:asciiTheme="majorHAnsi" w:hAnsiTheme="majorHAnsi"/>
        </w:rPr>
        <w:t>the Licensee has</w:t>
      </w:r>
      <w:r>
        <w:rPr>
          <w:rFonts w:asciiTheme="majorHAnsi" w:hAnsiTheme="majorHAnsi"/>
        </w:rPr>
        <w:t xml:space="preserve"> further filed its CAPEX plan for </w:t>
      </w:r>
      <w:r w:rsidRPr="001D04BE">
        <w:rPr>
          <w:rFonts w:ascii="Cambria" w:hAnsi="Cambria" w:cs="Arial"/>
        </w:rPr>
        <w:t xml:space="preserve">FY 26-27 amounting to Rs. 525.30 </w:t>
      </w:r>
      <w:r>
        <w:rPr>
          <w:rFonts w:ascii="Cambria" w:hAnsi="Cambria" w:cs="Arial"/>
        </w:rPr>
        <w:t>C</w:t>
      </w:r>
      <w:r w:rsidRPr="001D04BE">
        <w:rPr>
          <w:rFonts w:ascii="Cambria" w:hAnsi="Cambria" w:cs="Arial"/>
        </w:rPr>
        <w:t xml:space="preserve">rore. </w:t>
      </w:r>
      <w:r w:rsidR="00CB43F5">
        <w:rPr>
          <w:rFonts w:asciiTheme="majorHAnsi" w:hAnsiTheme="majorHAnsi" w:cs="Arial"/>
          <w:lang w:eastAsia="en-IN" w:bidi="en-US"/>
        </w:rPr>
        <w:t>T</w:t>
      </w:r>
      <w:r w:rsidR="00CB43F5" w:rsidRPr="00FD2252">
        <w:rPr>
          <w:rFonts w:asciiTheme="majorHAnsi" w:hAnsiTheme="majorHAnsi" w:cs="Arial"/>
          <w:lang w:eastAsia="en-IN" w:bidi="en-US"/>
        </w:rPr>
        <w:t>he details of proposed investment under different categories and sub-categories for FY 26-27, as summarized below:</w:t>
      </w:r>
    </w:p>
    <w:tbl>
      <w:tblPr>
        <w:tblW w:w="10348" w:type="dxa"/>
        <w:tblInd w:w="-714" w:type="dxa"/>
        <w:tblCellMar>
          <w:top w:w="28" w:type="dxa"/>
          <w:left w:w="28" w:type="dxa"/>
          <w:bottom w:w="28" w:type="dxa"/>
          <w:right w:w="28" w:type="dxa"/>
        </w:tblCellMar>
        <w:tblLook w:val="04A0" w:firstRow="1" w:lastRow="0" w:firstColumn="1" w:lastColumn="0" w:noHBand="0" w:noVBand="1"/>
      </w:tblPr>
      <w:tblGrid>
        <w:gridCol w:w="433"/>
        <w:gridCol w:w="1785"/>
        <w:gridCol w:w="2598"/>
        <w:gridCol w:w="3491"/>
        <w:gridCol w:w="2041"/>
      </w:tblGrid>
      <w:tr w:rsidR="00467CA5" w:rsidRPr="00467CA5" w14:paraId="7DF7BD4E" w14:textId="77777777" w:rsidTr="000F221E">
        <w:trPr>
          <w:trHeight w:val="864"/>
          <w:tblHeader/>
        </w:trPr>
        <w:tc>
          <w:tcPr>
            <w:tcW w:w="0" w:type="auto"/>
            <w:tcBorders>
              <w:top w:val="single" w:sz="4" w:space="0" w:color="auto"/>
              <w:left w:val="single" w:sz="4" w:space="0" w:color="auto"/>
              <w:bottom w:val="single" w:sz="4" w:space="0" w:color="auto"/>
              <w:right w:val="single" w:sz="4" w:space="0" w:color="auto"/>
            </w:tcBorders>
            <w:vAlign w:val="center"/>
            <w:hideMark/>
          </w:tcPr>
          <w:p w14:paraId="29367BE6" w14:textId="77777777" w:rsidR="00467CA5" w:rsidRPr="00467CA5" w:rsidRDefault="00467CA5" w:rsidP="000F221E">
            <w:pPr>
              <w:jc w:val="center"/>
              <w:rPr>
                <w:rFonts w:asciiTheme="majorHAnsi" w:hAnsiTheme="majorHAnsi" w:cstheme="minorHAnsi"/>
                <w:b/>
                <w:bCs/>
                <w:color w:val="0D0D0D" w:themeColor="text1" w:themeTint="F2"/>
                <w:sz w:val="22"/>
                <w:szCs w:val="22"/>
                <w:lang w:bidi="hi-IN"/>
              </w:rPr>
            </w:pPr>
            <w:r w:rsidRPr="00467CA5">
              <w:rPr>
                <w:rFonts w:asciiTheme="majorHAnsi" w:hAnsiTheme="majorHAnsi" w:cstheme="minorHAnsi"/>
                <w:b/>
                <w:bCs/>
                <w:color w:val="0D0D0D" w:themeColor="text1" w:themeTint="F2"/>
                <w:sz w:val="22"/>
                <w:szCs w:val="22"/>
                <w:lang w:bidi="hi-IN"/>
              </w:rPr>
              <w:t>Sl. No.</w:t>
            </w:r>
          </w:p>
        </w:tc>
        <w:tc>
          <w:tcPr>
            <w:tcW w:w="0" w:type="auto"/>
            <w:tcBorders>
              <w:top w:val="single" w:sz="4" w:space="0" w:color="auto"/>
              <w:left w:val="nil"/>
              <w:bottom w:val="single" w:sz="4" w:space="0" w:color="auto"/>
              <w:right w:val="single" w:sz="4" w:space="0" w:color="auto"/>
            </w:tcBorders>
            <w:vAlign w:val="center"/>
            <w:hideMark/>
          </w:tcPr>
          <w:p w14:paraId="2A3BF202" w14:textId="77777777" w:rsidR="00467CA5" w:rsidRPr="00467CA5" w:rsidRDefault="00467CA5" w:rsidP="000F221E">
            <w:pPr>
              <w:jc w:val="center"/>
              <w:rPr>
                <w:rFonts w:asciiTheme="majorHAnsi" w:hAnsiTheme="majorHAnsi" w:cstheme="minorHAnsi"/>
                <w:b/>
                <w:bCs/>
                <w:color w:val="0D0D0D" w:themeColor="text1" w:themeTint="F2"/>
                <w:sz w:val="22"/>
                <w:szCs w:val="22"/>
                <w:lang w:bidi="hi-IN"/>
              </w:rPr>
            </w:pPr>
            <w:r w:rsidRPr="00467CA5">
              <w:rPr>
                <w:rFonts w:asciiTheme="majorHAnsi" w:hAnsiTheme="majorHAnsi" w:cstheme="minorHAnsi"/>
                <w:b/>
                <w:bCs/>
                <w:color w:val="0D0D0D" w:themeColor="text1" w:themeTint="F2"/>
                <w:sz w:val="22"/>
                <w:szCs w:val="22"/>
                <w:lang w:bidi="hi-IN"/>
              </w:rPr>
              <w:t>Category</w:t>
            </w:r>
          </w:p>
        </w:tc>
        <w:tc>
          <w:tcPr>
            <w:tcW w:w="0" w:type="auto"/>
            <w:tcBorders>
              <w:top w:val="single" w:sz="4" w:space="0" w:color="auto"/>
              <w:left w:val="nil"/>
              <w:bottom w:val="single" w:sz="4" w:space="0" w:color="auto"/>
              <w:right w:val="single" w:sz="4" w:space="0" w:color="auto"/>
            </w:tcBorders>
            <w:vAlign w:val="center"/>
            <w:hideMark/>
          </w:tcPr>
          <w:p w14:paraId="58C00D31" w14:textId="77777777" w:rsidR="00467CA5" w:rsidRPr="00467CA5" w:rsidRDefault="00467CA5" w:rsidP="000F221E">
            <w:pPr>
              <w:jc w:val="center"/>
              <w:rPr>
                <w:rFonts w:asciiTheme="majorHAnsi" w:hAnsiTheme="majorHAnsi" w:cstheme="minorHAnsi"/>
                <w:b/>
                <w:bCs/>
                <w:color w:val="0D0D0D" w:themeColor="text1" w:themeTint="F2"/>
                <w:sz w:val="22"/>
                <w:szCs w:val="22"/>
                <w:lang w:bidi="hi-IN"/>
              </w:rPr>
            </w:pPr>
            <w:r w:rsidRPr="00467CA5">
              <w:rPr>
                <w:rFonts w:asciiTheme="majorHAnsi" w:hAnsiTheme="majorHAnsi" w:cstheme="minorHAnsi"/>
                <w:b/>
                <w:bCs/>
                <w:color w:val="0D0D0D" w:themeColor="text1" w:themeTint="F2"/>
                <w:sz w:val="22"/>
                <w:szCs w:val="22"/>
                <w:lang w:bidi="hi-IN"/>
              </w:rPr>
              <w:t>Sub-Category</w:t>
            </w:r>
          </w:p>
        </w:tc>
        <w:tc>
          <w:tcPr>
            <w:tcW w:w="0" w:type="auto"/>
            <w:tcBorders>
              <w:top w:val="single" w:sz="4" w:space="0" w:color="auto"/>
              <w:left w:val="nil"/>
              <w:bottom w:val="single" w:sz="4" w:space="0" w:color="auto"/>
              <w:right w:val="single" w:sz="4" w:space="0" w:color="auto"/>
            </w:tcBorders>
            <w:vAlign w:val="center"/>
            <w:hideMark/>
          </w:tcPr>
          <w:p w14:paraId="5AC7022A" w14:textId="77777777" w:rsidR="00467CA5" w:rsidRPr="00467CA5" w:rsidRDefault="00467CA5" w:rsidP="000F221E">
            <w:pPr>
              <w:jc w:val="center"/>
              <w:rPr>
                <w:rFonts w:asciiTheme="majorHAnsi" w:hAnsiTheme="majorHAnsi" w:cstheme="minorHAnsi"/>
                <w:b/>
                <w:bCs/>
                <w:color w:val="0D0D0D" w:themeColor="text1" w:themeTint="F2"/>
                <w:sz w:val="22"/>
                <w:szCs w:val="22"/>
                <w:lang w:bidi="hi-IN"/>
              </w:rPr>
            </w:pPr>
            <w:r w:rsidRPr="00467CA5">
              <w:rPr>
                <w:rFonts w:asciiTheme="majorHAnsi" w:hAnsiTheme="majorHAnsi" w:cstheme="minorHAnsi"/>
                <w:b/>
                <w:bCs/>
                <w:color w:val="0D0D0D" w:themeColor="text1" w:themeTint="F2"/>
                <w:sz w:val="22"/>
                <w:szCs w:val="22"/>
                <w:lang w:bidi="hi-IN"/>
              </w:rPr>
              <w:t>Scheme / Activity Description</w:t>
            </w:r>
          </w:p>
        </w:tc>
        <w:tc>
          <w:tcPr>
            <w:tcW w:w="2041" w:type="dxa"/>
            <w:tcBorders>
              <w:top w:val="single" w:sz="4" w:space="0" w:color="auto"/>
              <w:left w:val="nil"/>
              <w:bottom w:val="single" w:sz="4" w:space="0" w:color="auto"/>
              <w:right w:val="single" w:sz="4" w:space="0" w:color="auto"/>
            </w:tcBorders>
            <w:vAlign w:val="center"/>
            <w:hideMark/>
          </w:tcPr>
          <w:p w14:paraId="1FAAFEA5" w14:textId="77777777" w:rsidR="00467CA5" w:rsidRPr="00467CA5" w:rsidRDefault="00467CA5" w:rsidP="000F221E">
            <w:pPr>
              <w:jc w:val="center"/>
              <w:rPr>
                <w:rFonts w:asciiTheme="majorHAnsi" w:hAnsiTheme="majorHAnsi" w:cstheme="minorHAnsi"/>
                <w:b/>
                <w:bCs/>
                <w:color w:val="0D0D0D" w:themeColor="text1" w:themeTint="F2"/>
                <w:sz w:val="22"/>
                <w:szCs w:val="22"/>
                <w:lang w:bidi="hi-IN"/>
              </w:rPr>
            </w:pPr>
            <w:r w:rsidRPr="00467CA5">
              <w:rPr>
                <w:rFonts w:asciiTheme="majorHAnsi" w:hAnsiTheme="majorHAnsi" w:cstheme="minorHAnsi"/>
                <w:b/>
                <w:bCs/>
                <w:color w:val="0D0D0D" w:themeColor="text1" w:themeTint="F2"/>
                <w:sz w:val="22"/>
                <w:szCs w:val="22"/>
                <w:lang w:bidi="hi-IN"/>
              </w:rPr>
              <w:t>CAPEX Proposed in FY 2026-27</w:t>
            </w:r>
            <w:r w:rsidRPr="00467CA5">
              <w:rPr>
                <w:rFonts w:asciiTheme="majorHAnsi" w:hAnsiTheme="majorHAnsi" w:cstheme="minorHAnsi"/>
                <w:b/>
                <w:bCs/>
                <w:color w:val="0D0D0D" w:themeColor="text1" w:themeTint="F2"/>
                <w:sz w:val="22"/>
                <w:szCs w:val="22"/>
                <w:lang w:bidi="hi-IN"/>
              </w:rPr>
              <w:br/>
              <w:t>(In Rs. Cr.)</w:t>
            </w:r>
          </w:p>
        </w:tc>
      </w:tr>
      <w:tr w:rsidR="00467CA5" w:rsidRPr="00467CA5" w14:paraId="15E3149B" w14:textId="77777777" w:rsidTr="000F221E">
        <w:trPr>
          <w:trHeight w:val="288"/>
        </w:trPr>
        <w:tc>
          <w:tcPr>
            <w:tcW w:w="0" w:type="auto"/>
            <w:vMerge w:val="restart"/>
            <w:tcBorders>
              <w:top w:val="nil"/>
              <w:left w:val="single" w:sz="4" w:space="0" w:color="auto"/>
              <w:bottom w:val="single" w:sz="4" w:space="0" w:color="000000"/>
              <w:right w:val="single" w:sz="4" w:space="0" w:color="auto"/>
            </w:tcBorders>
            <w:vAlign w:val="center"/>
            <w:hideMark/>
          </w:tcPr>
          <w:p w14:paraId="24265079" w14:textId="77777777" w:rsidR="00467CA5" w:rsidRPr="00467CA5" w:rsidRDefault="00467CA5" w:rsidP="000F221E">
            <w:pPr>
              <w:jc w:val="center"/>
              <w:rPr>
                <w:rFonts w:asciiTheme="majorHAnsi" w:hAnsiTheme="majorHAnsi" w:cstheme="minorHAnsi"/>
                <w:b/>
                <w:bCs/>
                <w:color w:val="000000"/>
                <w:sz w:val="22"/>
                <w:szCs w:val="22"/>
                <w:lang w:bidi="hi-IN"/>
              </w:rPr>
            </w:pPr>
            <w:r w:rsidRPr="00467CA5">
              <w:rPr>
                <w:rFonts w:asciiTheme="majorHAnsi" w:hAnsiTheme="majorHAnsi" w:cstheme="minorHAnsi"/>
                <w:b/>
                <w:bCs/>
                <w:color w:val="000000"/>
                <w:sz w:val="22"/>
                <w:szCs w:val="22"/>
                <w:lang w:bidi="hi-IN"/>
              </w:rPr>
              <w:t>1</w:t>
            </w:r>
          </w:p>
        </w:tc>
        <w:tc>
          <w:tcPr>
            <w:tcW w:w="0" w:type="auto"/>
            <w:vMerge w:val="restart"/>
            <w:tcBorders>
              <w:top w:val="nil"/>
              <w:left w:val="single" w:sz="4" w:space="0" w:color="auto"/>
              <w:bottom w:val="single" w:sz="4" w:space="0" w:color="000000"/>
              <w:right w:val="single" w:sz="4" w:space="0" w:color="auto"/>
            </w:tcBorders>
            <w:vAlign w:val="center"/>
            <w:hideMark/>
          </w:tcPr>
          <w:p w14:paraId="6CEA049A" w14:textId="77777777" w:rsidR="00467CA5" w:rsidRPr="00467CA5" w:rsidRDefault="00467CA5" w:rsidP="000F221E">
            <w:pPr>
              <w:jc w:val="center"/>
              <w:rPr>
                <w:rFonts w:asciiTheme="majorHAnsi" w:hAnsiTheme="majorHAnsi" w:cstheme="minorHAnsi"/>
                <w:b/>
                <w:bCs/>
                <w:color w:val="000000"/>
                <w:sz w:val="22"/>
                <w:szCs w:val="22"/>
                <w:lang w:bidi="hi-IN"/>
              </w:rPr>
            </w:pPr>
            <w:r w:rsidRPr="00467CA5">
              <w:rPr>
                <w:rFonts w:asciiTheme="majorHAnsi" w:hAnsiTheme="majorHAnsi" w:cstheme="minorHAnsi"/>
                <w:b/>
                <w:bCs/>
                <w:color w:val="000000"/>
                <w:sz w:val="22"/>
                <w:szCs w:val="22"/>
                <w:lang w:bidi="hi-IN"/>
              </w:rPr>
              <w:t>Statutory, Safety and Security</w:t>
            </w:r>
          </w:p>
        </w:tc>
        <w:tc>
          <w:tcPr>
            <w:tcW w:w="0" w:type="auto"/>
            <w:vMerge w:val="restart"/>
            <w:tcBorders>
              <w:top w:val="nil"/>
              <w:left w:val="single" w:sz="4" w:space="0" w:color="auto"/>
              <w:bottom w:val="single" w:sz="4" w:space="0" w:color="auto"/>
              <w:right w:val="single" w:sz="4" w:space="0" w:color="auto"/>
            </w:tcBorders>
            <w:vAlign w:val="center"/>
            <w:hideMark/>
          </w:tcPr>
          <w:p w14:paraId="68BF6F32"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Life enhancement of network and maintaining safe horizontal / vertical clearances</w:t>
            </w:r>
          </w:p>
        </w:tc>
        <w:tc>
          <w:tcPr>
            <w:tcW w:w="0" w:type="auto"/>
            <w:tcBorders>
              <w:top w:val="nil"/>
              <w:left w:val="nil"/>
              <w:bottom w:val="single" w:sz="4" w:space="0" w:color="auto"/>
              <w:right w:val="single" w:sz="4" w:space="0" w:color="auto"/>
            </w:tcBorders>
            <w:hideMark/>
          </w:tcPr>
          <w:p w14:paraId="1319B6B2" w14:textId="77777777" w:rsidR="00467CA5" w:rsidRPr="00467CA5" w:rsidRDefault="00467CA5" w:rsidP="000F221E">
            <w:pPr>
              <w:rPr>
                <w:rFonts w:asciiTheme="majorHAnsi" w:hAnsiTheme="majorHAnsi" w:cstheme="minorHAnsi"/>
                <w:sz w:val="22"/>
                <w:szCs w:val="22"/>
                <w:lang w:bidi="hi-IN"/>
              </w:rPr>
            </w:pPr>
            <w:r w:rsidRPr="00467CA5">
              <w:rPr>
                <w:rFonts w:asciiTheme="majorHAnsi" w:hAnsiTheme="majorHAnsi" w:cstheme="minorHAnsi"/>
                <w:sz w:val="22"/>
                <w:szCs w:val="22"/>
                <w:lang w:bidi="hi-IN"/>
              </w:rPr>
              <w:t>Laying of 33 kV Underground Cable at NH / SH Crossings</w:t>
            </w:r>
          </w:p>
        </w:tc>
        <w:tc>
          <w:tcPr>
            <w:tcW w:w="2041" w:type="dxa"/>
            <w:tcBorders>
              <w:top w:val="nil"/>
              <w:left w:val="nil"/>
              <w:bottom w:val="single" w:sz="4" w:space="0" w:color="auto"/>
              <w:right w:val="single" w:sz="4" w:space="0" w:color="auto"/>
            </w:tcBorders>
            <w:vAlign w:val="center"/>
            <w:hideMark/>
          </w:tcPr>
          <w:p w14:paraId="5C8282DC"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2.86</w:t>
            </w:r>
          </w:p>
        </w:tc>
      </w:tr>
      <w:tr w:rsidR="00467CA5" w:rsidRPr="00467CA5" w14:paraId="04701064"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439A3A40"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0EB98F15"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7FB2C655"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hideMark/>
          </w:tcPr>
          <w:p w14:paraId="086FA371" w14:textId="77777777" w:rsidR="00467CA5" w:rsidRPr="00467CA5" w:rsidRDefault="00467CA5" w:rsidP="000F221E">
            <w:pPr>
              <w:rPr>
                <w:rFonts w:asciiTheme="majorHAnsi" w:hAnsiTheme="majorHAnsi" w:cstheme="minorHAnsi"/>
                <w:sz w:val="22"/>
                <w:szCs w:val="22"/>
                <w:lang w:bidi="hi-IN"/>
              </w:rPr>
            </w:pPr>
            <w:r w:rsidRPr="00467CA5">
              <w:rPr>
                <w:rFonts w:asciiTheme="majorHAnsi" w:hAnsiTheme="majorHAnsi" w:cstheme="minorHAnsi"/>
                <w:sz w:val="22"/>
                <w:szCs w:val="22"/>
                <w:lang w:bidi="hi-IN"/>
              </w:rPr>
              <w:t>Installation of 11 kV Overhead Cradle Guard at Road Crossings</w:t>
            </w:r>
          </w:p>
        </w:tc>
        <w:tc>
          <w:tcPr>
            <w:tcW w:w="2041" w:type="dxa"/>
            <w:tcBorders>
              <w:top w:val="nil"/>
              <w:left w:val="nil"/>
              <w:bottom w:val="single" w:sz="4" w:space="0" w:color="auto"/>
              <w:right w:val="single" w:sz="4" w:space="0" w:color="auto"/>
            </w:tcBorders>
            <w:vAlign w:val="center"/>
            <w:hideMark/>
          </w:tcPr>
          <w:p w14:paraId="3DDDE391"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1.97</w:t>
            </w:r>
          </w:p>
        </w:tc>
      </w:tr>
      <w:tr w:rsidR="00467CA5" w:rsidRPr="00467CA5" w14:paraId="0FF8322E"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5A317038"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35AAEE69"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7988F25B"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hideMark/>
          </w:tcPr>
          <w:p w14:paraId="15C68073" w14:textId="77777777" w:rsidR="00467CA5" w:rsidRPr="00467CA5" w:rsidRDefault="00467CA5" w:rsidP="000F221E">
            <w:pPr>
              <w:rPr>
                <w:rFonts w:asciiTheme="majorHAnsi" w:hAnsiTheme="majorHAnsi" w:cstheme="minorHAnsi"/>
                <w:sz w:val="22"/>
                <w:szCs w:val="22"/>
                <w:lang w:bidi="hi-IN"/>
              </w:rPr>
            </w:pPr>
            <w:r w:rsidRPr="00467CA5">
              <w:rPr>
                <w:rFonts w:asciiTheme="majorHAnsi" w:hAnsiTheme="majorHAnsi" w:cstheme="minorHAnsi"/>
                <w:sz w:val="22"/>
                <w:szCs w:val="22"/>
                <w:lang w:bidi="hi-IN"/>
              </w:rPr>
              <w:t>Laying of 33 kV and 11 kV Underground Cables at Railway Crossings</w:t>
            </w:r>
          </w:p>
        </w:tc>
        <w:tc>
          <w:tcPr>
            <w:tcW w:w="2041" w:type="dxa"/>
            <w:tcBorders>
              <w:top w:val="nil"/>
              <w:left w:val="nil"/>
              <w:bottom w:val="single" w:sz="4" w:space="0" w:color="auto"/>
              <w:right w:val="single" w:sz="4" w:space="0" w:color="auto"/>
            </w:tcBorders>
            <w:vAlign w:val="center"/>
            <w:hideMark/>
          </w:tcPr>
          <w:p w14:paraId="7B3A8B20"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2.30</w:t>
            </w:r>
          </w:p>
        </w:tc>
      </w:tr>
      <w:tr w:rsidR="00467CA5" w:rsidRPr="00467CA5" w14:paraId="196A93D7"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3FA9C363"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6EB97B0A"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5CB212CF"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hideMark/>
          </w:tcPr>
          <w:p w14:paraId="368889DC" w14:textId="77777777" w:rsidR="00467CA5" w:rsidRPr="00467CA5" w:rsidRDefault="00467CA5" w:rsidP="000F221E">
            <w:pPr>
              <w:rPr>
                <w:rFonts w:asciiTheme="majorHAnsi" w:hAnsiTheme="majorHAnsi" w:cstheme="minorHAnsi"/>
                <w:sz w:val="22"/>
                <w:szCs w:val="22"/>
                <w:lang w:bidi="hi-IN"/>
              </w:rPr>
            </w:pPr>
            <w:r w:rsidRPr="00467CA5">
              <w:rPr>
                <w:rFonts w:asciiTheme="majorHAnsi" w:hAnsiTheme="majorHAnsi" w:cstheme="minorHAnsi"/>
                <w:sz w:val="22"/>
                <w:szCs w:val="22"/>
                <w:lang w:bidi="hi-IN"/>
              </w:rPr>
              <w:t>Replacement of HT Bare Conductor with Insulated Conductor</w:t>
            </w:r>
          </w:p>
        </w:tc>
        <w:tc>
          <w:tcPr>
            <w:tcW w:w="2041" w:type="dxa"/>
            <w:tcBorders>
              <w:top w:val="nil"/>
              <w:left w:val="nil"/>
              <w:bottom w:val="single" w:sz="4" w:space="0" w:color="auto"/>
              <w:right w:val="single" w:sz="4" w:space="0" w:color="auto"/>
            </w:tcBorders>
            <w:vAlign w:val="center"/>
            <w:hideMark/>
          </w:tcPr>
          <w:p w14:paraId="2F1D7DA9"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3.12</w:t>
            </w:r>
          </w:p>
        </w:tc>
      </w:tr>
      <w:tr w:rsidR="00467CA5" w:rsidRPr="00467CA5" w14:paraId="3BE06F50"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28B6519C"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7565917B"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548B0448"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hideMark/>
          </w:tcPr>
          <w:p w14:paraId="74302DDF" w14:textId="77777777" w:rsidR="00467CA5" w:rsidRPr="00467CA5" w:rsidRDefault="00467CA5" w:rsidP="000F221E">
            <w:pPr>
              <w:rPr>
                <w:rFonts w:asciiTheme="majorHAnsi" w:hAnsiTheme="majorHAnsi" w:cstheme="minorHAnsi"/>
                <w:sz w:val="22"/>
                <w:szCs w:val="22"/>
                <w:lang w:bidi="hi-IN"/>
              </w:rPr>
            </w:pPr>
            <w:r w:rsidRPr="00467CA5">
              <w:rPr>
                <w:rFonts w:asciiTheme="majorHAnsi" w:hAnsiTheme="majorHAnsi" w:cstheme="minorHAnsi"/>
                <w:sz w:val="22"/>
                <w:szCs w:val="22"/>
                <w:lang w:bidi="hi-IN"/>
              </w:rPr>
              <w:t>Intermediate Pole to increase height of 33 kV &amp; 11 kV Network</w:t>
            </w:r>
          </w:p>
        </w:tc>
        <w:tc>
          <w:tcPr>
            <w:tcW w:w="2041" w:type="dxa"/>
            <w:tcBorders>
              <w:top w:val="nil"/>
              <w:left w:val="nil"/>
              <w:bottom w:val="single" w:sz="4" w:space="0" w:color="auto"/>
              <w:right w:val="single" w:sz="4" w:space="0" w:color="auto"/>
            </w:tcBorders>
            <w:vAlign w:val="center"/>
            <w:hideMark/>
          </w:tcPr>
          <w:p w14:paraId="775CBD8B"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5.00</w:t>
            </w:r>
          </w:p>
        </w:tc>
      </w:tr>
      <w:tr w:rsidR="00467CA5" w:rsidRPr="00467CA5" w14:paraId="55B5E3FA"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2C1B269B"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28A4DA48"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val="restart"/>
            <w:tcBorders>
              <w:top w:val="nil"/>
              <w:left w:val="single" w:sz="4" w:space="0" w:color="auto"/>
              <w:bottom w:val="single" w:sz="4" w:space="0" w:color="auto"/>
              <w:right w:val="single" w:sz="4" w:space="0" w:color="auto"/>
            </w:tcBorders>
            <w:vAlign w:val="center"/>
            <w:hideMark/>
          </w:tcPr>
          <w:p w14:paraId="5756CB0E"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Provision for Testing and Safety Equipment for workforce</w:t>
            </w:r>
          </w:p>
        </w:tc>
        <w:tc>
          <w:tcPr>
            <w:tcW w:w="0" w:type="auto"/>
            <w:tcBorders>
              <w:top w:val="nil"/>
              <w:left w:val="nil"/>
              <w:bottom w:val="single" w:sz="4" w:space="0" w:color="auto"/>
              <w:right w:val="single" w:sz="4" w:space="0" w:color="auto"/>
            </w:tcBorders>
            <w:vAlign w:val="center"/>
            <w:hideMark/>
          </w:tcPr>
          <w:p w14:paraId="37B8BC31" w14:textId="77777777" w:rsidR="00467CA5" w:rsidRPr="00467CA5" w:rsidRDefault="00467CA5" w:rsidP="000F221E">
            <w:pPr>
              <w:rPr>
                <w:rFonts w:asciiTheme="majorHAnsi" w:hAnsiTheme="majorHAnsi" w:cstheme="minorHAnsi"/>
                <w:sz w:val="22"/>
                <w:szCs w:val="22"/>
                <w:lang w:bidi="hi-IN"/>
              </w:rPr>
            </w:pPr>
            <w:r w:rsidRPr="00467CA5">
              <w:rPr>
                <w:rFonts w:asciiTheme="majorHAnsi" w:hAnsiTheme="majorHAnsi" w:cstheme="minorHAnsi"/>
                <w:sz w:val="22"/>
                <w:szCs w:val="22"/>
                <w:lang w:bidi="hi-IN"/>
              </w:rPr>
              <w:t>Procurement of Testing Equipment</w:t>
            </w:r>
          </w:p>
        </w:tc>
        <w:tc>
          <w:tcPr>
            <w:tcW w:w="2041" w:type="dxa"/>
            <w:tcBorders>
              <w:top w:val="nil"/>
              <w:left w:val="nil"/>
              <w:bottom w:val="single" w:sz="4" w:space="0" w:color="auto"/>
              <w:right w:val="single" w:sz="4" w:space="0" w:color="auto"/>
            </w:tcBorders>
            <w:vAlign w:val="center"/>
            <w:hideMark/>
          </w:tcPr>
          <w:p w14:paraId="4518710D"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7.42</w:t>
            </w:r>
          </w:p>
        </w:tc>
      </w:tr>
      <w:tr w:rsidR="00467CA5" w:rsidRPr="00467CA5" w14:paraId="67745C84"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3DF7C902"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65E72DBD"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70D28798"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57A8CD8D" w14:textId="77777777" w:rsidR="00467CA5" w:rsidRPr="00467CA5" w:rsidRDefault="00467CA5" w:rsidP="000F221E">
            <w:pPr>
              <w:rPr>
                <w:rFonts w:asciiTheme="majorHAnsi" w:hAnsiTheme="majorHAnsi" w:cstheme="minorHAnsi"/>
                <w:sz w:val="22"/>
                <w:szCs w:val="22"/>
                <w:lang w:bidi="hi-IN"/>
              </w:rPr>
            </w:pPr>
            <w:r w:rsidRPr="00467CA5">
              <w:rPr>
                <w:rFonts w:asciiTheme="majorHAnsi" w:hAnsiTheme="majorHAnsi" w:cstheme="minorHAnsi"/>
                <w:sz w:val="22"/>
                <w:szCs w:val="22"/>
                <w:lang w:bidi="hi-IN"/>
              </w:rPr>
              <w:t>Meter Testing Lab</w:t>
            </w:r>
          </w:p>
        </w:tc>
        <w:tc>
          <w:tcPr>
            <w:tcW w:w="2041" w:type="dxa"/>
            <w:tcBorders>
              <w:top w:val="nil"/>
              <w:left w:val="nil"/>
              <w:bottom w:val="single" w:sz="4" w:space="0" w:color="auto"/>
              <w:right w:val="single" w:sz="4" w:space="0" w:color="auto"/>
            </w:tcBorders>
            <w:vAlign w:val="center"/>
            <w:hideMark/>
          </w:tcPr>
          <w:p w14:paraId="01E27377"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4.50</w:t>
            </w:r>
          </w:p>
        </w:tc>
      </w:tr>
      <w:tr w:rsidR="00467CA5" w:rsidRPr="00467CA5" w14:paraId="1905D1D2"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760E2E4F"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1913954C"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1F533D2F"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575EECDE" w14:textId="77777777" w:rsidR="00467CA5" w:rsidRPr="00467CA5" w:rsidRDefault="00467CA5" w:rsidP="000F221E">
            <w:pPr>
              <w:rPr>
                <w:rFonts w:asciiTheme="majorHAnsi" w:hAnsiTheme="majorHAnsi" w:cstheme="minorHAnsi"/>
                <w:sz w:val="22"/>
                <w:szCs w:val="22"/>
                <w:lang w:bidi="hi-IN"/>
              </w:rPr>
            </w:pPr>
            <w:r w:rsidRPr="00467CA5">
              <w:rPr>
                <w:rFonts w:asciiTheme="majorHAnsi" w:hAnsiTheme="majorHAnsi" w:cstheme="minorHAnsi"/>
                <w:sz w:val="22"/>
                <w:szCs w:val="22"/>
                <w:lang w:bidi="hi-IN"/>
              </w:rPr>
              <w:t>Procurement of Safety Equipment</w:t>
            </w:r>
          </w:p>
        </w:tc>
        <w:tc>
          <w:tcPr>
            <w:tcW w:w="2041" w:type="dxa"/>
            <w:tcBorders>
              <w:top w:val="nil"/>
              <w:left w:val="nil"/>
              <w:bottom w:val="single" w:sz="4" w:space="0" w:color="auto"/>
              <w:right w:val="single" w:sz="4" w:space="0" w:color="auto"/>
            </w:tcBorders>
            <w:vAlign w:val="center"/>
            <w:hideMark/>
          </w:tcPr>
          <w:p w14:paraId="6FB1F4B6"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1.59</w:t>
            </w:r>
          </w:p>
        </w:tc>
      </w:tr>
      <w:tr w:rsidR="00467CA5" w:rsidRPr="00467CA5" w14:paraId="48E217BF"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0F4F27C1"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6AB4CF02"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val="restart"/>
            <w:tcBorders>
              <w:top w:val="nil"/>
              <w:left w:val="single" w:sz="4" w:space="0" w:color="auto"/>
              <w:bottom w:val="single" w:sz="4" w:space="0" w:color="000000"/>
              <w:right w:val="single" w:sz="4" w:space="0" w:color="auto"/>
            </w:tcBorders>
            <w:vAlign w:val="center"/>
            <w:hideMark/>
          </w:tcPr>
          <w:p w14:paraId="35766CE6"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Infrastructure works at Primary &amp; Distribution Substation</w:t>
            </w:r>
          </w:p>
        </w:tc>
        <w:tc>
          <w:tcPr>
            <w:tcW w:w="0" w:type="auto"/>
            <w:tcBorders>
              <w:top w:val="nil"/>
              <w:left w:val="nil"/>
              <w:bottom w:val="single" w:sz="4" w:space="0" w:color="auto"/>
              <w:right w:val="single" w:sz="4" w:space="0" w:color="auto"/>
            </w:tcBorders>
            <w:vAlign w:val="center"/>
            <w:hideMark/>
          </w:tcPr>
          <w:p w14:paraId="1B3C7FFC" w14:textId="77777777" w:rsidR="00467CA5" w:rsidRPr="00467CA5" w:rsidRDefault="00467CA5" w:rsidP="000F221E">
            <w:pPr>
              <w:rPr>
                <w:rFonts w:asciiTheme="majorHAnsi" w:hAnsiTheme="majorHAnsi" w:cstheme="minorHAnsi"/>
                <w:sz w:val="22"/>
                <w:szCs w:val="22"/>
                <w:lang w:bidi="hi-IN"/>
              </w:rPr>
            </w:pPr>
            <w:r w:rsidRPr="00467CA5">
              <w:rPr>
                <w:rFonts w:asciiTheme="majorHAnsi" w:hAnsiTheme="majorHAnsi" w:cstheme="minorHAnsi"/>
                <w:sz w:val="22"/>
                <w:szCs w:val="22"/>
                <w:lang w:bidi="hi-IN"/>
              </w:rPr>
              <w:t>Access Road for inside and outside of PSS</w:t>
            </w:r>
          </w:p>
        </w:tc>
        <w:tc>
          <w:tcPr>
            <w:tcW w:w="2041" w:type="dxa"/>
            <w:tcBorders>
              <w:top w:val="nil"/>
              <w:left w:val="nil"/>
              <w:bottom w:val="single" w:sz="4" w:space="0" w:color="auto"/>
              <w:right w:val="single" w:sz="4" w:space="0" w:color="auto"/>
            </w:tcBorders>
            <w:vAlign w:val="center"/>
            <w:hideMark/>
          </w:tcPr>
          <w:p w14:paraId="7B06A482"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2.00</w:t>
            </w:r>
          </w:p>
        </w:tc>
      </w:tr>
      <w:tr w:rsidR="00467CA5" w:rsidRPr="00467CA5" w14:paraId="7FA82AD5"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24B5D26E"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6E5689D8"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08F3130A"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702E2BF0" w14:textId="77777777" w:rsidR="00467CA5" w:rsidRPr="00467CA5" w:rsidRDefault="00467CA5" w:rsidP="000F221E">
            <w:pPr>
              <w:rPr>
                <w:rFonts w:asciiTheme="majorHAnsi" w:hAnsiTheme="majorHAnsi" w:cstheme="minorHAnsi"/>
                <w:sz w:val="22"/>
                <w:szCs w:val="22"/>
                <w:lang w:bidi="hi-IN"/>
              </w:rPr>
            </w:pPr>
            <w:r w:rsidRPr="00467CA5">
              <w:rPr>
                <w:rFonts w:asciiTheme="majorHAnsi" w:hAnsiTheme="majorHAnsi" w:cstheme="minorHAnsi"/>
                <w:sz w:val="22"/>
                <w:szCs w:val="22"/>
                <w:lang w:bidi="hi-IN"/>
              </w:rPr>
              <w:t>Renovation / Construction of Control Room Building in PSS</w:t>
            </w:r>
          </w:p>
        </w:tc>
        <w:tc>
          <w:tcPr>
            <w:tcW w:w="2041" w:type="dxa"/>
            <w:tcBorders>
              <w:top w:val="nil"/>
              <w:left w:val="nil"/>
              <w:bottom w:val="single" w:sz="4" w:space="0" w:color="auto"/>
              <w:right w:val="single" w:sz="4" w:space="0" w:color="auto"/>
            </w:tcBorders>
            <w:vAlign w:val="center"/>
            <w:hideMark/>
          </w:tcPr>
          <w:p w14:paraId="36589711"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4.00</w:t>
            </w:r>
          </w:p>
        </w:tc>
      </w:tr>
      <w:tr w:rsidR="00467CA5" w:rsidRPr="00467CA5" w14:paraId="0FB872DC"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71802E67"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5D811D87"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3D56A47A"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3FF0AD65" w14:textId="77777777" w:rsidR="00467CA5" w:rsidRPr="00467CA5" w:rsidRDefault="00467CA5" w:rsidP="000F221E">
            <w:pPr>
              <w:rPr>
                <w:rFonts w:asciiTheme="majorHAnsi" w:hAnsiTheme="majorHAnsi" w:cstheme="minorHAnsi"/>
                <w:sz w:val="22"/>
                <w:szCs w:val="22"/>
                <w:lang w:bidi="hi-IN"/>
              </w:rPr>
            </w:pPr>
            <w:r w:rsidRPr="00467CA5">
              <w:rPr>
                <w:rFonts w:asciiTheme="majorHAnsi" w:hAnsiTheme="majorHAnsi" w:cstheme="minorHAnsi"/>
                <w:sz w:val="22"/>
                <w:szCs w:val="22"/>
                <w:lang w:bidi="hi-IN"/>
              </w:rPr>
              <w:t>Provision for Water Supply arrangement for PSS</w:t>
            </w:r>
          </w:p>
        </w:tc>
        <w:tc>
          <w:tcPr>
            <w:tcW w:w="2041" w:type="dxa"/>
            <w:tcBorders>
              <w:top w:val="nil"/>
              <w:left w:val="nil"/>
              <w:bottom w:val="single" w:sz="4" w:space="0" w:color="auto"/>
              <w:right w:val="single" w:sz="4" w:space="0" w:color="auto"/>
            </w:tcBorders>
            <w:vAlign w:val="center"/>
            <w:hideMark/>
          </w:tcPr>
          <w:p w14:paraId="0F38C3B3"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1.45</w:t>
            </w:r>
          </w:p>
        </w:tc>
      </w:tr>
      <w:tr w:rsidR="00467CA5" w:rsidRPr="00467CA5" w14:paraId="66EBE5DD"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321B2AAE"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574116FF"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771C20E8"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0D27502E" w14:textId="77777777" w:rsidR="00467CA5" w:rsidRPr="00467CA5" w:rsidRDefault="00467CA5" w:rsidP="000F221E">
            <w:pPr>
              <w:rPr>
                <w:rFonts w:asciiTheme="majorHAnsi" w:hAnsiTheme="majorHAnsi" w:cstheme="minorHAnsi"/>
                <w:sz w:val="22"/>
                <w:szCs w:val="22"/>
                <w:lang w:bidi="hi-IN"/>
              </w:rPr>
            </w:pPr>
            <w:r w:rsidRPr="00467CA5">
              <w:rPr>
                <w:rFonts w:asciiTheme="majorHAnsi" w:hAnsiTheme="majorHAnsi" w:cstheme="minorHAnsi"/>
                <w:sz w:val="22"/>
                <w:szCs w:val="22"/>
                <w:lang w:bidi="hi-IN"/>
              </w:rPr>
              <w:t>PSS Boundary wall</w:t>
            </w:r>
          </w:p>
        </w:tc>
        <w:tc>
          <w:tcPr>
            <w:tcW w:w="2041" w:type="dxa"/>
            <w:tcBorders>
              <w:top w:val="nil"/>
              <w:left w:val="nil"/>
              <w:bottom w:val="single" w:sz="4" w:space="0" w:color="auto"/>
              <w:right w:val="single" w:sz="4" w:space="0" w:color="auto"/>
            </w:tcBorders>
            <w:vAlign w:val="center"/>
            <w:hideMark/>
          </w:tcPr>
          <w:p w14:paraId="383BBDC4"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3.00</w:t>
            </w:r>
          </w:p>
        </w:tc>
      </w:tr>
      <w:tr w:rsidR="00467CA5" w:rsidRPr="00467CA5" w14:paraId="57CF4FA1"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02DE2B14"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20273EF0"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1CA63829"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2FC54580" w14:textId="77777777" w:rsidR="00467CA5" w:rsidRPr="00467CA5" w:rsidRDefault="00467CA5" w:rsidP="000F221E">
            <w:pPr>
              <w:rPr>
                <w:rFonts w:asciiTheme="majorHAnsi" w:hAnsiTheme="majorHAnsi" w:cstheme="minorHAnsi"/>
                <w:sz w:val="22"/>
                <w:szCs w:val="22"/>
                <w:lang w:bidi="hi-IN"/>
              </w:rPr>
            </w:pPr>
            <w:r w:rsidRPr="00467CA5">
              <w:rPr>
                <w:rFonts w:asciiTheme="majorHAnsi" w:hAnsiTheme="majorHAnsi" w:cstheme="minorHAnsi"/>
                <w:sz w:val="22"/>
                <w:szCs w:val="22"/>
                <w:lang w:bidi="hi-IN"/>
              </w:rPr>
              <w:t>DSS Fencing</w:t>
            </w:r>
          </w:p>
        </w:tc>
        <w:tc>
          <w:tcPr>
            <w:tcW w:w="2041" w:type="dxa"/>
            <w:tcBorders>
              <w:top w:val="nil"/>
              <w:left w:val="nil"/>
              <w:bottom w:val="single" w:sz="4" w:space="0" w:color="auto"/>
              <w:right w:val="single" w:sz="4" w:space="0" w:color="auto"/>
            </w:tcBorders>
            <w:vAlign w:val="center"/>
            <w:hideMark/>
          </w:tcPr>
          <w:p w14:paraId="3E0819B7"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6.00</w:t>
            </w:r>
          </w:p>
        </w:tc>
      </w:tr>
      <w:tr w:rsidR="00467CA5" w:rsidRPr="00467CA5" w14:paraId="023A7B50"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472EBEA3"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67544350"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26A73492"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77989D14" w14:textId="77777777" w:rsidR="00467CA5" w:rsidRPr="00467CA5" w:rsidRDefault="00467CA5" w:rsidP="000F221E">
            <w:pPr>
              <w:rPr>
                <w:rFonts w:asciiTheme="majorHAnsi" w:hAnsiTheme="majorHAnsi" w:cstheme="minorHAnsi"/>
                <w:sz w:val="22"/>
                <w:szCs w:val="22"/>
                <w:lang w:bidi="hi-IN"/>
              </w:rPr>
            </w:pPr>
            <w:r w:rsidRPr="00467CA5">
              <w:rPr>
                <w:rFonts w:asciiTheme="majorHAnsi" w:hAnsiTheme="majorHAnsi" w:cstheme="minorHAnsi"/>
                <w:sz w:val="22"/>
                <w:szCs w:val="22"/>
                <w:lang w:bidi="hi-IN"/>
              </w:rPr>
              <w:t>Earthing for PSS &amp; DSS</w:t>
            </w:r>
          </w:p>
        </w:tc>
        <w:tc>
          <w:tcPr>
            <w:tcW w:w="2041" w:type="dxa"/>
            <w:tcBorders>
              <w:top w:val="nil"/>
              <w:left w:val="nil"/>
              <w:bottom w:val="single" w:sz="4" w:space="0" w:color="auto"/>
              <w:right w:val="single" w:sz="4" w:space="0" w:color="auto"/>
            </w:tcBorders>
            <w:vAlign w:val="center"/>
            <w:hideMark/>
          </w:tcPr>
          <w:p w14:paraId="34CEF284"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4.62</w:t>
            </w:r>
          </w:p>
        </w:tc>
      </w:tr>
      <w:tr w:rsidR="00467CA5" w:rsidRPr="00467CA5" w14:paraId="0544B8F7" w14:textId="77777777" w:rsidTr="000F221E">
        <w:trPr>
          <w:trHeight w:val="288"/>
        </w:trPr>
        <w:tc>
          <w:tcPr>
            <w:tcW w:w="0" w:type="auto"/>
            <w:gridSpan w:val="4"/>
            <w:tcBorders>
              <w:top w:val="single" w:sz="4" w:space="0" w:color="auto"/>
              <w:left w:val="single" w:sz="4" w:space="0" w:color="auto"/>
              <w:bottom w:val="single" w:sz="4" w:space="0" w:color="auto"/>
              <w:right w:val="single" w:sz="4" w:space="0" w:color="000000"/>
            </w:tcBorders>
            <w:vAlign w:val="center"/>
            <w:hideMark/>
          </w:tcPr>
          <w:p w14:paraId="189958DF" w14:textId="77777777" w:rsidR="00467CA5" w:rsidRPr="00467CA5" w:rsidRDefault="00467CA5" w:rsidP="000F221E">
            <w:pPr>
              <w:jc w:val="center"/>
              <w:rPr>
                <w:rFonts w:asciiTheme="majorHAnsi" w:hAnsiTheme="majorHAnsi" w:cstheme="minorHAnsi"/>
                <w:b/>
                <w:bCs/>
                <w:color w:val="000000"/>
                <w:sz w:val="22"/>
                <w:szCs w:val="22"/>
                <w:lang w:bidi="hi-IN"/>
              </w:rPr>
            </w:pPr>
            <w:r w:rsidRPr="00467CA5">
              <w:rPr>
                <w:rFonts w:asciiTheme="majorHAnsi" w:hAnsiTheme="majorHAnsi" w:cstheme="minorHAnsi"/>
                <w:b/>
                <w:bCs/>
                <w:color w:val="000000"/>
                <w:sz w:val="22"/>
                <w:szCs w:val="22"/>
                <w:lang w:bidi="hi-IN"/>
              </w:rPr>
              <w:t>Sub Total - Statutory, Safety and Security</w:t>
            </w:r>
          </w:p>
        </w:tc>
        <w:tc>
          <w:tcPr>
            <w:tcW w:w="2041" w:type="dxa"/>
            <w:tcBorders>
              <w:top w:val="nil"/>
              <w:left w:val="nil"/>
              <w:bottom w:val="single" w:sz="4" w:space="0" w:color="auto"/>
              <w:right w:val="single" w:sz="4" w:space="0" w:color="auto"/>
            </w:tcBorders>
            <w:vAlign w:val="center"/>
            <w:hideMark/>
          </w:tcPr>
          <w:p w14:paraId="4DF32E51" w14:textId="77777777" w:rsidR="00467CA5" w:rsidRPr="00467CA5" w:rsidRDefault="00467CA5" w:rsidP="000F221E">
            <w:pPr>
              <w:jc w:val="center"/>
              <w:rPr>
                <w:rFonts w:asciiTheme="majorHAnsi" w:hAnsiTheme="majorHAnsi" w:cstheme="minorHAnsi"/>
                <w:b/>
                <w:bCs/>
                <w:color w:val="000000"/>
                <w:sz w:val="22"/>
                <w:szCs w:val="22"/>
                <w:lang w:bidi="hi-IN"/>
              </w:rPr>
            </w:pPr>
            <w:r w:rsidRPr="00467CA5">
              <w:rPr>
                <w:rFonts w:asciiTheme="majorHAnsi" w:hAnsiTheme="majorHAnsi" w:cstheme="minorHAnsi"/>
                <w:b/>
                <w:bCs/>
                <w:color w:val="000000"/>
                <w:sz w:val="22"/>
                <w:szCs w:val="22"/>
                <w:lang w:bidi="hi-IN"/>
              </w:rPr>
              <w:t>49.83</w:t>
            </w:r>
          </w:p>
        </w:tc>
      </w:tr>
      <w:tr w:rsidR="00467CA5" w:rsidRPr="00467CA5" w14:paraId="611EF1FC" w14:textId="77777777" w:rsidTr="000F221E">
        <w:trPr>
          <w:trHeight w:val="288"/>
        </w:trPr>
        <w:tc>
          <w:tcPr>
            <w:tcW w:w="0" w:type="auto"/>
            <w:vMerge w:val="restart"/>
            <w:tcBorders>
              <w:top w:val="nil"/>
              <w:left w:val="single" w:sz="4" w:space="0" w:color="auto"/>
              <w:bottom w:val="single" w:sz="4" w:space="0" w:color="auto"/>
              <w:right w:val="single" w:sz="4" w:space="0" w:color="auto"/>
            </w:tcBorders>
            <w:vAlign w:val="center"/>
            <w:hideMark/>
          </w:tcPr>
          <w:p w14:paraId="38787F8C" w14:textId="77777777" w:rsidR="00467CA5" w:rsidRPr="00467CA5" w:rsidRDefault="00467CA5" w:rsidP="000F221E">
            <w:pPr>
              <w:jc w:val="center"/>
              <w:rPr>
                <w:rFonts w:asciiTheme="majorHAnsi" w:hAnsiTheme="majorHAnsi" w:cstheme="minorHAnsi"/>
                <w:b/>
                <w:bCs/>
                <w:color w:val="000000"/>
                <w:sz w:val="22"/>
                <w:szCs w:val="22"/>
                <w:lang w:bidi="hi-IN"/>
              </w:rPr>
            </w:pPr>
            <w:r w:rsidRPr="00467CA5">
              <w:rPr>
                <w:rFonts w:asciiTheme="majorHAnsi" w:hAnsiTheme="majorHAnsi" w:cstheme="minorHAnsi"/>
                <w:b/>
                <w:bCs/>
                <w:color w:val="000000"/>
                <w:sz w:val="22"/>
                <w:szCs w:val="22"/>
                <w:lang w:bidi="hi-IN"/>
              </w:rPr>
              <w:t>2</w:t>
            </w:r>
          </w:p>
        </w:tc>
        <w:tc>
          <w:tcPr>
            <w:tcW w:w="0" w:type="auto"/>
            <w:vMerge w:val="restart"/>
            <w:tcBorders>
              <w:top w:val="nil"/>
              <w:left w:val="single" w:sz="4" w:space="0" w:color="auto"/>
              <w:bottom w:val="single" w:sz="4" w:space="0" w:color="auto"/>
              <w:right w:val="single" w:sz="4" w:space="0" w:color="auto"/>
            </w:tcBorders>
            <w:vAlign w:val="center"/>
            <w:hideMark/>
          </w:tcPr>
          <w:p w14:paraId="01C1F0F5" w14:textId="77777777" w:rsidR="00467CA5" w:rsidRPr="00467CA5" w:rsidRDefault="00467CA5" w:rsidP="000F221E">
            <w:pPr>
              <w:jc w:val="center"/>
              <w:rPr>
                <w:rFonts w:asciiTheme="majorHAnsi" w:hAnsiTheme="majorHAnsi" w:cstheme="minorHAnsi"/>
                <w:b/>
                <w:bCs/>
                <w:color w:val="000000"/>
                <w:sz w:val="22"/>
                <w:szCs w:val="22"/>
                <w:lang w:bidi="hi-IN"/>
              </w:rPr>
            </w:pPr>
            <w:r w:rsidRPr="00467CA5">
              <w:rPr>
                <w:rFonts w:asciiTheme="majorHAnsi" w:hAnsiTheme="majorHAnsi" w:cstheme="minorHAnsi"/>
                <w:b/>
                <w:bCs/>
                <w:color w:val="000000"/>
                <w:sz w:val="22"/>
                <w:szCs w:val="22"/>
                <w:lang w:bidi="hi-IN"/>
              </w:rPr>
              <w:t>Loss Reduction</w:t>
            </w:r>
          </w:p>
        </w:tc>
        <w:tc>
          <w:tcPr>
            <w:tcW w:w="0" w:type="auto"/>
            <w:vMerge w:val="restart"/>
            <w:tcBorders>
              <w:top w:val="nil"/>
              <w:left w:val="single" w:sz="4" w:space="0" w:color="auto"/>
              <w:bottom w:val="single" w:sz="4" w:space="0" w:color="auto"/>
              <w:right w:val="single" w:sz="4" w:space="0" w:color="auto"/>
            </w:tcBorders>
            <w:vAlign w:val="center"/>
            <w:hideMark/>
          </w:tcPr>
          <w:p w14:paraId="0845AB58"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Energy Audit &amp; Meter related activity</w:t>
            </w:r>
          </w:p>
        </w:tc>
        <w:tc>
          <w:tcPr>
            <w:tcW w:w="0" w:type="auto"/>
            <w:tcBorders>
              <w:top w:val="nil"/>
              <w:left w:val="nil"/>
              <w:bottom w:val="single" w:sz="4" w:space="0" w:color="auto"/>
              <w:right w:val="single" w:sz="4" w:space="0" w:color="auto"/>
            </w:tcBorders>
            <w:vAlign w:val="center"/>
            <w:hideMark/>
          </w:tcPr>
          <w:p w14:paraId="73CAF542"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Installation of 1ph Smart Meters</w:t>
            </w:r>
          </w:p>
        </w:tc>
        <w:tc>
          <w:tcPr>
            <w:tcW w:w="2041" w:type="dxa"/>
            <w:tcBorders>
              <w:top w:val="nil"/>
              <w:left w:val="nil"/>
              <w:bottom w:val="single" w:sz="4" w:space="0" w:color="auto"/>
              <w:right w:val="single" w:sz="4" w:space="0" w:color="auto"/>
            </w:tcBorders>
            <w:vAlign w:val="center"/>
            <w:hideMark/>
          </w:tcPr>
          <w:p w14:paraId="4C2FCED7"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17.46</w:t>
            </w:r>
          </w:p>
        </w:tc>
      </w:tr>
      <w:tr w:rsidR="00467CA5" w:rsidRPr="00467CA5" w14:paraId="0D2F33DB" w14:textId="77777777" w:rsidTr="000F221E">
        <w:trPr>
          <w:trHeight w:val="288"/>
        </w:trPr>
        <w:tc>
          <w:tcPr>
            <w:tcW w:w="0" w:type="auto"/>
            <w:vMerge/>
            <w:tcBorders>
              <w:top w:val="nil"/>
              <w:left w:val="single" w:sz="4" w:space="0" w:color="auto"/>
              <w:bottom w:val="single" w:sz="4" w:space="0" w:color="auto"/>
              <w:right w:val="single" w:sz="4" w:space="0" w:color="auto"/>
            </w:tcBorders>
            <w:vAlign w:val="center"/>
            <w:hideMark/>
          </w:tcPr>
          <w:p w14:paraId="7B362F41"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68BFC13A"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1F64CE93"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7955A495"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Installation of 3ph Smart Meters at Agriculture LI Connections</w:t>
            </w:r>
          </w:p>
        </w:tc>
        <w:tc>
          <w:tcPr>
            <w:tcW w:w="2041" w:type="dxa"/>
            <w:tcBorders>
              <w:top w:val="nil"/>
              <w:left w:val="nil"/>
              <w:bottom w:val="single" w:sz="4" w:space="0" w:color="auto"/>
              <w:right w:val="single" w:sz="4" w:space="0" w:color="auto"/>
            </w:tcBorders>
            <w:vAlign w:val="center"/>
            <w:hideMark/>
          </w:tcPr>
          <w:p w14:paraId="6597D765"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2.33</w:t>
            </w:r>
          </w:p>
        </w:tc>
      </w:tr>
      <w:tr w:rsidR="00467CA5" w:rsidRPr="00467CA5" w14:paraId="6B6362B1" w14:textId="77777777" w:rsidTr="000F221E">
        <w:trPr>
          <w:trHeight w:val="288"/>
        </w:trPr>
        <w:tc>
          <w:tcPr>
            <w:tcW w:w="0" w:type="auto"/>
            <w:vMerge/>
            <w:tcBorders>
              <w:top w:val="nil"/>
              <w:left w:val="single" w:sz="4" w:space="0" w:color="auto"/>
              <w:bottom w:val="single" w:sz="4" w:space="0" w:color="auto"/>
              <w:right w:val="single" w:sz="4" w:space="0" w:color="auto"/>
            </w:tcBorders>
            <w:vAlign w:val="center"/>
            <w:hideMark/>
          </w:tcPr>
          <w:p w14:paraId="66E51D31"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7E9DC952"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06415DE8"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14BC3E5D"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Installation of Meters inside PSS for Energy Audit</w:t>
            </w:r>
          </w:p>
        </w:tc>
        <w:tc>
          <w:tcPr>
            <w:tcW w:w="2041" w:type="dxa"/>
            <w:tcBorders>
              <w:top w:val="nil"/>
              <w:left w:val="nil"/>
              <w:bottom w:val="single" w:sz="4" w:space="0" w:color="auto"/>
              <w:right w:val="single" w:sz="4" w:space="0" w:color="auto"/>
            </w:tcBorders>
            <w:vAlign w:val="center"/>
            <w:hideMark/>
          </w:tcPr>
          <w:p w14:paraId="14B1284A"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1.97</w:t>
            </w:r>
          </w:p>
        </w:tc>
      </w:tr>
      <w:tr w:rsidR="00467CA5" w:rsidRPr="00467CA5" w14:paraId="44E874E7" w14:textId="77777777" w:rsidTr="000F221E">
        <w:trPr>
          <w:trHeight w:val="288"/>
        </w:trPr>
        <w:tc>
          <w:tcPr>
            <w:tcW w:w="0" w:type="auto"/>
            <w:vMerge/>
            <w:tcBorders>
              <w:top w:val="nil"/>
              <w:left w:val="single" w:sz="4" w:space="0" w:color="auto"/>
              <w:bottom w:val="single" w:sz="4" w:space="0" w:color="auto"/>
              <w:right w:val="single" w:sz="4" w:space="0" w:color="auto"/>
            </w:tcBorders>
            <w:vAlign w:val="center"/>
            <w:hideMark/>
          </w:tcPr>
          <w:p w14:paraId="5ECE08E6"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21384F46"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0846039B"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0104F641"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DTR Smart Metering for Energy Audit</w:t>
            </w:r>
          </w:p>
        </w:tc>
        <w:tc>
          <w:tcPr>
            <w:tcW w:w="2041" w:type="dxa"/>
            <w:tcBorders>
              <w:top w:val="nil"/>
              <w:left w:val="nil"/>
              <w:bottom w:val="single" w:sz="4" w:space="0" w:color="auto"/>
              <w:right w:val="single" w:sz="4" w:space="0" w:color="auto"/>
            </w:tcBorders>
            <w:vAlign w:val="center"/>
            <w:hideMark/>
          </w:tcPr>
          <w:p w14:paraId="3667BDC8"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3.40</w:t>
            </w:r>
          </w:p>
        </w:tc>
      </w:tr>
      <w:tr w:rsidR="00467CA5" w:rsidRPr="00467CA5" w14:paraId="1DD536BE" w14:textId="77777777" w:rsidTr="000F221E">
        <w:trPr>
          <w:trHeight w:val="288"/>
        </w:trPr>
        <w:tc>
          <w:tcPr>
            <w:tcW w:w="0" w:type="auto"/>
            <w:vMerge/>
            <w:tcBorders>
              <w:top w:val="nil"/>
              <w:left w:val="single" w:sz="4" w:space="0" w:color="auto"/>
              <w:bottom w:val="single" w:sz="4" w:space="0" w:color="auto"/>
              <w:right w:val="single" w:sz="4" w:space="0" w:color="auto"/>
            </w:tcBorders>
            <w:vAlign w:val="center"/>
            <w:hideMark/>
          </w:tcPr>
          <w:p w14:paraId="24D99FA8"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4BCEAC6C"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52B99482"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348320EF"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High Value Industrial Audit Point Metering</w:t>
            </w:r>
          </w:p>
        </w:tc>
        <w:tc>
          <w:tcPr>
            <w:tcW w:w="2041" w:type="dxa"/>
            <w:tcBorders>
              <w:top w:val="nil"/>
              <w:left w:val="nil"/>
              <w:bottom w:val="single" w:sz="4" w:space="0" w:color="auto"/>
              <w:right w:val="single" w:sz="4" w:space="0" w:color="auto"/>
            </w:tcBorders>
            <w:vAlign w:val="center"/>
            <w:hideMark/>
          </w:tcPr>
          <w:p w14:paraId="25934545"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1.05</w:t>
            </w:r>
          </w:p>
        </w:tc>
      </w:tr>
      <w:tr w:rsidR="00467CA5" w:rsidRPr="00467CA5" w14:paraId="55A720E3" w14:textId="77777777" w:rsidTr="000F221E">
        <w:trPr>
          <w:trHeight w:val="288"/>
        </w:trPr>
        <w:tc>
          <w:tcPr>
            <w:tcW w:w="0" w:type="auto"/>
            <w:vMerge/>
            <w:tcBorders>
              <w:top w:val="nil"/>
              <w:left w:val="single" w:sz="4" w:space="0" w:color="auto"/>
              <w:bottom w:val="single" w:sz="4" w:space="0" w:color="auto"/>
              <w:right w:val="single" w:sz="4" w:space="0" w:color="auto"/>
            </w:tcBorders>
            <w:vAlign w:val="center"/>
            <w:hideMark/>
          </w:tcPr>
          <w:p w14:paraId="17A1E63A"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3909F252"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4DA216EB"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5E561B1F"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LT Check Metering on HT consumers for Energy Audit</w:t>
            </w:r>
          </w:p>
        </w:tc>
        <w:tc>
          <w:tcPr>
            <w:tcW w:w="2041" w:type="dxa"/>
            <w:tcBorders>
              <w:top w:val="nil"/>
              <w:left w:val="nil"/>
              <w:bottom w:val="single" w:sz="4" w:space="0" w:color="auto"/>
              <w:right w:val="single" w:sz="4" w:space="0" w:color="auto"/>
            </w:tcBorders>
            <w:vAlign w:val="center"/>
            <w:hideMark/>
          </w:tcPr>
          <w:p w14:paraId="285B67BA"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0.30</w:t>
            </w:r>
          </w:p>
        </w:tc>
      </w:tr>
      <w:tr w:rsidR="00467CA5" w:rsidRPr="00467CA5" w14:paraId="42BF0921" w14:textId="77777777" w:rsidTr="000F221E">
        <w:trPr>
          <w:trHeight w:val="576"/>
        </w:trPr>
        <w:tc>
          <w:tcPr>
            <w:tcW w:w="0" w:type="auto"/>
            <w:vMerge/>
            <w:tcBorders>
              <w:top w:val="nil"/>
              <w:left w:val="single" w:sz="4" w:space="0" w:color="auto"/>
              <w:bottom w:val="single" w:sz="4" w:space="0" w:color="auto"/>
              <w:right w:val="single" w:sz="4" w:space="0" w:color="auto"/>
            </w:tcBorders>
            <w:vAlign w:val="center"/>
            <w:hideMark/>
          </w:tcPr>
          <w:p w14:paraId="07A587E6"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745B3774"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6A6B401E"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Replacement of LT Bare Conductor with AB Cable</w:t>
            </w:r>
          </w:p>
        </w:tc>
        <w:tc>
          <w:tcPr>
            <w:tcW w:w="0" w:type="auto"/>
            <w:tcBorders>
              <w:top w:val="nil"/>
              <w:left w:val="nil"/>
              <w:bottom w:val="single" w:sz="4" w:space="0" w:color="auto"/>
              <w:right w:val="single" w:sz="4" w:space="0" w:color="auto"/>
            </w:tcBorders>
            <w:vAlign w:val="center"/>
            <w:hideMark/>
          </w:tcPr>
          <w:p w14:paraId="2F87BD27"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Replacement of LT Bare Conductor with AB Cable</w:t>
            </w:r>
          </w:p>
        </w:tc>
        <w:tc>
          <w:tcPr>
            <w:tcW w:w="2041" w:type="dxa"/>
            <w:tcBorders>
              <w:top w:val="nil"/>
              <w:left w:val="nil"/>
              <w:bottom w:val="single" w:sz="4" w:space="0" w:color="auto"/>
              <w:right w:val="single" w:sz="4" w:space="0" w:color="auto"/>
            </w:tcBorders>
            <w:vAlign w:val="center"/>
            <w:hideMark/>
          </w:tcPr>
          <w:p w14:paraId="05705D7C"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15.08</w:t>
            </w:r>
          </w:p>
        </w:tc>
      </w:tr>
      <w:tr w:rsidR="00467CA5" w:rsidRPr="00467CA5" w14:paraId="31A82C82" w14:textId="77777777" w:rsidTr="000F221E">
        <w:trPr>
          <w:trHeight w:val="288"/>
        </w:trPr>
        <w:tc>
          <w:tcPr>
            <w:tcW w:w="0" w:type="auto"/>
            <w:gridSpan w:val="4"/>
            <w:tcBorders>
              <w:top w:val="single" w:sz="4" w:space="0" w:color="auto"/>
              <w:left w:val="single" w:sz="4" w:space="0" w:color="auto"/>
              <w:bottom w:val="single" w:sz="4" w:space="0" w:color="auto"/>
              <w:right w:val="single" w:sz="4" w:space="0" w:color="000000"/>
            </w:tcBorders>
            <w:vAlign w:val="center"/>
            <w:hideMark/>
          </w:tcPr>
          <w:p w14:paraId="35CE21D6" w14:textId="77777777" w:rsidR="00467CA5" w:rsidRPr="00467CA5" w:rsidRDefault="00467CA5" w:rsidP="000F221E">
            <w:pPr>
              <w:jc w:val="center"/>
              <w:rPr>
                <w:rFonts w:asciiTheme="majorHAnsi" w:hAnsiTheme="majorHAnsi" w:cstheme="minorHAnsi"/>
                <w:b/>
                <w:bCs/>
                <w:color w:val="000000"/>
                <w:sz w:val="22"/>
                <w:szCs w:val="22"/>
                <w:lang w:bidi="hi-IN"/>
              </w:rPr>
            </w:pPr>
            <w:r w:rsidRPr="00467CA5">
              <w:rPr>
                <w:rFonts w:asciiTheme="majorHAnsi" w:hAnsiTheme="majorHAnsi" w:cstheme="minorHAnsi"/>
                <w:b/>
                <w:bCs/>
                <w:color w:val="000000"/>
                <w:sz w:val="22"/>
                <w:szCs w:val="22"/>
                <w:lang w:bidi="hi-IN"/>
              </w:rPr>
              <w:t>Sub Total - Loss Reduction</w:t>
            </w:r>
          </w:p>
        </w:tc>
        <w:tc>
          <w:tcPr>
            <w:tcW w:w="2041" w:type="dxa"/>
            <w:tcBorders>
              <w:top w:val="nil"/>
              <w:left w:val="nil"/>
              <w:bottom w:val="single" w:sz="4" w:space="0" w:color="auto"/>
              <w:right w:val="single" w:sz="4" w:space="0" w:color="auto"/>
            </w:tcBorders>
            <w:vAlign w:val="center"/>
            <w:hideMark/>
          </w:tcPr>
          <w:p w14:paraId="3FF4E955" w14:textId="77777777" w:rsidR="00467CA5" w:rsidRPr="00467CA5" w:rsidRDefault="00467CA5" w:rsidP="000F221E">
            <w:pPr>
              <w:jc w:val="center"/>
              <w:rPr>
                <w:rFonts w:asciiTheme="majorHAnsi" w:hAnsiTheme="majorHAnsi" w:cstheme="minorHAnsi"/>
                <w:b/>
                <w:bCs/>
                <w:color w:val="000000"/>
                <w:sz w:val="22"/>
                <w:szCs w:val="22"/>
                <w:lang w:bidi="hi-IN"/>
              </w:rPr>
            </w:pPr>
            <w:r w:rsidRPr="00467CA5">
              <w:rPr>
                <w:rFonts w:asciiTheme="majorHAnsi" w:hAnsiTheme="majorHAnsi" w:cstheme="minorHAnsi"/>
                <w:b/>
                <w:bCs/>
                <w:color w:val="000000"/>
                <w:sz w:val="22"/>
                <w:szCs w:val="22"/>
                <w:lang w:bidi="hi-IN"/>
              </w:rPr>
              <w:t>41.59</w:t>
            </w:r>
          </w:p>
        </w:tc>
      </w:tr>
      <w:tr w:rsidR="00467CA5" w:rsidRPr="00467CA5" w14:paraId="42E9FDDC" w14:textId="77777777" w:rsidTr="000F221E">
        <w:trPr>
          <w:trHeight w:val="288"/>
        </w:trPr>
        <w:tc>
          <w:tcPr>
            <w:tcW w:w="0" w:type="auto"/>
            <w:vMerge w:val="restart"/>
            <w:tcBorders>
              <w:top w:val="nil"/>
              <w:left w:val="single" w:sz="4" w:space="0" w:color="auto"/>
              <w:bottom w:val="single" w:sz="4" w:space="0" w:color="000000"/>
              <w:right w:val="single" w:sz="4" w:space="0" w:color="auto"/>
            </w:tcBorders>
            <w:vAlign w:val="center"/>
            <w:hideMark/>
          </w:tcPr>
          <w:p w14:paraId="1BC04DC5" w14:textId="77777777" w:rsidR="00467CA5" w:rsidRPr="00467CA5" w:rsidRDefault="00467CA5" w:rsidP="000F221E">
            <w:pPr>
              <w:jc w:val="center"/>
              <w:rPr>
                <w:rFonts w:asciiTheme="majorHAnsi" w:hAnsiTheme="majorHAnsi" w:cstheme="minorHAnsi"/>
                <w:b/>
                <w:bCs/>
                <w:color w:val="000000"/>
                <w:sz w:val="22"/>
                <w:szCs w:val="22"/>
                <w:lang w:bidi="hi-IN"/>
              </w:rPr>
            </w:pPr>
            <w:r w:rsidRPr="00467CA5">
              <w:rPr>
                <w:rFonts w:asciiTheme="majorHAnsi" w:hAnsiTheme="majorHAnsi" w:cstheme="minorHAnsi"/>
                <w:b/>
                <w:bCs/>
                <w:color w:val="000000"/>
                <w:sz w:val="22"/>
                <w:szCs w:val="22"/>
                <w:lang w:bidi="hi-IN"/>
              </w:rPr>
              <w:t>3</w:t>
            </w:r>
          </w:p>
        </w:tc>
        <w:tc>
          <w:tcPr>
            <w:tcW w:w="0" w:type="auto"/>
            <w:vMerge w:val="restart"/>
            <w:tcBorders>
              <w:top w:val="nil"/>
              <w:left w:val="single" w:sz="4" w:space="0" w:color="auto"/>
              <w:bottom w:val="single" w:sz="4" w:space="0" w:color="000000"/>
              <w:right w:val="single" w:sz="4" w:space="0" w:color="auto"/>
            </w:tcBorders>
            <w:vAlign w:val="center"/>
            <w:hideMark/>
          </w:tcPr>
          <w:p w14:paraId="3B74508A" w14:textId="77777777" w:rsidR="00467CA5" w:rsidRPr="00467CA5" w:rsidRDefault="00467CA5" w:rsidP="000F221E">
            <w:pPr>
              <w:jc w:val="center"/>
              <w:rPr>
                <w:rFonts w:asciiTheme="majorHAnsi" w:hAnsiTheme="majorHAnsi" w:cstheme="minorHAnsi"/>
                <w:b/>
                <w:bCs/>
                <w:color w:val="000000"/>
                <w:sz w:val="22"/>
                <w:szCs w:val="22"/>
                <w:lang w:bidi="hi-IN"/>
              </w:rPr>
            </w:pPr>
            <w:r w:rsidRPr="00467CA5">
              <w:rPr>
                <w:rFonts w:asciiTheme="majorHAnsi" w:hAnsiTheme="majorHAnsi" w:cstheme="minorHAnsi"/>
                <w:b/>
                <w:bCs/>
                <w:color w:val="000000"/>
                <w:sz w:val="22"/>
                <w:szCs w:val="22"/>
                <w:lang w:bidi="hi-IN"/>
              </w:rPr>
              <w:t>Network Reliability</w:t>
            </w:r>
          </w:p>
        </w:tc>
        <w:tc>
          <w:tcPr>
            <w:tcW w:w="0" w:type="auto"/>
            <w:vMerge w:val="restart"/>
            <w:tcBorders>
              <w:top w:val="nil"/>
              <w:left w:val="single" w:sz="4" w:space="0" w:color="auto"/>
              <w:bottom w:val="single" w:sz="4" w:space="0" w:color="000000"/>
              <w:right w:val="single" w:sz="4" w:space="0" w:color="auto"/>
            </w:tcBorders>
            <w:vAlign w:val="center"/>
            <w:hideMark/>
          </w:tcPr>
          <w:p w14:paraId="78428D07"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Replacement / Addition of network component in 33 / 11 kV Primary Substation</w:t>
            </w:r>
          </w:p>
        </w:tc>
        <w:tc>
          <w:tcPr>
            <w:tcW w:w="0" w:type="auto"/>
            <w:tcBorders>
              <w:top w:val="nil"/>
              <w:left w:val="nil"/>
              <w:bottom w:val="single" w:sz="4" w:space="0" w:color="auto"/>
              <w:right w:val="single" w:sz="4" w:space="0" w:color="auto"/>
            </w:tcBorders>
            <w:vAlign w:val="center"/>
            <w:hideMark/>
          </w:tcPr>
          <w:p w14:paraId="2C295003"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Installation / Replacement of 33 kV Breaker / Group Breaker</w:t>
            </w:r>
          </w:p>
        </w:tc>
        <w:tc>
          <w:tcPr>
            <w:tcW w:w="2041" w:type="dxa"/>
            <w:tcBorders>
              <w:top w:val="nil"/>
              <w:left w:val="nil"/>
              <w:bottom w:val="single" w:sz="4" w:space="0" w:color="auto"/>
              <w:right w:val="single" w:sz="4" w:space="0" w:color="auto"/>
            </w:tcBorders>
            <w:vAlign w:val="center"/>
            <w:hideMark/>
          </w:tcPr>
          <w:p w14:paraId="47EF5057"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16.09</w:t>
            </w:r>
          </w:p>
        </w:tc>
      </w:tr>
      <w:tr w:rsidR="00467CA5" w:rsidRPr="00467CA5" w14:paraId="70F6C3D8"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25BCBC1D"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54895A2F"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34559903"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52DBDD0F"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Installation / Replacement of 11 kV Breaker / Group Breaker</w:t>
            </w:r>
          </w:p>
        </w:tc>
        <w:tc>
          <w:tcPr>
            <w:tcW w:w="2041" w:type="dxa"/>
            <w:tcBorders>
              <w:top w:val="nil"/>
              <w:left w:val="nil"/>
              <w:bottom w:val="single" w:sz="4" w:space="0" w:color="auto"/>
              <w:right w:val="single" w:sz="4" w:space="0" w:color="auto"/>
            </w:tcBorders>
            <w:vAlign w:val="center"/>
            <w:hideMark/>
          </w:tcPr>
          <w:p w14:paraId="57BC618A"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10.27</w:t>
            </w:r>
          </w:p>
        </w:tc>
      </w:tr>
      <w:tr w:rsidR="00467CA5" w:rsidRPr="00467CA5" w14:paraId="45BD299D"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45C43812"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13A7D519"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28A6C94B"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21851857"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Installation of LA (33 kV &amp; 11 kV) in PSS</w:t>
            </w:r>
          </w:p>
        </w:tc>
        <w:tc>
          <w:tcPr>
            <w:tcW w:w="2041" w:type="dxa"/>
            <w:tcBorders>
              <w:top w:val="nil"/>
              <w:left w:val="nil"/>
              <w:bottom w:val="single" w:sz="4" w:space="0" w:color="auto"/>
              <w:right w:val="single" w:sz="4" w:space="0" w:color="auto"/>
            </w:tcBorders>
            <w:vAlign w:val="center"/>
            <w:hideMark/>
          </w:tcPr>
          <w:p w14:paraId="0A039022"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2.31</w:t>
            </w:r>
          </w:p>
        </w:tc>
      </w:tr>
      <w:tr w:rsidR="00467CA5" w:rsidRPr="00467CA5" w14:paraId="7DF51C5E"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04F24DE5"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5EA30635"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2F320C0D"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2E051EAC"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Replacement of Feeder / Transformer protection Relays (O/C &amp; E/F)</w:t>
            </w:r>
          </w:p>
        </w:tc>
        <w:tc>
          <w:tcPr>
            <w:tcW w:w="2041" w:type="dxa"/>
            <w:tcBorders>
              <w:top w:val="nil"/>
              <w:left w:val="nil"/>
              <w:bottom w:val="single" w:sz="4" w:space="0" w:color="auto"/>
              <w:right w:val="single" w:sz="4" w:space="0" w:color="auto"/>
            </w:tcBorders>
            <w:vAlign w:val="center"/>
            <w:hideMark/>
          </w:tcPr>
          <w:p w14:paraId="15767F0F"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0.76</w:t>
            </w:r>
          </w:p>
        </w:tc>
      </w:tr>
      <w:tr w:rsidR="00467CA5" w:rsidRPr="00467CA5" w14:paraId="33AC49AD"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3F4E2BA6"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34ED4F8E"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0F11C2AC"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3765E9EC"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Installation of Station Transformer – 33 / 0.4 kV 100 kVA Transformer</w:t>
            </w:r>
          </w:p>
        </w:tc>
        <w:tc>
          <w:tcPr>
            <w:tcW w:w="2041" w:type="dxa"/>
            <w:tcBorders>
              <w:top w:val="nil"/>
              <w:left w:val="nil"/>
              <w:bottom w:val="single" w:sz="4" w:space="0" w:color="auto"/>
              <w:right w:val="single" w:sz="4" w:space="0" w:color="auto"/>
            </w:tcBorders>
            <w:vAlign w:val="center"/>
            <w:hideMark/>
          </w:tcPr>
          <w:p w14:paraId="5BCBC75E"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0.88</w:t>
            </w:r>
          </w:p>
        </w:tc>
      </w:tr>
      <w:tr w:rsidR="00467CA5" w:rsidRPr="00467CA5" w14:paraId="16793353"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7393343B"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7147B916"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6794725B"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44F40684"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Replacement of Battery &amp; Battery Charger / ACDB Panel / DCDB Panel</w:t>
            </w:r>
          </w:p>
        </w:tc>
        <w:tc>
          <w:tcPr>
            <w:tcW w:w="2041" w:type="dxa"/>
            <w:tcBorders>
              <w:top w:val="nil"/>
              <w:left w:val="nil"/>
              <w:bottom w:val="single" w:sz="4" w:space="0" w:color="auto"/>
              <w:right w:val="single" w:sz="4" w:space="0" w:color="auto"/>
            </w:tcBorders>
            <w:vAlign w:val="center"/>
            <w:hideMark/>
          </w:tcPr>
          <w:p w14:paraId="60AAE0A6"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1.15</w:t>
            </w:r>
          </w:p>
        </w:tc>
      </w:tr>
      <w:tr w:rsidR="00467CA5" w:rsidRPr="00467CA5" w14:paraId="5F5CB9A0" w14:textId="77777777" w:rsidTr="000F221E">
        <w:trPr>
          <w:trHeight w:val="576"/>
        </w:trPr>
        <w:tc>
          <w:tcPr>
            <w:tcW w:w="0" w:type="auto"/>
            <w:vMerge/>
            <w:tcBorders>
              <w:top w:val="nil"/>
              <w:left w:val="single" w:sz="4" w:space="0" w:color="auto"/>
              <w:bottom w:val="single" w:sz="4" w:space="0" w:color="000000"/>
              <w:right w:val="single" w:sz="4" w:space="0" w:color="auto"/>
            </w:tcBorders>
            <w:vAlign w:val="center"/>
            <w:hideMark/>
          </w:tcPr>
          <w:p w14:paraId="42B2A3A9"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5A3D6030"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7F9FEA73"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34F235E3"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Refurbishment of PSS (Switchyard fencing, Bus heightening, Earth Pit water arrangement, Cable Trench, Trench Cover, Toe wall, etc.)</w:t>
            </w:r>
          </w:p>
        </w:tc>
        <w:tc>
          <w:tcPr>
            <w:tcW w:w="2041" w:type="dxa"/>
            <w:tcBorders>
              <w:top w:val="nil"/>
              <w:left w:val="nil"/>
              <w:bottom w:val="single" w:sz="4" w:space="0" w:color="auto"/>
              <w:right w:val="single" w:sz="4" w:space="0" w:color="auto"/>
            </w:tcBorders>
            <w:vAlign w:val="center"/>
            <w:hideMark/>
          </w:tcPr>
          <w:p w14:paraId="4B0A25E6"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3.33</w:t>
            </w:r>
          </w:p>
        </w:tc>
      </w:tr>
      <w:tr w:rsidR="00467CA5" w:rsidRPr="00467CA5" w14:paraId="52423E78"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034A1D80"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4D5A59F7"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1E3A47DB"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3CE34EFC"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Automation of Non-ODSSP &amp; SCADA integration in PSS</w:t>
            </w:r>
          </w:p>
        </w:tc>
        <w:tc>
          <w:tcPr>
            <w:tcW w:w="2041" w:type="dxa"/>
            <w:tcBorders>
              <w:top w:val="nil"/>
              <w:left w:val="nil"/>
              <w:bottom w:val="single" w:sz="4" w:space="0" w:color="auto"/>
              <w:right w:val="single" w:sz="4" w:space="0" w:color="auto"/>
            </w:tcBorders>
            <w:vAlign w:val="center"/>
            <w:hideMark/>
          </w:tcPr>
          <w:p w14:paraId="7759FCC0"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1.53</w:t>
            </w:r>
          </w:p>
        </w:tc>
      </w:tr>
      <w:tr w:rsidR="00467CA5" w:rsidRPr="00467CA5" w14:paraId="61FA63D2" w14:textId="77777777" w:rsidTr="000F221E">
        <w:trPr>
          <w:trHeight w:val="576"/>
        </w:trPr>
        <w:tc>
          <w:tcPr>
            <w:tcW w:w="0" w:type="auto"/>
            <w:vMerge/>
            <w:tcBorders>
              <w:top w:val="nil"/>
              <w:left w:val="single" w:sz="4" w:space="0" w:color="auto"/>
              <w:bottom w:val="single" w:sz="4" w:space="0" w:color="000000"/>
              <w:right w:val="single" w:sz="4" w:space="0" w:color="auto"/>
            </w:tcBorders>
            <w:vAlign w:val="center"/>
            <w:hideMark/>
          </w:tcPr>
          <w:p w14:paraId="52637103"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4BF35DC0"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val="restart"/>
            <w:tcBorders>
              <w:top w:val="nil"/>
              <w:left w:val="single" w:sz="4" w:space="0" w:color="auto"/>
              <w:bottom w:val="single" w:sz="4" w:space="0" w:color="auto"/>
              <w:right w:val="single" w:sz="4" w:space="0" w:color="auto"/>
            </w:tcBorders>
            <w:vAlign w:val="center"/>
            <w:hideMark/>
          </w:tcPr>
          <w:p w14:paraId="52606A89"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Replacement / Addition of Network Component in 11kV / 33kV Line</w:t>
            </w:r>
          </w:p>
        </w:tc>
        <w:tc>
          <w:tcPr>
            <w:tcW w:w="0" w:type="auto"/>
            <w:tcBorders>
              <w:top w:val="nil"/>
              <w:left w:val="nil"/>
              <w:bottom w:val="single" w:sz="4" w:space="0" w:color="auto"/>
              <w:right w:val="single" w:sz="4" w:space="0" w:color="auto"/>
            </w:tcBorders>
            <w:vAlign w:val="center"/>
            <w:hideMark/>
          </w:tcPr>
          <w:p w14:paraId="57E3F72A"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Augmentation of old 33 kV Line (for aged lines or to mitigate overloading / undervoltage)</w:t>
            </w:r>
          </w:p>
        </w:tc>
        <w:tc>
          <w:tcPr>
            <w:tcW w:w="2041" w:type="dxa"/>
            <w:tcBorders>
              <w:top w:val="nil"/>
              <w:left w:val="nil"/>
              <w:bottom w:val="single" w:sz="4" w:space="0" w:color="auto"/>
              <w:right w:val="single" w:sz="4" w:space="0" w:color="auto"/>
            </w:tcBorders>
            <w:vAlign w:val="center"/>
            <w:hideMark/>
          </w:tcPr>
          <w:p w14:paraId="5F8DE797"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39.02</w:t>
            </w:r>
          </w:p>
        </w:tc>
      </w:tr>
      <w:tr w:rsidR="00467CA5" w:rsidRPr="00467CA5" w14:paraId="585AD2D7" w14:textId="77777777" w:rsidTr="000F221E">
        <w:trPr>
          <w:trHeight w:val="576"/>
        </w:trPr>
        <w:tc>
          <w:tcPr>
            <w:tcW w:w="0" w:type="auto"/>
            <w:vMerge/>
            <w:tcBorders>
              <w:top w:val="nil"/>
              <w:left w:val="single" w:sz="4" w:space="0" w:color="auto"/>
              <w:bottom w:val="single" w:sz="4" w:space="0" w:color="000000"/>
              <w:right w:val="single" w:sz="4" w:space="0" w:color="auto"/>
            </w:tcBorders>
            <w:vAlign w:val="center"/>
            <w:hideMark/>
          </w:tcPr>
          <w:p w14:paraId="5DD45291"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3570785E"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36C67302"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7636EACA"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Augmentation of old 11 kV Line (for aged lines or to mitigate overloading / undervoltage)</w:t>
            </w:r>
          </w:p>
        </w:tc>
        <w:tc>
          <w:tcPr>
            <w:tcW w:w="2041" w:type="dxa"/>
            <w:tcBorders>
              <w:top w:val="nil"/>
              <w:left w:val="nil"/>
              <w:bottom w:val="single" w:sz="4" w:space="0" w:color="auto"/>
              <w:right w:val="single" w:sz="4" w:space="0" w:color="auto"/>
            </w:tcBorders>
            <w:vAlign w:val="center"/>
            <w:hideMark/>
          </w:tcPr>
          <w:p w14:paraId="33DA4A22"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37.48</w:t>
            </w:r>
          </w:p>
        </w:tc>
      </w:tr>
      <w:tr w:rsidR="00467CA5" w:rsidRPr="00467CA5" w14:paraId="3B1BEE1F"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2F576FCD"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4868E250"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7ABF04E7"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0D2C1D10"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Installation of 33 kV &amp; 11 kV FPI</w:t>
            </w:r>
          </w:p>
        </w:tc>
        <w:tc>
          <w:tcPr>
            <w:tcW w:w="2041" w:type="dxa"/>
            <w:tcBorders>
              <w:top w:val="nil"/>
              <w:left w:val="nil"/>
              <w:bottom w:val="single" w:sz="4" w:space="0" w:color="auto"/>
              <w:right w:val="single" w:sz="4" w:space="0" w:color="auto"/>
            </w:tcBorders>
            <w:vAlign w:val="center"/>
            <w:hideMark/>
          </w:tcPr>
          <w:p w14:paraId="7063AE20"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5.39</w:t>
            </w:r>
          </w:p>
        </w:tc>
      </w:tr>
      <w:tr w:rsidR="00467CA5" w:rsidRPr="00467CA5" w14:paraId="23DE0D54"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398AF5B3"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2300B716"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6D7C7F69"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5C30D6BB"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Installation of 33 kV &amp; 11 kV AB Switches, Isolator &amp; RMU</w:t>
            </w:r>
          </w:p>
        </w:tc>
        <w:tc>
          <w:tcPr>
            <w:tcW w:w="2041" w:type="dxa"/>
            <w:tcBorders>
              <w:top w:val="nil"/>
              <w:left w:val="nil"/>
              <w:bottom w:val="single" w:sz="4" w:space="0" w:color="auto"/>
              <w:right w:val="single" w:sz="4" w:space="0" w:color="auto"/>
            </w:tcBorders>
            <w:vAlign w:val="center"/>
            <w:hideMark/>
          </w:tcPr>
          <w:p w14:paraId="58AA99E0"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14.02</w:t>
            </w:r>
          </w:p>
        </w:tc>
      </w:tr>
      <w:tr w:rsidR="00467CA5" w:rsidRPr="00467CA5" w14:paraId="2075D864"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18B21906"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0376B5ED"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7C2E0828"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0CFBD62E"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33 kV &amp; 11 kV Polymer Insulator / LA</w:t>
            </w:r>
          </w:p>
        </w:tc>
        <w:tc>
          <w:tcPr>
            <w:tcW w:w="2041" w:type="dxa"/>
            <w:tcBorders>
              <w:top w:val="nil"/>
              <w:left w:val="nil"/>
              <w:bottom w:val="single" w:sz="4" w:space="0" w:color="auto"/>
              <w:right w:val="single" w:sz="4" w:space="0" w:color="auto"/>
            </w:tcBorders>
            <w:vAlign w:val="center"/>
            <w:hideMark/>
          </w:tcPr>
          <w:p w14:paraId="345448B3"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2.17</w:t>
            </w:r>
          </w:p>
        </w:tc>
      </w:tr>
      <w:tr w:rsidR="00467CA5" w:rsidRPr="00467CA5" w14:paraId="2C7438ED"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63FB343D"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3710060A"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7CC48D76"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1B73F449"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 xml:space="preserve">33 kV &amp; 11 kV Auto Recloser / </w:t>
            </w:r>
            <w:proofErr w:type="spellStart"/>
            <w:r w:rsidRPr="00467CA5">
              <w:rPr>
                <w:rFonts w:asciiTheme="majorHAnsi" w:hAnsiTheme="majorHAnsi" w:cstheme="minorHAnsi"/>
                <w:color w:val="000000"/>
                <w:sz w:val="22"/>
                <w:szCs w:val="22"/>
                <w:lang w:bidi="hi-IN"/>
              </w:rPr>
              <w:t>Sectionalizer</w:t>
            </w:r>
            <w:proofErr w:type="spellEnd"/>
          </w:p>
        </w:tc>
        <w:tc>
          <w:tcPr>
            <w:tcW w:w="2041" w:type="dxa"/>
            <w:tcBorders>
              <w:top w:val="nil"/>
              <w:left w:val="nil"/>
              <w:bottom w:val="single" w:sz="4" w:space="0" w:color="auto"/>
              <w:right w:val="single" w:sz="4" w:space="0" w:color="auto"/>
            </w:tcBorders>
            <w:vAlign w:val="center"/>
            <w:hideMark/>
          </w:tcPr>
          <w:p w14:paraId="4A6F5748"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6.11</w:t>
            </w:r>
          </w:p>
        </w:tc>
      </w:tr>
      <w:tr w:rsidR="00467CA5" w:rsidRPr="00467CA5" w14:paraId="31B78F12"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01B8B8CA"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2695C4F2"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val="restart"/>
            <w:tcBorders>
              <w:top w:val="nil"/>
              <w:left w:val="single" w:sz="4" w:space="0" w:color="auto"/>
              <w:bottom w:val="single" w:sz="4" w:space="0" w:color="auto"/>
              <w:right w:val="single" w:sz="4" w:space="0" w:color="auto"/>
            </w:tcBorders>
            <w:vAlign w:val="center"/>
            <w:hideMark/>
          </w:tcPr>
          <w:p w14:paraId="5AB14E28"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Replacement / Addition of network component in Distribution Substation</w:t>
            </w:r>
          </w:p>
        </w:tc>
        <w:tc>
          <w:tcPr>
            <w:tcW w:w="0" w:type="auto"/>
            <w:tcBorders>
              <w:top w:val="nil"/>
              <w:left w:val="nil"/>
              <w:bottom w:val="single" w:sz="4" w:space="0" w:color="auto"/>
              <w:right w:val="single" w:sz="4" w:space="0" w:color="auto"/>
            </w:tcBorders>
            <w:vAlign w:val="center"/>
            <w:hideMark/>
          </w:tcPr>
          <w:p w14:paraId="5F1047FF"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Mobile DT</w:t>
            </w:r>
          </w:p>
        </w:tc>
        <w:tc>
          <w:tcPr>
            <w:tcW w:w="2041" w:type="dxa"/>
            <w:tcBorders>
              <w:top w:val="nil"/>
              <w:left w:val="nil"/>
              <w:bottom w:val="single" w:sz="4" w:space="0" w:color="auto"/>
              <w:right w:val="single" w:sz="4" w:space="0" w:color="auto"/>
            </w:tcBorders>
            <w:vAlign w:val="center"/>
            <w:hideMark/>
          </w:tcPr>
          <w:p w14:paraId="0EA6D7F5"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1.41</w:t>
            </w:r>
          </w:p>
        </w:tc>
      </w:tr>
      <w:tr w:rsidR="00467CA5" w:rsidRPr="00467CA5" w14:paraId="0A7A1508" w14:textId="77777777" w:rsidTr="000F221E">
        <w:trPr>
          <w:trHeight w:val="288"/>
        </w:trPr>
        <w:tc>
          <w:tcPr>
            <w:tcW w:w="0" w:type="auto"/>
            <w:vMerge/>
            <w:tcBorders>
              <w:top w:val="nil"/>
              <w:left w:val="single" w:sz="4" w:space="0" w:color="auto"/>
              <w:bottom w:val="single" w:sz="4" w:space="0" w:color="000000"/>
              <w:right w:val="single" w:sz="4" w:space="0" w:color="auto"/>
            </w:tcBorders>
            <w:vAlign w:val="center"/>
            <w:hideMark/>
          </w:tcPr>
          <w:p w14:paraId="69F880CD"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7D721B73"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1D9408F6"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53287459"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Model Village – Installation of LT Distribution Box &amp; Service Cable</w:t>
            </w:r>
          </w:p>
        </w:tc>
        <w:tc>
          <w:tcPr>
            <w:tcW w:w="2041" w:type="dxa"/>
            <w:tcBorders>
              <w:top w:val="nil"/>
              <w:left w:val="nil"/>
              <w:bottom w:val="single" w:sz="4" w:space="0" w:color="auto"/>
              <w:right w:val="single" w:sz="4" w:space="0" w:color="auto"/>
            </w:tcBorders>
            <w:vAlign w:val="center"/>
            <w:hideMark/>
          </w:tcPr>
          <w:p w14:paraId="52044FE6"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20.17</w:t>
            </w:r>
          </w:p>
        </w:tc>
      </w:tr>
      <w:tr w:rsidR="00467CA5" w:rsidRPr="00467CA5" w14:paraId="55C72866" w14:textId="77777777" w:rsidTr="000F221E">
        <w:trPr>
          <w:trHeight w:val="576"/>
        </w:trPr>
        <w:tc>
          <w:tcPr>
            <w:tcW w:w="0" w:type="auto"/>
            <w:vMerge/>
            <w:tcBorders>
              <w:top w:val="nil"/>
              <w:left w:val="single" w:sz="4" w:space="0" w:color="auto"/>
              <w:bottom w:val="single" w:sz="4" w:space="0" w:color="000000"/>
              <w:right w:val="single" w:sz="4" w:space="0" w:color="auto"/>
            </w:tcBorders>
            <w:vAlign w:val="center"/>
            <w:hideMark/>
          </w:tcPr>
          <w:p w14:paraId="08858BA8"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064B64E8"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156AC697"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LI Point Regularization</w:t>
            </w:r>
          </w:p>
        </w:tc>
        <w:tc>
          <w:tcPr>
            <w:tcW w:w="0" w:type="auto"/>
            <w:tcBorders>
              <w:top w:val="nil"/>
              <w:left w:val="nil"/>
              <w:bottom w:val="single" w:sz="4" w:space="0" w:color="auto"/>
              <w:right w:val="single" w:sz="4" w:space="0" w:color="auto"/>
            </w:tcBorders>
            <w:vAlign w:val="center"/>
            <w:hideMark/>
          </w:tcPr>
          <w:p w14:paraId="3C514C13"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LI Point Regularization - Installation of Cables, Distribution Box, Installation of Smart Meters, etc. at LI connections (3ph)</w:t>
            </w:r>
          </w:p>
        </w:tc>
        <w:tc>
          <w:tcPr>
            <w:tcW w:w="2041" w:type="dxa"/>
            <w:tcBorders>
              <w:top w:val="nil"/>
              <w:left w:val="nil"/>
              <w:bottom w:val="single" w:sz="4" w:space="0" w:color="auto"/>
              <w:right w:val="single" w:sz="4" w:space="0" w:color="auto"/>
            </w:tcBorders>
            <w:vAlign w:val="center"/>
            <w:hideMark/>
          </w:tcPr>
          <w:p w14:paraId="15E037BE"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15.09</w:t>
            </w:r>
          </w:p>
        </w:tc>
      </w:tr>
      <w:tr w:rsidR="00467CA5" w:rsidRPr="00467CA5" w14:paraId="5000C388" w14:textId="77777777" w:rsidTr="000F221E">
        <w:trPr>
          <w:trHeight w:val="288"/>
        </w:trPr>
        <w:tc>
          <w:tcPr>
            <w:tcW w:w="0" w:type="auto"/>
            <w:gridSpan w:val="4"/>
            <w:tcBorders>
              <w:top w:val="single" w:sz="4" w:space="0" w:color="auto"/>
              <w:left w:val="single" w:sz="4" w:space="0" w:color="auto"/>
              <w:bottom w:val="single" w:sz="4" w:space="0" w:color="auto"/>
              <w:right w:val="single" w:sz="4" w:space="0" w:color="000000"/>
            </w:tcBorders>
            <w:vAlign w:val="center"/>
            <w:hideMark/>
          </w:tcPr>
          <w:p w14:paraId="5465A99E" w14:textId="77777777" w:rsidR="00467CA5" w:rsidRPr="00467CA5" w:rsidRDefault="00467CA5" w:rsidP="000F221E">
            <w:pPr>
              <w:jc w:val="center"/>
              <w:rPr>
                <w:rFonts w:asciiTheme="majorHAnsi" w:hAnsiTheme="majorHAnsi" w:cstheme="minorHAnsi"/>
                <w:b/>
                <w:bCs/>
                <w:color w:val="000000"/>
                <w:sz w:val="22"/>
                <w:szCs w:val="22"/>
                <w:lang w:bidi="hi-IN"/>
              </w:rPr>
            </w:pPr>
            <w:r w:rsidRPr="00467CA5">
              <w:rPr>
                <w:rFonts w:asciiTheme="majorHAnsi" w:hAnsiTheme="majorHAnsi" w:cstheme="minorHAnsi"/>
                <w:b/>
                <w:bCs/>
                <w:color w:val="000000"/>
                <w:sz w:val="22"/>
                <w:szCs w:val="22"/>
                <w:lang w:bidi="hi-IN"/>
              </w:rPr>
              <w:t>Sub Total - Network Reliability</w:t>
            </w:r>
          </w:p>
        </w:tc>
        <w:tc>
          <w:tcPr>
            <w:tcW w:w="2041" w:type="dxa"/>
            <w:tcBorders>
              <w:top w:val="nil"/>
              <w:left w:val="nil"/>
              <w:bottom w:val="single" w:sz="4" w:space="0" w:color="auto"/>
              <w:right w:val="single" w:sz="4" w:space="0" w:color="auto"/>
            </w:tcBorders>
            <w:vAlign w:val="center"/>
            <w:hideMark/>
          </w:tcPr>
          <w:p w14:paraId="5B29070F" w14:textId="77777777" w:rsidR="00467CA5" w:rsidRPr="00467CA5" w:rsidRDefault="00467CA5" w:rsidP="000F221E">
            <w:pPr>
              <w:jc w:val="center"/>
              <w:rPr>
                <w:rFonts w:asciiTheme="majorHAnsi" w:hAnsiTheme="majorHAnsi" w:cstheme="minorHAnsi"/>
                <w:b/>
                <w:bCs/>
                <w:color w:val="000000"/>
                <w:sz w:val="22"/>
                <w:szCs w:val="22"/>
                <w:lang w:bidi="hi-IN"/>
              </w:rPr>
            </w:pPr>
            <w:r w:rsidRPr="00467CA5">
              <w:rPr>
                <w:rFonts w:asciiTheme="majorHAnsi" w:hAnsiTheme="majorHAnsi" w:cstheme="minorHAnsi"/>
                <w:b/>
                <w:bCs/>
                <w:color w:val="000000"/>
                <w:sz w:val="22"/>
                <w:szCs w:val="22"/>
                <w:lang w:bidi="hi-IN"/>
              </w:rPr>
              <w:t>177.18</w:t>
            </w:r>
          </w:p>
        </w:tc>
      </w:tr>
      <w:tr w:rsidR="00467CA5" w:rsidRPr="00467CA5" w14:paraId="509E33E1" w14:textId="77777777" w:rsidTr="000F221E">
        <w:trPr>
          <w:trHeight w:val="288"/>
        </w:trPr>
        <w:tc>
          <w:tcPr>
            <w:tcW w:w="0" w:type="auto"/>
            <w:vMerge w:val="restart"/>
            <w:tcBorders>
              <w:top w:val="nil"/>
              <w:left w:val="single" w:sz="4" w:space="0" w:color="auto"/>
              <w:bottom w:val="single" w:sz="4" w:space="0" w:color="auto"/>
              <w:right w:val="single" w:sz="4" w:space="0" w:color="auto"/>
            </w:tcBorders>
            <w:vAlign w:val="center"/>
            <w:hideMark/>
          </w:tcPr>
          <w:p w14:paraId="485A26A0" w14:textId="77777777" w:rsidR="00467CA5" w:rsidRPr="00467CA5" w:rsidRDefault="00467CA5" w:rsidP="000F221E">
            <w:pPr>
              <w:jc w:val="center"/>
              <w:rPr>
                <w:rFonts w:asciiTheme="majorHAnsi" w:hAnsiTheme="majorHAnsi" w:cstheme="minorHAnsi"/>
                <w:b/>
                <w:bCs/>
                <w:color w:val="000000"/>
                <w:sz w:val="22"/>
                <w:szCs w:val="22"/>
                <w:lang w:bidi="hi-IN"/>
              </w:rPr>
            </w:pPr>
            <w:r w:rsidRPr="00467CA5">
              <w:rPr>
                <w:rFonts w:asciiTheme="majorHAnsi" w:hAnsiTheme="majorHAnsi" w:cstheme="minorHAnsi"/>
                <w:b/>
                <w:bCs/>
                <w:color w:val="000000"/>
                <w:sz w:val="22"/>
                <w:szCs w:val="22"/>
                <w:lang w:bidi="hi-IN"/>
              </w:rPr>
              <w:t>4</w:t>
            </w:r>
          </w:p>
        </w:tc>
        <w:tc>
          <w:tcPr>
            <w:tcW w:w="0" w:type="auto"/>
            <w:vMerge w:val="restart"/>
            <w:tcBorders>
              <w:top w:val="nil"/>
              <w:left w:val="single" w:sz="4" w:space="0" w:color="auto"/>
              <w:bottom w:val="single" w:sz="4" w:space="0" w:color="auto"/>
              <w:right w:val="single" w:sz="4" w:space="0" w:color="auto"/>
            </w:tcBorders>
            <w:vAlign w:val="center"/>
            <w:hideMark/>
          </w:tcPr>
          <w:p w14:paraId="4588A962" w14:textId="77777777" w:rsidR="00467CA5" w:rsidRPr="00467CA5" w:rsidRDefault="00467CA5" w:rsidP="000F221E">
            <w:pPr>
              <w:jc w:val="center"/>
              <w:rPr>
                <w:rFonts w:asciiTheme="majorHAnsi" w:hAnsiTheme="majorHAnsi" w:cstheme="minorHAnsi"/>
                <w:b/>
                <w:bCs/>
                <w:color w:val="000000"/>
                <w:sz w:val="22"/>
                <w:szCs w:val="22"/>
                <w:lang w:bidi="hi-IN"/>
              </w:rPr>
            </w:pPr>
            <w:r w:rsidRPr="00467CA5">
              <w:rPr>
                <w:rFonts w:asciiTheme="majorHAnsi" w:hAnsiTheme="majorHAnsi" w:cstheme="minorHAnsi"/>
                <w:b/>
                <w:bCs/>
                <w:color w:val="000000"/>
                <w:sz w:val="22"/>
                <w:szCs w:val="22"/>
                <w:lang w:bidi="hi-IN"/>
              </w:rPr>
              <w:t>Load Growth</w:t>
            </w:r>
          </w:p>
        </w:tc>
        <w:tc>
          <w:tcPr>
            <w:tcW w:w="0" w:type="auto"/>
            <w:vMerge w:val="restart"/>
            <w:tcBorders>
              <w:top w:val="nil"/>
              <w:left w:val="single" w:sz="4" w:space="0" w:color="auto"/>
              <w:bottom w:val="single" w:sz="4" w:space="0" w:color="auto"/>
              <w:right w:val="single" w:sz="4" w:space="0" w:color="auto"/>
            </w:tcBorders>
            <w:vAlign w:val="center"/>
            <w:hideMark/>
          </w:tcPr>
          <w:p w14:paraId="26D6E59A"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Network Enhancement</w:t>
            </w:r>
          </w:p>
        </w:tc>
        <w:tc>
          <w:tcPr>
            <w:tcW w:w="0" w:type="auto"/>
            <w:tcBorders>
              <w:top w:val="nil"/>
              <w:left w:val="nil"/>
              <w:bottom w:val="single" w:sz="4" w:space="0" w:color="auto"/>
              <w:right w:val="single" w:sz="4" w:space="0" w:color="auto"/>
            </w:tcBorders>
            <w:vAlign w:val="center"/>
            <w:hideMark/>
          </w:tcPr>
          <w:p w14:paraId="1D3305FC"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Construction of 33 kV New Line</w:t>
            </w:r>
          </w:p>
        </w:tc>
        <w:tc>
          <w:tcPr>
            <w:tcW w:w="2041" w:type="dxa"/>
            <w:tcBorders>
              <w:top w:val="nil"/>
              <w:left w:val="nil"/>
              <w:bottom w:val="single" w:sz="4" w:space="0" w:color="auto"/>
              <w:right w:val="single" w:sz="4" w:space="0" w:color="auto"/>
            </w:tcBorders>
            <w:vAlign w:val="center"/>
            <w:hideMark/>
          </w:tcPr>
          <w:p w14:paraId="4979617F"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93.31</w:t>
            </w:r>
          </w:p>
        </w:tc>
      </w:tr>
      <w:tr w:rsidR="00467CA5" w:rsidRPr="00467CA5" w14:paraId="77EE99C0" w14:textId="77777777" w:rsidTr="000F221E">
        <w:trPr>
          <w:trHeight w:val="288"/>
        </w:trPr>
        <w:tc>
          <w:tcPr>
            <w:tcW w:w="0" w:type="auto"/>
            <w:vMerge/>
            <w:tcBorders>
              <w:top w:val="nil"/>
              <w:left w:val="single" w:sz="4" w:space="0" w:color="auto"/>
              <w:bottom w:val="single" w:sz="4" w:space="0" w:color="auto"/>
              <w:right w:val="single" w:sz="4" w:space="0" w:color="auto"/>
            </w:tcBorders>
            <w:vAlign w:val="center"/>
            <w:hideMark/>
          </w:tcPr>
          <w:p w14:paraId="60392A69"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0C1CD8A9"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49B08F0E"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156CE6C1"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Construction of 11 kV New Line</w:t>
            </w:r>
          </w:p>
        </w:tc>
        <w:tc>
          <w:tcPr>
            <w:tcW w:w="2041" w:type="dxa"/>
            <w:tcBorders>
              <w:top w:val="nil"/>
              <w:left w:val="nil"/>
              <w:bottom w:val="single" w:sz="4" w:space="0" w:color="auto"/>
              <w:right w:val="single" w:sz="4" w:space="0" w:color="auto"/>
            </w:tcBorders>
            <w:vAlign w:val="center"/>
            <w:hideMark/>
          </w:tcPr>
          <w:p w14:paraId="0DDD255A"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34.92</w:t>
            </w:r>
          </w:p>
        </w:tc>
      </w:tr>
      <w:tr w:rsidR="00467CA5" w:rsidRPr="00467CA5" w14:paraId="7E8B0D9E" w14:textId="77777777" w:rsidTr="000F221E">
        <w:trPr>
          <w:trHeight w:val="288"/>
        </w:trPr>
        <w:tc>
          <w:tcPr>
            <w:tcW w:w="0" w:type="auto"/>
            <w:vMerge/>
            <w:tcBorders>
              <w:top w:val="nil"/>
              <w:left w:val="single" w:sz="4" w:space="0" w:color="auto"/>
              <w:bottom w:val="single" w:sz="4" w:space="0" w:color="auto"/>
              <w:right w:val="single" w:sz="4" w:space="0" w:color="auto"/>
            </w:tcBorders>
            <w:vAlign w:val="center"/>
            <w:hideMark/>
          </w:tcPr>
          <w:p w14:paraId="178D5376"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23C7A152"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3C849D42"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4691B7FB"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Construction of New PSS (2x5 MVA, 33 kV O/D, 11 kV I/D)</w:t>
            </w:r>
          </w:p>
        </w:tc>
        <w:tc>
          <w:tcPr>
            <w:tcW w:w="2041" w:type="dxa"/>
            <w:tcBorders>
              <w:top w:val="nil"/>
              <w:left w:val="nil"/>
              <w:bottom w:val="single" w:sz="4" w:space="0" w:color="auto"/>
              <w:right w:val="single" w:sz="4" w:space="0" w:color="auto"/>
            </w:tcBorders>
            <w:vAlign w:val="center"/>
            <w:hideMark/>
          </w:tcPr>
          <w:p w14:paraId="5F4BEB34"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31.57</w:t>
            </w:r>
          </w:p>
        </w:tc>
      </w:tr>
      <w:tr w:rsidR="00467CA5" w:rsidRPr="00467CA5" w14:paraId="728CF881" w14:textId="77777777" w:rsidTr="000F221E">
        <w:trPr>
          <w:trHeight w:val="288"/>
        </w:trPr>
        <w:tc>
          <w:tcPr>
            <w:tcW w:w="0" w:type="auto"/>
            <w:vMerge/>
            <w:tcBorders>
              <w:top w:val="nil"/>
              <w:left w:val="single" w:sz="4" w:space="0" w:color="auto"/>
              <w:bottom w:val="single" w:sz="4" w:space="0" w:color="auto"/>
              <w:right w:val="single" w:sz="4" w:space="0" w:color="auto"/>
            </w:tcBorders>
            <w:vAlign w:val="center"/>
            <w:hideMark/>
          </w:tcPr>
          <w:p w14:paraId="37965D89"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1E8F236B"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744E80C2"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02AE77DC"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Addition / Augmentation of PTR</w:t>
            </w:r>
          </w:p>
        </w:tc>
        <w:tc>
          <w:tcPr>
            <w:tcW w:w="2041" w:type="dxa"/>
            <w:tcBorders>
              <w:top w:val="nil"/>
              <w:left w:val="nil"/>
              <w:bottom w:val="single" w:sz="4" w:space="0" w:color="auto"/>
              <w:right w:val="single" w:sz="4" w:space="0" w:color="auto"/>
            </w:tcBorders>
            <w:vAlign w:val="center"/>
            <w:hideMark/>
          </w:tcPr>
          <w:p w14:paraId="7A38DD41"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10.56</w:t>
            </w:r>
          </w:p>
        </w:tc>
      </w:tr>
      <w:tr w:rsidR="00467CA5" w:rsidRPr="00467CA5" w14:paraId="54E57BB5" w14:textId="77777777" w:rsidTr="000F221E">
        <w:trPr>
          <w:trHeight w:val="288"/>
        </w:trPr>
        <w:tc>
          <w:tcPr>
            <w:tcW w:w="0" w:type="auto"/>
            <w:vMerge/>
            <w:tcBorders>
              <w:top w:val="nil"/>
              <w:left w:val="single" w:sz="4" w:space="0" w:color="auto"/>
              <w:bottom w:val="single" w:sz="4" w:space="0" w:color="auto"/>
              <w:right w:val="single" w:sz="4" w:space="0" w:color="auto"/>
            </w:tcBorders>
            <w:vAlign w:val="center"/>
            <w:hideMark/>
          </w:tcPr>
          <w:p w14:paraId="25266161"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4C728B19"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614F1526"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31EB2F31"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Addition / Augmentation of DTR</w:t>
            </w:r>
          </w:p>
        </w:tc>
        <w:tc>
          <w:tcPr>
            <w:tcW w:w="2041" w:type="dxa"/>
            <w:tcBorders>
              <w:top w:val="nil"/>
              <w:left w:val="nil"/>
              <w:bottom w:val="single" w:sz="4" w:space="0" w:color="auto"/>
              <w:right w:val="single" w:sz="4" w:space="0" w:color="auto"/>
            </w:tcBorders>
            <w:vAlign w:val="center"/>
            <w:hideMark/>
          </w:tcPr>
          <w:p w14:paraId="267E4338"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15.89</w:t>
            </w:r>
          </w:p>
        </w:tc>
      </w:tr>
      <w:tr w:rsidR="00467CA5" w:rsidRPr="00467CA5" w14:paraId="3BC191C1" w14:textId="77777777" w:rsidTr="000F221E">
        <w:trPr>
          <w:trHeight w:val="288"/>
        </w:trPr>
        <w:tc>
          <w:tcPr>
            <w:tcW w:w="0" w:type="auto"/>
            <w:vMerge/>
            <w:tcBorders>
              <w:top w:val="nil"/>
              <w:left w:val="single" w:sz="4" w:space="0" w:color="auto"/>
              <w:bottom w:val="single" w:sz="4" w:space="0" w:color="auto"/>
              <w:right w:val="single" w:sz="4" w:space="0" w:color="auto"/>
            </w:tcBorders>
            <w:vAlign w:val="center"/>
            <w:hideMark/>
          </w:tcPr>
          <w:p w14:paraId="02C7A9B9"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40C6BEF3"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23985895"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268B109E"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Provision of LT Protection (ACB / MCCB) for DTR</w:t>
            </w:r>
          </w:p>
        </w:tc>
        <w:tc>
          <w:tcPr>
            <w:tcW w:w="2041" w:type="dxa"/>
            <w:tcBorders>
              <w:top w:val="nil"/>
              <w:left w:val="nil"/>
              <w:bottom w:val="single" w:sz="4" w:space="0" w:color="auto"/>
              <w:right w:val="single" w:sz="4" w:space="0" w:color="auto"/>
            </w:tcBorders>
            <w:vAlign w:val="center"/>
            <w:hideMark/>
          </w:tcPr>
          <w:p w14:paraId="400931A0"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8.75</w:t>
            </w:r>
          </w:p>
        </w:tc>
      </w:tr>
      <w:tr w:rsidR="00467CA5" w:rsidRPr="00467CA5" w14:paraId="2F631103" w14:textId="77777777" w:rsidTr="000F221E">
        <w:trPr>
          <w:trHeight w:val="288"/>
        </w:trPr>
        <w:tc>
          <w:tcPr>
            <w:tcW w:w="0" w:type="auto"/>
            <w:vMerge/>
            <w:tcBorders>
              <w:top w:val="nil"/>
              <w:left w:val="single" w:sz="4" w:space="0" w:color="auto"/>
              <w:bottom w:val="single" w:sz="4" w:space="0" w:color="auto"/>
              <w:right w:val="single" w:sz="4" w:space="0" w:color="auto"/>
            </w:tcBorders>
            <w:vAlign w:val="center"/>
            <w:hideMark/>
          </w:tcPr>
          <w:p w14:paraId="0C016FA9"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2E255201"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68C7BF43"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52015171"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Addition of New LT ABC Network</w:t>
            </w:r>
          </w:p>
        </w:tc>
        <w:tc>
          <w:tcPr>
            <w:tcW w:w="2041" w:type="dxa"/>
            <w:tcBorders>
              <w:top w:val="nil"/>
              <w:left w:val="nil"/>
              <w:bottom w:val="single" w:sz="4" w:space="0" w:color="auto"/>
              <w:right w:val="single" w:sz="4" w:space="0" w:color="auto"/>
            </w:tcBorders>
            <w:vAlign w:val="center"/>
            <w:hideMark/>
          </w:tcPr>
          <w:p w14:paraId="179E4FAB"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16.93</w:t>
            </w:r>
          </w:p>
        </w:tc>
      </w:tr>
      <w:tr w:rsidR="00467CA5" w:rsidRPr="00467CA5" w14:paraId="06CE70C7" w14:textId="77777777" w:rsidTr="000F221E">
        <w:trPr>
          <w:trHeight w:val="288"/>
        </w:trPr>
        <w:tc>
          <w:tcPr>
            <w:tcW w:w="0" w:type="auto"/>
            <w:gridSpan w:val="4"/>
            <w:tcBorders>
              <w:top w:val="single" w:sz="4" w:space="0" w:color="auto"/>
              <w:left w:val="single" w:sz="4" w:space="0" w:color="auto"/>
              <w:bottom w:val="single" w:sz="4" w:space="0" w:color="auto"/>
              <w:right w:val="single" w:sz="4" w:space="0" w:color="000000"/>
            </w:tcBorders>
            <w:vAlign w:val="center"/>
            <w:hideMark/>
          </w:tcPr>
          <w:p w14:paraId="06907B48" w14:textId="77777777" w:rsidR="00467CA5" w:rsidRPr="00467CA5" w:rsidRDefault="00467CA5" w:rsidP="000F221E">
            <w:pPr>
              <w:jc w:val="center"/>
              <w:rPr>
                <w:rFonts w:asciiTheme="majorHAnsi" w:hAnsiTheme="majorHAnsi" w:cstheme="minorHAnsi"/>
                <w:b/>
                <w:bCs/>
                <w:color w:val="000000"/>
                <w:sz w:val="22"/>
                <w:szCs w:val="22"/>
                <w:lang w:bidi="hi-IN"/>
              </w:rPr>
            </w:pPr>
            <w:r w:rsidRPr="00467CA5">
              <w:rPr>
                <w:rFonts w:asciiTheme="majorHAnsi" w:hAnsiTheme="majorHAnsi" w:cstheme="minorHAnsi"/>
                <w:b/>
                <w:bCs/>
                <w:color w:val="000000"/>
                <w:sz w:val="22"/>
                <w:szCs w:val="22"/>
                <w:lang w:bidi="hi-IN"/>
              </w:rPr>
              <w:t>Sub Total - Load Growth</w:t>
            </w:r>
          </w:p>
        </w:tc>
        <w:tc>
          <w:tcPr>
            <w:tcW w:w="2041" w:type="dxa"/>
            <w:tcBorders>
              <w:top w:val="nil"/>
              <w:left w:val="nil"/>
              <w:bottom w:val="single" w:sz="4" w:space="0" w:color="auto"/>
              <w:right w:val="single" w:sz="4" w:space="0" w:color="auto"/>
            </w:tcBorders>
            <w:vAlign w:val="center"/>
            <w:hideMark/>
          </w:tcPr>
          <w:p w14:paraId="6FD62ECD" w14:textId="77777777" w:rsidR="00467CA5" w:rsidRPr="00467CA5" w:rsidRDefault="00467CA5" w:rsidP="000F221E">
            <w:pPr>
              <w:jc w:val="center"/>
              <w:rPr>
                <w:rFonts w:asciiTheme="majorHAnsi" w:hAnsiTheme="majorHAnsi" w:cstheme="minorHAnsi"/>
                <w:b/>
                <w:bCs/>
                <w:color w:val="000000"/>
                <w:sz w:val="22"/>
                <w:szCs w:val="22"/>
                <w:lang w:bidi="hi-IN"/>
              </w:rPr>
            </w:pPr>
            <w:r w:rsidRPr="00467CA5">
              <w:rPr>
                <w:rFonts w:asciiTheme="majorHAnsi" w:hAnsiTheme="majorHAnsi" w:cstheme="minorHAnsi"/>
                <w:b/>
                <w:bCs/>
                <w:color w:val="000000"/>
                <w:sz w:val="22"/>
                <w:szCs w:val="22"/>
                <w:lang w:bidi="hi-IN"/>
              </w:rPr>
              <w:t>211.93</w:t>
            </w:r>
          </w:p>
        </w:tc>
      </w:tr>
      <w:tr w:rsidR="00467CA5" w:rsidRPr="00467CA5" w14:paraId="2A74AE5F" w14:textId="77777777" w:rsidTr="000F221E">
        <w:trPr>
          <w:trHeight w:val="288"/>
        </w:trPr>
        <w:tc>
          <w:tcPr>
            <w:tcW w:w="0" w:type="auto"/>
            <w:vMerge w:val="restart"/>
            <w:tcBorders>
              <w:top w:val="nil"/>
              <w:left w:val="single" w:sz="4" w:space="0" w:color="auto"/>
              <w:bottom w:val="single" w:sz="4" w:space="0" w:color="auto"/>
              <w:right w:val="single" w:sz="4" w:space="0" w:color="auto"/>
            </w:tcBorders>
            <w:vAlign w:val="center"/>
            <w:hideMark/>
          </w:tcPr>
          <w:p w14:paraId="38C930F9" w14:textId="77777777" w:rsidR="00467CA5" w:rsidRPr="00467CA5" w:rsidRDefault="00467CA5" w:rsidP="000F221E">
            <w:pPr>
              <w:jc w:val="center"/>
              <w:rPr>
                <w:rFonts w:asciiTheme="majorHAnsi" w:hAnsiTheme="majorHAnsi" w:cstheme="minorHAnsi"/>
                <w:b/>
                <w:bCs/>
                <w:color w:val="000000"/>
                <w:sz w:val="22"/>
                <w:szCs w:val="22"/>
                <w:lang w:bidi="hi-IN"/>
              </w:rPr>
            </w:pPr>
            <w:r w:rsidRPr="00467CA5">
              <w:rPr>
                <w:rFonts w:asciiTheme="majorHAnsi" w:hAnsiTheme="majorHAnsi" w:cstheme="minorHAnsi"/>
                <w:b/>
                <w:bCs/>
                <w:color w:val="000000"/>
                <w:sz w:val="22"/>
                <w:szCs w:val="22"/>
                <w:lang w:bidi="hi-IN"/>
              </w:rPr>
              <w:t>5</w:t>
            </w:r>
          </w:p>
        </w:tc>
        <w:tc>
          <w:tcPr>
            <w:tcW w:w="0" w:type="auto"/>
            <w:vMerge w:val="restart"/>
            <w:tcBorders>
              <w:top w:val="nil"/>
              <w:left w:val="single" w:sz="4" w:space="0" w:color="auto"/>
              <w:bottom w:val="single" w:sz="4" w:space="0" w:color="auto"/>
              <w:right w:val="single" w:sz="4" w:space="0" w:color="auto"/>
            </w:tcBorders>
            <w:vAlign w:val="center"/>
            <w:hideMark/>
          </w:tcPr>
          <w:p w14:paraId="1968A085" w14:textId="77777777" w:rsidR="00467CA5" w:rsidRPr="00467CA5" w:rsidRDefault="00467CA5" w:rsidP="000F221E">
            <w:pPr>
              <w:jc w:val="center"/>
              <w:rPr>
                <w:rFonts w:asciiTheme="majorHAnsi" w:hAnsiTheme="majorHAnsi" w:cstheme="minorHAnsi"/>
                <w:b/>
                <w:bCs/>
                <w:color w:val="000000"/>
                <w:sz w:val="22"/>
                <w:szCs w:val="22"/>
                <w:lang w:bidi="hi-IN"/>
              </w:rPr>
            </w:pPr>
            <w:r w:rsidRPr="00467CA5">
              <w:rPr>
                <w:rFonts w:asciiTheme="majorHAnsi" w:hAnsiTheme="majorHAnsi" w:cstheme="minorHAnsi"/>
                <w:b/>
                <w:bCs/>
                <w:color w:val="000000"/>
                <w:sz w:val="22"/>
                <w:szCs w:val="22"/>
                <w:lang w:bidi="hi-IN"/>
              </w:rPr>
              <w:t>Technology &amp; Infrastructure</w:t>
            </w:r>
          </w:p>
        </w:tc>
        <w:tc>
          <w:tcPr>
            <w:tcW w:w="0" w:type="auto"/>
            <w:vMerge w:val="restart"/>
            <w:tcBorders>
              <w:top w:val="nil"/>
              <w:left w:val="single" w:sz="4" w:space="0" w:color="auto"/>
              <w:bottom w:val="single" w:sz="4" w:space="0" w:color="auto"/>
              <w:right w:val="single" w:sz="4" w:space="0" w:color="auto"/>
            </w:tcBorders>
            <w:vAlign w:val="center"/>
            <w:hideMark/>
          </w:tcPr>
          <w:p w14:paraId="5DE2BC8C"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Technology Intervention – IT &amp; Technology</w:t>
            </w:r>
          </w:p>
        </w:tc>
        <w:tc>
          <w:tcPr>
            <w:tcW w:w="0" w:type="auto"/>
            <w:tcBorders>
              <w:top w:val="nil"/>
              <w:left w:val="nil"/>
              <w:bottom w:val="single" w:sz="4" w:space="0" w:color="auto"/>
              <w:right w:val="single" w:sz="4" w:space="0" w:color="auto"/>
            </w:tcBorders>
            <w:vAlign w:val="center"/>
            <w:hideMark/>
          </w:tcPr>
          <w:p w14:paraId="5E682378"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Build &amp; Strengthen DC-DR Infrastructure &amp; End-User IT Hardware</w:t>
            </w:r>
          </w:p>
        </w:tc>
        <w:tc>
          <w:tcPr>
            <w:tcW w:w="2041" w:type="dxa"/>
            <w:tcBorders>
              <w:top w:val="nil"/>
              <w:left w:val="nil"/>
              <w:bottom w:val="single" w:sz="4" w:space="0" w:color="auto"/>
              <w:right w:val="single" w:sz="4" w:space="0" w:color="auto"/>
            </w:tcBorders>
            <w:vAlign w:val="center"/>
            <w:hideMark/>
          </w:tcPr>
          <w:p w14:paraId="5C259FEA"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6.43</w:t>
            </w:r>
          </w:p>
        </w:tc>
      </w:tr>
      <w:tr w:rsidR="00467CA5" w:rsidRPr="00467CA5" w14:paraId="39C69385" w14:textId="77777777" w:rsidTr="000F221E">
        <w:trPr>
          <w:trHeight w:val="288"/>
        </w:trPr>
        <w:tc>
          <w:tcPr>
            <w:tcW w:w="0" w:type="auto"/>
            <w:vMerge/>
            <w:tcBorders>
              <w:top w:val="nil"/>
              <w:left w:val="single" w:sz="4" w:space="0" w:color="auto"/>
              <w:bottom w:val="single" w:sz="4" w:space="0" w:color="auto"/>
              <w:right w:val="single" w:sz="4" w:space="0" w:color="auto"/>
            </w:tcBorders>
            <w:vAlign w:val="center"/>
            <w:hideMark/>
          </w:tcPr>
          <w:p w14:paraId="59524E99"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459E267D"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5F375A42"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698E6F70"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Augmentation of IT Applications &amp; Software</w:t>
            </w:r>
          </w:p>
        </w:tc>
        <w:tc>
          <w:tcPr>
            <w:tcW w:w="2041" w:type="dxa"/>
            <w:tcBorders>
              <w:top w:val="nil"/>
              <w:left w:val="nil"/>
              <w:bottom w:val="single" w:sz="4" w:space="0" w:color="auto"/>
              <w:right w:val="single" w:sz="4" w:space="0" w:color="auto"/>
            </w:tcBorders>
            <w:vAlign w:val="center"/>
            <w:hideMark/>
          </w:tcPr>
          <w:p w14:paraId="1856173F"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2.78</w:t>
            </w:r>
          </w:p>
        </w:tc>
      </w:tr>
      <w:tr w:rsidR="00467CA5" w:rsidRPr="00467CA5" w14:paraId="22165BC5" w14:textId="77777777" w:rsidTr="000F221E">
        <w:trPr>
          <w:trHeight w:val="288"/>
        </w:trPr>
        <w:tc>
          <w:tcPr>
            <w:tcW w:w="0" w:type="auto"/>
            <w:vMerge/>
            <w:tcBorders>
              <w:top w:val="nil"/>
              <w:left w:val="single" w:sz="4" w:space="0" w:color="auto"/>
              <w:bottom w:val="single" w:sz="4" w:space="0" w:color="auto"/>
              <w:right w:val="single" w:sz="4" w:space="0" w:color="auto"/>
            </w:tcBorders>
            <w:vAlign w:val="center"/>
            <w:hideMark/>
          </w:tcPr>
          <w:p w14:paraId="121621AC"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76167A7B"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5765A6F6"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71C302F5"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Enhancement of Cybersecurity Solutions</w:t>
            </w:r>
          </w:p>
        </w:tc>
        <w:tc>
          <w:tcPr>
            <w:tcW w:w="2041" w:type="dxa"/>
            <w:tcBorders>
              <w:top w:val="nil"/>
              <w:left w:val="nil"/>
              <w:bottom w:val="single" w:sz="4" w:space="0" w:color="auto"/>
              <w:right w:val="single" w:sz="4" w:space="0" w:color="auto"/>
            </w:tcBorders>
            <w:vAlign w:val="center"/>
            <w:hideMark/>
          </w:tcPr>
          <w:p w14:paraId="615557CE"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9.07</w:t>
            </w:r>
          </w:p>
        </w:tc>
      </w:tr>
      <w:tr w:rsidR="00467CA5" w:rsidRPr="00467CA5" w14:paraId="659FD4D2" w14:textId="77777777" w:rsidTr="000F221E">
        <w:trPr>
          <w:trHeight w:val="288"/>
        </w:trPr>
        <w:tc>
          <w:tcPr>
            <w:tcW w:w="0" w:type="auto"/>
            <w:vMerge/>
            <w:tcBorders>
              <w:top w:val="nil"/>
              <w:left w:val="single" w:sz="4" w:space="0" w:color="auto"/>
              <w:bottom w:val="single" w:sz="4" w:space="0" w:color="auto"/>
              <w:right w:val="single" w:sz="4" w:space="0" w:color="auto"/>
            </w:tcBorders>
            <w:vAlign w:val="center"/>
            <w:hideMark/>
          </w:tcPr>
          <w:p w14:paraId="4ECB578D"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69EAA4E5"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val="restart"/>
            <w:tcBorders>
              <w:top w:val="nil"/>
              <w:left w:val="single" w:sz="4" w:space="0" w:color="auto"/>
              <w:bottom w:val="single" w:sz="4" w:space="0" w:color="000000"/>
              <w:right w:val="single" w:sz="4" w:space="0" w:color="auto"/>
            </w:tcBorders>
            <w:vAlign w:val="center"/>
            <w:hideMark/>
          </w:tcPr>
          <w:p w14:paraId="69C4DBE0"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Improvement of Civil Infrastructure</w:t>
            </w:r>
          </w:p>
        </w:tc>
        <w:tc>
          <w:tcPr>
            <w:tcW w:w="0" w:type="auto"/>
            <w:tcBorders>
              <w:top w:val="nil"/>
              <w:left w:val="nil"/>
              <w:bottom w:val="single" w:sz="4" w:space="0" w:color="auto"/>
              <w:right w:val="single" w:sz="4" w:space="0" w:color="auto"/>
            </w:tcBorders>
            <w:vAlign w:val="center"/>
            <w:hideMark/>
          </w:tcPr>
          <w:p w14:paraId="403415CA"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Construction of Office Buildings</w:t>
            </w:r>
          </w:p>
        </w:tc>
        <w:tc>
          <w:tcPr>
            <w:tcW w:w="2041" w:type="dxa"/>
            <w:tcBorders>
              <w:top w:val="nil"/>
              <w:left w:val="nil"/>
              <w:bottom w:val="single" w:sz="4" w:space="0" w:color="auto"/>
              <w:right w:val="single" w:sz="4" w:space="0" w:color="auto"/>
            </w:tcBorders>
            <w:vAlign w:val="center"/>
            <w:hideMark/>
          </w:tcPr>
          <w:p w14:paraId="2934B210"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18.14</w:t>
            </w:r>
          </w:p>
        </w:tc>
      </w:tr>
      <w:tr w:rsidR="00467CA5" w:rsidRPr="00467CA5" w14:paraId="5582DE9D" w14:textId="77777777" w:rsidTr="000F221E">
        <w:trPr>
          <w:trHeight w:val="576"/>
        </w:trPr>
        <w:tc>
          <w:tcPr>
            <w:tcW w:w="0" w:type="auto"/>
            <w:vMerge/>
            <w:tcBorders>
              <w:top w:val="nil"/>
              <w:left w:val="single" w:sz="4" w:space="0" w:color="auto"/>
              <w:bottom w:val="single" w:sz="4" w:space="0" w:color="auto"/>
              <w:right w:val="single" w:sz="4" w:space="0" w:color="auto"/>
            </w:tcBorders>
            <w:vAlign w:val="center"/>
            <w:hideMark/>
          </w:tcPr>
          <w:p w14:paraId="3FB4614B"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06054E65"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000000"/>
              <w:right w:val="single" w:sz="4" w:space="0" w:color="auto"/>
            </w:tcBorders>
            <w:vAlign w:val="center"/>
            <w:hideMark/>
          </w:tcPr>
          <w:p w14:paraId="149D2B7F" w14:textId="77777777" w:rsidR="00467CA5" w:rsidRPr="00467CA5" w:rsidRDefault="00467CA5" w:rsidP="000F221E">
            <w:pPr>
              <w:rPr>
                <w:rFonts w:asciiTheme="majorHAnsi" w:hAnsiTheme="majorHAnsi" w:cstheme="minorHAnsi"/>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6C9A6074"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Establishment of Technical and Safety Training Centre and mobile training facility</w:t>
            </w:r>
          </w:p>
        </w:tc>
        <w:tc>
          <w:tcPr>
            <w:tcW w:w="2041" w:type="dxa"/>
            <w:tcBorders>
              <w:top w:val="nil"/>
              <w:left w:val="nil"/>
              <w:bottom w:val="single" w:sz="4" w:space="0" w:color="auto"/>
              <w:right w:val="single" w:sz="4" w:space="0" w:color="auto"/>
            </w:tcBorders>
            <w:vAlign w:val="center"/>
            <w:hideMark/>
          </w:tcPr>
          <w:p w14:paraId="7973409E"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2.92</w:t>
            </w:r>
          </w:p>
        </w:tc>
      </w:tr>
      <w:tr w:rsidR="00467CA5" w:rsidRPr="00467CA5" w14:paraId="2FDB804D" w14:textId="77777777" w:rsidTr="000F221E">
        <w:trPr>
          <w:trHeight w:val="288"/>
        </w:trPr>
        <w:tc>
          <w:tcPr>
            <w:tcW w:w="0" w:type="auto"/>
            <w:vMerge/>
            <w:tcBorders>
              <w:top w:val="nil"/>
              <w:left w:val="single" w:sz="4" w:space="0" w:color="auto"/>
              <w:bottom w:val="single" w:sz="4" w:space="0" w:color="auto"/>
              <w:right w:val="single" w:sz="4" w:space="0" w:color="auto"/>
            </w:tcBorders>
            <w:vAlign w:val="center"/>
            <w:hideMark/>
          </w:tcPr>
          <w:p w14:paraId="18A3188F"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43F1F287"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tcBorders>
              <w:top w:val="nil"/>
              <w:left w:val="nil"/>
              <w:bottom w:val="single" w:sz="4" w:space="0" w:color="auto"/>
              <w:right w:val="single" w:sz="4" w:space="0" w:color="auto"/>
            </w:tcBorders>
            <w:vAlign w:val="center"/>
            <w:hideMark/>
          </w:tcPr>
          <w:p w14:paraId="33F1F0F2"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Store Infrastructure</w:t>
            </w:r>
          </w:p>
        </w:tc>
        <w:tc>
          <w:tcPr>
            <w:tcW w:w="0" w:type="auto"/>
            <w:tcBorders>
              <w:top w:val="nil"/>
              <w:left w:val="nil"/>
              <w:bottom w:val="single" w:sz="4" w:space="0" w:color="auto"/>
              <w:right w:val="single" w:sz="4" w:space="0" w:color="auto"/>
            </w:tcBorders>
            <w:vAlign w:val="center"/>
            <w:hideMark/>
          </w:tcPr>
          <w:p w14:paraId="63B54DD3"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Store Infrastructure</w:t>
            </w:r>
          </w:p>
        </w:tc>
        <w:tc>
          <w:tcPr>
            <w:tcW w:w="2041" w:type="dxa"/>
            <w:tcBorders>
              <w:top w:val="nil"/>
              <w:left w:val="nil"/>
              <w:bottom w:val="single" w:sz="4" w:space="0" w:color="auto"/>
              <w:right w:val="single" w:sz="4" w:space="0" w:color="auto"/>
            </w:tcBorders>
            <w:vAlign w:val="center"/>
            <w:hideMark/>
          </w:tcPr>
          <w:p w14:paraId="3D7796A8"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2.85</w:t>
            </w:r>
          </w:p>
        </w:tc>
      </w:tr>
      <w:tr w:rsidR="00467CA5" w:rsidRPr="00467CA5" w14:paraId="1C272858" w14:textId="77777777" w:rsidTr="000F221E">
        <w:trPr>
          <w:trHeight w:val="576"/>
        </w:trPr>
        <w:tc>
          <w:tcPr>
            <w:tcW w:w="0" w:type="auto"/>
            <w:vMerge/>
            <w:tcBorders>
              <w:top w:val="nil"/>
              <w:left w:val="single" w:sz="4" w:space="0" w:color="auto"/>
              <w:bottom w:val="single" w:sz="4" w:space="0" w:color="auto"/>
              <w:right w:val="single" w:sz="4" w:space="0" w:color="auto"/>
            </w:tcBorders>
            <w:vAlign w:val="center"/>
            <w:hideMark/>
          </w:tcPr>
          <w:p w14:paraId="12D5D893"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vMerge/>
            <w:tcBorders>
              <w:top w:val="nil"/>
              <w:left w:val="single" w:sz="4" w:space="0" w:color="auto"/>
              <w:bottom w:val="single" w:sz="4" w:space="0" w:color="auto"/>
              <w:right w:val="single" w:sz="4" w:space="0" w:color="auto"/>
            </w:tcBorders>
            <w:vAlign w:val="center"/>
            <w:hideMark/>
          </w:tcPr>
          <w:p w14:paraId="30E247A2" w14:textId="77777777" w:rsidR="00467CA5" w:rsidRPr="00467CA5" w:rsidRDefault="00467CA5" w:rsidP="000F221E">
            <w:pPr>
              <w:rPr>
                <w:rFonts w:asciiTheme="majorHAnsi" w:hAnsiTheme="majorHAnsi" w:cstheme="minorHAnsi"/>
                <w:b/>
                <w:bCs/>
                <w:color w:val="000000"/>
                <w:sz w:val="22"/>
                <w:szCs w:val="22"/>
                <w:lang w:bidi="hi-IN"/>
              </w:rPr>
            </w:pPr>
          </w:p>
        </w:tc>
        <w:tc>
          <w:tcPr>
            <w:tcW w:w="0" w:type="auto"/>
            <w:tcBorders>
              <w:top w:val="nil"/>
              <w:left w:val="nil"/>
              <w:bottom w:val="single" w:sz="4" w:space="0" w:color="auto"/>
              <w:right w:val="single" w:sz="4" w:space="0" w:color="auto"/>
            </w:tcBorders>
            <w:vAlign w:val="bottom"/>
            <w:hideMark/>
          </w:tcPr>
          <w:p w14:paraId="73E2EF96"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Ready to Use assets for Offices</w:t>
            </w:r>
          </w:p>
        </w:tc>
        <w:tc>
          <w:tcPr>
            <w:tcW w:w="0" w:type="auto"/>
            <w:tcBorders>
              <w:top w:val="nil"/>
              <w:left w:val="nil"/>
              <w:bottom w:val="single" w:sz="4" w:space="0" w:color="auto"/>
              <w:right w:val="single" w:sz="4" w:space="0" w:color="auto"/>
            </w:tcBorders>
            <w:vAlign w:val="center"/>
            <w:hideMark/>
          </w:tcPr>
          <w:p w14:paraId="640E303F" w14:textId="77777777" w:rsidR="00467CA5" w:rsidRPr="00467CA5" w:rsidRDefault="00467CA5" w:rsidP="000F221E">
            <w:pP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Ready to Use assets for Offices</w:t>
            </w:r>
          </w:p>
        </w:tc>
        <w:tc>
          <w:tcPr>
            <w:tcW w:w="2041" w:type="dxa"/>
            <w:tcBorders>
              <w:top w:val="nil"/>
              <w:left w:val="nil"/>
              <w:bottom w:val="single" w:sz="4" w:space="0" w:color="auto"/>
              <w:right w:val="single" w:sz="4" w:space="0" w:color="auto"/>
            </w:tcBorders>
            <w:vAlign w:val="center"/>
            <w:hideMark/>
          </w:tcPr>
          <w:p w14:paraId="0F5DCA50" w14:textId="77777777" w:rsidR="00467CA5" w:rsidRPr="00467CA5" w:rsidRDefault="00467CA5" w:rsidP="000F221E">
            <w:pPr>
              <w:jc w:val="center"/>
              <w:rPr>
                <w:rFonts w:asciiTheme="majorHAnsi" w:hAnsiTheme="majorHAnsi" w:cstheme="minorHAnsi"/>
                <w:color w:val="000000"/>
                <w:sz w:val="22"/>
                <w:szCs w:val="22"/>
                <w:lang w:bidi="hi-IN"/>
              </w:rPr>
            </w:pPr>
            <w:r w:rsidRPr="00467CA5">
              <w:rPr>
                <w:rFonts w:asciiTheme="majorHAnsi" w:hAnsiTheme="majorHAnsi" w:cstheme="minorHAnsi"/>
                <w:color w:val="000000"/>
                <w:sz w:val="22"/>
                <w:szCs w:val="22"/>
                <w:lang w:bidi="hi-IN"/>
              </w:rPr>
              <w:t>2.58</w:t>
            </w:r>
          </w:p>
        </w:tc>
      </w:tr>
      <w:tr w:rsidR="00467CA5" w:rsidRPr="00467CA5" w14:paraId="68E9934C" w14:textId="77777777" w:rsidTr="000F221E">
        <w:trPr>
          <w:trHeight w:val="288"/>
        </w:trPr>
        <w:tc>
          <w:tcPr>
            <w:tcW w:w="0" w:type="auto"/>
            <w:gridSpan w:val="4"/>
            <w:tcBorders>
              <w:top w:val="single" w:sz="4" w:space="0" w:color="auto"/>
              <w:left w:val="single" w:sz="4" w:space="0" w:color="auto"/>
              <w:bottom w:val="single" w:sz="4" w:space="0" w:color="auto"/>
              <w:right w:val="single" w:sz="4" w:space="0" w:color="000000"/>
            </w:tcBorders>
            <w:vAlign w:val="center"/>
            <w:hideMark/>
          </w:tcPr>
          <w:p w14:paraId="2543842C" w14:textId="77777777" w:rsidR="00467CA5" w:rsidRPr="00467CA5" w:rsidRDefault="00467CA5" w:rsidP="000F221E">
            <w:pPr>
              <w:jc w:val="center"/>
              <w:rPr>
                <w:rFonts w:asciiTheme="majorHAnsi" w:hAnsiTheme="majorHAnsi" w:cstheme="minorHAnsi"/>
                <w:b/>
                <w:bCs/>
                <w:color w:val="000000"/>
                <w:sz w:val="22"/>
                <w:szCs w:val="22"/>
                <w:lang w:bidi="hi-IN"/>
              </w:rPr>
            </w:pPr>
            <w:r w:rsidRPr="00467CA5">
              <w:rPr>
                <w:rFonts w:asciiTheme="majorHAnsi" w:hAnsiTheme="majorHAnsi" w:cstheme="minorHAnsi"/>
                <w:b/>
                <w:bCs/>
                <w:color w:val="000000"/>
                <w:sz w:val="22"/>
                <w:szCs w:val="22"/>
                <w:lang w:bidi="hi-IN"/>
              </w:rPr>
              <w:t>Sub Total - IT &amp; Infrastructure</w:t>
            </w:r>
          </w:p>
        </w:tc>
        <w:tc>
          <w:tcPr>
            <w:tcW w:w="2041" w:type="dxa"/>
            <w:tcBorders>
              <w:top w:val="nil"/>
              <w:left w:val="nil"/>
              <w:bottom w:val="single" w:sz="4" w:space="0" w:color="auto"/>
              <w:right w:val="single" w:sz="4" w:space="0" w:color="auto"/>
            </w:tcBorders>
            <w:vAlign w:val="center"/>
            <w:hideMark/>
          </w:tcPr>
          <w:p w14:paraId="2A325B69" w14:textId="77777777" w:rsidR="00467CA5" w:rsidRPr="00467CA5" w:rsidRDefault="00467CA5" w:rsidP="000F221E">
            <w:pPr>
              <w:jc w:val="center"/>
              <w:rPr>
                <w:rFonts w:asciiTheme="majorHAnsi" w:hAnsiTheme="majorHAnsi" w:cstheme="minorHAnsi"/>
                <w:b/>
                <w:bCs/>
                <w:color w:val="000000"/>
                <w:sz w:val="22"/>
                <w:szCs w:val="22"/>
                <w:lang w:bidi="hi-IN"/>
              </w:rPr>
            </w:pPr>
            <w:r w:rsidRPr="00467CA5">
              <w:rPr>
                <w:rFonts w:asciiTheme="majorHAnsi" w:hAnsiTheme="majorHAnsi" w:cstheme="minorHAnsi"/>
                <w:b/>
                <w:bCs/>
                <w:color w:val="000000"/>
                <w:sz w:val="22"/>
                <w:szCs w:val="22"/>
                <w:lang w:bidi="hi-IN"/>
              </w:rPr>
              <w:t>44.77</w:t>
            </w:r>
          </w:p>
        </w:tc>
      </w:tr>
      <w:tr w:rsidR="00467CA5" w:rsidRPr="00467CA5" w14:paraId="2CFC64AC" w14:textId="77777777" w:rsidTr="000F221E">
        <w:trPr>
          <w:trHeight w:val="288"/>
        </w:trPr>
        <w:tc>
          <w:tcPr>
            <w:tcW w:w="0" w:type="auto"/>
            <w:gridSpan w:val="4"/>
            <w:tcBorders>
              <w:top w:val="single" w:sz="4" w:space="0" w:color="auto"/>
              <w:left w:val="single" w:sz="4" w:space="0" w:color="auto"/>
              <w:bottom w:val="single" w:sz="4" w:space="0" w:color="auto"/>
              <w:right w:val="single" w:sz="4" w:space="0" w:color="000000"/>
            </w:tcBorders>
            <w:noWrap/>
            <w:vAlign w:val="center"/>
            <w:hideMark/>
          </w:tcPr>
          <w:p w14:paraId="63C4C7BD" w14:textId="77777777" w:rsidR="00467CA5" w:rsidRPr="00467CA5" w:rsidRDefault="00467CA5" w:rsidP="000F221E">
            <w:pPr>
              <w:jc w:val="center"/>
              <w:rPr>
                <w:rFonts w:asciiTheme="majorHAnsi" w:hAnsiTheme="majorHAnsi" w:cstheme="minorHAnsi"/>
                <w:b/>
                <w:bCs/>
                <w:color w:val="000000"/>
                <w:sz w:val="22"/>
                <w:szCs w:val="22"/>
                <w:lang w:bidi="hi-IN"/>
              </w:rPr>
            </w:pPr>
            <w:r w:rsidRPr="00467CA5">
              <w:rPr>
                <w:rFonts w:asciiTheme="majorHAnsi" w:hAnsiTheme="majorHAnsi" w:cstheme="minorHAnsi"/>
                <w:b/>
                <w:bCs/>
                <w:color w:val="000000"/>
                <w:sz w:val="22"/>
                <w:szCs w:val="22"/>
                <w:lang w:bidi="hi-IN"/>
              </w:rPr>
              <w:t>GRAND TOTAL</w:t>
            </w:r>
          </w:p>
        </w:tc>
        <w:tc>
          <w:tcPr>
            <w:tcW w:w="2041" w:type="dxa"/>
            <w:tcBorders>
              <w:top w:val="nil"/>
              <w:left w:val="nil"/>
              <w:bottom w:val="single" w:sz="4" w:space="0" w:color="auto"/>
              <w:right w:val="single" w:sz="4" w:space="0" w:color="auto"/>
            </w:tcBorders>
            <w:noWrap/>
            <w:vAlign w:val="center"/>
            <w:hideMark/>
          </w:tcPr>
          <w:p w14:paraId="0F2F848A" w14:textId="77777777" w:rsidR="00467CA5" w:rsidRPr="00467CA5" w:rsidRDefault="00467CA5" w:rsidP="000F221E">
            <w:pPr>
              <w:jc w:val="center"/>
              <w:rPr>
                <w:rFonts w:asciiTheme="majorHAnsi" w:hAnsiTheme="majorHAnsi" w:cstheme="minorHAnsi"/>
                <w:b/>
                <w:bCs/>
                <w:color w:val="000000"/>
                <w:sz w:val="22"/>
                <w:szCs w:val="22"/>
                <w:lang w:bidi="hi-IN"/>
              </w:rPr>
            </w:pPr>
            <w:r w:rsidRPr="00467CA5">
              <w:rPr>
                <w:rFonts w:asciiTheme="majorHAnsi" w:hAnsiTheme="majorHAnsi" w:cstheme="minorHAnsi"/>
                <w:b/>
                <w:bCs/>
                <w:color w:val="000000"/>
                <w:sz w:val="22"/>
                <w:szCs w:val="22"/>
                <w:lang w:bidi="hi-IN"/>
              </w:rPr>
              <w:t>525.30</w:t>
            </w:r>
          </w:p>
        </w:tc>
      </w:tr>
    </w:tbl>
    <w:p w14:paraId="72DC4063" w14:textId="77777777" w:rsidR="00467CA5" w:rsidRDefault="00467CA5" w:rsidP="00E527E2">
      <w:pPr>
        <w:spacing w:after="120" w:line="360" w:lineRule="auto"/>
        <w:jc w:val="both"/>
        <w:rPr>
          <w:rFonts w:ascii="Cambria" w:hAnsi="Cambria" w:cs="Arial"/>
        </w:rPr>
      </w:pPr>
    </w:p>
    <w:p w14:paraId="2B657814" w14:textId="237BD67F" w:rsidR="004F7777" w:rsidRDefault="004F7777" w:rsidP="00E527E2">
      <w:pPr>
        <w:spacing w:after="120" w:line="360" w:lineRule="auto"/>
        <w:jc w:val="both"/>
        <w:rPr>
          <w:rFonts w:ascii="Cambria" w:hAnsi="Cambria" w:cs="Arial"/>
        </w:rPr>
      </w:pPr>
      <w:r w:rsidRPr="001D04BE">
        <w:rPr>
          <w:rFonts w:ascii="Cambria" w:hAnsi="Cambria" w:cs="Arial"/>
        </w:rPr>
        <w:t xml:space="preserve">The detailed CAPEX proposal was filed before the Hon’ble Commission through an affidavit dated 10.09.2025. </w:t>
      </w:r>
      <w:r>
        <w:rPr>
          <w:rFonts w:asciiTheme="majorHAnsi" w:hAnsiTheme="majorHAnsi"/>
        </w:rPr>
        <w:t>The same was registered as Case No. 50/ 2024</w:t>
      </w:r>
      <w:r w:rsidRPr="001D04BE">
        <w:rPr>
          <w:rFonts w:ascii="Cambria" w:hAnsi="Cambria" w:cs="Arial"/>
        </w:rPr>
        <w:t>.</w:t>
      </w:r>
    </w:p>
    <w:p w14:paraId="10FB486D" w14:textId="520497B1" w:rsidR="00E527E2" w:rsidRDefault="00E527E2" w:rsidP="00C54862">
      <w:pPr>
        <w:spacing w:after="120" w:line="360" w:lineRule="auto"/>
        <w:jc w:val="both"/>
        <w:rPr>
          <w:rFonts w:ascii="Cambria" w:hAnsi="Cambria" w:cs="Arial"/>
        </w:rPr>
      </w:pPr>
      <w:r>
        <w:rPr>
          <w:rFonts w:ascii="Cambria" w:hAnsi="Cambria" w:cs="Arial"/>
        </w:rPr>
        <w:t xml:space="preserve">Further, </w:t>
      </w:r>
      <w:r w:rsidR="0064642D">
        <w:rPr>
          <w:rFonts w:asciiTheme="majorHAnsi" w:hAnsiTheme="majorHAnsi" w:cs="Arial"/>
          <w:lang w:eastAsia="en-IN"/>
        </w:rPr>
        <w:t>the Hon’ble Commission vide it’s letter no. DIR(T)</w:t>
      </w:r>
      <w:r w:rsidR="0064642D">
        <w:rPr>
          <w:rFonts w:asciiTheme="majorHAnsi" w:hAnsiTheme="majorHAnsi" w:cs="Arial"/>
          <w:lang w:val="en-IN" w:eastAsia="en-IN"/>
        </w:rPr>
        <w:t xml:space="preserve">-319/08/580 dated 08.05.2025 has circulated the MoM (Meeting among the stakeholders held at OERC office on 28.04.2025 regarding the Safety Aspect of the Power Sector in Odisha), wherein the Licensee was asked to submit the list of actionable points with respect to safety aspects of human being, animals and electrical installation of the power system in the operating area. Accordingly, a Safety CAPEX plan had also been filed by </w:t>
      </w:r>
      <w:r w:rsidR="0064642D">
        <w:rPr>
          <w:rFonts w:asciiTheme="majorHAnsi" w:hAnsiTheme="majorHAnsi" w:cs="Arial"/>
          <w:lang w:eastAsia="en-IN"/>
        </w:rPr>
        <w:t xml:space="preserve">TPWODL which has been registered as Case no 48 of 2025 for which hearing is concluded and the order is reserved. </w:t>
      </w:r>
      <w:r>
        <w:rPr>
          <w:rFonts w:ascii="Cambria" w:hAnsi="Cambria" w:cs="Arial"/>
        </w:rPr>
        <w:t>T</w:t>
      </w:r>
      <w:r w:rsidRPr="00F724E4">
        <w:rPr>
          <w:rFonts w:ascii="Cambria" w:hAnsi="Cambria" w:cs="Arial"/>
        </w:rPr>
        <w:t>he Hon’ble Commission vide its letter no OERC/Engg-01/2023/705 dated 05-06-2025 has sought details on physical progress of CAPEX by the DISCOMS in a specified format to which the Licensee has submitted the progress report vide its letter dated 01-08-2025 having letter no – TPWODL/RA/2025/049.</w:t>
      </w:r>
    </w:p>
    <w:p w14:paraId="069A8262" w14:textId="325F7157" w:rsidR="00422AEE" w:rsidRDefault="00C90117" w:rsidP="00C54862">
      <w:pPr>
        <w:spacing w:after="120" w:line="360" w:lineRule="auto"/>
        <w:jc w:val="both"/>
        <w:rPr>
          <w:rFonts w:asciiTheme="majorHAnsi" w:hAnsiTheme="majorHAnsi"/>
        </w:rPr>
      </w:pPr>
      <w:r>
        <w:rPr>
          <w:rFonts w:ascii="Cambria" w:hAnsi="Cambria" w:cs="Arial"/>
        </w:rPr>
        <w:t>Additionally</w:t>
      </w:r>
      <w:r w:rsidR="00A83681">
        <w:rPr>
          <w:rFonts w:ascii="Cambria" w:hAnsi="Cambria" w:cs="Arial"/>
        </w:rPr>
        <w:t xml:space="preserve">, </w:t>
      </w:r>
      <w:r w:rsidR="000014AD">
        <w:rPr>
          <w:rFonts w:ascii="Cambria" w:hAnsi="Cambria" w:cs="Arial"/>
        </w:rPr>
        <w:t xml:space="preserve">in </w:t>
      </w:r>
      <w:r>
        <w:rPr>
          <w:rFonts w:ascii="Cambria" w:hAnsi="Cambria" w:cs="Arial"/>
        </w:rPr>
        <w:t>pursuant</w:t>
      </w:r>
      <w:r w:rsidR="000014AD">
        <w:rPr>
          <w:rFonts w:ascii="Cambria" w:hAnsi="Cambria" w:cs="Arial"/>
        </w:rPr>
        <w:t xml:space="preserve"> to the direction of the Hon’ble commission vide letter </w:t>
      </w:r>
      <w:r w:rsidR="00A84806" w:rsidRPr="00A84806">
        <w:rPr>
          <w:rFonts w:ascii="Cambria" w:hAnsi="Cambria" w:cs="Arial"/>
        </w:rPr>
        <w:t>OERC-</w:t>
      </w:r>
      <w:proofErr w:type="spellStart"/>
      <w:r w:rsidR="00A84806" w:rsidRPr="00A84806">
        <w:rPr>
          <w:rFonts w:ascii="Cambria" w:hAnsi="Cambria" w:cs="Arial"/>
        </w:rPr>
        <w:t>Engg</w:t>
      </w:r>
      <w:proofErr w:type="spellEnd"/>
      <w:r w:rsidR="00A84806" w:rsidRPr="00A84806">
        <w:rPr>
          <w:rFonts w:ascii="Cambria" w:hAnsi="Cambria" w:cs="Arial"/>
        </w:rPr>
        <w:t>,- 09/2022/5</w:t>
      </w:r>
      <w:r w:rsidR="00A84806">
        <w:rPr>
          <w:rFonts w:ascii="Cambria" w:hAnsi="Cambria" w:cs="Arial"/>
        </w:rPr>
        <w:t xml:space="preserve">30 dated 02.05.2025 </w:t>
      </w:r>
      <w:r>
        <w:rPr>
          <w:rFonts w:ascii="Cambria" w:hAnsi="Cambria" w:cs="Arial"/>
        </w:rPr>
        <w:t xml:space="preserve">directed the Licensee </w:t>
      </w:r>
      <w:r w:rsidRPr="00C90117">
        <w:rPr>
          <w:rFonts w:ascii="Cambria" w:hAnsi="Cambria" w:cs="Arial"/>
        </w:rPr>
        <w:t>to carry out system study and prepare Detailed Project Report (DPR) including the required Capex for development of distribution infrastructure for least power interruption in the city of Rourkela within a time period of 18 months</w:t>
      </w:r>
      <w:r w:rsidR="00CE0BE6">
        <w:rPr>
          <w:rFonts w:ascii="Cambria" w:hAnsi="Cambria" w:cs="Arial"/>
        </w:rPr>
        <w:t>. Accordingly, the Licensee vide let</w:t>
      </w:r>
      <w:r w:rsidR="007B2F41">
        <w:rPr>
          <w:rFonts w:ascii="Cambria" w:hAnsi="Cambria" w:cs="Arial"/>
        </w:rPr>
        <w:t>t</w:t>
      </w:r>
      <w:r w:rsidR="00CE0BE6">
        <w:rPr>
          <w:rFonts w:ascii="Cambria" w:hAnsi="Cambria" w:cs="Arial"/>
        </w:rPr>
        <w:t xml:space="preserve">er </w:t>
      </w:r>
      <w:r w:rsidR="007B2F41">
        <w:rPr>
          <w:rFonts w:ascii="Cambria" w:hAnsi="Cambria" w:cs="Arial"/>
        </w:rPr>
        <w:t xml:space="preserve">TPWODL/RA/2025/50 </w:t>
      </w:r>
      <w:r w:rsidR="00CE0BE6">
        <w:rPr>
          <w:rFonts w:ascii="Cambria" w:hAnsi="Cambria" w:cs="Arial"/>
        </w:rPr>
        <w:t xml:space="preserve">dated </w:t>
      </w:r>
      <w:r w:rsidR="007B2F41">
        <w:rPr>
          <w:rFonts w:ascii="Cambria" w:hAnsi="Cambria" w:cs="Arial"/>
        </w:rPr>
        <w:t>08.08.2025</w:t>
      </w:r>
      <w:r w:rsidR="009801B6">
        <w:rPr>
          <w:rFonts w:ascii="Cambria" w:hAnsi="Cambria" w:cs="Arial"/>
        </w:rPr>
        <w:t xml:space="preserve"> have submitted Detailed Project Report </w:t>
      </w:r>
      <w:r w:rsidR="00C6126A">
        <w:rPr>
          <w:rFonts w:ascii="Cambria" w:hAnsi="Cambria" w:cs="Arial"/>
        </w:rPr>
        <w:t xml:space="preserve">named as </w:t>
      </w:r>
      <w:r w:rsidR="009801B6" w:rsidRPr="009801B6">
        <w:rPr>
          <w:rFonts w:ascii="Cambria" w:hAnsi="Cambria" w:cs="Arial"/>
        </w:rPr>
        <w:t>Ensuring 24X7 Power Supply at Rourkela City</w:t>
      </w:r>
      <w:r w:rsidR="009801B6">
        <w:rPr>
          <w:rFonts w:ascii="Cambria" w:hAnsi="Cambria" w:cs="Arial"/>
        </w:rPr>
        <w:t xml:space="preserve"> (Trip fr</w:t>
      </w:r>
      <w:r w:rsidR="00C6126A">
        <w:rPr>
          <w:rFonts w:ascii="Cambria" w:hAnsi="Cambria" w:cs="Arial"/>
        </w:rPr>
        <w:t>ee Rourkela</w:t>
      </w:r>
      <w:r w:rsidR="009801B6">
        <w:rPr>
          <w:rFonts w:ascii="Cambria" w:hAnsi="Cambria" w:cs="Arial"/>
        </w:rPr>
        <w:t>)</w:t>
      </w:r>
      <w:r w:rsidR="0032379E">
        <w:rPr>
          <w:rFonts w:ascii="Cambria" w:hAnsi="Cambria" w:cs="Arial"/>
        </w:rPr>
        <w:t xml:space="preserve"> with a proposed cost of Rs. </w:t>
      </w:r>
      <w:r w:rsidR="0032379E" w:rsidRPr="0032379E">
        <w:rPr>
          <w:rFonts w:ascii="Cambria" w:hAnsi="Cambria" w:cs="Arial"/>
        </w:rPr>
        <w:t>813.87</w:t>
      </w:r>
      <w:r w:rsidR="0032379E">
        <w:rPr>
          <w:rFonts w:ascii="Cambria" w:hAnsi="Cambria" w:cs="Arial"/>
        </w:rPr>
        <w:t xml:space="preserve"> Cr for kind perusal of the Hon’ble Commission</w:t>
      </w:r>
      <w:r w:rsidR="00C6126A">
        <w:rPr>
          <w:rFonts w:ascii="Cambria" w:hAnsi="Cambria" w:cs="Arial"/>
        </w:rPr>
        <w:t>.</w:t>
      </w:r>
      <w:r w:rsidR="00F11A62">
        <w:rPr>
          <w:rFonts w:ascii="Cambria" w:hAnsi="Cambria" w:cs="Arial"/>
        </w:rPr>
        <w:t xml:space="preserve"> It is worth to mention that the matter </w:t>
      </w:r>
      <w:r w:rsidR="007C7486">
        <w:rPr>
          <w:rFonts w:ascii="Cambria" w:hAnsi="Cambria" w:cs="Arial"/>
        </w:rPr>
        <w:t xml:space="preserve">is yet to be </w:t>
      </w:r>
      <w:r w:rsidR="003F7886">
        <w:rPr>
          <w:rFonts w:ascii="Cambria" w:hAnsi="Cambria" w:cs="Arial"/>
        </w:rPr>
        <w:t>considered</w:t>
      </w:r>
      <w:r w:rsidR="007C7486">
        <w:rPr>
          <w:rFonts w:ascii="Cambria" w:hAnsi="Cambria" w:cs="Arial"/>
        </w:rPr>
        <w:t>.</w:t>
      </w:r>
    </w:p>
    <w:p w14:paraId="1BBDD18D" w14:textId="193E88EA" w:rsidR="008E6D2C" w:rsidRDefault="008E6D2C" w:rsidP="00D8040C">
      <w:pPr>
        <w:pStyle w:val="Heading1"/>
        <w:numPr>
          <w:ilvl w:val="0"/>
          <w:numId w:val="1"/>
        </w:numPr>
        <w:shd w:val="clear" w:color="auto" w:fill="002060"/>
        <w:spacing w:line="360" w:lineRule="auto"/>
        <w:jc w:val="both"/>
        <w:rPr>
          <w:rFonts w:ascii="Cambria" w:hAnsi="Cambria"/>
          <w:sz w:val="24"/>
          <w:szCs w:val="24"/>
        </w:rPr>
      </w:pPr>
      <w:bookmarkStart w:id="92" w:name="_Toc152180114"/>
      <w:bookmarkStart w:id="93" w:name="_Toc183204720"/>
      <w:bookmarkStart w:id="94" w:name="_Toc152180107"/>
      <w:bookmarkStart w:id="95" w:name="_Toc215250630"/>
      <w:bookmarkEnd w:id="87"/>
      <w:bookmarkEnd w:id="88"/>
      <w:r>
        <w:rPr>
          <w:rFonts w:ascii="Cambria" w:hAnsi="Cambria"/>
          <w:sz w:val="24"/>
          <w:szCs w:val="24"/>
        </w:rPr>
        <w:t>Revenue and Current year GAP</w:t>
      </w:r>
      <w:bookmarkEnd w:id="92"/>
      <w:bookmarkEnd w:id="93"/>
      <w:bookmarkEnd w:id="95"/>
      <w:r>
        <w:rPr>
          <w:rFonts w:ascii="Cambria" w:hAnsi="Cambria"/>
          <w:sz w:val="24"/>
          <w:szCs w:val="24"/>
        </w:rPr>
        <w:t xml:space="preserve"> </w:t>
      </w:r>
    </w:p>
    <w:p w14:paraId="5C1CC837" w14:textId="4132F89E" w:rsidR="008E6D2C" w:rsidRPr="00904B4F" w:rsidRDefault="008E6D2C" w:rsidP="00904B4F">
      <w:pPr>
        <w:pStyle w:val="Heading2"/>
        <w:numPr>
          <w:ilvl w:val="1"/>
          <w:numId w:val="1"/>
        </w:numPr>
        <w:rPr>
          <w:rFonts w:asciiTheme="majorHAnsi" w:hAnsiTheme="majorHAnsi"/>
          <w:i w:val="0"/>
          <w:iCs w:val="0"/>
          <w:sz w:val="24"/>
          <w:szCs w:val="24"/>
        </w:rPr>
      </w:pPr>
      <w:bookmarkStart w:id="96" w:name="_Toc152180115"/>
      <w:bookmarkStart w:id="97" w:name="_Toc183204721"/>
      <w:bookmarkStart w:id="98" w:name="_Toc215250631"/>
      <w:r w:rsidRPr="00904B4F">
        <w:rPr>
          <w:rFonts w:asciiTheme="majorHAnsi" w:hAnsiTheme="majorHAnsi"/>
          <w:i w:val="0"/>
          <w:iCs w:val="0"/>
          <w:sz w:val="24"/>
          <w:szCs w:val="24"/>
        </w:rPr>
        <w:t>Non-Tariff Income</w:t>
      </w:r>
      <w:bookmarkEnd w:id="96"/>
      <w:bookmarkEnd w:id="97"/>
      <w:bookmarkEnd w:id="98"/>
    </w:p>
    <w:p w14:paraId="5739D672" w14:textId="55F8D62F" w:rsidR="008E6D2C" w:rsidRDefault="008E6D2C" w:rsidP="008E6D2C">
      <w:pPr>
        <w:pStyle w:val="ListParagraph"/>
        <w:spacing w:line="360" w:lineRule="auto"/>
        <w:ind w:left="0"/>
        <w:jc w:val="both"/>
        <w:rPr>
          <w:rFonts w:ascii="Cambria" w:hAnsi="Cambria" w:cs="Calibri"/>
          <w:color w:val="232323"/>
          <w:sz w:val="24"/>
          <w:szCs w:val="24"/>
        </w:rPr>
      </w:pPr>
      <w:r w:rsidRPr="00B16A3C">
        <w:rPr>
          <w:rFonts w:ascii="Cambria" w:hAnsi="Cambria" w:cs="Calibri"/>
          <w:color w:val="232323"/>
          <w:sz w:val="24"/>
          <w:szCs w:val="24"/>
        </w:rPr>
        <w:t xml:space="preserve">The Utility </w:t>
      </w:r>
      <w:r w:rsidRPr="009E3344">
        <w:rPr>
          <w:rFonts w:ascii="Cambria" w:hAnsi="Cambria" w:cs="Calibri"/>
          <w:color w:val="232323"/>
          <w:sz w:val="24"/>
          <w:szCs w:val="24"/>
        </w:rPr>
        <w:t xml:space="preserve">has proposed </w:t>
      </w:r>
      <w:r w:rsidRPr="009E3344">
        <w:rPr>
          <w:rFonts w:ascii="Cambria" w:hAnsi="Cambria" w:cs="Calibri"/>
          <w:b/>
          <w:color w:val="232323"/>
          <w:sz w:val="24"/>
          <w:szCs w:val="24"/>
        </w:rPr>
        <w:t>Rs.</w:t>
      </w:r>
      <w:r w:rsidR="009C4BF0" w:rsidRPr="009E3344">
        <w:rPr>
          <w:rFonts w:ascii="Cambria" w:hAnsi="Cambria" w:cs="Calibri"/>
          <w:b/>
          <w:color w:val="232323"/>
          <w:sz w:val="24"/>
          <w:szCs w:val="24"/>
        </w:rPr>
        <w:t xml:space="preserve"> </w:t>
      </w:r>
      <w:r w:rsidR="009E3344" w:rsidRPr="009E3344">
        <w:rPr>
          <w:rFonts w:ascii="Cambria" w:hAnsi="Cambria" w:cs="Calibri"/>
          <w:b/>
          <w:color w:val="232323"/>
          <w:sz w:val="24"/>
          <w:szCs w:val="24"/>
        </w:rPr>
        <w:t>417.42</w:t>
      </w:r>
      <w:r w:rsidRPr="009E3344">
        <w:rPr>
          <w:rFonts w:ascii="Cambria" w:hAnsi="Cambria" w:cs="Calibri"/>
          <w:b/>
          <w:color w:val="232323"/>
          <w:sz w:val="24"/>
          <w:szCs w:val="24"/>
        </w:rPr>
        <w:t xml:space="preserve"> Cr</w:t>
      </w:r>
      <w:r w:rsidRPr="009E3344">
        <w:rPr>
          <w:rFonts w:ascii="Cambria" w:hAnsi="Cambria" w:cs="Calibri"/>
          <w:color w:val="232323"/>
          <w:sz w:val="24"/>
          <w:szCs w:val="24"/>
        </w:rPr>
        <w:t>. as Non</w:t>
      </w:r>
      <w:r w:rsidRPr="00B16A3C">
        <w:rPr>
          <w:rFonts w:ascii="Cambria" w:hAnsi="Cambria" w:cs="Calibri"/>
          <w:color w:val="232323"/>
          <w:sz w:val="24"/>
          <w:szCs w:val="24"/>
        </w:rPr>
        <w:t xml:space="preserve">-Tariff Income for the ensuing year FY </w:t>
      </w:r>
      <w:r w:rsidR="007507C7">
        <w:rPr>
          <w:rFonts w:ascii="Cambria" w:hAnsi="Cambria" w:cs="Calibri"/>
          <w:color w:val="232323"/>
          <w:sz w:val="24"/>
          <w:szCs w:val="24"/>
        </w:rPr>
        <w:t>26-27</w:t>
      </w:r>
      <w:r w:rsidRPr="00B16A3C">
        <w:rPr>
          <w:rFonts w:ascii="Cambria" w:hAnsi="Cambria" w:cs="Calibri"/>
          <w:color w:val="232323"/>
          <w:sz w:val="24"/>
          <w:szCs w:val="24"/>
        </w:rPr>
        <w:t xml:space="preserve">. The details of Non-tariff income </w:t>
      </w:r>
      <w:r w:rsidR="004A32EB">
        <w:rPr>
          <w:rFonts w:ascii="Cambria" w:hAnsi="Cambria" w:cs="Calibri"/>
          <w:color w:val="232323"/>
          <w:sz w:val="24"/>
          <w:szCs w:val="24"/>
        </w:rPr>
        <w:t>is</w:t>
      </w:r>
      <w:r w:rsidR="009C4BF0">
        <w:rPr>
          <w:rFonts w:ascii="Cambria" w:hAnsi="Cambria" w:cs="Calibri"/>
          <w:color w:val="232323"/>
          <w:sz w:val="24"/>
          <w:szCs w:val="24"/>
        </w:rPr>
        <w:t xml:space="preserve"> </w:t>
      </w:r>
      <w:r w:rsidRPr="00B16A3C">
        <w:rPr>
          <w:rFonts w:ascii="Cambria" w:hAnsi="Cambria" w:cs="Calibri"/>
          <w:color w:val="232323"/>
          <w:sz w:val="24"/>
          <w:szCs w:val="24"/>
        </w:rPr>
        <w:t>as under:</w:t>
      </w:r>
    </w:p>
    <w:p w14:paraId="41D1E2FA" w14:textId="77777777" w:rsidR="00783E31" w:rsidRDefault="00783E31" w:rsidP="008E6D2C">
      <w:pPr>
        <w:pStyle w:val="ListParagraph"/>
        <w:spacing w:line="360" w:lineRule="auto"/>
        <w:ind w:left="0"/>
        <w:jc w:val="both"/>
        <w:rPr>
          <w:rFonts w:ascii="Cambria" w:hAnsi="Cambria" w:cs="Calibri"/>
          <w:color w:val="232323"/>
          <w:sz w:val="24"/>
          <w:szCs w:val="24"/>
        </w:rPr>
      </w:pPr>
    </w:p>
    <w:tbl>
      <w:tblPr>
        <w:tblStyle w:val="TableGrid"/>
        <w:tblW w:w="0" w:type="auto"/>
        <w:jc w:val="center"/>
        <w:tblLook w:val="04A0" w:firstRow="1" w:lastRow="0" w:firstColumn="1" w:lastColumn="0" w:noHBand="0" w:noVBand="1"/>
      </w:tblPr>
      <w:tblGrid>
        <w:gridCol w:w="4248"/>
        <w:gridCol w:w="2551"/>
      </w:tblGrid>
      <w:tr w:rsidR="009C4BF0" w:rsidRPr="00361EBF" w14:paraId="615B343E" w14:textId="77777777" w:rsidTr="009C4BF0">
        <w:trPr>
          <w:jc w:val="center"/>
        </w:trPr>
        <w:tc>
          <w:tcPr>
            <w:tcW w:w="4248" w:type="dxa"/>
            <w:shd w:val="clear" w:color="auto" w:fill="C6D9F1" w:themeFill="text2" w:themeFillTint="33"/>
          </w:tcPr>
          <w:p w14:paraId="231731ED" w14:textId="49F30C4F" w:rsidR="009C4BF0" w:rsidRPr="00361EBF" w:rsidRDefault="009C4BF0" w:rsidP="009C4BF0">
            <w:pPr>
              <w:pStyle w:val="ListParagraph"/>
              <w:spacing w:after="0" w:line="240" w:lineRule="auto"/>
              <w:ind w:left="0"/>
              <w:jc w:val="center"/>
              <w:rPr>
                <w:rFonts w:ascii="Cambria" w:hAnsi="Cambria" w:cs="Calibri"/>
                <w:b/>
                <w:color w:val="232323"/>
              </w:rPr>
            </w:pPr>
            <w:r w:rsidRPr="00361EBF">
              <w:rPr>
                <w:rFonts w:ascii="Cambria" w:hAnsi="Cambria" w:cs="Calibri"/>
                <w:b/>
                <w:color w:val="232323"/>
              </w:rPr>
              <w:t>Particulars</w:t>
            </w:r>
          </w:p>
        </w:tc>
        <w:tc>
          <w:tcPr>
            <w:tcW w:w="2551" w:type="dxa"/>
            <w:shd w:val="clear" w:color="auto" w:fill="C6D9F1" w:themeFill="text2" w:themeFillTint="33"/>
          </w:tcPr>
          <w:p w14:paraId="4BE312F6" w14:textId="62C2AA33" w:rsidR="009C4BF0" w:rsidRPr="00361EBF" w:rsidRDefault="009C4BF0" w:rsidP="009C4BF0">
            <w:pPr>
              <w:pStyle w:val="ListParagraph"/>
              <w:spacing w:after="0" w:line="240" w:lineRule="auto"/>
              <w:ind w:left="0"/>
              <w:jc w:val="center"/>
              <w:rPr>
                <w:rFonts w:ascii="Cambria" w:hAnsi="Cambria" w:cs="Calibri"/>
                <w:b/>
                <w:color w:val="232323"/>
              </w:rPr>
            </w:pPr>
            <w:r w:rsidRPr="00361EBF">
              <w:rPr>
                <w:rFonts w:ascii="Cambria" w:hAnsi="Cambria" w:cs="Calibri"/>
                <w:b/>
                <w:color w:val="232323"/>
              </w:rPr>
              <w:t xml:space="preserve">FY </w:t>
            </w:r>
            <w:r w:rsidR="007507C7" w:rsidRPr="00361EBF">
              <w:rPr>
                <w:rFonts w:ascii="Cambria" w:hAnsi="Cambria" w:cs="Calibri"/>
                <w:b/>
                <w:color w:val="232323"/>
              </w:rPr>
              <w:t>26-27</w:t>
            </w:r>
            <w:r w:rsidRPr="00361EBF">
              <w:rPr>
                <w:rFonts w:ascii="Cambria" w:hAnsi="Cambria" w:cs="Calibri"/>
                <w:b/>
                <w:color w:val="232323"/>
              </w:rPr>
              <w:t xml:space="preserve"> (Rs. Cr.)</w:t>
            </w:r>
          </w:p>
        </w:tc>
      </w:tr>
      <w:tr w:rsidR="001C1374" w:rsidRPr="00361EBF" w14:paraId="0803B690" w14:textId="77777777" w:rsidTr="001F21DF">
        <w:trPr>
          <w:jc w:val="center"/>
        </w:trPr>
        <w:tc>
          <w:tcPr>
            <w:tcW w:w="4248" w:type="dxa"/>
          </w:tcPr>
          <w:p w14:paraId="02F0164E" w14:textId="4D230324" w:rsidR="001C1374" w:rsidRPr="00361EBF" w:rsidRDefault="001C1374" w:rsidP="001C1374">
            <w:pPr>
              <w:pStyle w:val="ListParagraph"/>
              <w:spacing w:after="0" w:line="240" w:lineRule="auto"/>
              <w:ind w:left="0"/>
              <w:jc w:val="both"/>
              <w:rPr>
                <w:rFonts w:ascii="Cambria" w:hAnsi="Cambria" w:cs="Calibri"/>
                <w:color w:val="232323"/>
              </w:rPr>
            </w:pPr>
            <w:r w:rsidRPr="00361EBF">
              <w:rPr>
                <w:rFonts w:ascii="Cambria" w:hAnsi="Cambria" w:cs="Calibri"/>
                <w:color w:val="232323"/>
              </w:rPr>
              <w:t>Power Purchase Rebate</w:t>
            </w:r>
          </w:p>
        </w:tc>
        <w:tc>
          <w:tcPr>
            <w:tcW w:w="2551" w:type="dxa"/>
            <w:vAlign w:val="bottom"/>
          </w:tcPr>
          <w:p w14:paraId="4F945167" w14:textId="1490C936" w:rsidR="001C1374" w:rsidRPr="00361EBF" w:rsidRDefault="001C1374" w:rsidP="001C1374">
            <w:pPr>
              <w:pStyle w:val="ListParagraph"/>
              <w:spacing w:after="0" w:line="240" w:lineRule="auto"/>
              <w:ind w:left="0"/>
              <w:jc w:val="center"/>
              <w:rPr>
                <w:rFonts w:asciiTheme="majorHAnsi" w:hAnsiTheme="majorHAnsi" w:cs="Calibri"/>
                <w:color w:val="232323"/>
              </w:rPr>
            </w:pPr>
            <w:r w:rsidRPr="00361EBF">
              <w:rPr>
                <w:rFonts w:asciiTheme="majorHAnsi" w:hAnsiTheme="majorHAnsi" w:cs="Arial"/>
              </w:rPr>
              <w:t>49.02</w:t>
            </w:r>
          </w:p>
        </w:tc>
      </w:tr>
      <w:tr w:rsidR="001C1374" w:rsidRPr="00361EBF" w14:paraId="225F2CFB" w14:textId="77777777" w:rsidTr="001F21DF">
        <w:trPr>
          <w:jc w:val="center"/>
        </w:trPr>
        <w:tc>
          <w:tcPr>
            <w:tcW w:w="4248" w:type="dxa"/>
          </w:tcPr>
          <w:p w14:paraId="5723C037" w14:textId="7D714907" w:rsidR="001C1374" w:rsidRPr="00361EBF" w:rsidRDefault="001C1374" w:rsidP="001C1374">
            <w:pPr>
              <w:pStyle w:val="ListParagraph"/>
              <w:spacing w:after="0" w:line="240" w:lineRule="auto"/>
              <w:ind w:left="0"/>
              <w:jc w:val="both"/>
              <w:rPr>
                <w:rFonts w:ascii="Cambria" w:hAnsi="Cambria" w:cs="Calibri"/>
                <w:color w:val="232323"/>
              </w:rPr>
            </w:pPr>
            <w:r w:rsidRPr="00361EBF">
              <w:rPr>
                <w:rFonts w:ascii="Cambria" w:hAnsi="Cambria" w:cs="Calibri"/>
                <w:color w:val="232323"/>
              </w:rPr>
              <w:t>Meter Rent</w:t>
            </w:r>
          </w:p>
        </w:tc>
        <w:tc>
          <w:tcPr>
            <w:tcW w:w="2551" w:type="dxa"/>
            <w:vAlign w:val="bottom"/>
          </w:tcPr>
          <w:p w14:paraId="1191D32D" w14:textId="0C81CFFA" w:rsidR="001C1374" w:rsidRPr="00361EBF" w:rsidRDefault="001C1374" w:rsidP="001C1374">
            <w:pPr>
              <w:pStyle w:val="ListParagraph"/>
              <w:spacing w:after="0" w:line="240" w:lineRule="auto"/>
              <w:ind w:left="0"/>
              <w:jc w:val="center"/>
              <w:rPr>
                <w:rFonts w:asciiTheme="majorHAnsi" w:hAnsiTheme="majorHAnsi" w:cs="Calibri"/>
                <w:color w:val="232323"/>
              </w:rPr>
            </w:pPr>
            <w:r w:rsidRPr="00361EBF">
              <w:rPr>
                <w:rFonts w:asciiTheme="majorHAnsi" w:hAnsiTheme="majorHAnsi" w:cs="Arial"/>
              </w:rPr>
              <w:t>35.00</w:t>
            </w:r>
          </w:p>
        </w:tc>
      </w:tr>
      <w:tr w:rsidR="001C1374" w:rsidRPr="00361EBF" w14:paraId="00AB9823" w14:textId="77777777" w:rsidTr="001F21DF">
        <w:trPr>
          <w:jc w:val="center"/>
        </w:trPr>
        <w:tc>
          <w:tcPr>
            <w:tcW w:w="4248" w:type="dxa"/>
          </w:tcPr>
          <w:p w14:paraId="117F6A23" w14:textId="0C56EFC7" w:rsidR="001C1374" w:rsidRPr="00361EBF" w:rsidRDefault="001C1374" w:rsidP="001C1374">
            <w:pPr>
              <w:pStyle w:val="ListParagraph"/>
              <w:spacing w:after="0" w:line="240" w:lineRule="auto"/>
              <w:ind w:left="0"/>
              <w:jc w:val="both"/>
              <w:rPr>
                <w:rFonts w:ascii="Cambria" w:hAnsi="Cambria" w:cs="Calibri"/>
                <w:color w:val="232323"/>
              </w:rPr>
            </w:pPr>
            <w:proofErr w:type="spellStart"/>
            <w:r w:rsidRPr="00361EBF">
              <w:rPr>
                <w:rFonts w:ascii="Cambria" w:hAnsi="Cambria" w:cs="Calibri"/>
                <w:color w:val="232323"/>
              </w:rPr>
              <w:t>Overdrawal</w:t>
            </w:r>
            <w:proofErr w:type="spellEnd"/>
            <w:r w:rsidRPr="00361EBF">
              <w:rPr>
                <w:rFonts w:ascii="Cambria" w:hAnsi="Cambria" w:cs="Calibri"/>
                <w:color w:val="232323"/>
              </w:rPr>
              <w:t xml:space="preserve"> Penalty</w:t>
            </w:r>
          </w:p>
        </w:tc>
        <w:tc>
          <w:tcPr>
            <w:tcW w:w="2551" w:type="dxa"/>
            <w:vAlign w:val="bottom"/>
          </w:tcPr>
          <w:p w14:paraId="6017808D" w14:textId="05E1CE95" w:rsidR="001C1374" w:rsidRPr="00361EBF" w:rsidRDefault="001C1374" w:rsidP="001C1374">
            <w:pPr>
              <w:pStyle w:val="ListParagraph"/>
              <w:spacing w:after="0" w:line="240" w:lineRule="auto"/>
              <w:ind w:left="0"/>
              <w:jc w:val="center"/>
              <w:rPr>
                <w:rFonts w:asciiTheme="majorHAnsi" w:hAnsiTheme="majorHAnsi" w:cs="Calibri"/>
                <w:color w:val="232323"/>
              </w:rPr>
            </w:pPr>
            <w:r w:rsidRPr="00361EBF">
              <w:rPr>
                <w:rFonts w:asciiTheme="majorHAnsi" w:hAnsiTheme="majorHAnsi" w:cs="Arial"/>
              </w:rPr>
              <w:t>10.00</w:t>
            </w:r>
          </w:p>
        </w:tc>
      </w:tr>
      <w:tr w:rsidR="001C1374" w:rsidRPr="00361EBF" w14:paraId="7F84BD0C" w14:textId="77777777" w:rsidTr="001F21DF">
        <w:trPr>
          <w:jc w:val="center"/>
        </w:trPr>
        <w:tc>
          <w:tcPr>
            <w:tcW w:w="4248" w:type="dxa"/>
          </w:tcPr>
          <w:p w14:paraId="51F8344E" w14:textId="52CAA86C" w:rsidR="001C1374" w:rsidRPr="00361EBF" w:rsidRDefault="001C1374" w:rsidP="001C1374">
            <w:pPr>
              <w:pStyle w:val="ListParagraph"/>
              <w:spacing w:after="0" w:line="240" w:lineRule="auto"/>
              <w:ind w:left="0"/>
              <w:jc w:val="both"/>
              <w:rPr>
                <w:rFonts w:ascii="Cambria" w:hAnsi="Cambria" w:cs="Calibri"/>
                <w:color w:val="232323"/>
              </w:rPr>
            </w:pPr>
            <w:r w:rsidRPr="00361EBF">
              <w:rPr>
                <w:rFonts w:ascii="Cambria" w:hAnsi="Cambria" w:cs="Calibri"/>
                <w:color w:val="232323"/>
              </w:rPr>
              <w:t>Supervision Charges</w:t>
            </w:r>
          </w:p>
        </w:tc>
        <w:tc>
          <w:tcPr>
            <w:tcW w:w="2551" w:type="dxa"/>
            <w:vAlign w:val="bottom"/>
          </w:tcPr>
          <w:p w14:paraId="39FB7A04" w14:textId="2C8AF48A" w:rsidR="001C1374" w:rsidRPr="00361EBF" w:rsidRDefault="001C1374" w:rsidP="001C1374">
            <w:pPr>
              <w:pStyle w:val="ListParagraph"/>
              <w:spacing w:after="0" w:line="240" w:lineRule="auto"/>
              <w:ind w:left="0"/>
              <w:jc w:val="center"/>
              <w:rPr>
                <w:rFonts w:asciiTheme="majorHAnsi" w:hAnsiTheme="majorHAnsi" w:cs="Calibri"/>
                <w:color w:val="232323"/>
              </w:rPr>
            </w:pPr>
            <w:r w:rsidRPr="00361EBF">
              <w:rPr>
                <w:rFonts w:asciiTheme="majorHAnsi" w:hAnsiTheme="majorHAnsi" w:cs="Arial"/>
              </w:rPr>
              <w:t>4.00</w:t>
            </w:r>
          </w:p>
        </w:tc>
      </w:tr>
      <w:tr w:rsidR="001C1374" w:rsidRPr="00361EBF" w14:paraId="43EE37C3" w14:textId="77777777" w:rsidTr="001F21DF">
        <w:trPr>
          <w:jc w:val="center"/>
        </w:trPr>
        <w:tc>
          <w:tcPr>
            <w:tcW w:w="4248" w:type="dxa"/>
          </w:tcPr>
          <w:p w14:paraId="22556E25" w14:textId="128D4AB6" w:rsidR="001C1374" w:rsidRPr="00361EBF" w:rsidRDefault="001C1374" w:rsidP="001C1374">
            <w:pPr>
              <w:pStyle w:val="ListParagraph"/>
              <w:spacing w:after="0" w:line="240" w:lineRule="auto"/>
              <w:ind w:left="0"/>
              <w:jc w:val="both"/>
              <w:rPr>
                <w:rFonts w:ascii="Cambria" w:hAnsi="Cambria" w:cs="Calibri"/>
                <w:color w:val="232323"/>
              </w:rPr>
            </w:pPr>
            <w:r w:rsidRPr="00361EBF">
              <w:rPr>
                <w:rFonts w:ascii="Cambria" w:hAnsi="Cambria" w:cs="Calibri"/>
                <w:color w:val="232323"/>
              </w:rPr>
              <w:t>Miscellaneous Income</w:t>
            </w:r>
          </w:p>
        </w:tc>
        <w:tc>
          <w:tcPr>
            <w:tcW w:w="2551" w:type="dxa"/>
            <w:vAlign w:val="bottom"/>
          </w:tcPr>
          <w:p w14:paraId="426F53CA" w14:textId="070D3628" w:rsidR="001C1374" w:rsidRPr="00361EBF" w:rsidRDefault="001C1374" w:rsidP="001C1374">
            <w:pPr>
              <w:pStyle w:val="ListParagraph"/>
              <w:spacing w:after="0" w:line="240" w:lineRule="auto"/>
              <w:ind w:left="0"/>
              <w:jc w:val="center"/>
              <w:rPr>
                <w:rFonts w:asciiTheme="majorHAnsi" w:hAnsiTheme="majorHAnsi" w:cs="Calibri"/>
                <w:color w:val="232323"/>
              </w:rPr>
            </w:pPr>
            <w:r w:rsidRPr="00361EBF">
              <w:rPr>
                <w:rFonts w:asciiTheme="majorHAnsi" w:hAnsiTheme="majorHAnsi" w:cs="Arial"/>
              </w:rPr>
              <w:t>16.00</w:t>
            </w:r>
          </w:p>
        </w:tc>
      </w:tr>
      <w:tr w:rsidR="001C1374" w:rsidRPr="00361EBF" w14:paraId="6123AB94" w14:textId="77777777" w:rsidTr="001F21DF">
        <w:trPr>
          <w:jc w:val="center"/>
        </w:trPr>
        <w:tc>
          <w:tcPr>
            <w:tcW w:w="4248" w:type="dxa"/>
          </w:tcPr>
          <w:p w14:paraId="24DE0357" w14:textId="5042FF21" w:rsidR="001C1374" w:rsidRPr="00361EBF" w:rsidRDefault="001C1374" w:rsidP="001C1374">
            <w:pPr>
              <w:pStyle w:val="ListParagraph"/>
              <w:spacing w:after="0" w:line="240" w:lineRule="auto"/>
              <w:ind w:left="0"/>
              <w:jc w:val="both"/>
              <w:rPr>
                <w:rFonts w:ascii="Cambria" w:hAnsi="Cambria" w:cs="Calibri"/>
                <w:color w:val="232323"/>
              </w:rPr>
            </w:pPr>
            <w:r w:rsidRPr="00361EBF">
              <w:rPr>
                <w:rFonts w:ascii="Cambria" w:hAnsi="Cambria" w:cs="Calibri"/>
                <w:color w:val="232323"/>
              </w:rPr>
              <w:t>Interest on FD</w:t>
            </w:r>
          </w:p>
        </w:tc>
        <w:tc>
          <w:tcPr>
            <w:tcW w:w="2551" w:type="dxa"/>
            <w:vAlign w:val="bottom"/>
          </w:tcPr>
          <w:p w14:paraId="7432EFBA" w14:textId="4BAF2C54" w:rsidR="001C1374" w:rsidRPr="00361EBF" w:rsidRDefault="001C1374" w:rsidP="001C1374">
            <w:pPr>
              <w:pStyle w:val="ListParagraph"/>
              <w:spacing w:after="0" w:line="240" w:lineRule="auto"/>
              <w:ind w:left="0"/>
              <w:jc w:val="center"/>
              <w:rPr>
                <w:rFonts w:asciiTheme="majorHAnsi" w:hAnsiTheme="majorHAnsi" w:cs="Calibri"/>
                <w:color w:val="232323"/>
              </w:rPr>
            </w:pPr>
            <w:r w:rsidRPr="00361EBF">
              <w:rPr>
                <w:rFonts w:asciiTheme="majorHAnsi" w:hAnsiTheme="majorHAnsi" w:cs="Arial"/>
              </w:rPr>
              <w:t>100.00</w:t>
            </w:r>
          </w:p>
        </w:tc>
      </w:tr>
      <w:tr w:rsidR="001C1374" w:rsidRPr="00361EBF" w14:paraId="7264BFE4" w14:textId="77777777" w:rsidTr="001F21DF">
        <w:trPr>
          <w:jc w:val="center"/>
        </w:trPr>
        <w:tc>
          <w:tcPr>
            <w:tcW w:w="4248" w:type="dxa"/>
          </w:tcPr>
          <w:p w14:paraId="307A3418" w14:textId="31762806" w:rsidR="001C1374" w:rsidRPr="00361EBF" w:rsidRDefault="001C1374" w:rsidP="001C1374">
            <w:pPr>
              <w:pStyle w:val="ListParagraph"/>
              <w:spacing w:after="0" w:line="240" w:lineRule="auto"/>
              <w:ind w:left="0"/>
              <w:jc w:val="both"/>
              <w:rPr>
                <w:rFonts w:ascii="Cambria" w:hAnsi="Cambria" w:cs="Calibri"/>
                <w:color w:val="232323"/>
              </w:rPr>
            </w:pPr>
            <w:r w:rsidRPr="00361EBF">
              <w:rPr>
                <w:rFonts w:ascii="Cambria" w:hAnsi="Cambria" w:cs="Calibri"/>
                <w:color w:val="232323"/>
              </w:rPr>
              <w:t>Delayed Payment Surcharge</w:t>
            </w:r>
          </w:p>
        </w:tc>
        <w:tc>
          <w:tcPr>
            <w:tcW w:w="2551" w:type="dxa"/>
            <w:vAlign w:val="bottom"/>
          </w:tcPr>
          <w:p w14:paraId="5B2D42B3" w14:textId="4F8A5EE2" w:rsidR="001C1374" w:rsidRPr="00361EBF" w:rsidRDefault="001C1374" w:rsidP="001C1374">
            <w:pPr>
              <w:pStyle w:val="ListParagraph"/>
              <w:spacing w:after="0" w:line="240" w:lineRule="auto"/>
              <w:ind w:left="0"/>
              <w:jc w:val="center"/>
              <w:rPr>
                <w:rFonts w:asciiTheme="majorHAnsi" w:hAnsiTheme="majorHAnsi" w:cs="Calibri"/>
                <w:color w:val="232323"/>
              </w:rPr>
            </w:pPr>
            <w:r w:rsidRPr="00361EBF">
              <w:rPr>
                <w:rFonts w:asciiTheme="majorHAnsi" w:hAnsiTheme="majorHAnsi" w:cs="Arial"/>
              </w:rPr>
              <w:t>12.00</w:t>
            </w:r>
          </w:p>
        </w:tc>
      </w:tr>
      <w:tr w:rsidR="001C1374" w:rsidRPr="00361EBF" w14:paraId="730C91A8" w14:textId="77777777" w:rsidTr="001F21DF">
        <w:trPr>
          <w:jc w:val="center"/>
        </w:trPr>
        <w:tc>
          <w:tcPr>
            <w:tcW w:w="4248" w:type="dxa"/>
          </w:tcPr>
          <w:p w14:paraId="1E227921" w14:textId="627AF831" w:rsidR="001C1374" w:rsidRPr="00361EBF" w:rsidRDefault="001C1374" w:rsidP="001C1374">
            <w:pPr>
              <w:pStyle w:val="ListParagraph"/>
              <w:spacing w:after="0" w:line="240" w:lineRule="auto"/>
              <w:ind w:left="0"/>
              <w:jc w:val="both"/>
              <w:rPr>
                <w:rFonts w:ascii="Cambria" w:hAnsi="Cambria" w:cs="Calibri"/>
                <w:color w:val="232323"/>
              </w:rPr>
            </w:pPr>
            <w:r w:rsidRPr="00361EBF">
              <w:rPr>
                <w:rFonts w:ascii="Cambria" w:hAnsi="Cambria" w:cs="Calibri"/>
                <w:color w:val="232323"/>
              </w:rPr>
              <w:t>Other Income including Scrap</w:t>
            </w:r>
          </w:p>
        </w:tc>
        <w:tc>
          <w:tcPr>
            <w:tcW w:w="2551" w:type="dxa"/>
            <w:vAlign w:val="bottom"/>
          </w:tcPr>
          <w:p w14:paraId="2B8D9EA9" w14:textId="284EAD5C" w:rsidR="001C1374" w:rsidRPr="00361EBF" w:rsidRDefault="001C1374" w:rsidP="001C1374">
            <w:pPr>
              <w:pStyle w:val="ListParagraph"/>
              <w:spacing w:after="0" w:line="240" w:lineRule="auto"/>
              <w:ind w:left="0"/>
              <w:jc w:val="center"/>
              <w:rPr>
                <w:rFonts w:asciiTheme="majorHAnsi" w:hAnsiTheme="majorHAnsi" w:cs="Calibri"/>
                <w:color w:val="232323"/>
              </w:rPr>
            </w:pPr>
            <w:r w:rsidRPr="00361EBF">
              <w:rPr>
                <w:rFonts w:asciiTheme="majorHAnsi" w:hAnsiTheme="majorHAnsi" w:cs="Arial"/>
              </w:rPr>
              <w:t>3.00</w:t>
            </w:r>
          </w:p>
        </w:tc>
      </w:tr>
      <w:tr w:rsidR="001C1374" w:rsidRPr="00361EBF" w14:paraId="1DFF7B07" w14:textId="77777777" w:rsidTr="001F21DF">
        <w:trPr>
          <w:jc w:val="center"/>
        </w:trPr>
        <w:tc>
          <w:tcPr>
            <w:tcW w:w="4248" w:type="dxa"/>
          </w:tcPr>
          <w:p w14:paraId="3BE95D9F" w14:textId="6C62019E" w:rsidR="001C1374" w:rsidRPr="00361EBF" w:rsidRDefault="001C1374" w:rsidP="001C1374">
            <w:pPr>
              <w:pStyle w:val="ListParagraph"/>
              <w:spacing w:after="0" w:line="240" w:lineRule="auto"/>
              <w:ind w:left="0"/>
              <w:jc w:val="both"/>
              <w:rPr>
                <w:rFonts w:ascii="Cambria" w:hAnsi="Cambria" w:cs="Calibri"/>
                <w:color w:val="232323"/>
              </w:rPr>
            </w:pPr>
            <w:r w:rsidRPr="00361EBF">
              <w:rPr>
                <w:rFonts w:ascii="Cambria" w:hAnsi="Cambria" w:cs="Calibri"/>
                <w:color w:val="232323"/>
              </w:rPr>
              <w:t>Open Access Charges (CSS &amp; Wheeling)</w:t>
            </w:r>
          </w:p>
        </w:tc>
        <w:tc>
          <w:tcPr>
            <w:tcW w:w="2551" w:type="dxa"/>
            <w:vAlign w:val="bottom"/>
          </w:tcPr>
          <w:p w14:paraId="02B9690B" w14:textId="0745B50C" w:rsidR="001C1374" w:rsidRPr="00361EBF" w:rsidRDefault="001C1374" w:rsidP="001C1374">
            <w:pPr>
              <w:pStyle w:val="ListParagraph"/>
              <w:spacing w:after="0" w:line="240" w:lineRule="auto"/>
              <w:ind w:left="0"/>
              <w:jc w:val="center"/>
              <w:rPr>
                <w:rFonts w:asciiTheme="majorHAnsi" w:hAnsiTheme="majorHAnsi" w:cs="Calibri"/>
                <w:color w:val="232323"/>
              </w:rPr>
            </w:pPr>
            <w:r w:rsidRPr="00361EBF">
              <w:rPr>
                <w:rFonts w:asciiTheme="majorHAnsi" w:hAnsiTheme="majorHAnsi" w:cs="Arial"/>
              </w:rPr>
              <w:t>288.40</w:t>
            </w:r>
          </w:p>
        </w:tc>
      </w:tr>
      <w:tr w:rsidR="001C1374" w:rsidRPr="00361EBF" w14:paraId="4430DC12" w14:textId="77777777" w:rsidTr="001F21DF">
        <w:trPr>
          <w:jc w:val="center"/>
        </w:trPr>
        <w:tc>
          <w:tcPr>
            <w:tcW w:w="4248" w:type="dxa"/>
          </w:tcPr>
          <w:p w14:paraId="5C5406DB" w14:textId="41490CB8" w:rsidR="001C1374" w:rsidRPr="00361EBF" w:rsidRDefault="001C1374" w:rsidP="001C1374">
            <w:pPr>
              <w:pStyle w:val="ListParagraph"/>
              <w:spacing w:after="0" w:line="240" w:lineRule="auto"/>
              <w:ind w:left="0"/>
              <w:jc w:val="center"/>
              <w:rPr>
                <w:rFonts w:ascii="Cambria" w:hAnsi="Cambria" w:cs="Calibri"/>
                <w:b/>
                <w:color w:val="232323"/>
              </w:rPr>
            </w:pPr>
            <w:r w:rsidRPr="00361EBF">
              <w:rPr>
                <w:rFonts w:ascii="Cambria" w:hAnsi="Cambria" w:cs="Calibri"/>
                <w:b/>
                <w:color w:val="232323"/>
              </w:rPr>
              <w:t>Total NTI</w:t>
            </w:r>
          </w:p>
        </w:tc>
        <w:tc>
          <w:tcPr>
            <w:tcW w:w="2551" w:type="dxa"/>
            <w:vAlign w:val="bottom"/>
          </w:tcPr>
          <w:p w14:paraId="1E97E4CA" w14:textId="4B513E50" w:rsidR="001C1374" w:rsidRPr="00361EBF" w:rsidRDefault="001C1374" w:rsidP="001C1374">
            <w:pPr>
              <w:pStyle w:val="ListParagraph"/>
              <w:spacing w:after="0" w:line="240" w:lineRule="auto"/>
              <w:ind w:left="0"/>
              <w:jc w:val="center"/>
              <w:rPr>
                <w:rFonts w:asciiTheme="majorHAnsi" w:hAnsiTheme="majorHAnsi" w:cs="Calibri"/>
                <w:b/>
                <w:bCs/>
                <w:color w:val="232323"/>
              </w:rPr>
            </w:pPr>
            <w:r w:rsidRPr="00361EBF">
              <w:rPr>
                <w:rFonts w:asciiTheme="majorHAnsi" w:hAnsiTheme="majorHAnsi" w:cs="Arial"/>
                <w:b/>
                <w:bCs/>
              </w:rPr>
              <w:t>517.42</w:t>
            </w:r>
          </w:p>
        </w:tc>
      </w:tr>
      <w:tr w:rsidR="001C1374" w:rsidRPr="00361EBF" w14:paraId="579D1A8E" w14:textId="77777777" w:rsidTr="001F21DF">
        <w:trPr>
          <w:jc w:val="center"/>
        </w:trPr>
        <w:tc>
          <w:tcPr>
            <w:tcW w:w="4248" w:type="dxa"/>
          </w:tcPr>
          <w:p w14:paraId="1204B510" w14:textId="29746983" w:rsidR="001C1374" w:rsidRPr="00361EBF" w:rsidRDefault="001C1374" w:rsidP="001C1374">
            <w:pPr>
              <w:pStyle w:val="ListParagraph"/>
              <w:spacing w:after="0" w:line="240" w:lineRule="auto"/>
              <w:ind w:left="0"/>
              <w:jc w:val="both"/>
              <w:rPr>
                <w:rFonts w:ascii="Cambria" w:hAnsi="Cambria" w:cs="Calibri"/>
                <w:color w:val="232323"/>
              </w:rPr>
            </w:pPr>
            <w:r w:rsidRPr="00361EBF">
              <w:rPr>
                <w:rFonts w:ascii="Cambria" w:hAnsi="Cambria" w:cs="Calibri"/>
                <w:color w:val="232323"/>
              </w:rPr>
              <w:t>Less: Meter Rent</w:t>
            </w:r>
          </w:p>
        </w:tc>
        <w:tc>
          <w:tcPr>
            <w:tcW w:w="2551" w:type="dxa"/>
            <w:vAlign w:val="bottom"/>
          </w:tcPr>
          <w:p w14:paraId="59A2DA49" w14:textId="0471859C" w:rsidR="001C1374" w:rsidRPr="00361EBF" w:rsidRDefault="001C1374" w:rsidP="001C1374">
            <w:pPr>
              <w:pStyle w:val="ListParagraph"/>
              <w:spacing w:after="0" w:line="240" w:lineRule="auto"/>
              <w:ind w:left="0"/>
              <w:jc w:val="center"/>
              <w:rPr>
                <w:rFonts w:asciiTheme="majorHAnsi" w:hAnsiTheme="majorHAnsi" w:cs="Calibri"/>
                <w:color w:val="232323"/>
              </w:rPr>
            </w:pPr>
            <w:r w:rsidRPr="00361EBF">
              <w:rPr>
                <w:rFonts w:asciiTheme="majorHAnsi" w:hAnsiTheme="majorHAnsi" w:cs="Arial"/>
              </w:rPr>
              <w:t>35.00</w:t>
            </w:r>
          </w:p>
        </w:tc>
      </w:tr>
      <w:tr w:rsidR="001C1374" w:rsidRPr="00361EBF" w14:paraId="0621EC3B" w14:textId="77777777" w:rsidTr="001F21DF">
        <w:trPr>
          <w:jc w:val="center"/>
        </w:trPr>
        <w:tc>
          <w:tcPr>
            <w:tcW w:w="4248" w:type="dxa"/>
          </w:tcPr>
          <w:p w14:paraId="4938D7D7" w14:textId="769B1FF7" w:rsidR="001C1374" w:rsidRPr="00361EBF" w:rsidRDefault="001C1374" w:rsidP="001C1374">
            <w:pPr>
              <w:pStyle w:val="ListParagraph"/>
              <w:spacing w:after="0" w:line="240" w:lineRule="auto"/>
              <w:ind w:left="0"/>
              <w:jc w:val="both"/>
              <w:rPr>
                <w:rFonts w:ascii="Cambria" w:hAnsi="Cambria" w:cs="Calibri"/>
                <w:color w:val="232323"/>
              </w:rPr>
            </w:pPr>
            <w:r w:rsidRPr="00361EBF">
              <w:rPr>
                <w:rFonts w:ascii="Cambria" w:hAnsi="Cambria" w:cs="Calibri"/>
                <w:color w:val="232323"/>
              </w:rPr>
              <w:t>Less: Rebate to Consumers</w:t>
            </w:r>
          </w:p>
        </w:tc>
        <w:tc>
          <w:tcPr>
            <w:tcW w:w="2551" w:type="dxa"/>
            <w:vAlign w:val="bottom"/>
          </w:tcPr>
          <w:p w14:paraId="24BD1D83" w14:textId="57E5C695" w:rsidR="001C1374" w:rsidRPr="00361EBF" w:rsidRDefault="001C1374" w:rsidP="001C1374">
            <w:pPr>
              <w:pStyle w:val="ListParagraph"/>
              <w:spacing w:after="0" w:line="240" w:lineRule="auto"/>
              <w:ind w:left="0"/>
              <w:jc w:val="center"/>
              <w:rPr>
                <w:rFonts w:asciiTheme="majorHAnsi" w:hAnsiTheme="majorHAnsi" w:cs="Calibri"/>
                <w:color w:val="232323"/>
              </w:rPr>
            </w:pPr>
            <w:r w:rsidRPr="00361EBF">
              <w:rPr>
                <w:rFonts w:asciiTheme="majorHAnsi" w:hAnsiTheme="majorHAnsi" w:cs="Arial"/>
              </w:rPr>
              <w:t>65.00</w:t>
            </w:r>
          </w:p>
        </w:tc>
      </w:tr>
      <w:tr w:rsidR="001C1374" w:rsidRPr="00361EBF" w14:paraId="41B6C33B" w14:textId="77777777" w:rsidTr="001F21DF">
        <w:trPr>
          <w:jc w:val="center"/>
        </w:trPr>
        <w:tc>
          <w:tcPr>
            <w:tcW w:w="4248" w:type="dxa"/>
          </w:tcPr>
          <w:p w14:paraId="5C704B15" w14:textId="5AD2C6A6" w:rsidR="001C1374" w:rsidRPr="00361EBF" w:rsidRDefault="001C1374" w:rsidP="001C1374">
            <w:pPr>
              <w:pStyle w:val="ListParagraph"/>
              <w:spacing w:after="0" w:line="240" w:lineRule="auto"/>
              <w:ind w:left="0"/>
              <w:jc w:val="center"/>
              <w:rPr>
                <w:rFonts w:ascii="Cambria" w:hAnsi="Cambria" w:cs="Calibri"/>
                <w:b/>
                <w:color w:val="232323"/>
              </w:rPr>
            </w:pPr>
            <w:r w:rsidRPr="00361EBF">
              <w:rPr>
                <w:rFonts w:ascii="Cambria" w:hAnsi="Cambria" w:cs="Calibri"/>
                <w:b/>
                <w:color w:val="232323"/>
              </w:rPr>
              <w:t>Total Net NTI</w:t>
            </w:r>
          </w:p>
        </w:tc>
        <w:tc>
          <w:tcPr>
            <w:tcW w:w="2551" w:type="dxa"/>
            <w:vAlign w:val="bottom"/>
          </w:tcPr>
          <w:p w14:paraId="5AFD47C2" w14:textId="106608F5" w:rsidR="001C1374" w:rsidRPr="00361EBF" w:rsidRDefault="001C1374" w:rsidP="001C1374">
            <w:pPr>
              <w:pStyle w:val="ListParagraph"/>
              <w:spacing w:after="0" w:line="240" w:lineRule="auto"/>
              <w:ind w:left="0"/>
              <w:jc w:val="center"/>
              <w:rPr>
                <w:rFonts w:asciiTheme="majorHAnsi" w:hAnsiTheme="majorHAnsi" w:cs="Calibri"/>
                <w:b/>
                <w:bCs/>
                <w:color w:val="232323"/>
              </w:rPr>
            </w:pPr>
            <w:r w:rsidRPr="00361EBF">
              <w:rPr>
                <w:rFonts w:asciiTheme="majorHAnsi" w:hAnsiTheme="majorHAnsi" w:cs="Arial"/>
                <w:b/>
                <w:bCs/>
              </w:rPr>
              <w:t>417.42</w:t>
            </w:r>
          </w:p>
        </w:tc>
      </w:tr>
    </w:tbl>
    <w:p w14:paraId="04B1681A" w14:textId="63892973" w:rsidR="008E6D2C" w:rsidRPr="00D7412E" w:rsidRDefault="008E6D2C" w:rsidP="00AD05A1">
      <w:pPr>
        <w:pStyle w:val="Heading2"/>
        <w:numPr>
          <w:ilvl w:val="1"/>
          <w:numId w:val="1"/>
        </w:numPr>
        <w:shd w:val="clear" w:color="auto" w:fill="002060"/>
        <w:rPr>
          <w:rFonts w:asciiTheme="majorHAnsi" w:hAnsiTheme="majorHAnsi"/>
          <w:i w:val="0"/>
          <w:iCs w:val="0"/>
          <w:sz w:val="24"/>
          <w:szCs w:val="24"/>
        </w:rPr>
      </w:pPr>
      <w:bookmarkStart w:id="99" w:name="_Toc152180117"/>
      <w:bookmarkStart w:id="100" w:name="_Toc183204722"/>
      <w:bookmarkStart w:id="101" w:name="_Toc215250632"/>
      <w:r w:rsidRPr="00D7412E">
        <w:rPr>
          <w:rFonts w:asciiTheme="majorHAnsi" w:hAnsiTheme="majorHAnsi"/>
          <w:i w:val="0"/>
          <w:iCs w:val="0"/>
          <w:sz w:val="24"/>
          <w:szCs w:val="24"/>
        </w:rPr>
        <w:t>Current year FY 202</w:t>
      </w:r>
      <w:r w:rsidR="004A32EB">
        <w:rPr>
          <w:rFonts w:asciiTheme="majorHAnsi" w:hAnsiTheme="majorHAnsi"/>
          <w:i w:val="0"/>
          <w:iCs w:val="0"/>
          <w:sz w:val="24"/>
          <w:szCs w:val="24"/>
        </w:rPr>
        <w:t>5</w:t>
      </w:r>
      <w:r w:rsidR="00F71489" w:rsidRPr="00D7412E">
        <w:rPr>
          <w:rFonts w:asciiTheme="majorHAnsi" w:hAnsiTheme="majorHAnsi"/>
          <w:i w:val="0"/>
          <w:iCs w:val="0"/>
          <w:sz w:val="24"/>
          <w:szCs w:val="24"/>
        </w:rPr>
        <w:t>-2</w:t>
      </w:r>
      <w:r w:rsidR="004A32EB">
        <w:rPr>
          <w:rFonts w:asciiTheme="majorHAnsi" w:hAnsiTheme="majorHAnsi"/>
          <w:i w:val="0"/>
          <w:iCs w:val="0"/>
          <w:sz w:val="24"/>
          <w:szCs w:val="24"/>
        </w:rPr>
        <w:t>6</w:t>
      </w:r>
      <w:r w:rsidRPr="00D7412E">
        <w:rPr>
          <w:rFonts w:asciiTheme="majorHAnsi" w:hAnsiTheme="majorHAnsi"/>
          <w:i w:val="0"/>
          <w:iCs w:val="0"/>
          <w:sz w:val="24"/>
          <w:szCs w:val="24"/>
        </w:rPr>
        <w:t xml:space="preserve"> </w:t>
      </w:r>
      <w:r w:rsidR="004A32EB">
        <w:rPr>
          <w:rFonts w:asciiTheme="majorHAnsi" w:hAnsiTheme="majorHAnsi"/>
          <w:i w:val="0"/>
          <w:iCs w:val="0"/>
          <w:sz w:val="24"/>
          <w:szCs w:val="24"/>
        </w:rPr>
        <w:t>(</w:t>
      </w:r>
      <w:r w:rsidRPr="00D7412E">
        <w:rPr>
          <w:rFonts w:asciiTheme="majorHAnsi" w:hAnsiTheme="majorHAnsi"/>
          <w:i w:val="0"/>
          <w:iCs w:val="0"/>
          <w:sz w:val="24"/>
          <w:szCs w:val="24"/>
        </w:rPr>
        <w:t>G</w:t>
      </w:r>
      <w:r w:rsidR="004A32EB">
        <w:rPr>
          <w:rFonts w:asciiTheme="majorHAnsi" w:hAnsiTheme="majorHAnsi"/>
          <w:i w:val="0"/>
          <w:iCs w:val="0"/>
          <w:sz w:val="24"/>
          <w:szCs w:val="24"/>
        </w:rPr>
        <w:t>ap)</w:t>
      </w:r>
      <w:r w:rsidRPr="00D7412E">
        <w:rPr>
          <w:rFonts w:asciiTheme="majorHAnsi" w:hAnsiTheme="majorHAnsi"/>
          <w:i w:val="0"/>
          <w:iCs w:val="0"/>
          <w:sz w:val="24"/>
          <w:szCs w:val="24"/>
        </w:rPr>
        <w:t>/Surplus</w:t>
      </w:r>
      <w:bookmarkEnd w:id="99"/>
      <w:bookmarkEnd w:id="100"/>
      <w:bookmarkEnd w:id="101"/>
    </w:p>
    <w:p w14:paraId="24F37395" w14:textId="74122616" w:rsidR="008E6D2C" w:rsidRDefault="008E6D2C" w:rsidP="008E6D2C">
      <w:pPr>
        <w:pStyle w:val="BodyText2"/>
        <w:spacing w:line="360" w:lineRule="auto"/>
        <w:jc w:val="both"/>
        <w:rPr>
          <w:rFonts w:ascii="Cambria" w:hAnsi="Cambria" w:cs="Arial"/>
          <w:sz w:val="24"/>
          <w:szCs w:val="24"/>
        </w:rPr>
      </w:pPr>
      <w:r w:rsidRPr="00257228">
        <w:rPr>
          <w:rFonts w:ascii="Cambria" w:hAnsi="Cambria" w:cs="Arial"/>
          <w:sz w:val="24"/>
          <w:szCs w:val="24"/>
        </w:rPr>
        <w:t>Further based on the actual sales, revenue and expenses for the first half of the current year 202</w:t>
      </w:r>
      <w:r w:rsidR="004B0BBE">
        <w:rPr>
          <w:rFonts w:ascii="Cambria" w:hAnsi="Cambria" w:cs="Arial"/>
          <w:sz w:val="24"/>
          <w:szCs w:val="24"/>
        </w:rPr>
        <w:t>5</w:t>
      </w:r>
      <w:r w:rsidR="00856147">
        <w:rPr>
          <w:rFonts w:ascii="Cambria" w:hAnsi="Cambria" w:cs="Arial"/>
          <w:sz w:val="24"/>
          <w:szCs w:val="24"/>
        </w:rPr>
        <w:t>-2</w:t>
      </w:r>
      <w:r w:rsidR="004B0BBE">
        <w:rPr>
          <w:rFonts w:ascii="Cambria" w:hAnsi="Cambria" w:cs="Arial"/>
          <w:sz w:val="24"/>
          <w:szCs w:val="24"/>
        </w:rPr>
        <w:t>6</w:t>
      </w:r>
      <w:r w:rsidRPr="00257228">
        <w:rPr>
          <w:rFonts w:ascii="Cambria" w:hAnsi="Cambria" w:cs="Arial"/>
          <w:sz w:val="24"/>
          <w:szCs w:val="24"/>
        </w:rPr>
        <w:t xml:space="preserve"> and based on estimates for next half of current year, the </w:t>
      </w:r>
      <w:r w:rsidRPr="00C70303">
        <w:rPr>
          <w:rFonts w:ascii="Cambria" w:hAnsi="Cambria" w:cs="Arial"/>
          <w:sz w:val="24"/>
          <w:szCs w:val="24"/>
        </w:rPr>
        <w:t xml:space="preserve">revenue </w:t>
      </w:r>
      <w:r w:rsidR="00C70303" w:rsidRPr="00C70303">
        <w:rPr>
          <w:rFonts w:ascii="Cambria" w:hAnsi="Cambria" w:cs="Arial"/>
          <w:sz w:val="24"/>
          <w:szCs w:val="24"/>
        </w:rPr>
        <w:t>gap</w:t>
      </w:r>
      <w:r w:rsidRPr="00C70303">
        <w:rPr>
          <w:rFonts w:ascii="Cambria" w:hAnsi="Cambria" w:cs="Arial"/>
          <w:sz w:val="24"/>
          <w:szCs w:val="24"/>
        </w:rPr>
        <w:t xml:space="preserve"> for FY 202</w:t>
      </w:r>
      <w:r w:rsidR="004B0BBE" w:rsidRPr="00C70303">
        <w:rPr>
          <w:rFonts w:ascii="Cambria" w:hAnsi="Cambria" w:cs="Arial"/>
          <w:sz w:val="24"/>
          <w:szCs w:val="24"/>
        </w:rPr>
        <w:t>5</w:t>
      </w:r>
      <w:r w:rsidRPr="00C70303">
        <w:rPr>
          <w:rFonts w:ascii="Cambria" w:hAnsi="Cambria" w:cs="Arial"/>
          <w:sz w:val="24"/>
          <w:szCs w:val="24"/>
        </w:rPr>
        <w:t>-2</w:t>
      </w:r>
      <w:r w:rsidR="004B0BBE" w:rsidRPr="00C70303">
        <w:rPr>
          <w:rFonts w:ascii="Cambria" w:hAnsi="Cambria" w:cs="Arial"/>
          <w:sz w:val="24"/>
          <w:szCs w:val="24"/>
        </w:rPr>
        <w:t>6</w:t>
      </w:r>
      <w:r w:rsidRPr="00C70303">
        <w:rPr>
          <w:rFonts w:ascii="Cambria" w:hAnsi="Cambria" w:cs="Arial"/>
          <w:sz w:val="24"/>
          <w:szCs w:val="24"/>
        </w:rPr>
        <w:t xml:space="preserve"> is Rs.</w:t>
      </w:r>
      <w:r w:rsidR="00C70303" w:rsidRPr="00C70303">
        <w:rPr>
          <w:rFonts w:ascii="Cambria" w:hAnsi="Cambria" w:cs="Arial"/>
          <w:sz w:val="24"/>
          <w:szCs w:val="24"/>
        </w:rPr>
        <w:t xml:space="preserve"> </w:t>
      </w:r>
      <w:r w:rsidR="00CC7CEC">
        <w:rPr>
          <w:rFonts w:ascii="Cambria" w:hAnsi="Cambria" w:cs="Arial"/>
          <w:sz w:val="24"/>
          <w:szCs w:val="24"/>
        </w:rPr>
        <w:t xml:space="preserve">87.14 </w:t>
      </w:r>
      <w:r w:rsidRPr="00C70303">
        <w:rPr>
          <w:rFonts w:ascii="Cambria" w:hAnsi="Cambria" w:cs="Arial"/>
          <w:sz w:val="24"/>
          <w:szCs w:val="24"/>
        </w:rPr>
        <w:t>Cr</w:t>
      </w:r>
      <w:r w:rsidR="004A32EB" w:rsidRPr="00C70303">
        <w:rPr>
          <w:rFonts w:ascii="Cambria" w:hAnsi="Cambria" w:cs="Arial"/>
          <w:sz w:val="24"/>
          <w:szCs w:val="24"/>
        </w:rPr>
        <w:t>.</w:t>
      </w:r>
      <w:r w:rsidRPr="00C70303">
        <w:rPr>
          <w:rFonts w:ascii="Cambria" w:hAnsi="Cambria" w:cs="Arial"/>
          <w:sz w:val="24"/>
          <w:szCs w:val="24"/>
        </w:rPr>
        <w:t xml:space="preserve"> as against surplus of Rs.</w:t>
      </w:r>
      <w:r w:rsidR="004A32EB" w:rsidRPr="00C70303">
        <w:rPr>
          <w:rFonts w:ascii="Cambria" w:hAnsi="Cambria" w:cs="Arial"/>
          <w:sz w:val="24"/>
          <w:szCs w:val="24"/>
        </w:rPr>
        <w:t xml:space="preserve"> 17.24 </w:t>
      </w:r>
      <w:r w:rsidRPr="00C70303">
        <w:rPr>
          <w:rFonts w:ascii="Cambria" w:hAnsi="Cambria" w:cs="Arial"/>
          <w:sz w:val="24"/>
          <w:szCs w:val="24"/>
        </w:rPr>
        <w:t>Cr</w:t>
      </w:r>
      <w:r w:rsidR="004A32EB" w:rsidRPr="00C70303">
        <w:rPr>
          <w:rFonts w:ascii="Cambria" w:hAnsi="Cambria" w:cs="Arial"/>
          <w:sz w:val="24"/>
          <w:szCs w:val="24"/>
        </w:rPr>
        <w:t>.</w:t>
      </w:r>
      <w:r w:rsidRPr="00C70303">
        <w:rPr>
          <w:rFonts w:ascii="Cambria" w:hAnsi="Cambria" w:cs="Arial"/>
          <w:sz w:val="24"/>
          <w:szCs w:val="24"/>
        </w:rPr>
        <w:t xml:space="preserve"> approved by Hon’ble</w:t>
      </w:r>
      <w:r w:rsidRPr="00D7412E">
        <w:rPr>
          <w:rFonts w:ascii="Cambria" w:hAnsi="Cambria" w:cs="Arial"/>
          <w:sz w:val="24"/>
          <w:szCs w:val="24"/>
        </w:rPr>
        <w:t xml:space="preserve"> Commission.</w:t>
      </w:r>
    </w:p>
    <w:p w14:paraId="2AA5CF35" w14:textId="77777777" w:rsidR="008E6D2C" w:rsidRPr="00836DD0" w:rsidRDefault="008E6D2C" w:rsidP="008E6D2C">
      <w:pPr>
        <w:pStyle w:val="BodyText2"/>
        <w:spacing w:line="360" w:lineRule="auto"/>
        <w:ind w:left="720"/>
        <w:jc w:val="both"/>
        <w:rPr>
          <w:rFonts w:ascii="Cambria" w:hAnsi="Cambria" w:cs="Arial"/>
          <w:sz w:val="40"/>
        </w:rPr>
      </w:pPr>
      <w:r w:rsidRPr="00757C3F">
        <w:rPr>
          <w:rFonts w:ascii="Cambria" w:hAnsi="Cambria" w:cs="Arial"/>
          <w:sz w:val="24"/>
          <w:szCs w:val="24"/>
        </w:rPr>
        <w:tab/>
      </w:r>
      <w:r>
        <w:rPr>
          <w:rFonts w:ascii="Cambria" w:hAnsi="Cambria" w:cs="Arial"/>
        </w:rPr>
        <w:tab/>
      </w:r>
      <w:r w:rsidRPr="00836DD0">
        <w:rPr>
          <w:rFonts w:ascii="Cambria" w:hAnsi="Cambria" w:cs="Arial"/>
          <w:b/>
          <w:sz w:val="24"/>
          <w:szCs w:val="12"/>
        </w:rPr>
        <w:t>Statement of Current’s Year GAP/SURPLUS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248"/>
        <w:gridCol w:w="1984"/>
        <w:gridCol w:w="2127"/>
      </w:tblGrid>
      <w:tr w:rsidR="008E6D2C" w:rsidRPr="00361EBF" w14:paraId="410F269E" w14:textId="77777777" w:rsidTr="00421F18">
        <w:trPr>
          <w:trHeight w:val="588"/>
          <w:tblHeader/>
          <w:jc w:val="center"/>
        </w:trPr>
        <w:tc>
          <w:tcPr>
            <w:tcW w:w="4248" w:type="dxa"/>
            <w:shd w:val="clear" w:color="auto" w:fill="C6D9F1" w:themeFill="text2" w:themeFillTint="33"/>
            <w:tcMar>
              <w:top w:w="15" w:type="dxa"/>
              <w:left w:w="15" w:type="dxa"/>
              <w:bottom w:w="0" w:type="dxa"/>
              <w:right w:w="15" w:type="dxa"/>
            </w:tcMar>
            <w:vAlign w:val="center"/>
            <w:hideMark/>
          </w:tcPr>
          <w:p w14:paraId="360AE0F2" w14:textId="77777777" w:rsidR="008E6D2C" w:rsidRPr="00361EBF" w:rsidRDefault="008E6D2C" w:rsidP="00330651">
            <w:pPr>
              <w:pStyle w:val="NormalWeb"/>
              <w:spacing w:before="0" w:beforeAutospacing="0" w:after="0" w:afterAutospacing="0"/>
              <w:jc w:val="center"/>
              <w:textAlignment w:val="center"/>
              <w:rPr>
                <w:rFonts w:asciiTheme="majorHAnsi" w:hAnsiTheme="majorHAnsi" w:cs="Arial"/>
                <w:sz w:val="22"/>
                <w:szCs w:val="22"/>
                <w:lang w:val="en-IN" w:eastAsia="en-IN"/>
              </w:rPr>
            </w:pPr>
            <w:r w:rsidRPr="00361EBF">
              <w:rPr>
                <w:rFonts w:asciiTheme="majorHAnsi" w:hAnsiTheme="majorHAnsi" w:cs="Arial"/>
                <w:b/>
                <w:bCs/>
                <w:color w:val="000000"/>
                <w:kern w:val="24"/>
                <w:sz w:val="22"/>
                <w:szCs w:val="22"/>
              </w:rPr>
              <w:t>Parameters</w:t>
            </w:r>
          </w:p>
        </w:tc>
        <w:tc>
          <w:tcPr>
            <w:tcW w:w="1984" w:type="dxa"/>
            <w:shd w:val="clear" w:color="auto" w:fill="C6D9F1" w:themeFill="text2" w:themeFillTint="33"/>
            <w:tcMar>
              <w:top w:w="15" w:type="dxa"/>
              <w:left w:w="15" w:type="dxa"/>
              <w:bottom w:w="0" w:type="dxa"/>
              <w:right w:w="15" w:type="dxa"/>
            </w:tcMar>
            <w:vAlign w:val="center"/>
            <w:hideMark/>
          </w:tcPr>
          <w:p w14:paraId="5A6482B2" w14:textId="77777777" w:rsidR="008E6D2C" w:rsidRPr="00361EBF" w:rsidRDefault="008E6D2C"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b/>
                <w:bCs/>
                <w:color w:val="000000"/>
                <w:kern w:val="24"/>
                <w:sz w:val="22"/>
                <w:szCs w:val="22"/>
              </w:rPr>
              <w:t>Approved</w:t>
            </w:r>
          </w:p>
          <w:p w14:paraId="5CF6DE40" w14:textId="07A0C4CE" w:rsidR="008E6D2C" w:rsidRPr="00361EBF" w:rsidRDefault="008E6D2C"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b/>
                <w:bCs/>
                <w:color w:val="000000"/>
                <w:kern w:val="24"/>
                <w:sz w:val="22"/>
                <w:szCs w:val="22"/>
              </w:rPr>
              <w:t>FY 2</w:t>
            </w:r>
            <w:r w:rsidR="004A32EB" w:rsidRPr="00361EBF">
              <w:rPr>
                <w:rFonts w:asciiTheme="majorHAnsi" w:hAnsiTheme="majorHAnsi" w:cs="Arial"/>
                <w:b/>
                <w:bCs/>
                <w:color w:val="000000"/>
                <w:kern w:val="24"/>
                <w:sz w:val="22"/>
                <w:szCs w:val="22"/>
              </w:rPr>
              <w:t>5</w:t>
            </w:r>
            <w:r w:rsidR="00856147" w:rsidRPr="00361EBF">
              <w:rPr>
                <w:rFonts w:asciiTheme="majorHAnsi" w:hAnsiTheme="majorHAnsi" w:cs="Arial"/>
                <w:b/>
                <w:bCs/>
                <w:color w:val="000000"/>
                <w:kern w:val="24"/>
                <w:sz w:val="22"/>
                <w:szCs w:val="22"/>
              </w:rPr>
              <w:t>-2</w:t>
            </w:r>
            <w:r w:rsidR="004A32EB" w:rsidRPr="00361EBF">
              <w:rPr>
                <w:rFonts w:asciiTheme="majorHAnsi" w:hAnsiTheme="majorHAnsi" w:cs="Arial"/>
                <w:b/>
                <w:bCs/>
                <w:color w:val="000000"/>
                <w:kern w:val="24"/>
                <w:sz w:val="22"/>
                <w:szCs w:val="22"/>
              </w:rPr>
              <w:t>6</w:t>
            </w:r>
            <w:r w:rsidRPr="00361EBF">
              <w:rPr>
                <w:rFonts w:asciiTheme="majorHAnsi" w:hAnsiTheme="majorHAnsi" w:cs="Arial"/>
                <w:b/>
                <w:bCs/>
                <w:color w:val="000000"/>
                <w:kern w:val="24"/>
                <w:sz w:val="22"/>
                <w:szCs w:val="22"/>
              </w:rPr>
              <w:t xml:space="preserve"> (Rs. Cr.)</w:t>
            </w:r>
          </w:p>
        </w:tc>
        <w:tc>
          <w:tcPr>
            <w:tcW w:w="2127" w:type="dxa"/>
            <w:shd w:val="clear" w:color="auto" w:fill="C6D9F1" w:themeFill="text2" w:themeFillTint="33"/>
            <w:tcMar>
              <w:top w:w="15" w:type="dxa"/>
              <w:left w:w="15" w:type="dxa"/>
              <w:bottom w:w="0" w:type="dxa"/>
              <w:right w:w="15" w:type="dxa"/>
            </w:tcMar>
            <w:vAlign w:val="center"/>
            <w:hideMark/>
          </w:tcPr>
          <w:p w14:paraId="05B91332" w14:textId="77777777" w:rsidR="008E6D2C" w:rsidRPr="00361EBF" w:rsidRDefault="008E6D2C"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b/>
                <w:bCs/>
                <w:color w:val="000000"/>
                <w:kern w:val="24"/>
                <w:sz w:val="22"/>
                <w:szCs w:val="22"/>
              </w:rPr>
              <w:t>Estimated</w:t>
            </w:r>
          </w:p>
          <w:p w14:paraId="282225C1" w14:textId="099309C4" w:rsidR="008E6D2C" w:rsidRPr="00361EBF" w:rsidRDefault="008E6D2C"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b/>
                <w:bCs/>
                <w:color w:val="000000"/>
                <w:kern w:val="24"/>
                <w:sz w:val="22"/>
                <w:szCs w:val="22"/>
              </w:rPr>
              <w:t>FY 2</w:t>
            </w:r>
            <w:r w:rsidR="004A32EB" w:rsidRPr="00361EBF">
              <w:rPr>
                <w:rFonts w:asciiTheme="majorHAnsi" w:hAnsiTheme="majorHAnsi" w:cs="Arial"/>
                <w:b/>
                <w:bCs/>
                <w:color w:val="000000"/>
                <w:kern w:val="24"/>
                <w:sz w:val="22"/>
                <w:szCs w:val="22"/>
              </w:rPr>
              <w:t>5</w:t>
            </w:r>
            <w:r w:rsidR="00856147" w:rsidRPr="00361EBF">
              <w:rPr>
                <w:rFonts w:asciiTheme="majorHAnsi" w:hAnsiTheme="majorHAnsi" w:cs="Arial"/>
                <w:b/>
                <w:bCs/>
                <w:color w:val="000000"/>
                <w:kern w:val="24"/>
                <w:sz w:val="22"/>
                <w:szCs w:val="22"/>
              </w:rPr>
              <w:t>-2</w:t>
            </w:r>
            <w:r w:rsidR="004A32EB" w:rsidRPr="00361EBF">
              <w:rPr>
                <w:rFonts w:asciiTheme="majorHAnsi" w:hAnsiTheme="majorHAnsi" w:cs="Arial"/>
                <w:b/>
                <w:bCs/>
                <w:color w:val="000000"/>
                <w:kern w:val="24"/>
                <w:sz w:val="22"/>
                <w:szCs w:val="22"/>
              </w:rPr>
              <w:t>6</w:t>
            </w:r>
            <w:r w:rsidRPr="00361EBF">
              <w:rPr>
                <w:rFonts w:asciiTheme="majorHAnsi" w:hAnsiTheme="majorHAnsi" w:cs="Arial"/>
                <w:b/>
                <w:bCs/>
                <w:color w:val="000000"/>
                <w:kern w:val="24"/>
                <w:sz w:val="22"/>
                <w:szCs w:val="22"/>
              </w:rPr>
              <w:t xml:space="preserve"> (Rs. Cr.) </w:t>
            </w:r>
          </w:p>
        </w:tc>
      </w:tr>
      <w:tr w:rsidR="008E6D2C" w:rsidRPr="00361EBF" w14:paraId="7067D155" w14:textId="77777777" w:rsidTr="00421F18">
        <w:trPr>
          <w:trHeight w:val="343"/>
          <w:jc w:val="center"/>
        </w:trPr>
        <w:tc>
          <w:tcPr>
            <w:tcW w:w="4248" w:type="dxa"/>
            <w:tcMar>
              <w:top w:w="15" w:type="dxa"/>
              <w:left w:w="15" w:type="dxa"/>
              <w:bottom w:w="0" w:type="dxa"/>
              <w:right w:w="15" w:type="dxa"/>
            </w:tcMar>
            <w:vAlign w:val="center"/>
            <w:hideMark/>
          </w:tcPr>
          <w:p w14:paraId="7D495C81" w14:textId="77777777" w:rsidR="008E6D2C" w:rsidRPr="00361EBF" w:rsidRDefault="008E6D2C" w:rsidP="00330651">
            <w:pPr>
              <w:pStyle w:val="NormalWeb"/>
              <w:spacing w:before="0" w:beforeAutospacing="0" w:after="0" w:afterAutospacing="0"/>
              <w:ind w:left="115"/>
              <w:textAlignment w:val="bottom"/>
              <w:rPr>
                <w:rFonts w:asciiTheme="majorHAnsi" w:hAnsiTheme="majorHAnsi" w:cs="Arial"/>
                <w:sz w:val="22"/>
                <w:szCs w:val="22"/>
              </w:rPr>
            </w:pPr>
            <w:r w:rsidRPr="00361EBF">
              <w:rPr>
                <w:rFonts w:asciiTheme="majorHAnsi" w:hAnsiTheme="majorHAnsi" w:cs="Arial"/>
                <w:color w:val="000000"/>
                <w:kern w:val="24"/>
                <w:sz w:val="22"/>
                <w:szCs w:val="22"/>
              </w:rPr>
              <w:t xml:space="preserve">Power Purchase </w:t>
            </w:r>
          </w:p>
        </w:tc>
        <w:tc>
          <w:tcPr>
            <w:tcW w:w="1984" w:type="dxa"/>
            <w:tcMar>
              <w:top w:w="15" w:type="dxa"/>
              <w:left w:w="15" w:type="dxa"/>
              <w:bottom w:w="0" w:type="dxa"/>
              <w:right w:w="15" w:type="dxa"/>
            </w:tcMar>
            <w:vAlign w:val="center"/>
            <w:hideMark/>
          </w:tcPr>
          <w:p w14:paraId="026EAA4B" w14:textId="7DA15BBD" w:rsidR="008E6D2C" w:rsidRPr="00361EBF" w:rsidRDefault="004A32EB"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12378</w:t>
            </w:r>
            <w:r w:rsidR="00856147" w:rsidRPr="00361EBF">
              <w:rPr>
                <w:rFonts w:asciiTheme="majorHAnsi" w:hAnsiTheme="majorHAnsi" w:cs="Arial"/>
                <w:sz w:val="22"/>
                <w:szCs w:val="22"/>
              </w:rPr>
              <w:t xml:space="preserve"> MU</w:t>
            </w:r>
          </w:p>
        </w:tc>
        <w:tc>
          <w:tcPr>
            <w:tcW w:w="2127" w:type="dxa"/>
            <w:tcMar>
              <w:top w:w="15" w:type="dxa"/>
              <w:left w:w="15" w:type="dxa"/>
              <w:bottom w:w="0" w:type="dxa"/>
              <w:right w:w="15" w:type="dxa"/>
            </w:tcMar>
            <w:vAlign w:val="center"/>
            <w:hideMark/>
          </w:tcPr>
          <w:p w14:paraId="6A87A23C" w14:textId="2872E96E" w:rsidR="008E6D2C" w:rsidRPr="00361EBF" w:rsidRDefault="008E6D2C"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color w:val="000000"/>
                <w:kern w:val="24"/>
                <w:sz w:val="22"/>
                <w:szCs w:val="22"/>
              </w:rPr>
              <w:t>1</w:t>
            </w:r>
            <w:r w:rsidR="00655A7E" w:rsidRPr="00361EBF">
              <w:rPr>
                <w:rFonts w:asciiTheme="majorHAnsi" w:hAnsiTheme="majorHAnsi" w:cs="Arial"/>
                <w:color w:val="000000"/>
                <w:kern w:val="24"/>
                <w:sz w:val="22"/>
                <w:szCs w:val="22"/>
              </w:rPr>
              <w:t>1</w:t>
            </w:r>
            <w:r w:rsidR="004A32EB" w:rsidRPr="00361EBF">
              <w:rPr>
                <w:rFonts w:asciiTheme="majorHAnsi" w:hAnsiTheme="majorHAnsi" w:cs="Arial"/>
                <w:color w:val="000000"/>
                <w:kern w:val="24"/>
                <w:sz w:val="22"/>
                <w:szCs w:val="22"/>
              </w:rPr>
              <w:t>746</w:t>
            </w:r>
            <w:r w:rsidRPr="00361EBF">
              <w:rPr>
                <w:rFonts w:asciiTheme="majorHAnsi" w:hAnsiTheme="majorHAnsi" w:cs="Arial"/>
                <w:color w:val="000000"/>
                <w:kern w:val="24"/>
                <w:sz w:val="22"/>
                <w:szCs w:val="22"/>
              </w:rPr>
              <w:t xml:space="preserve"> MU</w:t>
            </w:r>
          </w:p>
        </w:tc>
      </w:tr>
      <w:tr w:rsidR="008E6D2C" w:rsidRPr="00361EBF" w14:paraId="62C429CB" w14:textId="77777777" w:rsidTr="00FE34C2">
        <w:trPr>
          <w:trHeight w:val="358"/>
          <w:jc w:val="center"/>
        </w:trPr>
        <w:tc>
          <w:tcPr>
            <w:tcW w:w="4248" w:type="dxa"/>
            <w:tcMar>
              <w:top w:w="15" w:type="dxa"/>
              <w:left w:w="15" w:type="dxa"/>
              <w:bottom w:w="0" w:type="dxa"/>
              <w:right w:w="15" w:type="dxa"/>
            </w:tcMar>
            <w:vAlign w:val="center"/>
            <w:hideMark/>
          </w:tcPr>
          <w:p w14:paraId="41104A4C" w14:textId="77777777" w:rsidR="008E6D2C" w:rsidRPr="00361EBF" w:rsidRDefault="008E6D2C" w:rsidP="00330651">
            <w:pPr>
              <w:pStyle w:val="NormalWeb"/>
              <w:spacing w:before="0" w:beforeAutospacing="0" w:after="0" w:afterAutospacing="0"/>
              <w:ind w:left="115"/>
              <w:textAlignment w:val="bottom"/>
              <w:rPr>
                <w:rFonts w:asciiTheme="majorHAnsi" w:hAnsiTheme="majorHAnsi" w:cs="Arial"/>
                <w:sz w:val="22"/>
                <w:szCs w:val="22"/>
              </w:rPr>
            </w:pPr>
            <w:r w:rsidRPr="00361EBF">
              <w:rPr>
                <w:rFonts w:asciiTheme="majorHAnsi" w:hAnsiTheme="majorHAnsi" w:cs="Arial"/>
                <w:b/>
                <w:bCs/>
                <w:color w:val="000000"/>
                <w:kern w:val="24"/>
                <w:sz w:val="22"/>
                <w:szCs w:val="22"/>
              </w:rPr>
              <w:t>Total Power Purchase Cost (A)</w:t>
            </w:r>
          </w:p>
        </w:tc>
        <w:tc>
          <w:tcPr>
            <w:tcW w:w="1984" w:type="dxa"/>
            <w:tcMar>
              <w:top w:w="15" w:type="dxa"/>
              <w:left w:w="15" w:type="dxa"/>
              <w:bottom w:w="0" w:type="dxa"/>
              <w:right w:w="15" w:type="dxa"/>
            </w:tcMar>
            <w:vAlign w:val="center"/>
            <w:hideMark/>
          </w:tcPr>
          <w:p w14:paraId="28FF273E" w14:textId="33D55DE5" w:rsidR="008E6D2C" w:rsidRPr="00361EBF" w:rsidRDefault="004A32EB"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5109.68</w:t>
            </w:r>
          </w:p>
        </w:tc>
        <w:tc>
          <w:tcPr>
            <w:tcW w:w="2127" w:type="dxa"/>
            <w:tcMar>
              <w:top w:w="15" w:type="dxa"/>
              <w:left w:w="15" w:type="dxa"/>
              <w:bottom w:w="0" w:type="dxa"/>
              <w:right w:w="15" w:type="dxa"/>
            </w:tcMar>
            <w:vAlign w:val="center"/>
          </w:tcPr>
          <w:p w14:paraId="5F9142FF" w14:textId="0298923C" w:rsidR="008E6D2C" w:rsidRPr="00361EBF" w:rsidRDefault="00FE34C2"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482</w:t>
            </w:r>
            <w:r w:rsidR="004D69FD" w:rsidRPr="00361EBF">
              <w:rPr>
                <w:rFonts w:asciiTheme="majorHAnsi" w:hAnsiTheme="majorHAnsi" w:cs="Arial"/>
                <w:sz w:val="22"/>
                <w:szCs w:val="22"/>
              </w:rPr>
              <w:t>5.63</w:t>
            </w:r>
          </w:p>
        </w:tc>
      </w:tr>
      <w:tr w:rsidR="008E6D2C" w:rsidRPr="00361EBF" w14:paraId="71779A89" w14:textId="77777777" w:rsidTr="00FE34C2">
        <w:trPr>
          <w:trHeight w:val="358"/>
          <w:jc w:val="center"/>
        </w:trPr>
        <w:tc>
          <w:tcPr>
            <w:tcW w:w="4248" w:type="dxa"/>
            <w:tcMar>
              <w:top w:w="15" w:type="dxa"/>
              <w:left w:w="15" w:type="dxa"/>
              <w:bottom w:w="0" w:type="dxa"/>
              <w:right w:w="15" w:type="dxa"/>
            </w:tcMar>
            <w:vAlign w:val="center"/>
            <w:hideMark/>
          </w:tcPr>
          <w:p w14:paraId="1A8445F0" w14:textId="77777777" w:rsidR="008E6D2C" w:rsidRPr="00361EBF" w:rsidRDefault="008E6D2C" w:rsidP="00330651">
            <w:pPr>
              <w:pStyle w:val="NormalWeb"/>
              <w:spacing w:before="0" w:beforeAutospacing="0" w:after="0" w:afterAutospacing="0"/>
              <w:ind w:left="115"/>
              <w:textAlignment w:val="bottom"/>
              <w:rPr>
                <w:rFonts w:asciiTheme="majorHAnsi" w:hAnsiTheme="majorHAnsi" w:cs="Arial"/>
                <w:sz w:val="22"/>
                <w:szCs w:val="22"/>
              </w:rPr>
            </w:pPr>
            <w:r w:rsidRPr="00361EBF">
              <w:rPr>
                <w:rFonts w:asciiTheme="majorHAnsi" w:hAnsiTheme="majorHAnsi" w:cs="Arial"/>
                <w:b/>
                <w:bCs/>
                <w:color w:val="000000"/>
                <w:kern w:val="24"/>
                <w:sz w:val="22"/>
                <w:szCs w:val="22"/>
              </w:rPr>
              <w:t>Distribution Costs (B)</w:t>
            </w:r>
          </w:p>
        </w:tc>
        <w:tc>
          <w:tcPr>
            <w:tcW w:w="1984" w:type="dxa"/>
            <w:tcMar>
              <w:top w:w="15" w:type="dxa"/>
              <w:left w:w="15" w:type="dxa"/>
              <w:bottom w:w="0" w:type="dxa"/>
              <w:right w:w="15" w:type="dxa"/>
            </w:tcMar>
            <w:vAlign w:val="center"/>
            <w:hideMark/>
          </w:tcPr>
          <w:p w14:paraId="5F7BBEF5" w14:textId="77777777" w:rsidR="008E6D2C" w:rsidRPr="00361EBF" w:rsidRDefault="008E6D2C" w:rsidP="00330651">
            <w:pPr>
              <w:jc w:val="center"/>
              <w:rPr>
                <w:rFonts w:asciiTheme="majorHAnsi" w:hAnsiTheme="majorHAnsi" w:cs="Arial"/>
                <w:sz w:val="22"/>
                <w:szCs w:val="22"/>
              </w:rPr>
            </w:pPr>
          </w:p>
        </w:tc>
        <w:tc>
          <w:tcPr>
            <w:tcW w:w="2127" w:type="dxa"/>
            <w:tcMar>
              <w:top w:w="15" w:type="dxa"/>
              <w:left w:w="15" w:type="dxa"/>
              <w:bottom w:w="0" w:type="dxa"/>
              <w:right w:w="15" w:type="dxa"/>
            </w:tcMar>
            <w:vAlign w:val="center"/>
          </w:tcPr>
          <w:p w14:paraId="2959B4BE" w14:textId="77777777" w:rsidR="008E6D2C" w:rsidRPr="00361EBF" w:rsidRDefault="008E6D2C" w:rsidP="00330651">
            <w:pPr>
              <w:jc w:val="center"/>
              <w:rPr>
                <w:rFonts w:asciiTheme="majorHAnsi" w:hAnsiTheme="majorHAnsi"/>
                <w:sz w:val="22"/>
                <w:szCs w:val="22"/>
              </w:rPr>
            </w:pPr>
          </w:p>
        </w:tc>
      </w:tr>
      <w:tr w:rsidR="008E6D2C" w:rsidRPr="00361EBF" w14:paraId="264582A5" w14:textId="77777777" w:rsidTr="00FE34C2">
        <w:trPr>
          <w:trHeight w:val="358"/>
          <w:jc w:val="center"/>
        </w:trPr>
        <w:tc>
          <w:tcPr>
            <w:tcW w:w="4248" w:type="dxa"/>
            <w:tcMar>
              <w:top w:w="15" w:type="dxa"/>
              <w:left w:w="15" w:type="dxa"/>
              <w:bottom w:w="0" w:type="dxa"/>
              <w:right w:w="15" w:type="dxa"/>
            </w:tcMar>
            <w:vAlign w:val="center"/>
            <w:hideMark/>
          </w:tcPr>
          <w:p w14:paraId="14707ED8" w14:textId="77777777" w:rsidR="008E6D2C" w:rsidRPr="00361EBF" w:rsidRDefault="008E6D2C" w:rsidP="00330651">
            <w:pPr>
              <w:pStyle w:val="NormalWeb"/>
              <w:spacing w:before="0" w:beforeAutospacing="0" w:after="0" w:afterAutospacing="0"/>
              <w:ind w:left="115"/>
              <w:textAlignment w:val="bottom"/>
              <w:rPr>
                <w:rFonts w:asciiTheme="majorHAnsi" w:hAnsiTheme="majorHAnsi" w:cs="Arial"/>
                <w:sz w:val="22"/>
                <w:szCs w:val="22"/>
              </w:rPr>
            </w:pPr>
            <w:r w:rsidRPr="00361EBF">
              <w:rPr>
                <w:rFonts w:asciiTheme="majorHAnsi" w:hAnsiTheme="majorHAnsi" w:cs="Arial"/>
                <w:color w:val="000000"/>
                <w:kern w:val="24"/>
                <w:sz w:val="22"/>
                <w:szCs w:val="22"/>
              </w:rPr>
              <w:t>a)  Employees cost</w:t>
            </w:r>
          </w:p>
        </w:tc>
        <w:tc>
          <w:tcPr>
            <w:tcW w:w="1984" w:type="dxa"/>
            <w:tcMar>
              <w:top w:w="15" w:type="dxa"/>
              <w:left w:w="15" w:type="dxa"/>
              <w:bottom w:w="0" w:type="dxa"/>
              <w:right w:w="15" w:type="dxa"/>
            </w:tcMar>
            <w:vAlign w:val="center"/>
          </w:tcPr>
          <w:p w14:paraId="3ABEEEB9" w14:textId="48F6C798" w:rsidR="008E6D2C" w:rsidRPr="00361EBF" w:rsidRDefault="00856147"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54</w:t>
            </w:r>
            <w:r w:rsidR="004A32EB" w:rsidRPr="00361EBF">
              <w:rPr>
                <w:rFonts w:asciiTheme="majorHAnsi" w:hAnsiTheme="majorHAnsi" w:cs="Arial"/>
                <w:sz w:val="22"/>
                <w:szCs w:val="22"/>
              </w:rPr>
              <w:t>8.65</w:t>
            </w:r>
          </w:p>
        </w:tc>
        <w:tc>
          <w:tcPr>
            <w:tcW w:w="2127" w:type="dxa"/>
            <w:tcMar>
              <w:top w:w="15" w:type="dxa"/>
              <w:left w:w="15" w:type="dxa"/>
              <w:bottom w:w="0" w:type="dxa"/>
              <w:right w:w="15" w:type="dxa"/>
            </w:tcMar>
            <w:vAlign w:val="center"/>
          </w:tcPr>
          <w:p w14:paraId="49D90945" w14:textId="5BE8FBBD" w:rsidR="008E6D2C" w:rsidRPr="00361EBF" w:rsidRDefault="00FE34C2"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579.19</w:t>
            </w:r>
          </w:p>
        </w:tc>
      </w:tr>
      <w:tr w:rsidR="008E6D2C" w:rsidRPr="00361EBF" w14:paraId="2948EDD6" w14:textId="77777777" w:rsidTr="00FE34C2">
        <w:trPr>
          <w:trHeight w:val="358"/>
          <w:jc w:val="center"/>
        </w:trPr>
        <w:tc>
          <w:tcPr>
            <w:tcW w:w="4248" w:type="dxa"/>
            <w:tcMar>
              <w:top w:w="15" w:type="dxa"/>
              <w:left w:w="15" w:type="dxa"/>
              <w:bottom w:w="0" w:type="dxa"/>
              <w:right w:w="15" w:type="dxa"/>
            </w:tcMar>
            <w:vAlign w:val="center"/>
            <w:hideMark/>
          </w:tcPr>
          <w:p w14:paraId="53B1C0F8" w14:textId="77777777" w:rsidR="008E6D2C" w:rsidRPr="00361EBF" w:rsidRDefault="008E6D2C" w:rsidP="00330651">
            <w:pPr>
              <w:pStyle w:val="NormalWeb"/>
              <w:spacing w:before="0" w:beforeAutospacing="0" w:after="0" w:afterAutospacing="0"/>
              <w:ind w:left="115"/>
              <w:textAlignment w:val="bottom"/>
              <w:rPr>
                <w:rFonts w:asciiTheme="majorHAnsi" w:hAnsiTheme="majorHAnsi" w:cs="Arial"/>
                <w:sz w:val="22"/>
                <w:szCs w:val="22"/>
              </w:rPr>
            </w:pPr>
            <w:r w:rsidRPr="00361EBF">
              <w:rPr>
                <w:rFonts w:asciiTheme="majorHAnsi" w:hAnsiTheme="majorHAnsi" w:cs="Arial"/>
                <w:color w:val="000000"/>
                <w:kern w:val="24"/>
                <w:sz w:val="22"/>
                <w:szCs w:val="22"/>
              </w:rPr>
              <w:t>b)  Repair and Maintenance cost</w:t>
            </w:r>
          </w:p>
        </w:tc>
        <w:tc>
          <w:tcPr>
            <w:tcW w:w="1984" w:type="dxa"/>
            <w:tcMar>
              <w:top w:w="15" w:type="dxa"/>
              <w:left w:w="15" w:type="dxa"/>
              <w:bottom w:w="0" w:type="dxa"/>
              <w:right w:w="15" w:type="dxa"/>
            </w:tcMar>
            <w:vAlign w:val="center"/>
          </w:tcPr>
          <w:p w14:paraId="6544B971" w14:textId="3A7B4CB0" w:rsidR="008E6D2C" w:rsidRPr="00361EBF" w:rsidRDefault="00856147"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2</w:t>
            </w:r>
            <w:r w:rsidR="004A32EB" w:rsidRPr="00361EBF">
              <w:rPr>
                <w:rFonts w:asciiTheme="majorHAnsi" w:hAnsiTheme="majorHAnsi" w:cs="Arial"/>
                <w:sz w:val="22"/>
                <w:szCs w:val="22"/>
              </w:rPr>
              <w:t>70.14</w:t>
            </w:r>
          </w:p>
        </w:tc>
        <w:tc>
          <w:tcPr>
            <w:tcW w:w="2127" w:type="dxa"/>
            <w:tcMar>
              <w:top w:w="15" w:type="dxa"/>
              <w:left w:w="15" w:type="dxa"/>
              <w:bottom w:w="0" w:type="dxa"/>
              <w:right w:w="15" w:type="dxa"/>
            </w:tcMar>
            <w:vAlign w:val="center"/>
          </w:tcPr>
          <w:p w14:paraId="188B0B9B" w14:textId="44696484" w:rsidR="008E6D2C" w:rsidRPr="00361EBF" w:rsidRDefault="00FE34C2"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326.10</w:t>
            </w:r>
          </w:p>
        </w:tc>
      </w:tr>
      <w:tr w:rsidR="008E6D2C" w:rsidRPr="00361EBF" w14:paraId="5E9124D5" w14:textId="77777777" w:rsidTr="00FE34C2">
        <w:trPr>
          <w:trHeight w:val="358"/>
          <w:jc w:val="center"/>
        </w:trPr>
        <w:tc>
          <w:tcPr>
            <w:tcW w:w="4248" w:type="dxa"/>
            <w:tcMar>
              <w:top w:w="15" w:type="dxa"/>
              <w:left w:w="15" w:type="dxa"/>
              <w:bottom w:w="0" w:type="dxa"/>
              <w:right w:w="15" w:type="dxa"/>
            </w:tcMar>
            <w:vAlign w:val="center"/>
            <w:hideMark/>
          </w:tcPr>
          <w:p w14:paraId="6DD8EAE1" w14:textId="77777777" w:rsidR="008E6D2C" w:rsidRPr="00361EBF" w:rsidRDefault="008E6D2C" w:rsidP="00330651">
            <w:pPr>
              <w:pStyle w:val="NormalWeb"/>
              <w:spacing w:before="0" w:beforeAutospacing="0" w:after="0" w:afterAutospacing="0"/>
              <w:ind w:left="115"/>
              <w:textAlignment w:val="bottom"/>
              <w:rPr>
                <w:rFonts w:asciiTheme="majorHAnsi" w:hAnsiTheme="majorHAnsi" w:cs="Arial"/>
                <w:sz w:val="22"/>
                <w:szCs w:val="22"/>
              </w:rPr>
            </w:pPr>
            <w:r w:rsidRPr="00361EBF">
              <w:rPr>
                <w:rFonts w:asciiTheme="majorHAnsi" w:hAnsiTheme="majorHAnsi" w:cs="Arial"/>
                <w:color w:val="000000"/>
                <w:kern w:val="24"/>
                <w:sz w:val="22"/>
                <w:szCs w:val="22"/>
              </w:rPr>
              <w:t>c)  Admin. &amp; General Expenses</w:t>
            </w:r>
          </w:p>
        </w:tc>
        <w:tc>
          <w:tcPr>
            <w:tcW w:w="1984" w:type="dxa"/>
            <w:tcMar>
              <w:top w:w="15" w:type="dxa"/>
              <w:left w:w="15" w:type="dxa"/>
              <w:bottom w:w="0" w:type="dxa"/>
              <w:right w:w="15" w:type="dxa"/>
            </w:tcMar>
            <w:vAlign w:val="center"/>
          </w:tcPr>
          <w:p w14:paraId="35B7A629" w14:textId="2A7A61ED" w:rsidR="008E6D2C" w:rsidRPr="00361EBF" w:rsidRDefault="00856147"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1</w:t>
            </w:r>
            <w:r w:rsidR="004A32EB" w:rsidRPr="00361EBF">
              <w:rPr>
                <w:rFonts w:asciiTheme="majorHAnsi" w:hAnsiTheme="majorHAnsi" w:cs="Arial"/>
                <w:sz w:val="22"/>
                <w:szCs w:val="22"/>
              </w:rPr>
              <w:t>81.03</w:t>
            </w:r>
          </w:p>
        </w:tc>
        <w:tc>
          <w:tcPr>
            <w:tcW w:w="2127" w:type="dxa"/>
            <w:tcMar>
              <w:top w:w="15" w:type="dxa"/>
              <w:left w:w="15" w:type="dxa"/>
              <w:bottom w:w="0" w:type="dxa"/>
              <w:right w:w="15" w:type="dxa"/>
            </w:tcMar>
            <w:vAlign w:val="center"/>
          </w:tcPr>
          <w:p w14:paraId="616E4670" w14:textId="2FEF9209" w:rsidR="008E6D2C" w:rsidRPr="00361EBF" w:rsidRDefault="00FE34C2"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2</w:t>
            </w:r>
            <w:r w:rsidR="00CC7CEC">
              <w:rPr>
                <w:rFonts w:asciiTheme="majorHAnsi" w:hAnsiTheme="majorHAnsi" w:cs="Arial"/>
                <w:sz w:val="22"/>
                <w:szCs w:val="22"/>
              </w:rPr>
              <w:t>54.34</w:t>
            </w:r>
          </w:p>
        </w:tc>
      </w:tr>
      <w:tr w:rsidR="008E6D2C" w:rsidRPr="00361EBF" w14:paraId="330D2660" w14:textId="77777777" w:rsidTr="00FE34C2">
        <w:trPr>
          <w:trHeight w:val="358"/>
          <w:jc w:val="center"/>
        </w:trPr>
        <w:tc>
          <w:tcPr>
            <w:tcW w:w="4248" w:type="dxa"/>
            <w:tcMar>
              <w:top w:w="15" w:type="dxa"/>
              <w:left w:w="15" w:type="dxa"/>
              <w:bottom w:w="0" w:type="dxa"/>
              <w:right w:w="15" w:type="dxa"/>
            </w:tcMar>
            <w:vAlign w:val="center"/>
            <w:hideMark/>
          </w:tcPr>
          <w:p w14:paraId="013ED9AC" w14:textId="77777777" w:rsidR="008E6D2C" w:rsidRPr="00361EBF" w:rsidRDefault="008E6D2C" w:rsidP="00330651">
            <w:pPr>
              <w:pStyle w:val="NormalWeb"/>
              <w:spacing w:before="0" w:beforeAutospacing="0" w:after="0" w:afterAutospacing="0"/>
              <w:ind w:left="115"/>
              <w:textAlignment w:val="bottom"/>
              <w:rPr>
                <w:rFonts w:asciiTheme="majorHAnsi" w:hAnsiTheme="majorHAnsi" w:cs="Arial"/>
                <w:sz w:val="22"/>
                <w:szCs w:val="22"/>
              </w:rPr>
            </w:pPr>
            <w:r w:rsidRPr="00361EBF">
              <w:rPr>
                <w:rFonts w:asciiTheme="majorHAnsi" w:hAnsiTheme="majorHAnsi" w:cs="Arial"/>
                <w:color w:val="000000"/>
                <w:kern w:val="24"/>
                <w:sz w:val="22"/>
                <w:szCs w:val="22"/>
              </w:rPr>
              <w:t>d)  Provision for bad and doubtful debts</w:t>
            </w:r>
          </w:p>
        </w:tc>
        <w:tc>
          <w:tcPr>
            <w:tcW w:w="1984" w:type="dxa"/>
            <w:tcMar>
              <w:top w:w="15" w:type="dxa"/>
              <w:left w:w="15" w:type="dxa"/>
              <w:bottom w:w="0" w:type="dxa"/>
              <w:right w:w="15" w:type="dxa"/>
            </w:tcMar>
            <w:vAlign w:val="center"/>
          </w:tcPr>
          <w:p w14:paraId="63314A3D" w14:textId="70FC3A04" w:rsidR="008E6D2C" w:rsidRPr="00361EBF" w:rsidRDefault="004A32EB"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61.48</w:t>
            </w:r>
          </w:p>
        </w:tc>
        <w:tc>
          <w:tcPr>
            <w:tcW w:w="2127" w:type="dxa"/>
            <w:tcMar>
              <w:top w:w="15" w:type="dxa"/>
              <w:left w:w="15" w:type="dxa"/>
              <w:bottom w:w="0" w:type="dxa"/>
              <w:right w:w="15" w:type="dxa"/>
            </w:tcMar>
            <w:vAlign w:val="center"/>
          </w:tcPr>
          <w:p w14:paraId="74F9ED2F" w14:textId="48496811" w:rsidR="008E6D2C" w:rsidRPr="00361EBF" w:rsidRDefault="00FE34C2"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61.12</w:t>
            </w:r>
          </w:p>
        </w:tc>
      </w:tr>
      <w:tr w:rsidR="008E6D2C" w:rsidRPr="00361EBF" w14:paraId="28EB5C33" w14:textId="77777777" w:rsidTr="00FE34C2">
        <w:trPr>
          <w:trHeight w:val="358"/>
          <w:jc w:val="center"/>
        </w:trPr>
        <w:tc>
          <w:tcPr>
            <w:tcW w:w="4248" w:type="dxa"/>
            <w:tcMar>
              <w:top w:w="15" w:type="dxa"/>
              <w:left w:w="15" w:type="dxa"/>
              <w:bottom w:w="0" w:type="dxa"/>
              <w:right w:w="15" w:type="dxa"/>
            </w:tcMar>
            <w:vAlign w:val="center"/>
            <w:hideMark/>
          </w:tcPr>
          <w:p w14:paraId="1A8605EC" w14:textId="77777777" w:rsidR="008E6D2C" w:rsidRPr="00361EBF" w:rsidRDefault="008E6D2C" w:rsidP="00330651">
            <w:pPr>
              <w:pStyle w:val="NormalWeb"/>
              <w:spacing w:before="0" w:beforeAutospacing="0" w:after="0" w:afterAutospacing="0"/>
              <w:ind w:left="115"/>
              <w:textAlignment w:val="bottom"/>
              <w:rPr>
                <w:rFonts w:asciiTheme="majorHAnsi" w:hAnsiTheme="majorHAnsi" w:cs="Arial"/>
                <w:sz w:val="22"/>
                <w:szCs w:val="22"/>
              </w:rPr>
            </w:pPr>
            <w:r w:rsidRPr="00361EBF">
              <w:rPr>
                <w:rFonts w:asciiTheme="majorHAnsi" w:hAnsiTheme="majorHAnsi" w:cs="Arial"/>
                <w:color w:val="000000"/>
                <w:kern w:val="24"/>
                <w:sz w:val="22"/>
                <w:szCs w:val="22"/>
              </w:rPr>
              <w:t>e)  Depreciation</w:t>
            </w:r>
          </w:p>
        </w:tc>
        <w:tc>
          <w:tcPr>
            <w:tcW w:w="1984" w:type="dxa"/>
            <w:tcMar>
              <w:top w:w="15" w:type="dxa"/>
              <w:left w:w="15" w:type="dxa"/>
              <w:bottom w:w="0" w:type="dxa"/>
              <w:right w:w="15" w:type="dxa"/>
            </w:tcMar>
            <w:vAlign w:val="center"/>
          </w:tcPr>
          <w:p w14:paraId="229DE86E" w14:textId="04341B13" w:rsidR="008E6D2C" w:rsidRPr="00361EBF" w:rsidRDefault="004A32EB"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118.11</w:t>
            </w:r>
          </w:p>
        </w:tc>
        <w:tc>
          <w:tcPr>
            <w:tcW w:w="2127" w:type="dxa"/>
            <w:tcMar>
              <w:top w:w="15" w:type="dxa"/>
              <w:left w:w="15" w:type="dxa"/>
              <w:bottom w:w="0" w:type="dxa"/>
              <w:right w:w="15" w:type="dxa"/>
            </w:tcMar>
            <w:vAlign w:val="center"/>
          </w:tcPr>
          <w:p w14:paraId="1EEA988F" w14:textId="251A1E9F" w:rsidR="008E6D2C" w:rsidRPr="00361EBF" w:rsidRDefault="00FE34C2"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160.81</w:t>
            </w:r>
          </w:p>
        </w:tc>
      </w:tr>
      <w:tr w:rsidR="008E6D2C" w:rsidRPr="00361EBF" w14:paraId="4AD24C57" w14:textId="77777777" w:rsidTr="00FE34C2">
        <w:trPr>
          <w:trHeight w:val="423"/>
          <w:jc w:val="center"/>
        </w:trPr>
        <w:tc>
          <w:tcPr>
            <w:tcW w:w="4248" w:type="dxa"/>
            <w:tcMar>
              <w:top w:w="15" w:type="dxa"/>
              <w:left w:w="15" w:type="dxa"/>
              <w:bottom w:w="0" w:type="dxa"/>
              <w:right w:w="15" w:type="dxa"/>
            </w:tcMar>
            <w:vAlign w:val="center"/>
            <w:hideMark/>
          </w:tcPr>
          <w:p w14:paraId="683CD77B" w14:textId="77777777" w:rsidR="008E6D2C" w:rsidRPr="00361EBF" w:rsidRDefault="008E6D2C" w:rsidP="00330651">
            <w:pPr>
              <w:pStyle w:val="NormalWeb"/>
              <w:spacing w:before="0" w:beforeAutospacing="0" w:after="0" w:afterAutospacing="0"/>
              <w:ind w:left="115"/>
              <w:textAlignment w:val="bottom"/>
              <w:rPr>
                <w:rFonts w:asciiTheme="majorHAnsi" w:hAnsiTheme="majorHAnsi" w:cs="Arial"/>
                <w:sz w:val="22"/>
                <w:szCs w:val="22"/>
              </w:rPr>
            </w:pPr>
            <w:r w:rsidRPr="00361EBF">
              <w:rPr>
                <w:rFonts w:asciiTheme="majorHAnsi" w:hAnsiTheme="majorHAnsi" w:cs="Arial"/>
                <w:color w:val="000000"/>
                <w:kern w:val="24"/>
                <w:sz w:val="22"/>
                <w:szCs w:val="22"/>
              </w:rPr>
              <w:t>f)   Interest on CAPEX loans</w:t>
            </w:r>
          </w:p>
        </w:tc>
        <w:tc>
          <w:tcPr>
            <w:tcW w:w="1984" w:type="dxa"/>
            <w:tcMar>
              <w:top w:w="15" w:type="dxa"/>
              <w:left w:w="15" w:type="dxa"/>
              <w:bottom w:w="0" w:type="dxa"/>
              <w:right w:w="15" w:type="dxa"/>
            </w:tcMar>
            <w:vAlign w:val="center"/>
          </w:tcPr>
          <w:p w14:paraId="01238A6A" w14:textId="7087D553" w:rsidR="008E6D2C" w:rsidRPr="00361EBF" w:rsidRDefault="004A32EB"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63.94</w:t>
            </w:r>
          </w:p>
        </w:tc>
        <w:tc>
          <w:tcPr>
            <w:tcW w:w="2127" w:type="dxa"/>
            <w:tcMar>
              <w:top w:w="15" w:type="dxa"/>
              <w:left w:w="15" w:type="dxa"/>
              <w:bottom w:w="0" w:type="dxa"/>
              <w:right w:w="15" w:type="dxa"/>
            </w:tcMar>
            <w:vAlign w:val="center"/>
          </w:tcPr>
          <w:p w14:paraId="4B81BA3B" w14:textId="710E4660" w:rsidR="008E6D2C" w:rsidRPr="00361EBF" w:rsidRDefault="00FE34C2"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9</w:t>
            </w:r>
            <w:r w:rsidR="00CC7CEC">
              <w:rPr>
                <w:rFonts w:asciiTheme="majorHAnsi" w:hAnsiTheme="majorHAnsi" w:cs="Arial"/>
                <w:sz w:val="22"/>
                <w:szCs w:val="22"/>
              </w:rPr>
              <w:t>1.13</w:t>
            </w:r>
          </w:p>
        </w:tc>
      </w:tr>
      <w:tr w:rsidR="008E6D2C" w:rsidRPr="00361EBF" w14:paraId="05702B05" w14:textId="77777777" w:rsidTr="00FE34C2">
        <w:trPr>
          <w:trHeight w:val="418"/>
          <w:jc w:val="center"/>
        </w:trPr>
        <w:tc>
          <w:tcPr>
            <w:tcW w:w="4248" w:type="dxa"/>
            <w:tcMar>
              <w:top w:w="15" w:type="dxa"/>
              <w:left w:w="15" w:type="dxa"/>
              <w:bottom w:w="0" w:type="dxa"/>
              <w:right w:w="15" w:type="dxa"/>
            </w:tcMar>
            <w:vAlign w:val="center"/>
            <w:hideMark/>
          </w:tcPr>
          <w:p w14:paraId="00C781EC" w14:textId="77777777" w:rsidR="008E6D2C" w:rsidRPr="00361EBF" w:rsidRDefault="008E6D2C" w:rsidP="00330651">
            <w:pPr>
              <w:pStyle w:val="NormalWeb"/>
              <w:spacing w:before="0" w:beforeAutospacing="0" w:after="0" w:afterAutospacing="0"/>
              <w:ind w:left="115"/>
              <w:textAlignment w:val="bottom"/>
              <w:rPr>
                <w:rFonts w:asciiTheme="majorHAnsi" w:hAnsiTheme="majorHAnsi" w:cs="Arial"/>
                <w:sz w:val="22"/>
                <w:szCs w:val="22"/>
              </w:rPr>
            </w:pPr>
            <w:r w:rsidRPr="00361EBF">
              <w:rPr>
                <w:rFonts w:asciiTheme="majorHAnsi" w:hAnsiTheme="majorHAnsi" w:cs="Arial"/>
                <w:color w:val="000000"/>
                <w:kern w:val="24"/>
                <w:sz w:val="22"/>
                <w:szCs w:val="22"/>
              </w:rPr>
              <w:t>g)  Interest on Working capital</w:t>
            </w:r>
          </w:p>
        </w:tc>
        <w:tc>
          <w:tcPr>
            <w:tcW w:w="1984" w:type="dxa"/>
            <w:tcMar>
              <w:top w:w="15" w:type="dxa"/>
              <w:left w:w="15" w:type="dxa"/>
              <w:bottom w:w="0" w:type="dxa"/>
              <w:right w:w="15" w:type="dxa"/>
            </w:tcMar>
            <w:vAlign w:val="center"/>
          </w:tcPr>
          <w:p w14:paraId="00CFE5D3" w14:textId="176994A1" w:rsidR="008E6D2C" w:rsidRPr="00361EBF" w:rsidRDefault="004A32EB"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20.84</w:t>
            </w:r>
          </w:p>
        </w:tc>
        <w:tc>
          <w:tcPr>
            <w:tcW w:w="2127" w:type="dxa"/>
            <w:tcMar>
              <w:top w:w="15" w:type="dxa"/>
              <w:left w:w="15" w:type="dxa"/>
              <w:bottom w:w="0" w:type="dxa"/>
              <w:right w:w="15" w:type="dxa"/>
            </w:tcMar>
            <w:vAlign w:val="center"/>
          </w:tcPr>
          <w:p w14:paraId="42B06DC6" w14:textId="5F497DE2" w:rsidR="008E6D2C" w:rsidRPr="00361EBF" w:rsidRDefault="00FE34C2"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3</w:t>
            </w:r>
            <w:r w:rsidR="00CC7CEC">
              <w:rPr>
                <w:rFonts w:asciiTheme="majorHAnsi" w:hAnsiTheme="majorHAnsi" w:cs="Arial"/>
                <w:sz w:val="22"/>
                <w:szCs w:val="22"/>
              </w:rPr>
              <w:t>7.23</w:t>
            </w:r>
          </w:p>
        </w:tc>
      </w:tr>
      <w:tr w:rsidR="008E6D2C" w:rsidRPr="00361EBF" w14:paraId="693A3736" w14:textId="77777777" w:rsidTr="00FE34C2">
        <w:trPr>
          <w:trHeight w:val="358"/>
          <w:jc w:val="center"/>
        </w:trPr>
        <w:tc>
          <w:tcPr>
            <w:tcW w:w="4248" w:type="dxa"/>
            <w:tcMar>
              <w:top w:w="15" w:type="dxa"/>
              <w:left w:w="15" w:type="dxa"/>
              <w:bottom w:w="0" w:type="dxa"/>
              <w:right w:w="15" w:type="dxa"/>
            </w:tcMar>
            <w:vAlign w:val="center"/>
            <w:hideMark/>
          </w:tcPr>
          <w:p w14:paraId="3B2F2121" w14:textId="77777777" w:rsidR="008E6D2C" w:rsidRPr="00361EBF" w:rsidRDefault="008E6D2C" w:rsidP="00330651">
            <w:pPr>
              <w:pStyle w:val="NormalWeb"/>
              <w:spacing w:before="0" w:beforeAutospacing="0" w:after="0" w:afterAutospacing="0"/>
              <w:ind w:left="115"/>
              <w:textAlignment w:val="bottom"/>
              <w:rPr>
                <w:rFonts w:asciiTheme="majorHAnsi" w:hAnsiTheme="majorHAnsi" w:cs="Arial"/>
                <w:sz w:val="22"/>
                <w:szCs w:val="22"/>
              </w:rPr>
            </w:pPr>
            <w:r w:rsidRPr="00361EBF">
              <w:rPr>
                <w:rFonts w:asciiTheme="majorHAnsi" w:hAnsiTheme="majorHAnsi" w:cs="Arial"/>
                <w:color w:val="000000"/>
                <w:kern w:val="24"/>
                <w:sz w:val="22"/>
                <w:szCs w:val="22"/>
              </w:rPr>
              <w:t>h)  Interest on Security Deposits</w:t>
            </w:r>
          </w:p>
        </w:tc>
        <w:tc>
          <w:tcPr>
            <w:tcW w:w="1984" w:type="dxa"/>
            <w:tcMar>
              <w:top w:w="15" w:type="dxa"/>
              <w:left w:w="15" w:type="dxa"/>
              <w:bottom w:w="0" w:type="dxa"/>
              <w:right w:w="15" w:type="dxa"/>
            </w:tcMar>
            <w:vAlign w:val="center"/>
          </w:tcPr>
          <w:p w14:paraId="1A16BF50" w14:textId="0349CEE5" w:rsidR="008E6D2C" w:rsidRPr="00361EBF" w:rsidRDefault="00856147"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8</w:t>
            </w:r>
            <w:r w:rsidR="004A32EB" w:rsidRPr="00361EBF">
              <w:rPr>
                <w:rFonts w:asciiTheme="majorHAnsi" w:hAnsiTheme="majorHAnsi" w:cs="Arial"/>
                <w:sz w:val="22"/>
                <w:szCs w:val="22"/>
              </w:rPr>
              <w:t>2.16</w:t>
            </w:r>
          </w:p>
        </w:tc>
        <w:tc>
          <w:tcPr>
            <w:tcW w:w="2127" w:type="dxa"/>
            <w:tcMar>
              <w:top w:w="15" w:type="dxa"/>
              <w:left w:w="15" w:type="dxa"/>
              <w:bottom w:w="0" w:type="dxa"/>
              <w:right w:w="15" w:type="dxa"/>
            </w:tcMar>
            <w:vAlign w:val="center"/>
          </w:tcPr>
          <w:p w14:paraId="75B62F1C" w14:textId="11CBAC9B" w:rsidR="008E6D2C" w:rsidRPr="00361EBF" w:rsidRDefault="00FE34C2"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85.12</w:t>
            </w:r>
          </w:p>
        </w:tc>
      </w:tr>
      <w:tr w:rsidR="008E6D2C" w:rsidRPr="00361EBF" w14:paraId="78AFF17A" w14:textId="77777777" w:rsidTr="00FE34C2">
        <w:trPr>
          <w:trHeight w:val="372"/>
          <w:jc w:val="center"/>
        </w:trPr>
        <w:tc>
          <w:tcPr>
            <w:tcW w:w="4248" w:type="dxa"/>
            <w:tcMar>
              <w:top w:w="15" w:type="dxa"/>
              <w:left w:w="15" w:type="dxa"/>
              <w:bottom w:w="0" w:type="dxa"/>
              <w:right w:w="15" w:type="dxa"/>
            </w:tcMar>
            <w:vAlign w:val="center"/>
            <w:hideMark/>
          </w:tcPr>
          <w:p w14:paraId="7964FE23" w14:textId="77777777" w:rsidR="008E6D2C" w:rsidRPr="00361EBF" w:rsidRDefault="008E6D2C" w:rsidP="00330651">
            <w:pPr>
              <w:pStyle w:val="NormalWeb"/>
              <w:spacing w:before="0" w:beforeAutospacing="0" w:after="0" w:afterAutospacing="0"/>
              <w:ind w:left="115"/>
              <w:textAlignment w:val="bottom"/>
              <w:rPr>
                <w:rFonts w:asciiTheme="majorHAnsi" w:hAnsiTheme="majorHAnsi" w:cs="Arial"/>
                <w:sz w:val="22"/>
                <w:szCs w:val="22"/>
              </w:rPr>
            </w:pPr>
            <w:proofErr w:type="spellStart"/>
            <w:r w:rsidRPr="00361EBF">
              <w:rPr>
                <w:rFonts w:asciiTheme="majorHAnsi" w:hAnsiTheme="majorHAnsi" w:cs="Arial"/>
                <w:color w:val="000000"/>
                <w:kern w:val="24"/>
                <w:sz w:val="22"/>
                <w:szCs w:val="22"/>
              </w:rPr>
              <w:t>i</w:t>
            </w:r>
            <w:proofErr w:type="spellEnd"/>
            <w:r w:rsidRPr="00361EBF">
              <w:rPr>
                <w:rFonts w:asciiTheme="majorHAnsi" w:hAnsiTheme="majorHAnsi" w:cs="Arial"/>
                <w:color w:val="000000"/>
                <w:kern w:val="24"/>
                <w:sz w:val="22"/>
                <w:szCs w:val="22"/>
              </w:rPr>
              <w:t xml:space="preserve">)  </w:t>
            </w:r>
            <w:proofErr w:type="spellStart"/>
            <w:r w:rsidRPr="00361EBF">
              <w:rPr>
                <w:rFonts w:asciiTheme="majorHAnsi" w:hAnsiTheme="majorHAnsi" w:cs="Arial"/>
                <w:color w:val="000000"/>
                <w:kern w:val="24"/>
                <w:sz w:val="22"/>
                <w:szCs w:val="22"/>
              </w:rPr>
              <w:t>RoE</w:t>
            </w:r>
            <w:proofErr w:type="spellEnd"/>
            <w:r w:rsidRPr="00361EBF">
              <w:rPr>
                <w:rFonts w:asciiTheme="majorHAnsi" w:hAnsiTheme="majorHAnsi" w:cs="Arial"/>
                <w:color w:val="000000"/>
                <w:kern w:val="24"/>
                <w:sz w:val="22"/>
                <w:szCs w:val="22"/>
              </w:rPr>
              <w:t xml:space="preserve"> Net of Tax</w:t>
            </w:r>
          </w:p>
        </w:tc>
        <w:tc>
          <w:tcPr>
            <w:tcW w:w="1984" w:type="dxa"/>
            <w:tcMar>
              <w:top w:w="15" w:type="dxa"/>
              <w:left w:w="15" w:type="dxa"/>
              <w:bottom w:w="0" w:type="dxa"/>
              <w:right w:w="15" w:type="dxa"/>
            </w:tcMar>
            <w:vAlign w:val="center"/>
          </w:tcPr>
          <w:p w14:paraId="327677A8" w14:textId="3F0E14A1" w:rsidR="008E6D2C" w:rsidRPr="00361EBF" w:rsidRDefault="004A32EB"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115.18</w:t>
            </w:r>
          </w:p>
        </w:tc>
        <w:tc>
          <w:tcPr>
            <w:tcW w:w="2127" w:type="dxa"/>
            <w:tcMar>
              <w:top w:w="15" w:type="dxa"/>
              <w:left w:w="15" w:type="dxa"/>
              <w:bottom w:w="0" w:type="dxa"/>
              <w:right w:w="15" w:type="dxa"/>
            </w:tcMar>
            <w:vAlign w:val="center"/>
          </w:tcPr>
          <w:p w14:paraId="05D93416" w14:textId="62E9528F" w:rsidR="008E6D2C" w:rsidRPr="00361EBF" w:rsidRDefault="00FE34C2"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147.</w:t>
            </w:r>
            <w:r w:rsidR="00001DCC" w:rsidRPr="00361EBF">
              <w:rPr>
                <w:rFonts w:asciiTheme="majorHAnsi" w:hAnsiTheme="majorHAnsi" w:cs="Arial"/>
                <w:sz w:val="22"/>
                <w:szCs w:val="22"/>
              </w:rPr>
              <w:t>65</w:t>
            </w:r>
          </w:p>
        </w:tc>
      </w:tr>
      <w:tr w:rsidR="008E6D2C" w:rsidRPr="00361EBF" w14:paraId="1D360790" w14:textId="77777777" w:rsidTr="00FE34C2">
        <w:trPr>
          <w:trHeight w:val="358"/>
          <w:jc w:val="center"/>
        </w:trPr>
        <w:tc>
          <w:tcPr>
            <w:tcW w:w="4248" w:type="dxa"/>
            <w:tcMar>
              <w:top w:w="15" w:type="dxa"/>
              <w:left w:w="15" w:type="dxa"/>
              <w:bottom w:w="0" w:type="dxa"/>
              <w:right w:w="15" w:type="dxa"/>
            </w:tcMar>
            <w:vAlign w:val="center"/>
            <w:hideMark/>
          </w:tcPr>
          <w:p w14:paraId="10CFCC16" w14:textId="77777777" w:rsidR="008E6D2C" w:rsidRPr="00361EBF" w:rsidRDefault="008E6D2C" w:rsidP="00330651">
            <w:pPr>
              <w:pStyle w:val="NormalWeb"/>
              <w:spacing w:before="0" w:beforeAutospacing="0" w:after="0" w:afterAutospacing="0"/>
              <w:ind w:left="115"/>
              <w:textAlignment w:val="bottom"/>
              <w:rPr>
                <w:rFonts w:asciiTheme="majorHAnsi" w:hAnsiTheme="majorHAnsi" w:cs="Arial"/>
                <w:sz w:val="22"/>
                <w:szCs w:val="22"/>
              </w:rPr>
            </w:pPr>
            <w:r w:rsidRPr="00361EBF">
              <w:rPr>
                <w:rFonts w:asciiTheme="majorHAnsi" w:hAnsiTheme="majorHAnsi" w:cs="Arial"/>
                <w:color w:val="000000"/>
                <w:kern w:val="24"/>
                <w:sz w:val="22"/>
                <w:szCs w:val="22"/>
              </w:rPr>
              <w:t>j)  Tax on ROE</w:t>
            </w:r>
          </w:p>
        </w:tc>
        <w:tc>
          <w:tcPr>
            <w:tcW w:w="1984" w:type="dxa"/>
            <w:tcMar>
              <w:top w:w="15" w:type="dxa"/>
              <w:left w:w="15" w:type="dxa"/>
              <w:bottom w:w="0" w:type="dxa"/>
              <w:right w:w="15" w:type="dxa"/>
            </w:tcMar>
            <w:vAlign w:val="center"/>
          </w:tcPr>
          <w:p w14:paraId="0ED517BA" w14:textId="5C090E38" w:rsidR="008E6D2C" w:rsidRPr="00361EBF" w:rsidRDefault="004A32EB" w:rsidP="00330651">
            <w:pPr>
              <w:jc w:val="center"/>
              <w:rPr>
                <w:rFonts w:asciiTheme="majorHAnsi" w:hAnsiTheme="majorHAnsi" w:cs="Arial"/>
                <w:sz w:val="22"/>
                <w:szCs w:val="22"/>
              </w:rPr>
            </w:pPr>
            <w:r w:rsidRPr="00361EBF">
              <w:rPr>
                <w:rFonts w:asciiTheme="majorHAnsi" w:hAnsiTheme="majorHAnsi" w:cs="Arial"/>
                <w:sz w:val="22"/>
                <w:szCs w:val="22"/>
              </w:rPr>
              <w:t>28.99</w:t>
            </w:r>
          </w:p>
        </w:tc>
        <w:tc>
          <w:tcPr>
            <w:tcW w:w="2127" w:type="dxa"/>
            <w:tcMar>
              <w:top w:w="15" w:type="dxa"/>
              <w:left w:w="15" w:type="dxa"/>
              <w:bottom w:w="0" w:type="dxa"/>
              <w:right w:w="15" w:type="dxa"/>
            </w:tcMar>
            <w:vAlign w:val="center"/>
          </w:tcPr>
          <w:p w14:paraId="1FFBE2BC" w14:textId="2967FB94" w:rsidR="008E6D2C" w:rsidRPr="00361EBF" w:rsidRDefault="00FE34C2"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49.6</w:t>
            </w:r>
            <w:r w:rsidR="00001DCC" w:rsidRPr="00361EBF">
              <w:rPr>
                <w:rFonts w:asciiTheme="majorHAnsi" w:hAnsiTheme="majorHAnsi" w:cs="Arial"/>
                <w:sz w:val="22"/>
                <w:szCs w:val="22"/>
              </w:rPr>
              <w:t>6</w:t>
            </w:r>
          </w:p>
        </w:tc>
      </w:tr>
      <w:tr w:rsidR="008E6D2C" w:rsidRPr="00361EBF" w14:paraId="203EAF3E" w14:textId="77777777" w:rsidTr="00FE34C2">
        <w:trPr>
          <w:trHeight w:val="372"/>
          <w:jc w:val="center"/>
        </w:trPr>
        <w:tc>
          <w:tcPr>
            <w:tcW w:w="4248" w:type="dxa"/>
            <w:tcMar>
              <w:top w:w="15" w:type="dxa"/>
              <w:left w:w="15" w:type="dxa"/>
              <w:bottom w:w="0" w:type="dxa"/>
              <w:right w:w="15" w:type="dxa"/>
            </w:tcMar>
            <w:vAlign w:val="center"/>
            <w:hideMark/>
          </w:tcPr>
          <w:p w14:paraId="3CCCDACE" w14:textId="620B6DE9" w:rsidR="008E6D2C" w:rsidRPr="00361EBF" w:rsidRDefault="008E6D2C" w:rsidP="00330651">
            <w:pPr>
              <w:pStyle w:val="NormalWeb"/>
              <w:spacing w:before="0" w:beforeAutospacing="0" w:after="0" w:afterAutospacing="0"/>
              <w:ind w:left="115"/>
              <w:textAlignment w:val="bottom"/>
              <w:rPr>
                <w:rFonts w:asciiTheme="majorHAnsi" w:hAnsiTheme="majorHAnsi" w:cs="Arial"/>
                <w:sz w:val="22"/>
                <w:szCs w:val="22"/>
              </w:rPr>
            </w:pPr>
            <w:r w:rsidRPr="00361EBF">
              <w:rPr>
                <w:rFonts w:asciiTheme="majorHAnsi" w:hAnsiTheme="majorHAnsi" w:cs="Arial"/>
                <w:color w:val="000000"/>
                <w:kern w:val="24"/>
                <w:sz w:val="22"/>
                <w:szCs w:val="22"/>
              </w:rPr>
              <w:t xml:space="preserve">k) Carrying Cost on </w:t>
            </w:r>
            <w:r w:rsidR="002C0D34" w:rsidRPr="00361EBF">
              <w:rPr>
                <w:rFonts w:asciiTheme="majorHAnsi" w:hAnsiTheme="majorHAnsi" w:cs="Arial"/>
                <w:color w:val="000000"/>
                <w:kern w:val="24"/>
                <w:sz w:val="22"/>
                <w:szCs w:val="22"/>
              </w:rPr>
              <w:t>ASL</w:t>
            </w:r>
          </w:p>
        </w:tc>
        <w:tc>
          <w:tcPr>
            <w:tcW w:w="1984" w:type="dxa"/>
            <w:tcMar>
              <w:top w:w="15" w:type="dxa"/>
              <w:left w:w="15" w:type="dxa"/>
              <w:bottom w:w="0" w:type="dxa"/>
              <w:right w:w="15" w:type="dxa"/>
            </w:tcMar>
            <w:vAlign w:val="center"/>
          </w:tcPr>
          <w:p w14:paraId="19F2F338" w14:textId="62735861" w:rsidR="008E6D2C" w:rsidRPr="00361EBF" w:rsidRDefault="004A32EB" w:rsidP="00330651">
            <w:pPr>
              <w:jc w:val="center"/>
              <w:rPr>
                <w:rFonts w:asciiTheme="majorHAnsi" w:hAnsiTheme="majorHAnsi" w:cs="Arial"/>
                <w:sz w:val="22"/>
                <w:szCs w:val="22"/>
              </w:rPr>
            </w:pPr>
            <w:r w:rsidRPr="00361EBF">
              <w:rPr>
                <w:rFonts w:asciiTheme="majorHAnsi" w:hAnsiTheme="majorHAnsi" w:cs="Arial"/>
                <w:sz w:val="22"/>
                <w:szCs w:val="22"/>
              </w:rPr>
              <w:t>-</w:t>
            </w:r>
          </w:p>
        </w:tc>
        <w:tc>
          <w:tcPr>
            <w:tcW w:w="2127" w:type="dxa"/>
            <w:tcMar>
              <w:top w:w="15" w:type="dxa"/>
              <w:left w:w="15" w:type="dxa"/>
              <w:bottom w:w="0" w:type="dxa"/>
              <w:right w:w="15" w:type="dxa"/>
            </w:tcMar>
            <w:vAlign w:val="center"/>
          </w:tcPr>
          <w:p w14:paraId="186971C7" w14:textId="7A34EF83" w:rsidR="008E6D2C" w:rsidRPr="00361EBF" w:rsidRDefault="00CC7CEC" w:rsidP="00330651">
            <w:pPr>
              <w:pStyle w:val="NormalWeb"/>
              <w:spacing w:before="0" w:beforeAutospacing="0" w:after="0" w:afterAutospacing="0"/>
              <w:jc w:val="center"/>
              <w:textAlignment w:val="bottom"/>
              <w:rPr>
                <w:rFonts w:asciiTheme="majorHAnsi" w:hAnsiTheme="majorHAnsi" w:cs="Arial"/>
                <w:sz w:val="22"/>
                <w:szCs w:val="22"/>
              </w:rPr>
            </w:pPr>
            <w:r>
              <w:rPr>
                <w:rFonts w:asciiTheme="majorHAnsi" w:hAnsiTheme="majorHAnsi" w:cs="Arial"/>
                <w:sz w:val="22"/>
                <w:szCs w:val="22"/>
              </w:rPr>
              <w:t>6.94</w:t>
            </w:r>
          </w:p>
        </w:tc>
      </w:tr>
      <w:tr w:rsidR="008E6D2C" w:rsidRPr="00361EBF" w14:paraId="2A5714C0" w14:textId="77777777" w:rsidTr="00FE34C2">
        <w:trPr>
          <w:trHeight w:val="372"/>
          <w:jc w:val="center"/>
        </w:trPr>
        <w:tc>
          <w:tcPr>
            <w:tcW w:w="4248" w:type="dxa"/>
            <w:tcMar>
              <w:top w:w="15" w:type="dxa"/>
              <w:left w:w="15" w:type="dxa"/>
              <w:bottom w:w="0" w:type="dxa"/>
              <w:right w:w="15" w:type="dxa"/>
            </w:tcMar>
            <w:vAlign w:val="center"/>
            <w:hideMark/>
          </w:tcPr>
          <w:p w14:paraId="1FD5B019" w14:textId="77777777" w:rsidR="008E6D2C" w:rsidRPr="00361EBF" w:rsidRDefault="008E6D2C" w:rsidP="00330651">
            <w:pPr>
              <w:pStyle w:val="NormalWeb"/>
              <w:spacing w:before="0" w:beforeAutospacing="0" w:after="0" w:afterAutospacing="0"/>
              <w:ind w:left="115"/>
              <w:textAlignment w:val="bottom"/>
              <w:rPr>
                <w:rFonts w:asciiTheme="majorHAnsi" w:hAnsiTheme="majorHAnsi" w:cs="Arial"/>
                <w:sz w:val="22"/>
                <w:szCs w:val="22"/>
              </w:rPr>
            </w:pPr>
            <w:r w:rsidRPr="00361EBF">
              <w:rPr>
                <w:rFonts w:asciiTheme="majorHAnsi" w:hAnsiTheme="majorHAnsi" w:cs="Arial"/>
                <w:color w:val="000000"/>
                <w:kern w:val="24"/>
                <w:sz w:val="22"/>
                <w:szCs w:val="22"/>
              </w:rPr>
              <w:t>l)  Less Expenses capitalized (Emp + Int)</w:t>
            </w:r>
          </w:p>
        </w:tc>
        <w:tc>
          <w:tcPr>
            <w:tcW w:w="1984" w:type="dxa"/>
            <w:tcMar>
              <w:top w:w="15" w:type="dxa"/>
              <w:left w:w="15" w:type="dxa"/>
              <w:bottom w:w="0" w:type="dxa"/>
              <w:right w:w="15" w:type="dxa"/>
            </w:tcMar>
            <w:vAlign w:val="center"/>
          </w:tcPr>
          <w:p w14:paraId="63D16900" w14:textId="1F8A752C" w:rsidR="008E6D2C" w:rsidRPr="00361EBF" w:rsidRDefault="004A32EB"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31.17</w:t>
            </w:r>
          </w:p>
        </w:tc>
        <w:tc>
          <w:tcPr>
            <w:tcW w:w="2127" w:type="dxa"/>
            <w:tcMar>
              <w:top w:w="15" w:type="dxa"/>
              <w:left w:w="15" w:type="dxa"/>
              <w:bottom w:w="0" w:type="dxa"/>
              <w:right w:w="15" w:type="dxa"/>
            </w:tcMar>
            <w:vAlign w:val="center"/>
          </w:tcPr>
          <w:p w14:paraId="73B60E7F" w14:textId="57AEB5FA" w:rsidR="008E6D2C" w:rsidRPr="00361EBF" w:rsidRDefault="00FE34C2"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2</w:t>
            </w:r>
            <w:r w:rsidR="00CC7CEC">
              <w:rPr>
                <w:rFonts w:asciiTheme="majorHAnsi" w:hAnsiTheme="majorHAnsi" w:cs="Arial"/>
                <w:sz w:val="22"/>
                <w:szCs w:val="22"/>
              </w:rPr>
              <w:t>7.16</w:t>
            </w:r>
          </w:p>
        </w:tc>
      </w:tr>
      <w:tr w:rsidR="00CC7CEC" w:rsidRPr="00361EBF" w14:paraId="65DFCDFC" w14:textId="77777777" w:rsidTr="00FE34C2">
        <w:trPr>
          <w:trHeight w:val="372"/>
          <w:jc w:val="center"/>
        </w:trPr>
        <w:tc>
          <w:tcPr>
            <w:tcW w:w="4248" w:type="dxa"/>
            <w:tcMar>
              <w:top w:w="15" w:type="dxa"/>
              <w:left w:w="15" w:type="dxa"/>
              <w:bottom w:w="0" w:type="dxa"/>
              <w:right w:w="15" w:type="dxa"/>
            </w:tcMar>
            <w:vAlign w:val="center"/>
          </w:tcPr>
          <w:p w14:paraId="1B2ECAFB" w14:textId="6FD268CF" w:rsidR="00CC7CEC" w:rsidRPr="00361EBF" w:rsidRDefault="00CC7CEC" w:rsidP="00330651">
            <w:pPr>
              <w:pStyle w:val="NormalWeb"/>
              <w:spacing w:before="0" w:beforeAutospacing="0" w:after="0" w:afterAutospacing="0"/>
              <w:ind w:left="115"/>
              <w:textAlignment w:val="bottom"/>
              <w:rPr>
                <w:rFonts w:asciiTheme="majorHAnsi" w:hAnsiTheme="majorHAnsi" w:cs="Arial"/>
                <w:color w:val="000000"/>
                <w:kern w:val="24"/>
                <w:sz w:val="22"/>
                <w:szCs w:val="22"/>
              </w:rPr>
            </w:pPr>
            <w:r>
              <w:rPr>
                <w:rFonts w:asciiTheme="majorHAnsi" w:hAnsiTheme="majorHAnsi" w:cs="Arial"/>
                <w:color w:val="000000"/>
                <w:kern w:val="24"/>
                <w:sz w:val="22"/>
                <w:szCs w:val="22"/>
              </w:rPr>
              <w:t>m) Add: Transfer to Tariff Balancing Reserve</w:t>
            </w:r>
          </w:p>
        </w:tc>
        <w:tc>
          <w:tcPr>
            <w:tcW w:w="1984" w:type="dxa"/>
            <w:tcMar>
              <w:top w:w="15" w:type="dxa"/>
              <w:left w:w="15" w:type="dxa"/>
              <w:bottom w:w="0" w:type="dxa"/>
              <w:right w:w="15" w:type="dxa"/>
            </w:tcMar>
            <w:vAlign w:val="center"/>
          </w:tcPr>
          <w:p w14:paraId="6D2DD294" w14:textId="77777777" w:rsidR="00CC7CEC" w:rsidRPr="00361EBF" w:rsidRDefault="00CC7CEC" w:rsidP="00330651">
            <w:pPr>
              <w:pStyle w:val="NormalWeb"/>
              <w:spacing w:before="0" w:beforeAutospacing="0" w:after="0" w:afterAutospacing="0"/>
              <w:jc w:val="center"/>
              <w:textAlignment w:val="bottom"/>
              <w:rPr>
                <w:rFonts w:asciiTheme="majorHAnsi" w:hAnsiTheme="majorHAnsi" w:cs="Arial"/>
                <w:sz w:val="22"/>
                <w:szCs w:val="22"/>
              </w:rPr>
            </w:pPr>
          </w:p>
        </w:tc>
        <w:tc>
          <w:tcPr>
            <w:tcW w:w="2127" w:type="dxa"/>
            <w:tcMar>
              <w:top w:w="15" w:type="dxa"/>
              <w:left w:w="15" w:type="dxa"/>
              <w:bottom w:w="0" w:type="dxa"/>
              <w:right w:w="15" w:type="dxa"/>
            </w:tcMar>
            <w:vAlign w:val="center"/>
          </w:tcPr>
          <w:p w14:paraId="11F457FA" w14:textId="6491A845" w:rsidR="00CC7CEC" w:rsidRPr="00361EBF" w:rsidRDefault="00CC7CEC" w:rsidP="00330651">
            <w:pPr>
              <w:pStyle w:val="NormalWeb"/>
              <w:spacing w:before="0" w:beforeAutospacing="0" w:after="0" w:afterAutospacing="0"/>
              <w:jc w:val="center"/>
              <w:textAlignment w:val="bottom"/>
              <w:rPr>
                <w:rFonts w:asciiTheme="majorHAnsi" w:hAnsiTheme="majorHAnsi" w:cs="Arial"/>
                <w:sz w:val="22"/>
                <w:szCs w:val="22"/>
              </w:rPr>
            </w:pPr>
            <w:r>
              <w:rPr>
                <w:rFonts w:asciiTheme="majorHAnsi" w:hAnsiTheme="majorHAnsi" w:cs="Arial"/>
                <w:sz w:val="22"/>
                <w:szCs w:val="22"/>
              </w:rPr>
              <w:t>10.75</w:t>
            </w:r>
          </w:p>
        </w:tc>
      </w:tr>
      <w:tr w:rsidR="008E6D2C" w:rsidRPr="00361EBF" w14:paraId="0FE9B5B3" w14:textId="77777777" w:rsidTr="00FE34C2">
        <w:trPr>
          <w:trHeight w:val="358"/>
          <w:jc w:val="center"/>
        </w:trPr>
        <w:tc>
          <w:tcPr>
            <w:tcW w:w="4248" w:type="dxa"/>
            <w:tcMar>
              <w:top w:w="15" w:type="dxa"/>
              <w:left w:w="15" w:type="dxa"/>
              <w:bottom w:w="0" w:type="dxa"/>
              <w:right w:w="15" w:type="dxa"/>
            </w:tcMar>
            <w:vAlign w:val="center"/>
            <w:hideMark/>
          </w:tcPr>
          <w:p w14:paraId="69C3D1E7" w14:textId="77777777" w:rsidR="008E6D2C" w:rsidRPr="00361EBF" w:rsidRDefault="008E6D2C" w:rsidP="00330651">
            <w:pPr>
              <w:pStyle w:val="NormalWeb"/>
              <w:spacing w:before="0" w:beforeAutospacing="0" w:after="0" w:afterAutospacing="0"/>
              <w:ind w:left="115"/>
              <w:textAlignment w:val="bottom"/>
              <w:rPr>
                <w:rFonts w:asciiTheme="majorHAnsi" w:hAnsiTheme="majorHAnsi" w:cs="Arial"/>
                <w:sz w:val="22"/>
                <w:szCs w:val="22"/>
              </w:rPr>
            </w:pPr>
            <w:r w:rsidRPr="00361EBF">
              <w:rPr>
                <w:rFonts w:asciiTheme="majorHAnsi" w:hAnsiTheme="majorHAnsi" w:cs="Arial"/>
                <w:b/>
                <w:bCs/>
                <w:color w:val="000000"/>
                <w:kern w:val="24"/>
                <w:sz w:val="22"/>
                <w:szCs w:val="22"/>
              </w:rPr>
              <w:t>Total Distribution cost</w:t>
            </w:r>
          </w:p>
        </w:tc>
        <w:tc>
          <w:tcPr>
            <w:tcW w:w="1984" w:type="dxa"/>
            <w:tcMar>
              <w:top w:w="15" w:type="dxa"/>
              <w:left w:w="15" w:type="dxa"/>
              <w:bottom w:w="0" w:type="dxa"/>
              <w:right w:w="15" w:type="dxa"/>
            </w:tcMar>
            <w:vAlign w:val="center"/>
            <w:hideMark/>
          </w:tcPr>
          <w:p w14:paraId="1858880D" w14:textId="3EE86709" w:rsidR="008E6D2C" w:rsidRPr="00361EBF" w:rsidRDefault="004A32EB" w:rsidP="00330651">
            <w:pPr>
              <w:pStyle w:val="NormalWeb"/>
              <w:spacing w:before="0" w:beforeAutospacing="0" w:after="0" w:afterAutospacing="0"/>
              <w:jc w:val="center"/>
              <w:textAlignment w:val="bottom"/>
              <w:rPr>
                <w:rFonts w:asciiTheme="majorHAnsi" w:hAnsiTheme="majorHAnsi" w:cs="Arial"/>
                <w:b/>
                <w:sz w:val="22"/>
                <w:szCs w:val="22"/>
              </w:rPr>
            </w:pPr>
            <w:r w:rsidRPr="00361EBF">
              <w:rPr>
                <w:rFonts w:asciiTheme="majorHAnsi" w:hAnsiTheme="majorHAnsi" w:cs="Arial"/>
                <w:b/>
                <w:sz w:val="22"/>
                <w:szCs w:val="22"/>
              </w:rPr>
              <w:t>1459.36</w:t>
            </w:r>
          </w:p>
        </w:tc>
        <w:tc>
          <w:tcPr>
            <w:tcW w:w="2127" w:type="dxa"/>
            <w:tcMar>
              <w:top w:w="15" w:type="dxa"/>
              <w:left w:w="15" w:type="dxa"/>
              <w:bottom w:w="0" w:type="dxa"/>
              <w:right w:w="15" w:type="dxa"/>
            </w:tcMar>
            <w:vAlign w:val="center"/>
          </w:tcPr>
          <w:p w14:paraId="17681B3D" w14:textId="1C4CBE52" w:rsidR="008E6D2C" w:rsidRPr="00361EBF" w:rsidRDefault="00CC7CEC" w:rsidP="00330651">
            <w:pPr>
              <w:pStyle w:val="NormalWeb"/>
              <w:spacing w:before="0" w:beforeAutospacing="0" w:after="0" w:afterAutospacing="0"/>
              <w:jc w:val="center"/>
              <w:textAlignment w:val="bottom"/>
              <w:rPr>
                <w:rFonts w:asciiTheme="majorHAnsi" w:hAnsiTheme="majorHAnsi" w:cs="Arial"/>
                <w:b/>
                <w:sz w:val="22"/>
                <w:szCs w:val="22"/>
              </w:rPr>
            </w:pPr>
            <w:r>
              <w:rPr>
                <w:rFonts w:asciiTheme="majorHAnsi" w:hAnsiTheme="majorHAnsi" w:cs="Arial"/>
                <w:b/>
                <w:sz w:val="22"/>
                <w:szCs w:val="22"/>
              </w:rPr>
              <w:t>1782.86</w:t>
            </w:r>
          </w:p>
        </w:tc>
      </w:tr>
      <w:tr w:rsidR="008E6D2C" w:rsidRPr="00361EBF" w14:paraId="424A0804" w14:textId="77777777" w:rsidTr="00FE34C2">
        <w:trPr>
          <w:trHeight w:val="358"/>
          <w:jc w:val="center"/>
        </w:trPr>
        <w:tc>
          <w:tcPr>
            <w:tcW w:w="4248" w:type="dxa"/>
            <w:tcMar>
              <w:top w:w="15" w:type="dxa"/>
              <w:left w:w="15" w:type="dxa"/>
              <w:bottom w:w="0" w:type="dxa"/>
              <w:right w:w="15" w:type="dxa"/>
            </w:tcMar>
            <w:vAlign w:val="center"/>
            <w:hideMark/>
          </w:tcPr>
          <w:p w14:paraId="13EC52E5" w14:textId="77777777" w:rsidR="008E6D2C" w:rsidRPr="00361EBF" w:rsidRDefault="008E6D2C" w:rsidP="00330651">
            <w:pPr>
              <w:pStyle w:val="NormalWeb"/>
              <w:spacing w:before="0" w:beforeAutospacing="0" w:after="0" w:afterAutospacing="0"/>
              <w:ind w:left="115"/>
              <w:textAlignment w:val="bottom"/>
              <w:rPr>
                <w:rFonts w:asciiTheme="majorHAnsi" w:hAnsiTheme="majorHAnsi" w:cs="Arial"/>
                <w:sz w:val="22"/>
                <w:szCs w:val="22"/>
              </w:rPr>
            </w:pPr>
            <w:r w:rsidRPr="00361EBF">
              <w:rPr>
                <w:rFonts w:asciiTheme="majorHAnsi" w:hAnsiTheme="majorHAnsi" w:cs="Arial"/>
                <w:b/>
                <w:bCs/>
                <w:color w:val="000000"/>
                <w:kern w:val="24"/>
                <w:sz w:val="22"/>
                <w:szCs w:val="22"/>
              </w:rPr>
              <w:t>TOTAL (A+B)</w:t>
            </w:r>
          </w:p>
        </w:tc>
        <w:tc>
          <w:tcPr>
            <w:tcW w:w="1984" w:type="dxa"/>
            <w:tcMar>
              <w:top w:w="15" w:type="dxa"/>
              <w:left w:w="15" w:type="dxa"/>
              <w:bottom w:w="0" w:type="dxa"/>
              <w:right w:w="15" w:type="dxa"/>
            </w:tcMar>
            <w:vAlign w:val="center"/>
            <w:hideMark/>
          </w:tcPr>
          <w:p w14:paraId="6C34DDE0" w14:textId="6E23C2A8" w:rsidR="008E6D2C" w:rsidRPr="00361EBF" w:rsidRDefault="008E6D2C"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b/>
                <w:bCs/>
                <w:color w:val="000000"/>
                <w:kern w:val="24"/>
                <w:sz w:val="22"/>
                <w:szCs w:val="22"/>
              </w:rPr>
              <w:t>6</w:t>
            </w:r>
            <w:r w:rsidR="004A32EB" w:rsidRPr="00361EBF">
              <w:rPr>
                <w:rFonts w:asciiTheme="majorHAnsi" w:hAnsiTheme="majorHAnsi" w:cs="Arial"/>
                <w:b/>
                <w:bCs/>
                <w:color w:val="000000"/>
                <w:kern w:val="24"/>
                <w:sz w:val="22"/>
                <w:szCs w:val="22"/>
              </w:rPr>
              <w:t>569.04</w:t>
            </w:r>
          </w:p>
        </w:tc>
        <w:tc>
          <w:tcPr>
            <w:tcW w:w="2127" w:type="dxa"/>
            <w:tcMar>
              <w:top w:w="15" w:type="dxa"/>
              <w:left w:w="15" w:type="dxa"/>
              <w:bottom w:w="0" w:type="dxa"/>
              <w:right w:w="15" w:type="dxa"/>
            </w:tcMar>
            <w:vAlign w:val="center"/>
          </w:tcPr>
          <w:p w14:paraId="4330CD8A" w14:textId="7E2823B2" w:rsidR="008E6D2C" w:rsidRPr="00361EBF" w:rsidRDefault="00FE34C2" w:rsidP="00330651">
            <w:pPr>
              <w:pStyle w:val="NormalWeb"/>
              <w:spacing w:before="0" w:beforeAutospacing="0" w:after="0" w:afterAutospacing="0"/>
              <w:jc w:val="center"/>
              <w:textAlignment w:val="bottom"/>
              <w:rPr>
                <w:rFonts w:asciiTheme="majorHAnsi" w:hAnsiTheme="majorHAnsi" w:cs="Arial"/>
                <w:b/>
                <w:sz w:val="22"/>
                <w:szCs w:val="22"/>
              </w:rPr>
            </w:pPr>
            <w:r w:rsidRPr="00361EBF">
              <w:rPr>
                <w:rFonts w:asciiTheme="majorHAnsi" w:hAnsiTheme="majorHAnsi" w:cs="Arial"/>
                <w:b/>
                <w:sz w:val="22"/>
                <w:szCs w:val="22"/>
              </w:rPr>
              <w:t>66</w:t>
            </w:r>
            <w:r w:rsidR="00CC7CEC">
              <w:rPr>
                <w:rFonts w:asciiTheme="majorHAnsi" w:hAnsiTheme="majorHAnsi" w:cs="Arial"/>
                <w:b/>
                <w:sz w:val="22"/>
                <w:szCs w:val="22"/>
              </w:rPr>
              <w:t>08.50</w:t>
            </w:r>
          </w:p>
        </w:tc>
      </w:tr>
      <w:tr w:rsidR="008E6D2C" w:rsidRPr="00361EBF" w14:paraId="67D25DAB" w14:textId="77777777" w:rsidTr="00FE34C2">
        <w:trPr>
          <w:trHeight w:val="358"/>
          <w:jc w:val="center"/>
        </w:trPr>
        <w:tc>
          <w:tcPr>
            <w:tcW w:w="4248" w:type="dxa"/>
            <w:tcMar>
              <w:top w:w="15" w:type="dxa"/>
              <w:left w:w="15" w:type="dxa"/>
              <w:bottom w:w="0" w:type="dxa"/>
              <w:right w:w="15" w:type="dxa"/>
            </w:tcMar>
            <w:vAlign w:val="center"/>
            <w:hideMark/>
          </w:tcPr>
          <w:p w14:paraId="2D2255F9" w14:textId="77777777" w:rsidR="008E6D2C" w:rsidRPr="00361EBF" w:rsidRDefault="008E6D2C" w:rsidP="00330651">
            <w:pPr>
              <w:pStyle w:val="NormalWeb"/>
              <w:spacing w:before="0" w:beforeAutospacing="0" w:after="0" w:afterAutospacing="0"/>
              <w:ind w:left="115"/>
              <w:textAlignment w:val="bottom"/>
              <w:rPr>
                <w:rFonts w:asciiTheme="majorHAnsi" w:hAnsiTheme="majorHAnsi" w:cs="Arial"/>
                <w:sz w:val="22"/>
                <w:szCs w:val="22"/>
              </w:rPr>
            </w:pPr>
            <w:r w:rsidRPr="00361EBF">
              <w:rPr>
                <w:rFonts w:asciiTheme="majorHAnsi" w:hAnsiTheme="majorHAnsi" w:cs="Arial"/>
                <w:color w:val="000000"/>
                <w:kern w:val="24"/>
                <w:sz w:val="22"/>
                <w:szCs w:val="22"/>
              </w:rPr>
              <w:t>Less: Miscellaneous receipts</w:t>
            </w:r>
          </w:p>
        </w:tc>
        <w:tc>
          <w:tcPr>
            <w:tcW w:w="1984" w:type="dxa"/>
            <w:tcMar>
              <w:top w:w="15" w:type="dxa"/>
              <w:left w:w="15" w:type="dxa"/>
              <w:bottom w:w="0" w:type="dxa"/>
              <w:right w:w="15" w:type="dxa"/>
            </w:tcMar>
            <w:vAlign w:val="center"/>
            <w:hideMark/>
          </w:tcPr>
          <w:p w14:paraId="1949071A" w14:textId="5F73CE01" w:rsidR="008E6D2C" w:rsidRPr="00361EBF" w:rsidRDefault="004A32EB"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438.10</w:t>
            </w:r>
          </w:p>
        </w:tc>
        <w:tc>
          <w:tcPr>
            <w:tcW w:w="2127" w:type="dxa"/>
            <w:tcMar>
              <w:top w:w="15" w:type="dxa"/>
              <w:left w:w="15" w:type="dxa"/>
              <w:bottom w:w="0" w:type="dxa"/>
              <w:right w:w="15" w:type="dxa"/>
            </w:tcMar>
            <w:vAlign w:val="center"/>
          </w:tcPr>
          <w:p w14:paraId="21A23B87" w14:textId="63E5C93F" w:rsidR="008E6D2C" w:rsidRPr="00361EBF" w:rsidRDefault="005D02D6"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sz w:val="22"/>
                <w:szCs w:val="22"/>
              </w:rPr>
              <w:t>409.29</w:t>
            </w:r>
          </w:p>
        </w:tc>
      </w:tr>
      <w:tr w:rsidR="008E6D2C" w:rsidRPr="00361EBF" w14:paraId="7F14DA04" w14:textId="77777777" w:rsidTr="00FE34C2">
        <w:trPr>
          <w:trHeight w:val="358"/>
          <w:jc w:val="center"/>
        </w:trPr>
        <w:tc>
          <w:tcPr>
            <w:tcW w:w="4248" w:type="dxa"/>
            <w:tcMar>
              <w:top w:w="15" w:type="dxa"/>
              <w:left w:w="15" w:type="dxa"/>
              <w:bottom w:w="0" w:type="dxa"/>
              <w:right w:w="15" w:type="dxa"/>
            </w:tcMar>
            <w:vAlign w:val="center"/>
            <w:hideMark/>
          </w:tcPr>
          <w:p w14:paraId="0C6048BC" w14:textId="77777777" w:rsidR="008E6D2C" w:rsidRPr="00361EBF" w:rsidRDefault="008E6D2C" w:rsidP="00330651">
            <w:pPr>
              <w:pStyle w:val="NormalWeb"/>
              <w:spacing w:before="0" w:beforeAutospacing="0" w:after="0" w:afterAutospacing="0"/>
              <w:ind w:left="115"/>
              <w:textAlignment w:val="bottom"/>
              <w:rPr>
                <w:rFonts w:asciiTheme="majorHAnsi" w:hAnsiTheme="majorHAnsi" w:cs="Arial"/>
                <w:sz w:val="22"/>
                <w:szCs w:val="22"/>
              </w:rPr>
            </w:pPr>
            <w:r w:rsidRPr="00361EBF">
              <w:rPr>
                <w:rFonts w:asciiTheme="majorHAnsi" w:hAnsiTheme="majorHAnsi" w:cs="Arial"/>
                <w:b/>
                <w:bCs/>
                <w:color w:val="000000"/>
                <w:kern w:val="24"/>
                <w:sz w:val="22"/>
                <w:szCs w:val="22"/>
              </w:rPr>
              <w:t xml:space="preserve">Less: True up/ Special Appropriation </w:t>
            </w:r>
          </w:p>
        </w:tc>
        <w:tc>
          <w:tcPr>
            <w:tcW w:w="1984" w:type="dxa"/>
            <w:tcMar>
              <w:top w:w="15" w:type="dxa"/>
              <w:left w:w="15" w:type="dxa"/>
              <w:bottom w:w="0" w:type="dxa"/>
              <w:right w:w="15" w:type="dxa"/>
            </w:tcMar>
            <w:vAlign w:val="center"/>
            <w:hideMark/>
          </w:tcPr>
          <w:p w14:paraId="64D2FF14" w14:textId="4CA8ED17" w:rsidR="008E6D2C" w:rsidRPr="00361EBF" w:rsidRDefault="004A32EB" w:rsidP="00330651">
            <w:pPr>
              <w:pStyle w:val="NormalWeb"/>
              <w:spacing w:before="0" w:beforeAutospacing="0" w:after="0" w:afterAutospacing="0"/>
              <w:jc w:val="center"/>
              <w:textAlignment w:val="bottom"/>
              <w:rPr>
                <w:rFonts w:asciiTheme="majorHAnsi" w:hAnsiTheme="majorHAnsi" w:cs="Arial"/>
                <w:b/>
                <w:sz w:val="22"/>
                <w:szCs w:val="22"/>
              </w:rPr>
            </w:pPr>
            <w:r w:rsidRPr="00361EBF">
              <w:rPr>
                <w:rFonts w:asciiTheme="majorHAnsi" w:hAnsiTheme="majorHAnsi" w:cs="Arial"/>
                <w:b/>
                <w:sz w:val="22"/>
                <w:szCs w:val="22"/>
              </w:rPr>
              <w:t>-</w:t>
            </w:r>
          </w:p>
        </w:tc>
        <w:tc>
          <w:tcPr>
            <w:tcW w:w="2127" w:type="dxa"/>
            <w:tcMar>
              <w:top w:w="15" w:type="dxa"/>
              <w:left w:w="15" w:type="dxa"/>
              <w:bottom w:w="0" w:type="dxa"/>
              <w:right w:w="15" w:type="dxa"/>
            </w:tcMar>
            <w:vAlign w:val="center"/>
          </w:tcPr>
          <w:p w14:paraId="0D90979B" w14:textId="477DDCC3" w:rsidR="008E6D2C" w:rsidRPr="00361EBF" w:rsidRDefault="00FE34C2" w:rsidP="00330651">
            <w:pPr>
              <w:pStyle w:val="NormalWeb"/>
              <w:spacing w:before="0" w:beforeAutospacing="0" w:after="0" w:afterAutospacing="0"/>
              <w:jc w:val="center"/>
              <w:textAlignment w:val="bottom"/>
              <w:rPr>
                <w:rFonts w:asciiTheme="majorHAnsi" w:hAnsiTheme="majorHAnsi" w:cs="Arial"/>
                <w:b/>
                <w:sz w:val="22"/>
                <w:szCs w:val="22"/>
              </w:rPr>
            </w:pPr>
            <w:r w:rsidRPr="00361EBF">
              <w:rPr>
                <w:rFonts w:asciiTheme="majorHAnsi" w:hAnsiTheme="majorHAnsi" w:cs="Arial"/>
                <w:b/>
                <w:sz w:val="22"/>
                <w:szCs w:val="22"/>
              </w:rPr>
              <w:t>-</w:t>
            </w:r>
          </w:p>
        </w:tc>
      </w:tr>
      <w:tr w:rsidR="008E6D2C" w:rsidRPr="00361EBF" w14:paraId="073698AB" w14:textId="77777777" w:rsidTr="00FE34C2">
        <w:trPr>
          <w:trHeight w:val="358"/>
          <w:jc w:val="center"/>
        </w:trPr>
        <w:tc>
          <w:tcPr>
            <w:tcW w:w="4248" w:type="dxa"/>
            <w:tcMar>
              <w:top w:w="15" w:type="dxa"/>
              <w:left w:w="15" w:type="dxa"/>
              <w:bottom w:w="0" w:type="dxa"/>
              <w:right w:w="15" w:type="dxa"/>
            </w:tcMar>
            <w:vAlign w:val="center"/>
            <w:hideMark/>
          </w:tcPr>
          <w:p w14:paraId="5DFCBAF2" w14:textId="77777777" w:rsidR="008E6D2C" w:rsidRPr="00361EBF" w:rsidRDefault="008E6D2C" w:rsidP="00330651">
            <w:pPr>
              <w:pStyle w:val="NormalWeb"/>
              <w:spacing w:before="0" w:beforeAutospacing="0" w:after="0" w:afterAutospacing="0"/>
              <w:ind w:left="115"/>
              <w:textAlignment w:val="bottom"/>
              <w:rPr>
                <w:rFonts w:asciiTheme="majorHAnsi" w:hAnsiTheme="majorHAnsi" w:cs="Arial"/>
                <w:sz w:val="22"/>
                <w:szCs w:val="22"/>
              </w:rPr>
            </w:pPr>
            <w:r w:rsidRPr="00361EBF">
              <w:rPr>
                <w:rFonts w:asciiTheme="majorHAnsi" w:hAnsiTheme="majorHAnsi" w:cs="Arial"/>
                <w:b/>
                <w:bCs/>
                <w:color w:val="000000"/>
                <w:kern w:val="24"/>
                <w:sz w:val="22"/>
                <w:szCs w:val="22"/>
              </w:rPr>
              <w:t xml:space="preserve">Total Revenue Requirement </w:t>
            </w:r>
          </w:p>
        </w:tc>
        <w:tc>
          <w:tcPr>
            <w:tcW w:w="1984" w:type="dxa"/>
            <w:tcMar>
              <w:top w:w="15" w:type="dxa"/>
              <w:left w:w="15" w:type="dxa"/>
              <w:bottom w:w="0" w:type="dxa"/>
              <w:right w:w="15" w:type="dxa"/>
            </w:tcMar>
            <w:vAlign w:val="center"/>
            <w:hideMark/>
          </w:tcPr>
          <w:p w14:paraId="439CBA8B" w14:textId="65DE76E6" w:rsidR="008E6D2C" w:rsidRPr="00361EBF" w:rsidRDefault="004A32EB" w:rsidP="00330651">
            <w:pPr>
              <w:pStyle w:val="NormalWeb"/>
              <w:spacing w:before="0" w:beforeAutospacing="0" w:after="0" w:afterAutospacing="0"/>
              <w:jc w:val="center"/>
              <w:textAlignment w:val="bottom"/>
              <w:rPr>
                <w:rFonts w:asciiTheme="majorHAnsi" w:hAnsiTheme="majorHAnsi" w:cs="Arial"/>
                <w:b/>
                <w:sz w:val="22"/>
                <w:szCs w:val="22"/>
              </w:rPr>
            </w:pPr>
            <w:r w:rsidRPr="00361EBF">
              <w:rPr>
                <w:rFonts w:asciiTheme="majorHAnsi" w:hAnsiTheme="majorHAnsi" w:cs="Arial"/>
                <w:b/>
                <w:sz w:val="22"/>
                <w:szCs w:val="22"/>
              </w:rPr>
              <w:t>6130.94</w:t>
            </w:r>
          </w:p>
        </w:tc>
        <w:tc>
          <w:tcPr>
            <w:tcW w:w="2127" w:type="dxa"/>
            <w:tcMar>
              <w:top w:w="15" w:type="dxa"/>
              <w:left w:w="15" w:type="dxa"/>
              <w:bottom w:w="0" w:type="dxa"/>
              <w:right w:w="15" w:type="dxa"/>
            </w:tcMar>
            <w:vAlign w:val="center"/>
          </w:tcPr>
          <w:p w14:paraId="6EAD3E29" w14:textId="02CA2A3E" w:rsidR="008E6D2C" w:rsidRPr="00361EBF" w:rsidRDefault="00FE34C2" w:rsidP="00330651">
            <w:pPr>
              <w:pStyle w:val="NormalWeb"/>
              <w:spacing w:before="0" w:beforeAutospacing="0" w:after="0" w:afterAutospacing="0"/>
              <w:jc w:val="center"/>
              <w:textAlignment w:val="bottom"/>
              <w:rPr>
                <w:rFonts w:asciiTheme="majorHAnsi" w:hAnsiTheme="majorHAnsi" w:cs="Arial"/>
                <w:b/>
                <w:sz w:val="22"/>
                <w:szCs w:val="22"/>
              </w:rPr>
            </w:pPr>
            <w:r w:rsidRPr="00361EBF">
              <w:rPr>
                <w:rFonts w:asciiTheme="majorHAnsi" w:hAnsiTheme="majorHAnsi" w:cs="Arial"/>
                <w:b/>
                <w:sz w:val="22"/>
                <w:szCs w:val="22"/>
              </w:rPr>
              <w:t>6</w:t>
            </w:r>
            <w:r w:rsidR="00CC7CEC">
              <w:rPr>
                <w:rFonts w:asciiTheme="majorHAnsi" w:hAnsiTheme="majorHAnsi" w:cs="Arial"/>
                <w:b/>
                <w:sz w:val="22"/>
                <w:szCs w:val="22"/>
              </w:rPr>
              <w:t>199.21</w:t>
            </w:r>
          </w:p>
        </w:tc>
      </w:tr>
      <w:tr w:rsidR="008E6D2C" w:rsidRPr="00361EBF" w14:paraId="6F2A6889" w14:textId="77777777" w:rsidTr="00FE34C2">
        <w:trPr>
          <w:trHeight w:val="358"/>
          <w:jc w:val="center"/>
        </w:trPr>
        <w:tc>
          <w:tcPr>
            <w:tcW w:w="4248" w:type="dxa"/>
            <w:tcMar>
              <w:top w:w="15" w:type="dxa"/>
              <w:left w:w="15" w:type="dxa"/>
              <w:bottom w:w="0" w:type="dxa"/>
              <w:right w:w="15" w:type="dxa"/>
            </w:tcMar>
            <w:vAlign w:val="center"/>
            <w:hideMark/>
          </w:tcPr>
          <w:p w14:paraId="548B8FA4" w14:textId="77777777" w:rsidR="008E6D2C" w:rsidRPr="00361EBF" w:rsidRDefault="008E6D2C" w:rsidP="00330651">
            <w:pPr>
              <w:pStyle w:val="NormalWeb"/>
              <w:spacing w:before="0" w:beforeAutospacing="0" w:after="0" w:afterAutospacing="0"/>
              <w:ind w:left="115"/>
              <w:textAlignment w:val="bottom"/>
              <w:rPr>
                <w:rFonts w:asciiTheme="majorHAnsi" w:hAnsiTheme="majorHAnsi" w:cs="Arial"/>
                <w:sz w:val="22"/>
                <w:szCs w:val="22"/>
              </w:rPr>
            </w:pPr>
            <w:r w:rsidRPr="00361EBF">
              <w:rPr>
                <w:rFonts w:asciiTheme="majorHAnsi" w:hAnsiTheme="majorHAnsi" w:cs="Arial"/>
                <w:b/>
                <w:bCs/>
                <w:color w:val="000000"/>
                <w:kern w:val="24"/>
                <w:sz w:val="22"/>
                <w:szCs w:val="22"/>
              </w:rPr>
              <w:t>Revenue from tariffs (full year)</w:t>
            </w:r>
          </w:p>
        </w:tc>
        <w:tc>
          <w:tcPr>
            <w:tcW w:w="1984" w:type="dxa"/>
            <w:tcMar>
              <w:top w:w="15" w:type="dxa"/>
              <w:left w:w="15" w:type="dxa"/>
              <w:bottom w:w="0" w:type="dxa"/>
              <w:right w:w="15" w:type="dxa"/>
            </w:tcMar>
            <w:vAlign w:val="center"/>
            <w:hideMark/>
          </w:tcPr>
          <w:p w14:paraId="09127746" w14:textId="136F9055" w:rsidR="008E6D2C" w:rsidRPr="00361EBF" w:rsidRDefault="004A32EB" w:rsidP="00330651">
            <w:pPr>
              <w:pStyle w:val="NormalWeb"/>
              <w:spacing w:before="0" w:beforeAutospacing="0" w:after="0" w:afterAutospacing="0"/>
              <w:jc w:val="center"/>
              <w:textAlignment w:val="bottom"/>
              <w:rPr>
                <w:rFonts w:asciiTheme="majorHAnsi" w:hAnsiTheme="majorHAnsi" w:cs="Arial"/>
                <w:b/>
                <w:sz w:val="22"/>
                <w:szCs w:val="22"/>
              </w:rPr>
            </w:pPr>
            <w:r w:rsidRPr="00361EBF">
              <w:rPr>
                <w:rFonts w:asciiTheme="majorHAnsi" w:hAnsiTheme="majorHAnsi" w:cs="Arial"/>
                <w:b/>
                <w:sz w:val="22"/>
                <w:szCs w:val="22"/>
              </w:rPr>
              <w:t>6148.18</w:t>
            </w:r>
          </w:p>
        </w:tc>
        <w:tc>
          <w:tcPr>
            <w:tcW w:w="2127" w:type="dxa"/>
            <w:tcMar>
              <w:top w:w="15" w:type="dxa"/>
              <w:left w:w="15" w:type="dxa"/>
              <w:bottom w:w="0" w:type="dxa"/>
              <w:right w:w="15" w:type="dxa"/>
            </w:tcMar>
            <w:vAlign w:val="center"/>
          </w:tcPr>
          <w:p w14:paraId="2476731A" w14:textId="736CB85D" w:rsidR="008E6D2C" w:rsidRPr="00361EBF" w:rsidRDefault="00FE34C2" w:rsidP="00330651">
            <w:pPr>
              <w:pStyle w:val="NormalWeb"/>
              <w:spacing w:before="0" w:beforeAutospacing="0" w:after="0" w:afterAutospacing="0"/>
              <w:jc w:val="center"/>
              <w:textAlignment w:val="bottom"/>
              <w:rPr>
                <w:rFonts w:asciiTheme="majorHAnsi" w:hAnsiTheme="majorHAnsi" w:cs="Arial"/>
                <w:b/>
                <w:sz w:val="22"/>
                <w:szCs w:val="22"/>
              </w:rPr>
            </w:pPr>
            <w:r w:rsidRPr="00361EBF">
              <w:rPr>
                <w:rFonts w:asciiTheme="majorHAnsi" w:hAnsiTheme="majorHAnsi" w:cs="Arial"/>
                <w:b/>
                <w:sz w:val="22"/>
                <w:szCs w:val="22"/>
              </w:rPr>
              <w:t>6112.07</w:t>
            </w:r>
          </w:p>
        </w:tc>
      </w:tr>
      <w:tr w:rsidR="008E6D2C" w:rsidRPr="00361EBF" w14:paraId="6A8BBBB1" w14:textId="77777777" w:rsidTr="00FE34C2">
        <w:trPr>
          <w:trHeight w:val="358"/>
          <w:jc w:val="center"/>
        </w:trPr>
        <w:tc>
          <w:tcPr>
            <w:tcW w:w="4248" w:type="dxa"/>
            <w:tcMar>
              <w:top w:w="15" w:type="dxa"/>
              <w:left w:w="15" w:type="dxa"/>
              <w:bottom w:w="0" w:type="dxa"/>
              <w:right w:w="15" w:type="dxa"/>
            </w:tcMar>
            <w:vAlign w:val="center"/>
            <w:hideMark/>
          </w:tcPr>
          <w:p w14:paraId="48F94389" w14:textId="37A0ED90" w:rsidR="008E6D2C" w:rsidRPr="00361EBF" w:rsidRDefault="008E6D2C" w:rsidP="00330651">
            <w:pPr>
              <w:pStyle w:val="NormalWeb"/>
              <w:spacing w:before="0" w:beforeAutospacing="0" w:after="0" w:afterAutospacing="0"/>
              <w:ind w:left="115"/>
              <w:textAlignment w:val="bottom"/>
              <w:rPr>
                <w:rFonts w:asciiTheme="majorHAnsi" w:hAnsiTheme="majorHAnsi" w:cs="Arial"/>
                <w:sz w:val="22"/>
                <w:szCs w:val="22"/>
              </w:rPr>
            </w:pPr>
            <w:r w:rsidRPr="00361EBF">
              <w:rPr>
                <w:rFonts w:asciiTheme="majorHAnsi" w:hAnsiTheme="majorHAnsi" w:cs="Arial"/>
                <w:b/>
                <w:bCs/>
                <w:color w:val="000000"/>
                <w:kern w:val="24"/>
                <w:sz w:val="22"/>
                <w:szCs w:val="22"/>
              </w:rPr>
              <w:t>Revenue Gap (</w:t>
            </w:r>
            <w:r w:rsidR="004A32EB" w:rsidRPr="00361EBF">
              <w:rPr>
                <w:rFonts w:asciiTheme="majorHAnsi" w:hAnsiTheme="majorHAnsi" w:cs="Arial"/>
                <w:b/>
                <w:bCs/>
                <w:color w:val="000000"/>
                <w:kern w:val="24"/>
                <w:sz w:val="22"/>
                <w:szCs w:val="22"/>
              </w:rPr>
              <w:t>-</w:t>
            </w:r>
            <w:r w:rsidRPr="00361EBF">
              <w:rPr>
                <w:rFonts w:asciiTheme="majorHAnsi" w:hAnsiTheme="majorHAnsi" w:cs="Arial"/>
                <w:b/>
                <w:bCs/>
                <w:color w:val="000000"/>
                <w:kern w:val="24"/>
                <w:sz w:val="22"/>
                <w:szCs w:val="22"/>
              </w:rPr>
              <w:t>) / surplus (</w:t>
            </w:r>
            <w:r w:rsidR="00FE34C2" w:rsidRPr="00361EBF">
              <w:rPr>
                <w:rFonts w:asciiTheme="majorHAnsi" w:hAnsiTheme="majorHAnsi" w:cs="Arial"/>
                <w:b/>
                <w:bCs/>
                <w:color w:val="000000"/>
                <w:kern w:val="24"/>
                <w:sz w:val="22"/>
                <w:szCs w:val="22"/>
              </w:rPr>
              <w:t>+</w:t>
            </w:r>
            <w:r w:rsidRPr="00361EBF">
              <w:rPr>
                <w:rFonts w:asciiTheme="majorHAnsi" w:hAnsiTheme="majorHAnsi" w:cs="Arial"/>
                <w:b/>
                <w:bCs/>
                <w:color w:val="000000"/>
                <w:kern w:val="24"/>
                <w:sz w:val="22"/>
                <w:szCs w:val="22"/>
              </w:rPr>
              <w:t xml:space="preserve">) </w:t>
            </w:r>
          </w:p>
        </w:tc>
        <w:tc>
          <w:tcPr>
            <w:tcW w:w="1984" w:type="dxa"/>
            <w:tcMar>
              <w:top w:w="15" w:type="dxa"/>
              <w:left w:w="15" w:type="dxa"/>
              <w:bottom w:w="0" w:type="dxa"/>
              <w:right w:w="15" w:type="dxa"/>
            </w:tcMar>
            <w:vAlign w:val="center"/>
            <w:hideMark/>
          </w:tcPr>
          <w:p w14:paraId="1DA0AAAD" w14:textId="1D57A6BD" w:rsidR="008E6D2C" w:rsidRPr="00361EBF" w:rsidRDefault="004A32EB" w:rsidP="00330651">
            <w:pPr>
              <w:pStyle w:val="NormalWeb"/>
              <w:spacing w:before="0" w:beforeAutospacing="0" w:after="0" w:afterAutospacing="0"/>
              <w:jc w:val="center"/>
              <w:textAlignment w:val="bottom"/>
              <w:rPr>
                <w:rFonts w:asciiTheme="majorHAnsi" w:hAnsiTheme="majorHAnsi" w:cs="Arial"/>
                <w:sz w:val="22"/>
                <w:szCs w:val="22"/>
              </w:rPr>
            </w:pPr>
            <w:r w:rsidRPr="00361EBF">
              <w:rPr>
                <w:rFonts w:asciiTheme="majorHAnsi" w:hAnsiTheme="majorHAnsi" w:cs="Arial"/>
                <w:b/>
                <w:bCs/>
                <w:color w:val="000000"/>
                <w:kern w:val="24"/>
                <w:sz w:val="22"/>
                <w:szCs w:val="22"/>
              </w:rPr>
              <w:t>17.24</w:t>
            </w:r>
          </w:p>
        </w:tc>
        <w:tc>
          <w:tcPr>
            <w:tcW w:w="2127" w:type="dxa"/>
            <w:tcMar>
              <w:top w:w="15" w:type="dxa"/>
              <w:left w:w="15" w:type="dxa"/>
              <w:bottom w:w="0" w:type="dxa"/>
              <w:right w:w="15" w:type="dxa"/>
            </w:tcMar>
            <w:vAlign w:val="center"/>
          </w:tcPr>
          <w:p w14:paraId="37C06266" w14:textId="3717D1F6" w:rsidR="008E6D2C" w:rsidRPr="00361EBF" w:rsidRDefault="005D02D6" w:rsidP="00330651">
            <w:pPr>
              <w:pStyle w:val="NormalWeb"/>
              <w:spacing w:before="0" w:beforeAutospacing="0" w:after="0" w:afterAutospacing="0"/>
              <w:jc w:val="center"/>
              <w:textAlignment w:val="bottom"/>
              <w:rPr>
                <w:rFonts w:asciiTheme="majorHAnsi" w:hAnsiTheme="majorHAnsi" w:cs="Arial"/>
                <w:b/>
                <w:sz w:val="22"/>
                <w:szCs w:val="22"/>
              </w:rPr>
            </w:pPr>
            <w:r w:rsidRPr="002E7B3E">
              <w:rPr>
                <w:rFonts w:asciiTheme="majorHAnsi" w:hAnsiTheme="majorHAnsi" w:cs="Arial"/>
                <w:b/>
                <w:sz w:val="22"/>
                <w:szCs w:val="22"/>
              </w:rPr>
              <w:t>-</w:t>
            </w:r>
            <w:r w:rsidR="00CC7CEC" w:rsidRPr="002E7B3E">
              <w:rPr>
                <w:rFonts w:asciiTheme="majorHAnsi" w:hAnsiTheme="majorHAnsi" w:cs="Arial"/>
                <w:b/>
                <w:sz w:val="22"/>
                <w:szCs w:val="22"/>
              </w:rPr>
              <w:t>87.14</w:t>
            </w:r>
          </w:p>
        </w:tc>
      </w:tr>
    </w:tbl>
    <w:p w14:paraId="0DAC70F0" w14:textId="77777777" w:rsidR="008E6D2C" w:rsidRDefault="008E6D2C" w:rsidP="008E6D2C"/>
    <w:p w14:paraId="2B754F6D" w14:textId="77777777" w:rsidR="008E6D2C" w:rsidRDefault="008E6D2C" w:rsidP="008E6D2C">
      <w:pPr>
        <w:spacing w:line="360" w:lineRule="auto"/>
        <w:jc w:val="both"/>
        <w:rPr>
          <w:rFonts w:ascii="Cambria" w:hAnsi="Cambria" w:cs="Arial"/>
        </w:rPr>
      </w:pPr>
      <w:r>
        <w:rPr>
          <w:rFonts w:ascii="Cambria" w:hAnsi="Cambria" w:cs="Arial"/>
        </w:rPr>
        <w:t>The Licensee has submitted that Hon’ble Commission may kindly to acknowledge the above factor accordingly.</w:t>
      </w:r>
    </w:p>
    <w:p w14:paraId="4E74D0D4" w14:textId="77777777" w:rsidR="008E6D2C" w:rsidRPr="00904B4F" w:rsidRDefault="008E6D2C" w:rsidP="00EC2D31">
      <w:pPr>
        <w:pStyle w:val="Heading2"/>
        <w:numPr>
          <w:ilvl w:val="1"/>
          <w:numId w:val="1"/>
        </w:numPr>
        <w:shd w:val="clear" w:color="auto" w:fill="002060"/>
        <w:rPr>
          <w:rFonts w:asciiTheme="majorHAnsi" w:hAnsiTheme="majorHAnsi"/>
          <w:i w:val="0"/>
          <w:iCs w:val="0"/>
          <w:sz w:val="24"/>
          <w:szCs w:val="24"/>
        </w:rPr>
      </w:pPr>
      <w:bookmarkStart w:id="102" w:name="_Toc152180118"/>
      <w:bookmarkStart w:id="103" w:name="_Toc183204723"/>
      <w:bookmarkStart w:id="104" w:name="_Toc215250633"/>
      <w:r w:rsidRPr="00904B4F">
        <w:rPr>
          <w:rFonts w:asciiTheme="majorHAnsi" w:hAnsiTheme="majorHAnsi"/>
          <w:i w:val="0"/>
          <w:iCs w:val="0"/>
          <w:sz w:val="24"/>
          <w:szCs w:val="24"/>
        </w:rPr>
        <w:t>Revenue at Existing Tariffs</w:t>
      </w:r>
      <w:bookmarkEnd w:id="102"/>
      <w:bookmarkEnd w:id="103"/>
      <w:bookmarkEnd w:id="104"/>
    </w:p>
    <w:p w14:paraId="727C32C0" w14:textId="447869D9" w:rsidR="008E6D2C" w:rsidRPr="00BF0E9D" w:rsidRDefault="008E6D2C" w:rsidP="000E1100">
      <w:pPr>
        <w:pStyle w:val="BodyText2"/>
        <w:spacing w:beforeLines="100" w:before="240" w:afterLines="100" w:after="240" w:line="360" w:lineRule="auto"/>
        <w:jc w:val="both"/>
        <w:rPr>
          <w:rFonts w:ascii="Cambria" w:hAnsi="Cambria" w:cs="Arial"/>
          <w:sz w:val="24"/>
          <w:szCs w:val="24"/>
        </w:rPr>
      </w:pPr>
      <w:r w:rsidRPr="00BF0E9D">
        <w:rPr>
          <w:rFonts w:ascii="Cambria" w:hAnsi="Cambria" w:cs="Arial"/>
          <w:sz w:val="24"/>
          <w:szCs w:val="24"/>
        </w:rPr>
        <w:t xml:space="preserve">The </w:t>
      </w:r>
      <w:r>
        <w:rPr>
          <w:rFonts w:ascii="Cambria" w:hAnsi="Cambria" w:cs="Arial"/>
          <w:sz w:val="24"/>
          <w:szCs w:val="24"/>
        </w:rPr>
        <w:t xml:space="preserve">Licensee </w:t>
      </w:r>
      <w:r w:rsidRPr="00BF0E9D">
        <w:rPr>
          <w:rFonts w:ascii="Cambria" w:hAnsi="Cambria" w:cs="Arial"/>
          <w:sz w:val="24"/>
          <w:szCs w:val="24"/>
        </w:rPr>
        <w:t>has estimated the revenue from sale of power considering the sales projected for FY 20</w:t>
      </w:r>
      <w:r w:rsidR="00FE34C2">
        <w:rPr>
          <w:rFonts w:ascii="Cambria" w:hAnsi="Cambria" w:cs="Arial"/>
          <w:sz w:val="24"/>
          <w:szCs w:val="24"/>
        </w:rPr>
        <w:t>25-26</w:t>
      </w:r>
      <w:r w:rsidRPr="00BF0E9D">
        <w:rPr>
          <w:rFonts w:ascii="Cambria" w:hAnsi="Cambria" w:cs="Arial"/>
          <w:sz w:val="24"/>
          <w:szCs w:val="24"/>
        </w:rPr>
        <w:t xml:space="preserve"> and by applying the various components of existing tariffs. As detailed out in previous sections, the </w:t>
      </w:r>
      <w:r>
        <w:rPr>
          <w:rFonts w:ascii="Cambria" w:hAnsi="Cambria" w:cs="Arial"/>
          <w:sz w:val="24"/>
          <w:szCs w:val="24"/>
        </w:rPr>
        <w:t>Utility</w:t>
      </w:r>
      <w:r w:rsidRPr="00BF0E9D">
        <w:rPr>
          <w:rFonts w:ascii="Cambria" w:hAnsi="Cambria" w:cs="Arial"/>
          <w:sz w:val="24"/>
          <w:szCs w:val="24"/>
        </w:rPr>
        <w:t xml:space="preserve"> has adopted the approach considered by the Commission and estimated the revenue from sale of power on accrual basis. The total revenue based on the existing tariffs applicable for the projected sales is estimated at </w:t>
      </w:r>
      <w:r w:rsidRPr="00FE34C2">
        <w:rPr>
          <w:rFonts w:ascii="Cambria" w:hAnsi="Cambria" w:cs="Arial"/>
          <w:b/>
          <w:sz w:val="24"/>
          <w:szCs w:val="24"/>
        </w:rPr>
        <w:t xml:space="preserve">Rs </w:t>
      </w:r>
      <w:r w:rsidR="00FE34C2" w:rsidRPr="00FE34C2">
        <w:rPr>
          <w:rFonts w:ascii="Cambria" w:hAnsi="Cambria" w:cs="Arial"/>
          <w:b/>
          <w:sz w:val="24"/>
          <w:szCs w:val="24"/>
        </w:rPr>
        <w:t>6</w:t>
      </w:r>
      <w:r w:rsidR="00FE34C2">
        <w:rPr>
          <w:rFonts w:ascii="Cambria" w:hAnsi="Cambria" w:cs="Arial"/>
          <w:b/>
          <w:sz w:val="24"/>
          <w:szCs w:val="24"/>
        </w:rPr>
        <w:t>2</w:t>
      </w:r>
      <w:r w:rsidR="002E7B3E">
        <w:rPr>
          <w:rFonts w:ascii="Cambria" w:hAnsi="Cambria" w:cs="Arial"/>
          <w:b/>
          <w:sz w:val="24"/>
          <w:szCs w:val="24"/>
        </w:rPr>
        <w:t>84.29</w:t>
      </w:r>
      <w:r w:rsidRPr="00FE34C2">
        <w:rPr>
          <w:rFonts w:ascii="Cambria" w:hAnsi="Cambria" w:cs="Arial"/>
          <w:b/>
          <w:bCs/>
          <w:sz w:val="24"/>
          <w:szCs w:val="24"/>
        </w:rPr>
        <w:t xml:space="preserve"> Cr.</w:t>
      </w:r>
      <w:r w:rsidRPr="00BF0E9D">
        <w:rPr>
          <w:rFonts w:ascii="Cambria" w:hAnsi="Cambria" w:cs="Arial"/>
          <w:sz w:val="24"/>
          <w:szCs w:val="24"/>
        </w:rPr>
        <w:t xml:space="preserve"> </w:t>
      </w:r>
    </w:p>
    <w:p w14:paraId="21B3D282" w14:textId="77777777" w:rsidR="008E6D2C" w:rsidRPr="00BF0E9D" w:rsidRDefault="008E6D2C" w:rsidP="000E1100">
      <w:pPr>
        <w:pStyle w:val="BodyText2"/>
        <w:spacing w:beforeLines="100" w:before="240" w:afterLines="100" w:after="240" w:line="360" w:lineRule="auto"/>
        <w:jc w:val="both"/>
        <w:rPr>
          <w:rFonts w:ascii="Cambria" w:hAnsi="Cambria" w:cs="Arial"/>
          <w:sz w:val="24"/>
          <w:szCs w:val="24"/>
        </w:rPr>
      </w:pPr>
      <w:r w:rsidRPr="00BF0E9D">
        <w:rPr>
          <w:rFonts w:ascii="Cambria" w:hAnsi="Cambria" w:cs="Arial"/>
          <w:sz w:val="24"/>
          <w:szCs w:val="24"/>
        </w:rPr>
        <w:t>The details of estimated revenue from different categories of consumers at existing tariffs are provided in Form</w:t>
      </w:r>
      <w:r>
        <w:rPr>
          <w:rFonts w:ascii="Cambria" w:hAnsi="Cambria" w:cs="Arial"/>
          <w:sz w:val="24"/>
          <w:szCs w:val="24"/>
        </w:rPr>
        <w:t xml:space="preserve"> </w:t>
      </w:r>
      <w:r w:rsidRPr="00BF0E9D">
        <w:rPr>
          <w:rFonts w:ascii="Cambria" w:hAnsi="Cambria" w:cs="Arial"/>
          <w:sz w:val="24"/>
          <w:szCs w:val="24"/>
        </w:rPr>
        <w:t>T-7</w:t>
      </w:r>
      <w:r>
        <w:rPr>
          <w:rFonts w:ascii="Cambria" w:hAnsi="Cambria" w:cs="Arial"/>
          <w:sz w:val="24"/>
          <w:szCs w:val="24"/>
        </w:rPr>
        <w:t xml:space="preserve"> </w:t>
      </w:r>
      <w:r w:rsidRPr="00BF0E9D">
        <w:rPr>
          <w:rFonts w:ascii="Cambria" w:hAnsi="Cambria" w:cs="Arial"/>
          <w:sz w:val="24"/>
          <w:szCs w:val="24"/>
        </w:rPr>
        <w:t>&amp;</w:t>
      </w:r>
      <w:r>
        <w:rPr>
          <w:rFonts w:ascii="Cambria" w:hAnsi="Cambria" w:cs="Arial"/>
          <w:sz w:val="24"/>
          <w:szCs w:val="24"/>
        </w:rPr>
        <w:t xml:space="preserve"> </w:t>
      </w:r>
      <w:r w:rsidRPr="00BF0E9D">
        <w:rPr>
          <w:rFonts w:ascii="Cambria" w:hAnsi="Cambria" w:cs="Arial"/>
          <w:sz w:val="24"/>
          <w:szCs w:val="24"/>
        </w:rPr>
        <w:t>T- 8. The License</w:t>
      </w:r>
      <w:r>
        <w:rPr>
          <w:rFonts w:ascii="Cambria" w:hAnsi="Cambria" w:cs="Arial"/>
          <w:sz w:val="24"/>
          <w:szCs w:val="24"/>
        </w:rPr>
        <w:t xml:space="preserve">e </w:t>
      </w:r>
      <w:r w:rsidRPr="00BF0E9D">
        <w:rPr>
          <w:rFonts w:ascii="Cambria" w:hAnsi="Cambria" w:cs="Arial"/>
          <w:sz w:val="24"/>
          <w:szCs w:val="24"/>
        </w:rPr>
        <w:t xml:space="preserve">humbly requests the Hon’ble Commission to estimate the revenue for estimated sales at existing tariff by duly considering the category-wise and slab wise in the format prescribed by the Hon’ble Commission </w:t>
      </w:r>
      <w:r>
        <w:rPr>
          <w:rFonts w:ascii="Cambria" w:hAnsi="Cambria" w:cs="Arial"/>
          <w:sz w:val="24"/>
          <w:szCs w:val="24"/>
        </w:rPr>
        <w:t xml:space="preserve">with </w:t>
      </w:r>
      <w:r w:rsidRPr="00BF0E9D">
        <w:rPr>
          <w:rFonts w:ascii="Cambria" w:hAnsi="Cambria" w:cs="Arial"/>
          <w:sz w:val="24"/>
          <w:szCs w:val="24"/>
        </w:rPr>
        <w:t xml:space="preserve">the </w:t>
      </w:r>
      <w:r>
        <w:rPr>
          <w:rFonts w:ascii="Cambria" w:hAnsi="Cambria" w:cs="Arial"/>
          <w:sz w:val="24"/>
          <w:szCs w:val="24"/>
        </w:rPr>
        <w:t xml:space="preserve">applicable </w:t>
      </w:r>
      <w:r w:rsidRPr="00BF0E9D">
        <w:rPr>
          <w:rFonts w:ascii="Cambria" w:hAnsi="Cambria" w:cs="Arial"/>
          <w:sz w:val="24"/>
          <w:szCs w:val="24"/>
        </w:rPr>
        <w:t xml:space="preserve">tariffs </w:t>
      </w:r>
      <w:r>
        <w:rPr>
          <w:rFonts w:ascii="Cambria" w:hAnsi="Cambria" w:cs="Arial"/>
          <w:sz w:val="24"/>
          <w:szCs w:val="24"/>
        </w:rPr>
        <w:t>in each category</w:t>
      </w:r>
      <w:r w:rsidRPr="00BF0E9D">
        <w:rPr>
          <w:rFonts w:ascii="Cambria" w:hAnsi="Cambria" w:cs="Arial"/>
          <w:sz w:val="24"/>
          <w:szCs w:val="24"/>
        </w:rPr>
        <w:t xml:space="preserve">.  </w:t>
      </w:r>
    </w:p>
    <w:p w14:paraId="0A9F884A" w14:textId="4F996D7C" w:rsidR="008E6D2C" w:rsidRPr="00904B4F" w:rsidRDefault="008E6D2C" w:rsidP="00EC2D31">
      <w:pPr>
        <w:pStyle w:val="Heading2"/>
        <w:numPr>
          <w:ilvl w:val="1"/>
          <w:numId w:val="1"/>
        </w:numPr>
        <w:shd w:val="clear" w:color="auto" w:fill="002060"/>
        <w:rPr>
          <w:rFonts w:asciiTheme="majorHAnsi" w:hAnsiTheme="majorHAnsi"/>
          <w:i w:val="0"/>
          <w:iCs w:val="0"/>
          <w:sz w:val="24"/>
          <w:szCs w:val="24"/>
        </w:rPr>
      </w:pPr>
      <w:bookmarkStart w:id="105" w:name="_Toc152180119"/>
      <w:bookmarkStart w:id="106" w:name="_Toc183204724"/>
      <w:bookmarkStart w:id="107" w:name="_Toc215250634"/>
      <w:r w:rsidRPr="00904B4F">
        <w:rPr>
          <w:rFonts w:asciiTheme="majorHAnsi" w:hAnsiTheme="majorHAnsi"/>
          <w:i w:val="0"/>
          <w:iCs w:val="0"/>
          <w:sz w:val="24"/>
          <w:szCs w:val="24"/>
        </w:rPr>
        <w:t xml:space="preserve">Summary of Annual Revenue Requirement and Revenue </w:t>
      </w:r>
      <w:r w:rsidR="00361EBF" w:rsidRPr="00904B4F">
        <w:rPr>
          <w:rFonts w:asciiTheme="majorHAnsi" w:hAnsiTheme="majorHAnsi"/>
          <w:i w:val="0"/>
          <w:iCs w:val="0"/>
          <w:sz w:val="24"/>
          <w:szCs w:val="24"/>
        </w:rPr>
        <w:t>Gap (</w:t>
      </w:r>
      <w:r w:rsidR="00FE34C2">
        <w:rPr>
          <w:rFonts w:asciiTheme="majorHAnsi" w:hAnsiTheme="majorHAnsi"/>
          <w:i w:val="0"/>
          <w:iCs w:val="0"/>
          <w:sz w:val="24"/>
          <w:szCs w:val="24"/>
        </w:rPr>
        <w:t>-</w:t>
      </w:r>
      <w:r w:rsidRPr="00904B4F">
        <w:rPr>
          <w:rFonts w:asciiTheme="majorHAnsi" w:hAnsiTheme="majorHAnsi"/>
          <w:i w:val="0"/>
          <w:iCs w:val="0"/>
          <w:sz w:val="24"/>
          <w:szCs w:val="24"/>
        </w:rPr>
        <w:t>)/</w:t>
      </w:r>
      <w:r w:rsidR="00361EBF" w:rsidRPr="00904B4F">
        <w:rPr>
          <w:rFonts w:asciiTheme="majorHAnsi" w:hAnsiTheme="majorHAnsi"/>
          <w:i w:val="0"/>
          <w:iCs w:val="0"/>
          <w:sz w:val="24"/>
          <w:szCs w:val="24"/>
        </w:rPr>
        <w:t>Surplus (</w:t>
      </w:r>
      <w:r w:rsidR="00FE34C2">
        <w:rPr>
          <w:rFonts w:asciiTheme="majorHAnsi" w:hAnsiTheme="majorHAnsi"/>
          <w:i w:val="0"/>
          <w:iCs w:val="0"/>
          <w:sz w:val="24"/>
          <w:szCs w:val="24"/>
        </w:rPr>
        <w:t>+</w:t>
      </w:r>
      <w:r w:rsidRPr="00904B4F">
        <w:rPr>
          <w:rFonts w:asciiTheme="majorHAnsi" w:hAnsiTheme="majorHAnsi"/>
          <w:i w:val="0"/>
          <w:iCs w:val="0"/>
          <w:sz w:val="24"/>
          <w:szCs w:val="24"/>
        </w:rPr>
        <w:t>)</w:t>
      </w:r>
      <w:bookmarkEnd w:id="105"/>
      <w:bookmarkEnd w:id="106"/>
      <w:bookmarkEnd w:id="107"/>
    </w:p>
    <w:p w14:paraId="78BFBDEA" w14:textId="6EEFE184" w:rsidR="000E1100" w:rsidRPr="00257228" w:rsidRDefault="008E6D2C" w:rsidP="008E6D2C">
      <w:pPr>
        <w:autoSpaceDE w:val="0"/>
        <w:autoSpaceDN w:val="0"/>
        <w:adjustRightInd w:val="0"/>
        <w:spacing w:after="240" w:line="360" w:lineRule="auto"/>
        <w:jc w:val="both"/>
        <w:rPr>
          <w:rFonts w:ascii="Cambria" w:hAnsi="Cambria" w:cs="Arial"/>
          <w:color w:val="000000"/>
          <w:lang w:val="en-GB"/>
        </w:rPr>
      </w:pPr>
      <w:r w:rsidRPr="00257228">
        <w:rPr>
          <w:rFonts w:ascii="Cambria" w:hAnsi="Cambria" w:cs="Arial"/>
          <w:color w:val="000000"/>
          <w:lang w:val="en-GB"/>
        </w:rPr>
        <w:t xml:space="preserve">Basing upon estimated Revenue Requirement and Revenue at existing tariff, the revenue </w:t>
      </w:r>
      <w:r w:rsidR="00361EBF">
        <w:rPr>
          <w:rFonts w:ascii="Cambria" w:hAnsi="Cambria" w:cs="Arial"/>
          <w:color w:val="000000"/>
          <w:lang w:val="en-GB"/>
        </w:rPr>
        <w:t>Gap (</w:t>
      </w:r>
      <w:r w:rsidR="005D02D6">
        <w:rPr>
          <w:rFonts w:ascii="Cambria" w:hAnsi="Cambria" w:cs="Arial"/>
          <w:color w:val="000000"/>
          <w:lang w:val="en-GB"/>
        </w:rPr>
        <w:t>-</w:t>
      </w:r>
      <w:r w:rsidR="00FE34C2">
        <w:rPr>
          <w:rFonts w:ascii="Cambria" w:hAnsi="Cambria" w:cs="Arial"/>
          <w:color w:val="000000"/>
          <w:lang w:val="en-GB"/>
        </w:rPr>
        <w:t>)</w:t>
      </w:r>
      <w:r w:rsidRPr="00257228">
        <w:rPr>
          <w:rFonts w:ascii="Cambria" w:hAnsi="Cambria" w:cs="Arial"/>
          <w:color w:val="000000"/>
          <w:lang w:val="en-GB"/>
        </w:rPr>
        <w:t xml:space="preserve"> for current</w:t>
      </w:r>
      <w:r w:rsidR="00D7412E">
        <w:rPr>
          <w:rFonts w:ascii="Cambria" w:hAnsi="Cambria" w:cs="Arial"/>
          <w:color w:val="000000"/>
          <w:lang w:val="en-GB"/>
        </w:rPr>
        <w:t xml:space="preserve"> year</w:t>
      </w:r>
      <w:r w:rsidRPr="00257228">
        <w:rPr>
          <w:rFonts w:ascii="Cambria" w:hAnsi="Cambria" w:cs="Arial"/>
          <w:color w:val="000000"/>
          <w:lang w:val="en-GB"/>
        </w:rPr>
        <w:t xml:space="preserve"> FY 202</w:t>
      </w:r>
      <w:r w:rsidR="000E0789">
        <w:rPr>
          <w:rFonts w:ascii="Cambria" w:hAnsi="Cambria" w:cs="Arial"/>
          <w:color w:val="000000"/>
          <w:lang w:val="en-GB"/>
        </w:rPr>
        <w:t>5</w:t>
      </w:r>
      <w:r w:rsidRPr="00257228">
        <w:rPr>
          <w:rFonts w:ascii="Cambria" w:hAnsi="Cambria" w:cs="Arial"/>
          <w:color w:val="000000"/>
          <w:lang w:val="en-GB"/>
        </w:rPr>
        <w:t>-2</w:t>
      </w:r>
      <w:r w:rsidR="000E0789">
        <w:rPr>
          <w:rFonts w:ascii="Cambria" w:hAnsi="Cambria" w:cs="Arial"/>
          <w:color w:val="000000"/>
          <w:lang w:val="en-GB"/>
        </w:rPr>
        <w:t>6</w:t>
      </w:r>
      <w:r w:rsidRPr="00257228">
        <w:rPr>
          <w:rFonts w:ascii="Cambria" w:hAnsi="Cambria" w:cs="Arial"/>
          <w:color w:val="000000"/>
          <w:lang w:val="en-GB"/>
        </w:rPr>
        <w:t xml:space="preserve"> is Rs.</w:t>
      </w:r>
      <w:r w:rsidR="00D7412E">
        <w:rPr>
          <w:rFonts w:ascii="Cambria" w:hAnsi="Cambria" w:cs="Arial"/>
          <w:color w:val="000000"/>
          <w:lang w:val="en-GB"/>
        </w:rPr>
        <w:t xml:space="preserve"> </w:t>
      </w:r>
      <w:r w:rsidR="00CC7CEC">
        <w:rPr>
          <w:rFonts w:ascii="Cambria" w:hAnsi="Cambria" w:cs="Arial"/>
          <w:color w:val="000000"/>
          <w:lang w:val="en-GB"/>
        </w:rPr>
        <w:t>87.14</w:t>
      </w:r>
      <w:r w:rsidR="00FE34C2" w:rsidRPr="00FE34C2">
        <w:rPr>
          <w:rFonts w:ascii="Cambria" w:hAnsi="Cambria" w:cs="Arial"/>
          <w:color w:val="000000"/>
          <w:lang w:val="en-GB"/>
        </w:rPr>
        <w:t xml:space="preserve"> </w:t>
      </w:r>
      <w:r w:rsidRPr="00FE34C2">
        <w:rPr>
          <w:rFonts w:ascii="Cambria" w:hAnsi="Cambria" w:cs="Arial"/>
          <w:color w:val="000000"/>
          <w:lang w:val="en-GB"/>
        </w:rPr>
        <w:t>Cr</w:t>
      </w:r>
      <w:r w:rsidRPr="00257228">
        <w:rPr>
          <w:rFonts w:ascii="Cambria" w:hAnsi="Cambria" w:cs="Arial"/>
          <w:color w:val="000000"/>
          <w:lang w:val="en-GB"/>
        </w:rPr>
        <w:t>.</w:t>
      </w:r>
      <w:r w:rsidR="00D7412E">
        <w:rPr>
          <w:rFonts w:ascii="Cambria" w:hAnsi="Cambria" w:cs="Arial"/>
          <w:color w:val="000000"/>
          <w:lang w:val="en-GB"/>
        </w:rPr>
        <w:t xml:space="preserve"> </w:t>
      </w: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957"/>
        <w:gridCol w:w="2698"/>
      </w:tblGrid>
      <w:tr w:rsidR="008E6D2C" w:rsidRPr="00502FF6" w14:paraId="3BF4614B" w14:textId="77777777" w:rsidTr="00F57E5C">
        <w:trPr>
          <w:trHeight w:val="397"/>
          <w:tblHeader/>
          <w:jc w:val="center"/>
        </w:trPr>
        <w:tc>
          <w:tcPr>
            <w:tcW w:w="7655" w:type="dxa"/>
            <w:gridSpan w:val="2"/>
            <w:shd w:val="clear" w:color="auto" w:fill="C6D9F1" w:themeFill="text2" w:themeFillTint="33"/>
            <w:tcMar>
              <w:top w:w="15" w:type="dxa"/>
              <w:left w:w="15" w:type="dxa"/>
              <w:bottom w:w="0" w:type="dxa"/>
              <w:right w:w="15" w:type="dxa"/>
            </w:tcMar>
            <w:vAlign w:val="center"/>
            <w:hideMark/>
          </w:tcPr>
          <w:p w14:paraId="14A93F76" w14:textId="4EDBE7DF" w:rsidR="008E6D2C" w:rsidRPr="00502FF6" w:rsidRDefault="008E6D2C" w:rsidP="00330651">
            <w:pPr>
              <w:pStyle w:val="NormalWeb"/>
              <w:spacing w:before="0" w:beforeAutospacing="0" w:after="0" w:afterAutospacing="0"/>
              <w:jc w:val="center"/>
              <w:textAlignment w:val="center"/>
              <w:rPr>
                <w:rFonts w:asciiTheme="majorHAnsi" w:hAnsiTheme="majorHAnsi" w:cs="Arial"/>
                <w:sz w:val="22"/>
                <w:szCs w:val="22"/>
                <w:lang w:val="en-IN" w:eastAsia="en-IN"/>
              </w:rPr>
            </w:pPr>
            <w:bookmarkStart w:id="108" w:name="_Hlk214738301"/>
            <w:r w:rsidRPr="00502FF6">
              <w:rPr>
                <w:rFonts w:asciiTheme="majorHAnsi" w:hAnsiTheme="majorHAnsi" w:cs="Arial"/>
                <w:b/>
                <w:bCs/>
                <w:color w:val="000000"/>
                <w:kern w:val="24"/>
                <w:sz w:val="22"/>
                <w:szCs w:val="22"/>
              </w:rPr>
              <w:t>Revenue Gap with AT&amp;C (</w:t>
            </w:r>
            <w:r w:rsidR="002C0D34" w:rsidRPr="00502FF6">
              <w:rPr>
                <w:rFonts w:asciiTheme="majorHAnsi" w:hAnsiTheme="majorHAnsi" w:cs="Arial"/>
                <w:b/>
                <w:bCs/>
                <w:color w:val="000000"/>
                <w:kern w:val="24"/>
                <w:sz w:val="22"/>
                <w:szCs w:val="22"/>
              </w:rPr>
              <w:t>1</w:t>
            </w:r>
            <w:r w:rsidR="00E94D91" w:rsidRPr="00502FF6">
              <w:rPr>
                <w:rFonts w:asciiTheme="majorHAnsi" w:hAnsiTheme="majorHAnsi" w:cs="Arial"/>
                <w:b/>
                <w:bCs/>
                <w:color w:val="000000"/>
                <w:kern w:val="24"/>
                <w:sz w:val="22"/>
                <w:szCs w:val="22"/>
              </w:rPr>
              <w:t>5.90</w:t>
            </w:r>
            <w:r w:rsidRPr="00502FF6">
              <w:rPr>
                <w:rFonts w:asciiTheme="majorHAnsi" w:hAnsiTheme="majorHAnsi" w:cs="Arial"/>
                <w:b/>
                <w:bCs/>
                <w:color w:val="000000"/>
                <w:kern w:val="24"/>
                <w:sz w:val="22"/>
                <w:szCs w:val="22"/>
              </w:rPr>
              <w:t>%)-Current Year FY 2</w:t>
            </w:r>
            <w:r w:rsidR="00BB364F" w:rsidRPr="00502FF6">
              <w:rPr>
                <w:rFonts w:asciiTheme="majorHAnsi" w:hAnsiTheme="majorHAnsi" w:cs="Arial"/>
                <w:b/>
                <w:bCs/>
                <w:color w:val="000000"/>
                <w:kern w:val="24"/>
                <w:sz w:val="22"/>
                <w:szCs w:val="22"/>
              </w:rPr>
              <w:t>5</w:t>
            </w:r>
            <w:r w:rsidRPr="00502FF6">
              <w:rPr>
                <w:rFonts w:asciiTheme="majorHAnsi" w:hAnsiTheme="majorHAnsi" w:cs="Arial"/>
                <w:b/>
                <w:bCs/>
                <w:color w:val="000000"/>
                <w:kern w:val="24"/>
                <w:sz w:val="22"/>
                <w:szCs w:val="22"/>
              </w:rPr>
              <w:t>-2</w:t>
            </w:r>
            <w:r w:rsidR="00BB364F" w:rsidRPr="00502FF6">
              <w:rPr>
                <w:rFonts w:asciiTheme="majorHAnsi" w:hAnsiTheme="majorHAnsi" w:cs="Arial"/>
                <w:b/>
                <w:bCs/>
                <w:color w:val="000000"/>
                <w:kern w:val="24"/>
                <w:sz w:val="22"/>
                <w:szCs w:val="22"/>
              </w:rPr>
              <w:t>6</w:t>
            </w:r>
          </w:p>
        </w:tc>
      </w:tr>
      <w:tr w:rsidR="008E6D2C" w:rsidRPr="00502FF6" w14:paraId="1A01202E" w14:textId="77777777" w:rsidTr="00F57E5C">
        <w:trPr>
          <w:trHeight w:val="261"/>
          <w:tblHeader/>
          <w:jc w:val="center"/>
        </w:trPr>
        <w:tc>
          <w:tcPr>
            <w:tcW w:w="4957" w:type="dxa"/>
            <w:shd w:val="clear" w:color="auto" w:fill="C6D9F1" w:themeFill="text2" w:themeFillTint="33"/>
            <w:tcMar>
              <w:top w:w="15" w:type="dxa"/>
              <w:left w:w="15" w:type="dxa"/>
              <w:bottom w:w="0" w:type="dxa"/>
              <w:right w:w="15" w:type="dxa"/>
            </w:tcMar>
            <w:vAlign w:val="center"/>
            <w:hideMark/>
          </w:tcPr>
          <w:p w14:paraId="29454267" w14:textId="77777777" w:rsidR="008E6D2C" w:rsidRPr="00502FF6" w:rsidRDefault="008E6D2C" w:rsidP="00330651">
            <w:pPr>
              <w:pStyle w:val="NormalWeb"/>
              <w:spacing w:before="0" w:beforeAutospacing="0" w:after="0" w:afterAutospacing="0"/>
              <w:textAlignment w:val="center"/>
              <w:rPr>
                <w:rFonts w:asciiTheme="majorHAnsi" w:hAnsiTheme="majorHAnsi" w:cs="Arial"/>
                <w:sz w:val="22"/>
                <w:szCs w:val="22"/>
              </w:rPr>
            </w:pPr>
            <w:r w:rsidRPr="00502FF6">
              <w:rPr>
                <w:rFonts w:asciiTheme="majorHAnsi" w:hAnsiTheme="majorHAnsi" w:cs="Arial"/>
                <w:b/>
                <w:bCs/>
                <w:color w:val="000000"/>
                <w:kern w:val="24"/>
                <w:sz w:val="22"/>
                <w:szCs w:val="22"/>
              </w:rPr>
              <w:t>Parameters</w:t>
            </w:r>
          </w:p>
        </w:tc>
        <w:tc>
          <w:tcPr>
            <w:tcW w:w="2698" w:type="dxa"/>
            <w:shd w:val="clear" w:color="auto" w:fill="C6D9F1" w:themeFill="text2" w:themeFillTint="33"/>
            <w:tcMar>
              <w:top w:w="15" w:type="dxa"/>
              <w:left w:w="15" w:type="dxa"/>
              <w:bottom w:w="0" w:type="dxa"/>
              <w:right w:w="15" w:type="dxa"/>
            </w:tcMar>
            <w:vAlign w:val="center"/>
            <w:hideMark/>
          </w:tcPr>
          <w:p w14:paraId="6DD831F3" w14:textId="6612DDC9" w:rsidR="008E6D2C" w:rsidRPr="00502FF6" w:rsidRDefault="008E6D2C" w:rsidP="002C0D34">
            <w:pPr>
              <w:pStyle w:val="NormalWeb"/>
              <w:spacing w:before="0" w:beforeAutospacing="0" w:after="0" w:afterAutospacing="0"/>
              <w:jc w:val="center"/>
              <w:textAlignment w:val="center"/>
              <w:rPr>
                <w:rFonts w:asciiTheme="majorHAnsi" w:hAnsiTheme="majorHAnsi" w:cs="Arial"/>
                <w:sz w:val="22"/>
                <w:szCs w:val="22"/>
              </w:rPr>
            </w:pPr>
            <w:r w:rsidRPr="00502FF6">
              <w:rPr>
                <w:rFonts w:asciiTheme="majorHAnsi" w:hAnsiTheme="majorHAnsi" w:cs="Arial"/>
                <w:b/>
                <w:bCs/>
                <w:color w:val="000000"/>
                <w:kern w:val="24"/>
                <w:sz w:val="22"/>
                <w:szCs w:val="22"/>
              </w:rPr>
              <w:t>Estimated</w:t>
            </w:r>
            <w:r w:rsidR="002C0D34" w:rsidRPr="00502FF6">
              <w:rPr>
                <w:rFonts w:asciiTheme="majorHAnsi" w:hAnsiTheme="majorHAnsi" w:cs="Arial"/>
                <w:b/>
                <w:bCs/>
                <w:color w:val="000000"/>
                <w:kern w:val="24"/>
                <w:sz w:val="22"/>
                <w:szCs w:val="22"/>
              </w:rPr>
              <w:t xml:space="preserve"> </w:t>
            </w:r>
            <w:r w:rsidRPr="00502FF6">
              <w:rPr>
                <w:rFonts w:asciiTheme="majorHAnsi" w:hAnsiTheme="majorHAnsi" w:cs="Arial"/>
                <w:b/>
                <w:bCs/>
                <w:color w:val="000000"/>
                <w:kern w:val="24"/>
                <w:sz w:val="22"/>
                <w:szCs w:val="22"/>
              </w:rPr>
              <w:t>(Rs. Cr.)</w:t>
            </w:r>
          </w:p>
        </w:tc>
      </w:tr>
      <w:tr w:rsidR="008E6D2C" w:rsidRPr="00502FF6" w14:paraId="68667989" w14:textId="77777777" w:rsidTr="00C7069F">
        <w:trPr>
          <w:trHeight w:val="180"/>
          <w:jc w:val="center"/>
        </w:trPr>
        <w:tc>
          <w:tcPr>
            <w:tcW w:w="4957" w:type="dxa"/>
            <w:tcMar>
              <w:top w:w="15" w:type="dxa"/>
              <w:left w:w="15" w:type="dxa"/>
              <w:bottom w:w="72" w:type="dxa"/>
              <w:right w:w="15" w:type="dxa"/>
            </w:tcMar>
            <w:vAlign w:val="center"/>
            <w:hideMark/>
          </w:tcPr>
          <w:p w14:paraId="1FE9FB00" w14:textId="77777777" w:rsidR="008E6D2C" w:rsidRPr="00502FF6" w:rsidRDefault="008E6D2C" w:rsidP="00330651">
            <w:pPr>
              <w:pStyle w:val="NormalWeb"/>
              <w:spacing w:before="0" w:beforeAutospacing="0" w:after="0" w:afterAutospacing="0"/>
              <w:textAlignment w:val="center"/>
              <w:rPr>
                <w:rFonts w:asciiTheme="majorHAnsi" w:hAnsiTheme="majorHAnsi" w:cs="Arial"/>
                <w:sz w:val="22"/>
                <w:szCs w:val="22"/>
              </w:rPr>
            </w:pPr>
            <w:r w:rsidRPr="00502FF6">
              <w:rPr>
                <w:rFonts w:asciiTheme="majorHAnsi" w:hAnsiTheme="majorHAnsi" w:cs="Arial"/>
                <w:b/>
                <w:bCs/>
                <w:i/>
                <w:iCs/>
                <w:color w:val="000000"/>
                <w:kern w:val="24"/>
                <w:sz w:val="22"/>
                <w:szCs w:val="22"/>
              </w:rPr>
              <w:t>Total Power Purchase Cost</w:t>
            </w:r>
          </w:p>
        </w:tc>
        <w:tc>
          <w:tcPr>
            <w:tcW w:w="2698" w:type="dxa"/>
            <w:tcMar>
              <w:top w:w="15" w:type="dxa"/>
              <w:left w:w="15" w:type="dxa"/>
              <w:bottom w:w="0" w:type="dxa"/>
              <w:right w:w="15" w:type="dxa"/>
            </w:tcMar>
            <w:vAlign w:val="center"/>
            <w:hideMark/>
          </w:tcPr>
          <w:p w14:paraId="6E4F0457" w14:textId="65CE6F4D" w:rsidR="008E6D2C" w:rsidRPr="00502FF6" w:rsidRDefault="00FE34C2" w:rsidP="00330651">
            <w:pPr>
              <w:pStyle w:val="NormalWeb"/>
              <w:spacing w:before="0" w:beforeAutospacing="0" w:after="0" w:afterAutospacing="0"/>
              <w:jc w:val="center"/>
              <w:textAlignment w:val="center"/>
              <w:rPr>
                <w:rFonts w:asciiTheme="majorHAnsi" w:hAnsiTheme="majorHAnsi" w:cs="Arial"/>
                <w:sz w:val="22"/>
                <w:szCs w:val="22"/>
              </w:rPr>
            </w:pPr>
            <w:r w:rsidRPr="00502FF6">
              <w:rPr>
                <w:rFonts w:asciiTheme="majorHAnsi" w:hAnsiTheme="majorHAnsi" w:cs="Arial"/>
                <w:sz w:val="22"/>
                <w:szCs w:val="22"/>
              </w:rPr>
              <w:t>482</w:t>
            </w:r>
            <w:r w:rsidR="00273036" w:rsidRPr="00502FF6">
              <w:rPr>
                <w:rFonts w:asciiTheme="majorHAnsi" w:hAnsiTheme="majorHAnsi" w:cs="Arial"/>
                <w:sz w:val="22"/>
                <w:szCs w:val="22"/>
              </w:rPr>
              <w:t>5.63</w:t>
            </w:r>
          </w:p>
        </w:tc>
      </w:tr>
      <w:tr w:rsidR="008E6D2C" w:rsidRPr="00502FF6" w14:paraId="78A360DD" w14:textId="77777777" w:rsidTr="00C7069F">
        <w:trPr>
          <w:trHeight w:val="228"/>
          <w:jc w:val="center"/>
        </w:trPr>
        <w:tc>
          <w:tcPr>
            <w:tcW w:w="4957" w:type="dxa"/>
            <w:tcMar>
              <w:top w:w="15" w:type="dxa"/>
              <w:left w:w="15" w:type="dxa"/>
              <w:bottom w:w="72" w:type="dxa"/>
              <w:right w:w="15" w:type="dxa"/>
            </w:tcMar>
            <w:vAlign w:val="center"/>
            <w:hideMark/>
          </w:tcPr>
          <w:p w14:paraId="3E516765" w14:textId="64B4A79D" w:rsidR="008E6D2C" w:rsidRPr="00502FF6" w:rsidRDefault="008E6D2C" w:rsidP="00330651">
            <w:pPr>
              <w:pStyle w:val="NormalWeb"/>
              <w:spacing w:before="0" w:beforeAutospacing="0" w:after="0" w:afterAutospacing="0"/>
              <w:textAlignment w:val="center"/>
              <w:rPr>
                <w:rFonts w:asciiTheme="majorHAnsi" w:hAnsiTheme="majorHAnsi" w:cs="Arial"/>
                <w:sz w:val="22"/>
                <w:szCs w:val="22"/>
              </w:rPr>
            </w:pPr>
            <w:r w:rsidRPr="00502FF6">
              <w:rPr>
                <w:rFonts w:asciiTheme="majorHAnsi" w:hAnsiTheme="majorHAnsi" w:cs="Arial"/>
                <w:color w:val="000000"/>
                <w:kern w:val="24"/>
                <w:sz w:val="22"/>
                <w:szCs w:val="22"/>
              </w:rPr>
              <w:t>Distribution Cost incl. tax on ROE</w:t>
            </w:r>
            <w:r w:rsidR="00CC7CEC">
              <w:rPr>
                <w:rFonts w:asciiTheme="majorHAnsi" w:hAnsiTheme="majorHAnsi" w:cs="Arial"/>
                <w:color w:val="000000"/>
                <w:kern w:val="24"/>
                <w:sz w:val="22"/>
                <w:szCs w:val="22"/>
              </w:rPr>
              <w:t xml:space="preserve"> &amp; Tariff Balancing Reserve</w:t>
            </w:r>
          </w:p>
        </w:tc>
        <w:tc>
          <w:tcPr>
            <w:tcW w:w="2698" w:type="dxa"/>
            <w:tcMar>
              <w:top w:w="15" w:type="dxa"/>
              <w:left w:w="15" w:type="dxa"/>
              <w:bottom w:w="0" w:type="dxa"/>
              <w:right w:w="15" w:type="dxa"/>
            </w:tcMar>
            <w:vAlign w:val="center"/>
            <w:hideMark/>
          </w:tcPr>
          <w:p w14:paraId="53F85360" w14:textId="35CAF77D" w:rsidR="008E6D2C" w:rsidRPr="00502FF6" w:rsidRDefault="008E6D2C" w:rsidP="00330651">
            <w:pPr>
              <w:pStyle w:val="NormalWeb"/>
              <w:spacing w:before="0" w:beforeAutospacing="0" w:after="0" w:afterAutospacing="0"/>
              <w:jc w:val="center"/>
              <w:textAlignment w:val="center"/>
              <w:rPr>
                <w:rFonts w:asciiTheme="majorHAnsi" w:hAnsiTheme="majorHAnsi" w:cs="Arial"/>
                <w:sz w:val="22"/>
                <w:szCs w:val="22"/>
              </w:rPr>
            </w:pPr>
            <w:r w:rsidRPr="00502FF6">
              <w:rPr>
                <w:rFonts w:asciiTheme="majorHAnsi" w:hAnsiTheme="majorHAnsi" w:cs="Arial"/>
                <w:color w:val="000000"/>
                <w:kern w:val="24"/>
                <w:sz w:val="22"/>
                <w:szCs w:val="22"/>
              </w:rPr>
              <w:t>1</w:t>
            </w:r>
            <w:r w:rsidR="00FE34C2" w:rsidRPr="00502FF6">
              <w:rPr>
                <w:rFonts w:asciiTheme="majorHAnsi" w:hAnsiTheme="majorHAnsi" w:cs="Arial"/>
                <w:color w:val="000000"/>
                <w:kern w:val="24"/>
                <w:sz w:val="22"/>
                <w:szCs w:val="22"/>
              </w:rPr>
              <w:t>7</w:t>
            </w:r>
            <w:r w:rsidR="00CC7CEC">
              <w:rPr>
                <w:rFonts w:asciiTheme="majorHAnsi" w:hAnsiTheme="majorHAnsi" w:cs="Arial"/>
                <w:color w:val="000000"/>
                <w:kern w:val="24"/>
                <w:sz w:val="22"/>
                <w:szCs w:val="22"/>
              </w:rPr>
              <w:t>75.93</w:t>
            </w:r>
          </w:p>
        </w:tc>
      </w:tr>
      <w:tr w:rsidR="002C0D34" w:rsidRPr="00502FF6" w14:paraId="422A537C" w14:textId="77777777" w:rsidTr="00C7069F">
        <w:trPr>
          <w:trHeight w:val="135"/>
          <w:jc w:val="center"/>
        </w:trPr>
        <w:tc>
          <w:tcPr>
            <w:tcW w:w="4957" w:type="dxa"/>
            <w:tcMar>
              <w:top w:w="15" w:type="dxa"/>
              <w:left w:w="15" w:type="dxa"/>
              <w:bottom w:w="72" w:type="dxa"/>
              <w:right w:w="15" w:type="dxa"/>
            </w:tcMar>
            <w:vAlign w:val="center"/>
          </w:tcPr>
          <w:p w14:paraId="469609B3" w14:textId="209D59FE" w:rsidR="002C0D34" w:rsidRPr="00502FF6" w:rsidRDefault="002C0D34" w:rsidP="00330651">
            <w:pPr>
              <w:pStyle w:val="NormalWeb"/>
              <w:spacing w:before="0" w:beforeAutospacing="0" w:after="0" w:afterAutospacing="0"/>
              <w:textAlignment w:val="center"/>
              <w:rPr>
                <w:rFonts w:asciiTheme="majorHAnsi" w:hAnsiTheme="majorHAnsi" w:cs="Arial"/>
                <w:color w:val="000000"/>
                <w:kern w:val="24"/>
                <w:sz w:val="22"/>
                <w:szCs w:val="22"/>
              </w:rPr>
            </w:pPr>
            <w:r w:rsidRPr="00502FF6">
              <w:rPr>
                <w:rFonts w:asciiTheme="majorHAnsi" w:hAnsiTheme="majorHAnsi" w:cs="Arial"/>
                <w:color w:val="000000"/>
                <w:kern w:val="24"/>
                <w:sz w:val="22"/>
                <w:szCs w:val="22"/>
              </w:rPr>
              <w:t>Carrying cost on ASL</w:t>
            </w:r>
          </w:p>
        </w:tc>
        <w:tc>
          <w:tcPr>
            <w:tcW w:w="2698" w:type="dxa"/>
            <w:tcMar>
              <w:top w:w="15" w:type="dxa"/>
              <w:left w:w="15" w:type="dxa"/>
              <w:bottom w:w="0" w:type="dxa"/>
              <w:right w:w="15" w:type="dxa"/>
            </w:tcMar>
            <w:vAlign w:val="center"/>
          </w:tcPr>
          <w:p w14:paraId="04FEE881" w14:textId="558BF0E3" w:rsidR="002C0D34" w:rsidRPr="00502FF6" w:rsidRDefault="00CC7CEC" w:rsidP="00330651">
            <w:pPr>
              <w:pStyle w:val="NormalWeb"/>
              <w:spacing w:before="0" w:beforeAutospacing="0" w:after="0" w:afterAutospacing="0"/>
              <w:jc w:val="center"/>
              <w:textAlignment w:val="center"/>
              <w:rPr>
                <w:rFonts w:asciiTheme="majorHAnsi" w:hAnsiTheme="majorHAnsi" w:cs="Arial"/>
                <w:color w:val="000000"/>
                <w:kern w:val="24"/>
                <w:sz w:val="22"/>
                <w:szCs w:val="22"/>
              </w:rPr>
            </w:pPr>
            <w:r>
              <w:rPr>
                <w:rFonts w:asciiTheme="majorHAnsi" w:hAnsiTheme="majorHAnsi" w:cs="Arial"/>
                <w:color w:val="000000"/>
                <w:kern w:val="24"/>
                <w:sz w:val="22"/>
                <w:szCs w:val="22"/>
              </w:rPr>
              <w:t>6.94</w:t>
            </w:r>
          </w:p>
        </w:tc>
      </w:tr>
      <w:tr w:rsidR="008E6D2C" w:rsidRPr="00502FF6" w14:paraId="179752F8" w14:textId="77777777" w:rsidTr="00C7069F">
        <w:trPr>
          <w:trHeight w:val="139"/>
          <w:jc w:val="center"/>
        </w:trPr>
        <w:tc>
          <w:tcPr>
            <w:tcW w:w="4957" w:type="dxa"/>
            <w:tcMar>
              <w:top w:w="15" w:type="dxa"/>
              <w:left w:w="15" w:type="dxa"/>
              <w:bottom w:w="72" w:type="dxa"/>
              <w:right w:w="15" w:type="dxa"/>
            </w:tcMar>
            <w:vAlign w:val="center"/>
            <w:hideMark/>
          </w:tcPr>
          <w:p w14:paraId="31492957" w14:textId="77777777" w:rsidR="008E6D2C" w:rsidRPr="00502FF6" w:rsidRDefault="008E6D2C" w:rsidP="00330651">
            <w:pPr>
              <w:pStyle w:val="NormalWeb"/>
              <w:spacing w:before="0" w:beforeAutospacing="0" w:after="0" w:afterAutospacing="0"/>
              <w:textAlignment w:val="center"/>
              <w:rPr>
                <w:rFonts w:asciiTheme="majorHAnsi" w:hAnsiTheme="majorHAnsi" w:cs="Arial"/>
                <w:sz w:val="22"/>
                <w:szCs w:val="22"/>
              </w:rPr>
            </w:pPr>
            <w:r w:rsidRPr="00502FF6">
              <w:rPr>
                <w:rFonts w:asciiTheme="majorHAnsi" w:hAnsiTheme="majorHAnsi" w:cs="Arial"/>
                <w:b/>
                <w:bCs/>
                <w:color w:val="000000"/>
                <w:kern w:val="24"/>
                <w:sz w:val="22"/>
                <w:szCs w:val="22"/>
              </w:rPr>
              <w:t>Sub Total </w:t>
            </w:r>
          </w:p>
        </w:tc>
        <w:tc>
          <w:tcPr>
            <w:tcW w:w="2698" w:type="dxa"/>
            <w:tcMar>
              <w:top w:w="15" w:type="dxa"/>
              <w:left w:w="15" w:type="dxa"/>
              <w:bottom w:w="0" w:type="dxa"/>
              <w:right w:w="15" w:type="dxa"/>
            </w:tcMar>
            <w:vAlign w:val="center"/>
            <w:hideMark/>
          </w:tcPr>
          <w:p w14:paraId="5EC3C632" w14:textId="4F03BC2E" w:rsidR="008E6D2C" w:rsidRPr="00502FF6" w:rsidRDefault="002C0D34" w:rsidP="00330651">
            <w:pPr>
              <w:pStyle w:val="NormalWeb"/>
              <w:spacing w:before="0" w:beforeAutospacing="0" w:after="0" w:afterAutospacing="0"/>
              <w:jc w:val="center"/>
              <w:textAlignment w:val="center"/>
              <w:rPr>
                <w:rFonts w:asciiTheme="majorHAnsi" w:hAnsiTheme="majorHAnsi" w:cs="Arial"/>
                <w:sz w:val="22"/>
                <w:szCs w:val="22"/>
              </w:rPr>
            </w:pPr>
            <w:r w:rsidRPr="00502FF6">
              <w:rPr>
                <w:rFonts w:asciiTheme="majorHAnsi" w:hAnsiTheme="majorHAnsi" w:cs="Arial"/>
                <w:b/>
                <w:bCs/>
                <w:color w:val="000000"/>
                <w:kern w:val="24"/>
                <w:sz w:val="22"/>
                <w:szCs w:val="22"/>
              </w:rPr>
              <w:t>6</w:t>
            </w:r>
            <w:r w:rsidR="00FE34C2" w:rsidRPr="00502FF6">
              <w:rPr>
                <w:rFonts w:asciiTheme="majorHAnsi" w:hAnsiTheme="majorHAnsi" w:cs="Arial"/>
                <w:b/>
                <w:bCs/>
                <w:color w:val="000000"/>
                <w:kern w:val="24"/>
                <w:sz w:val="22"/>
                <w:szCs w:val="22"/>
              </w:rPr>
              <w:t>6</w:t>
            </w:r>
            <w:r w:rsidR="00CC7CEC">
              <w:rPr>
                <w:rFonts w:asciiTheme="majorHAnsi" w:hAnsiTheme="majorHAnsi" w:cs="Arial"/>
                <w:b/>
                <w:bCs/>
                <w:color w:val="000000"/>
                <w:kern w:val="24"/>
                <w:sz w:val="22"/>
                <w:szCs w:val="22"/>
              </w:rPr>
              <w:t>08.50</w:t>
            </w:r>
          </w:p>
        </w:tc>
      </w:tr>
      <w:tr w:rsidR="008E6D2C" w:rsidRPr="00502FF6" w14:paraId="743794B2" w14:textId="77777777" w:rsidTr="00C7069F">
        <w:trPr>
          <w:trHeight w:val="201"/>
          <w:jc w:val="center"/>
        </w:trPr>
        <w:tc>
          <w:tcPr>
            <w:tcW w:w="4957" w:type="dxa"/>
            <w:tcMar>
              <w:top w:w="15" w:type="dxa"/>
              <w:left w:w="15" w:type="dxa"/>
              <w:bottom w:w="72" w:type="dxa"/>
              <w:right w:w="15" w:type="dxa"/>
            </w:tcMar>
            <w:vAlign w:val="center"/>
            <w:hideMark/>
          </w:tcPr>
          <w:p w14:paraId="2356AFAA" w14:textId="77777777" w:rsidR="008E6D2C" w:rsidRPr="00502FF6" w:rsidRDefault="008E6D2C" w:rsidP="00330651">
            <w:pPr>
              <w:pStyle w:val="NormalWeb"/>
              <w:spacing w:before="0" w:beforeAutospacing="0" w:after="0" w:afterAutospacing="0"/>
              <w:textAlignment w:val="center"/>
              <w:rPr>
                <w:rFonts w:asciiTheme="majorHAnsi" w:hAnsiTheme="majorHAnsi" w:cs="Arial"/>
                <w:sz w:val="22"/>
                <w:szCs w:val="22"/>
              </w:rPr>
            </w:pPr>
            <w:r w:rsidRPr="00502FF6">
              <w:rPr>
                <w:rFonts w:asciiTheme="majorHAnsi" w:hAnsiTheme="majorHAnsi" w:cs="Arial"/>
                <w:color w:val="000000"/>
                <w:kern w:val="24"/>
                <w:sz w:val="22"/>
                <w:szCs w:val="22"/>
              </w:rPr>
              <w:t>Revenue from sale of power at existing tariffs  </w:t>
            </w:r>
          </w:p>
        </w:tc>
        <w:tc>
          <w:tcPr>
            <w:tcW w:w="2698" w:type="dxa"/>
            <w:tcMar>
              <w:top w:w="15" w:type="dxa"/>
              <w:left w:w="15" w:type="dxa"/>
              <w:bottom w:w="0" w:type="dxa"/>
              <w:right w:w="15" w:type="dxa"/>
            </w:tcMar>
            <w:vAlign w:val="center"/>
            <w:hideMark/>
          </w:tcPr>
          <w:p w14:paraId="4F9DCFBE" w14:textId="46A855F5" w:rsidR="008E6D2C" w:rsidRPr="00502FF6" w:rsidRDefault="00FE34C2" w:rsidP="00330651">
            <w:pPr>
              <w:pStyle w:val="NormalWeb"/>
              <w:spacing w:before="0" w:beforeAutospacing="0" w:after="0" w:afterAutospacing="0"/>
              <w:jc w:val="center"/>
              <w:textAlignment w:val="center"/>
              <w:rPr>
                <w:rFonts w:asciiTheme="majorHAnsi" w:hAnsiTheme="majorHAnsi" w:cs="Arial"/>
                <w:sz w:val="22"/>
                <w:szCs w:val="22"/>
              </w:rPr>
            </w:pPr>
            <w:r w:rsidRPr="00502FF6">
              <w:rPr>
                <w:rFonts w:asciiTheme="majorHAnsi" w:hAnsiTheme="majorHAnsi" w:cs="Arial"/>
                <w:sz w:val="22"/>
                <w:szCs w:val="22"/>
              </w:rPr>
              <w:t>6112.</w:t>
            </w:r>
            <w:r w:rsidR="00CC7CEC">
              <w:rPr>
                <w:rFonts w:asciiTheme="majorHAnsi" w:hAnsiTheme="majorHAnsi" w:cs="Arial"/>
                <w:sz w:val="22"/>
                <w:szCs w:val="22"/>
              </w:rPr>
              <w:t>07</w:t>
            </w:r>
          </w:p>
        </w:tc>
      </w:tr>
      <w:tr w:rsidR="008E6D2C" w:rsidRPr="00502FF6" w14:paraId="3A048911" w14:textId="77777777" w:rsidTr="00C7069F">
        <w:trPr>
          <w:trHeight w:val="35"/>
          <w:jc w:val="center"/>
        </w:trPr>
        <w:tc>
          <w:tcPr>
            <w:tcW w:w="4957" w:type="dxa"/>
            <w:tcMar>
              <w:top w:w="15" w:type="dxa"/>
              <w:left w:w="15" w:type="dxa"/>
              <w:bottom w:w="72" w:type="dxa"/>
              <w:right w:w="15" w:type="dxa"/>
            </w:tcMar>
            <w:vAlign w:val="center"/>
            <w:hideMark/>
          </w:tcPr>
          <w:p w14:paraId="1350675B" w14:textId="77777777" w:rsidR="008E6D2C" w:rsidRPr="00502FF6" w:rsidRDefault="008E6D2C" w:rsidP="00330651">
            <w:pPr>
              <w:pStyle w:val="NormalWeb"/>
              <w:spacing w:before="0" w:beforeAutospacing="0" w:after="0" w:afterAutospacing="0"/>
              <w:textAlignment w:val="center"/>
              <w:rPr>
                <w:rFonts w:asciiTheme="majorHAnsi" w:hAnsiTheme="majorHAnsi" w:cs="Arial"/>
                <w:sz w:val="22"/>
                <w:szCs w:val="22"/>
              </w:rPr>
            </w:pPr>
            <w:r w:rsidRPr="00502FF6">
              <w:rPr>
                <w:rFonts w:asciiTheme="majorHAnsi" w:hAnsiTheme="majorHAnsi" w:cs="Arial"/>
                <w:color w:val="000000"/>
                <w:kern w:val="24"/>
                <w:sz w:val="22"/>
                <w:szCs w:val="22"/>
              </w:rPr>
              <w:t>Non-Tariff Income </w:t>
            </w:r>
          </w:p>
        </w:tc>
        <w:tc>
          <w:tcPr>
            <w:tcW w:w="2698" w:type="dxa"/>
            <w:tcMar>
              <w:top w:w="15" w:type="dxa"/>
              <w:left w:w="15" w:type="dxa"/>
              <w:bottom w:w="0" w:type="dxa"/>
              <w:right w:w="15" w:type="dxa"/>
            </w:tcMar>
            <w:vAlign w:val="center"/>
            <w:hideMark/>
          </w:tcPr>
          <w:p w14:paraId="0E99B6BF" w14:textId="25BFAB26" w:rsidR="008E6D2C" w:rsidRPr="00502FF6" w:rsidRDefault="00273036" w:rsidP="00330651">
            <w:pPr>
              <w:pStyle w:val="NormalWeb"/>
              <w:spacing w:before="0" w:beforeAutospacing="0" w:after="0" w:afterAutospacing="0"/>
              <w:jc w:val="center"/>
              <w:textAlignment w:val="center"/>
              <w:rPr>
                <w:rFonts w:asciiTheme="majorHAnsi" w:hAnsiTheme="majorHAnsi" w:cs="Arial"/>
                <w:sz w:val="22"/>
                <w:szCs w:val="22"/>
              </w:rPr>
            </w:pPr>
            <w:r w:rsidRPr="00502FF6">
              <w:rPr>
                <w:rFonts w:asciiTheme="majorHAnsi" w:hAnsiTheme="majorHAnsi" w:cs="Arial"/>
                <w:sz w:val="22"/>
                <w:szCs w:val="22"/>
              </w:rPr>
              <w:t>409.29</w:t>
            </w:r>
          </w:p>
        </w:tc>
      </w:tr>
      <w:tr w:rsidR="008E6D2C" w:rsidRPr="00A72835" w14:paraId="7BE04968" w14:textId="77777777" w:rsidTr="00C7069F">
        <w:trPr>
          <w:trHeight w:val="35"/>
          <w:jc w:val="center"/>
        </w:trPr>
        <w:tc>
          <w:tcPr>
            <w:tcW w:w="4957" w:type="dxa"/>
            <w:tcMar>
              <w:top w:w="15" w:type="dxa"/>
              <w:left w:w="15" w:type="dxa"/>
              <w:bottom w:w="72" w:type="dxa"/>
              <w:right w:w="15" w:type="dxa"/>
            </w:tcMar>
            <w:vAlign w:val="center"/>
            <w:hideMark/>
          </w:tcPr>
          <w:p w14:paraId="5B0B162F" w14:textId="23C9293B" w:rsidR="008E6D2C" w:rsidRPr="00502FF6" w:rsidRDefault="008E6D2C" w:rsidP="00330651">
            <w:pPr>
              <w:pStyle w:val="NormalWeb"/>
              <w:spacing w:before="0" w:beforeAutospacing="0" w:after="0" w:afterAutospacing="0"/>
              <w:textAlignment w:val="center"/>
              <w:rPr>
                <w:rFonts w:asciiTheme="majorHAnsi" w:hAnsiTheme="majorHAnsi" w:cs="Arial"/>
                <w:sz w:val="22"/>
                <w:szCs w:val="22"/>
              </w:rPr>
            </w:pPr>
            <w:r w:rsidRPr="00502FF6">
              <w:rPr>
                <w:rFonts w:asciiTheme="majorHAnsi" w:hAnsiTheme="majorHAnsi" w:cs="Arial"/>
                <w:b/>
                <w:bCs/>
                <w:color w:val="000000"/>
                <w:kern w:val="24"/>
                <w:sz w:val="22"/>
                <w:szCs w:val="22"/>
              </w:rPr>
              <w:t>Revenue GAP(</w:t>
            </w:r>
            <w:r w:rsidR="00FE34C2" w:rsidRPr="00502FF6">
              <w:rPr>
                <w:rFonts w:asciiTheme="majorHAnsi" w:hAnsiTheme="majorHAnsi" w:cs="Arial"/>
                <w:b/>
                <w:bCs/>
                <w:color w:val="000000"/>
                <w:kern w:val="24"/>
                <w:sz w:val="22"/>
                <w:szCs w:val="22"/>
              </w:rPr>
              <w:t>-</w:t>
            </w:r>
            <w:r w:rsidRPr="00502FF6">
              <w:rPr>
                <w:rFonts w:asciiTheme="majorHAnsi" w:hAnsiTheme="majorHAnsi" w:cs="Arial"/>
                <w:b/>
                <w:bCs/>
                <w:color w:val="000000"/>
                <w:kern w:val="24"/>
                <w:sz w:val="22"/>
                <w:szCs w:val="22"/>
              </w:rPr>
              <w:t>)/Surplus (</w:t>
            </w:r>
            <w:r w:rsidR="00FE34C2" w:rsidRPr="00502FF6">
              <w:rPr>
                <w:rFonts w:asciiTheme="majorHAnsi" w:hAnsiTheme="majorHAnsi" w:cs="Arial"/>
                <w:b/>
                <w:bCs/>
                <w:color w:val="000000"/>
                <w:kern w:val="24"/>
                <w:sz w:val="22"/>
                <w:szCs w:val="22"/>
              </w:rPr>
              <w:t>+</w:t>
            </w:r>
            <w:r w:rsidRPr="00502FF6">
              <w:rPr>
                <w:rFonts w:asciiTheme="majorHAnsi" w:hAnsiTheme="majorHAnsi" w:cs="Arial"/>
                <w:b/>
                <w:bCs/>
                <w:color w:val="000000"/>
                <w:kern w:val="24"/>
                <w:sz w:val="22"/>
                <w:szCs w:val="22"/>
              </w:rPr>
              <w:t>)</w:t>
            </w:r>
            <w:r w:rsidRPr="00502FF6">
              <w:rPr>
                <w:rFonts w:asciiTheme="majorHAnsi" w:hAnsiTheme="majorHAnsi" w:cs="Arial"/>
                <w:color w:val="000000"/>
                <w:kern w:val="24"/>
                <w:sz w:val="22"/>
                <w:szCs w:val="22"/>
              </w:rPr>
              <w:t> </w:t>
            </w:r>
          </w:p>
        </w:tc>
        <w:tc>
          <w:tcPr>
            <w:tcW w:w="2698" w:type="dxa"/>
            <w:tcMar>
              <w:top w:w="15" w:type="dxa"/>
              <w:left w:w="15" w:type="dxa"/>
              <w:bottom w:w="0" w:type="dxa"/>
              <w:right w:w="15" w:type="dxa"/>
            </w:tcMar>
            <w:vAlign w:val="center"/>
            <w:hideMark/>
          </w:tcPr>
          <w:p w14:paraId="535EEE14" w14:textId="34CB7BFE" w:rsidR="008E6D2C" w:rsidRPr="00502FF6" w:rsidRDefault="00502FF6" w:rsidP="00330651">
            <w:pPr>
              <w:pStyle w:val="NormalWeb"/>
              <w:spacing w:before="0" w:beforeAutospacing="0" w:after="0" w:afterAutospacing="0"/>
              <w:jc w:val="center"/>
              <w:textAlignment w:val="center"/>
              <w:rPr>
                <w:rFonts w:asciiTheme="majorHAnsi" w:hAnsiTheme="majorHAnsi" w:cs="Arial"/>
                <w:b/>
                <w:sz w:val="22"/>
                <w:szCs w:val="22"/>
              </w:rPr>
            </w:pPr>
            <w:r w:rsidRPr="002E7B3E">
              <w:rPr>
                <w:rFonts w:asciiTheme="majorHAnsi" w:hAnsiTheme="majorHAnsi" w:cs="Arial"/>
                <w:b/>
                <w:sz w:val="22"/>
                <w:szCs w:val="22"/>
              </w:rPr>
              <w:t>-</w:t>
            </w:r>
            <w:r w:rsidR="00CC7CEC" w:rsidRPr="002E7B3E">
              <w:rPr>
                <w:rFonts w:asciiTheme="majorHAnsi" w:hAnsiTheme="majorHAnsi" w:cs="Arial"/>
                <w:b/>
                <w:sz w:val="22"/>
                <w:szCs w:val="22"/>
              </w:rPr>
              <w:t>87.14</w:t>
            </w:r>
          </w:p>
        </w:tc>
      </w:tr>
      <w:bookmarkEnd w:id="108"/>
    </w:tbl>
    <w:p w14:paraId="666D1A4F" w14:textId="77777777" w:rsidR="008E6D2C" w:rsidRPr="00A72835" w:rsidRDefault="008E6D2C" w:rsidP="008E6D2C">
      <w:pPr>
        <w:pStyle w:val="BodyText2"/>
        <w:spacing w:before="0" w:after="0"/>
        <w:jc w:val="both"/>
        <w:rPr>
          <w:rFonts w:ascii="Cambria" w:hAnsi="Cambria" w:cs="Arial"/>
          <w:color w:val="000000"/>
          <w:sz w:val="24"/>
          <w:szCs w:val="24"/>
          <w:highlight w:val="yellow"/>
          <w:lang w:val="en-GB"/>
        </w:rPr>
      </w:pPr>
    </w:p>
    <w:p w14:paraId="02972889" w14:textId="5DEBA372" w:rsidR="008E6D2C" w:rsidRPr="00CE68D4" w:rsidRDefault="008E6D2C" w:rsidP="008E6D2C">
      <w:pPr>
        <w:pStyle w:val="BodyText2"/>
        <w:spacing w:before="0" w:after="0" w:line="360" w:lineRule="auto"/>
        <w:jc w:val="both"/>
        <w:rPr>
          <w:rFonts w:ascii="Cambria" w:hAnsi="Cambria" w:cs="Arial"/>
          <w:color w:val="000000"/>
          <w:sz w:val="24"/>
          <w:szCs w:val="24"/>
          <w:lang w:val="en-GB"/>
        </w:rPr>
      </w:pPr>
      <w:bookmarkStart w:id="109" w:name="_Hlk214738411"/>
      <w:r w:rsidRPr="00CE68D4">
        <w:rPr>
          <w:rFonts w:ascii="Cambria" w:hAnsi="Cambria" w:cs="Arial"/>
          <w:color w:val="000000"/>
          <w:sz w:val="24"/>
          <w:szCs w:val="24"/>
          <w:lang w:val="en-GB"/>
        </w:rPr>
        <w:t xml:space="preserve">Similarly, </w:t>
      </w:r>
      <w:r>
        <w:rPr>
          <w:rFonts w:ascii="Cambria" w:hAnsi="Cambria" w:cs="Arial"/>
          <w:color w:val="000000"/>
          <w:sz w:val="24"/>
          <w:szCs w:val="24"/>
          <w:lang w:val="en-GB"/>
        </w:rPr>
        <w:t xml:space="preserve">the Licensee has proposed the revenue gap for FY </w:t>
      </w:r>
      <w:r w:rsidR="007507C7">
        <w:rPr>
          <w:rFonts w:ascii="Cambria" w:hAnsi="Cambria" w:cs="Arial"/>
          <w:color w:val="000000"/>
          <w:sz w:val="24"/>
          <w:szCs w:val="24"/>
          <w:lang w:val="en-GB"/>
        </w:rPr>
        <w:t>26-27</w:t>
      </w:r>
      <w:r>
        <w:rPr>
          <w:rFonts w:ascii="Cambria" w:hAnsi="Cambria" w:cs="Arial"/>
          <w:color w:val="000000"/>
          <w:sz w:val="24"/>
          <w:szCs w:val="24"/>
          <w:lang w:val="en-GB"/>
        </w:rPr>
        <w:t xml:space="preserve"> </w:t>
      </w:r>
      <w:r w:rsidRPr="00CE68D4">
        <w:rPr>
          <w:rFonts w:ascii="Cambria" w:hAnsi="Cambria" w:cs="Arial"/>
          <w:color w:val="000000"/>
          <w:sz w:val="24"/>
          <w:szCs w:val="24"/>
          <w:lang w:val="en-GB"/>
        </w:rPr>
        <w:t xml:space="preserve">considering the proposed AT&amp;C loss </w:t>
      </w:r>
      <w:r w:rsidRPr="00E94D91">
        <w:rPr>
          <w:rFonts w:ascii="Cambria" w:hAnsi="Cambria" w:cs="Arial"/>
          <w:color w:val="000000"/>
          <w:sz w:val="24"/>
          <w:szCs w:val="24"/>
          <w:lang w:val="en-GB"/>
        </w:rPr>
        <w:t>of 1</w:t>
      </w:r>
      <w:r w:rsidR="00FE34C2" w:rsidRPr="00E94D91">
        <w:rPr>
          <w:rFonts w:ascii="Cambria" w:hAnsi="Cambria" w:cs="Arial"/>
          <w:color w:val="000000"/>
          <w:sz w:val="24"/>
          <w:szCs w:val="24"/>
          <w:lang w:val="en-GB"/>
        </w:rPr>
        <w:t>4.50</w:t>
      </w:r>
      <w:r w:rsidRPr="00E94D91">
        <w:rPr>
          <w:rFonts w:ascii="Cambria" w:hAnsi="Cambria" w:cs="Arial"/>
          <w:color w:val="000000"/>
          <w:sz w:val="24"/>
          <w:szCs w:val="24"/>
          <w:lang w:val="en-GB"/>
        </w:rPr>
        <w:t xml:space="preserve">%. </w:t>
      </w:r>
      <w:r w:rsidR="004A29C9" w:rsidRPr="00E94D91">
        <w:rPr>
          <w:rFonts w:ascii="Cambria" w:hAnsi="Cambria" w:cs="Arial"/>
          <w:color w:val="000000"/>
          <w:sz w:val="24"/>
          <w:szCs w:val="24"/>
          <w:lang w:val="en-GB"/>
        </w:rPr>
        <w:t>The</w:t>
      </w:r>
      <w:r w:rsidR="00E94D91" w:rsidRPr="00E94D91">
        <w:rPr>
          <w:rFonts w:ascii="Cambria" w:hAnsi="Cambria" w:cs="Arial"/>
          <w:color w:val="000000"/>
          <w:sz w:val="24"/>
          <w:szCs w:val="24"/>
          <w:lang w:val="en-GB"/>
        </w:rPr>
        <w:t xml:space="preserve"> </w:t>
      </w:r>
      <w:r w:rsidRPr="00E94D91">
        <w:rPr>
          <w:rFonts w:ascii="Cambria" w:hAnsi="Cambria" w:cs="Arial"/>
          <w:color w:val="000000"/>
          <w:sz w:val="24"/>
          <w:szCs w:val="24"/>
          <w:lang w:val="en-GB"/>
        </w:rPr>
        <w:t>revenue</w:t>
      </w:r>
      <w:r>
        <w:rPr>
          <w:rFonts w:ascii="Cambria" w:hAnsi="Cambria" w:cs="Arial"/>
          <w:color w:val="000000"/>
          <w:sz w:val="24"/>
          <w:szCs w:val="24"/>
          <w:lang w:val="en-GB"/>
        </w:rPr>
        <w:t xml:space="preserve"> gap proposed </w:t>
      </w:r>
      <w:r w:rsidR="004A29C9">
        <w:rPr>
          <w:rFonts w:ascii="Cambria" w:hAnsi="Cambria" w:cs="Arial"/>
          <w:color w:val="000000"/>
          <w:sz w:val="24"/>
          <w:szCs w:val="24"/>
          <w:lang w:val="en-GB"/>
        </w:rPr>
        <w:t>in ensuing year</w:t>
      </w:r>
      <w:r w:rsidR="00E94D91">
        <w:rPr>
          <w:rFonts w:ascii="Cambria" w:hAnsi="Cambria" w:cs="Arial"/>
          <w:color w:val="000000"/>
          <w:sz w:val="24"/>
          <w:szCs w:val="24"/>
          <w:lang w:val="en-GB"/>
        </w:rPr>
        <w:t xml:space="preserve"> is Rs. </w:t>
      </w:r>
      <w:r w:rsidR="002E7B3E">
        <w:rPr>
          <w:rFonts w:ascii="Cambria" w:hAnsi="Cambria" w:cs="Arial"/>
          <w:color w:val="000000"/>
          <w:sz w:val="24"/>
          <w:szCs w:val="24"/>
          <w:lang w:val="en-GB"/>
        </w:rPr>
        <w:t>160.27</w:t>
      </w:r>
      <w:r w:rsidR="00E94D91">
        <w:rPr>
          <w:rFonts w:ascii="Cambria" w:hAnsi="Cambria" w:cs="Arial"/>
          <w:color w:val="000000"/>
          <w:sz w:val="24"/>
          <w:szCs w:val="24"/>
          <w:lang w:val="en-GB"/>
        </w:rPr>
        <w:t xml:space="preserve"> Cr.</w:t>
      </w:r>
    </w:p>
    <w:p w14:paraId="7BFACF75" w14:textId="77777777" w:rsidR="008E6D2C" w:rsidRPr="00CE68D4" w:rsidRDefault="008E6D2C" w:rsidP="008E6D2C">
      <w:pPr>
        <w:pStyle w:val="BodyText2"/>
        <w:spacing w:before="0" w:after="0"/>
        <w:jc w:val="both"/>
        <w:rPr>
          <w:rFonts w:ascii="Cambria" w:hAnsi="Cambria" w:cs="Arial"/>
          <w:color w:val="000000"/>
          <w:sz w:val="24"/>
          <w:szCs w:val="24"/>
          <w:lang w:val="en-GB"/>
        </w:rPr>
      </w:pPr>
      <w:r w:rsidRPr="00CE68D4">
        <w:rPr>
          <w:rFonts w:ascii="Cambria" w:hAnsi="Cambria" w:cs="Arial"/>
          <w:color w:val="000000"/>
          <w:sz w:val="24"/>
          <w:szCs w:val="24"/>
          <w:lang w:val="en-GB"/>
        </w:rPr>
        <w:tab/>
      </w:r>
      <w:r w:rsidRPr="00CE68D4">
        <w:rPr>
          <w:rFonts w:ascii="Cambria" w:hAnsi="Cambria" w:cs="Arial"/>
          <w:color w:val="000000"/>
          <w:sz w:val="24"/>
          <w:szCs w:val="24"/>
          <w:lang w:val="en-GB"/>
        </w:rPr>
        <w:tab/>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815"/>
        <w:gridCol w:w="1984"/>
      </w:tblGrid>
      <w:tr w:rsidR="008E6D2C" w:rsidRPr="005C3D83" w14:paraId="6DB3DF84" w14:textId="77777777" w:rsidTr="00D6658E">
        <w:trPr>
          <w:trHeight w:val="108"/>
          <w:tblHeader/>
          <w:jc w:val="center"/>
        </w:trPr>
        <w:tc>
          <w:tcPr>
            <w:tcW w:w="6799" w:type="dxa"/>
            <w:gridSpan w:val="2"/>
            <w:shd w:val="clear" w:color="auto" w:fill="C6D9F1" w:themeFill="text2" w:themeFillTint="33"/>
            <w:tcMar>
              <w:top w:w="15" w:type="dxa"/>
              <w:left w:w="15" w:type="dxa"/>
              <w:bottom w:w="0" w:type="dxa"/>
              <w:right w:w="15" w:type="dxa"/>
            </w:tcMar>
            <w:vAlign w:val="center"/>
            <w:hideMark/>
          </w:tcPr>
          <w:p w14:paraId="5FF5A47B" w14:textId="630DE19B" w:rsidR="008E6D2C" w:rsidRPr="005C3D83" w:rsidRDefault="008E6D2C" w:rsidP="00330651">
            <w:pPr>
              <w:pStyle w:val="NormalWeb"/>
              <w:spacing w:before="0" w:beforeAutospacing="0" w:after="0" w:afterAutospacing="0"/>
              <w:jc w:val="center"/>
              <w:textAlignment w:val="center"/>
              <w:rPr>
                <w:rFonts w:asciiTheme="majorHAnsi" w:hAnsiTheme="majorHAnsi" w:cs="Arial"/>
                <w:sz w:val="22"/>
                <w:szCs w:val="22"/>
                <w:lang w:val="en-IN" w:eastAsia="en-IN"/>
              </w:rPr>
            </w:pPr>
            <w:r w:rsidRPr="005C3D83">
              <w:rPr>
                <w:rFonts w:asciiTheme="majorHAnsi" w:hAnsiTheme="majorHAnsi" w:cs="Arial"/>
                <w:b/>
                <w:bCs/>
                <w:color w:val="000000"/>
                <w:kern w:val="24"/>
                <w:sz w:val="22"/>
                <w:szCs w:val="22"/>
              </w:rPr>
              <w:t>Revenue Gap with AT&amp;C (1</w:t>
            </w:r>
            <w:r w:rsidR="00E94D91" w:rsidRPr="005C3D83">
              <w:rPr>
                <w:rFonts w:asciiTheme="majorHAnsi" w:hAnsiTheme="majorHAnsi" w:cs="Arial"/>
                <w:b/>
                <w:bCs/>
                <w:color w:val="000000"/>
                <w:kern w:val="24"/>
                <w:sz w:val="22"/>
                <w:szCs w:val="22"/>
              </w:rPr>
              <w:t>4</w:t>
            </w:r>
            <w:r w:rsidR="002C0D34" w:rsidRPr="005C3D83">
              <w:rPr>
                <w:rFonts w:asciiTheme="majorHAnsi" w:hAnsiTheme="majorHAnsi" w:cs="Arial"/>
                <w:b/>
                <w:bCs/>
                <w:color w:val="000000"/>
                <w:kern w:val="24"/>
                <w:sz w:val="22"/>
                <w:szCs w:val="22"/>
              </w:rPr>
              <w:t>.</w:t>
            </w:r>
            <w:r w:rsidR="00E94D91" w:rsidRPr="005C3D83">
              <w:rPr>
                <w:rFonts w:asciiTheme="majorHAnsi" w:hAnsiTheme="majorHAnsi" w:cs="Arial"/>
                <w:b/>
                <w:bCs/>
                <w:color w:val="000000"/>
                <w:kern w:val="24"/>
                <w:sz w:val="22"/>
                <w:szCs w:val="22"/>
              </w:rPr>
              <w:t>5</w:t>
            </w:r>
            <w:r w:rsidR="002C0D34" w:rsidRPr="005C3D83">
              <w:rPr>
                <w:rFonts w:asciiTheme="majorHAnsi" w:hAnsiTheme="majorHAnsi" w:cs="Arial"/>
                <w:b/>
                <w:bCs/>
                <w:color w:val="000000"/>
                <w:kern w:val="24"/>
                <w:sz w:val="22"/>
                <w:szCs w:val="22"/>
              </w:rPr>
              <w:t>0</w:t>
            </w:r>
            <w:r w:rsidRPr="005C3D83">
              <w:rPr>
                <w:rFonts w:asciiTheme="majorHAnsi" w:hAnsiTheme="majorHAnsi" w:cs="Arial"/>
                <w:b/>
                <w:bCs/>
                <w:color w:val="000000"/>
                <w:kern w:val="24"/>
                <w:sz w:val="22"/>
                <w:szCs w:val="22"/>
              </w:rPr>
              <w:t xml:space="preserve">%) FY </w:t>
            </w:r>
            <w:r w:rsidR="007507C7" w:rsidRPr="005C3D83">
              <w:rPr>
                <w:rFonts w:asciiTheme="majorHAnsi" w:hAnsiTheme="majorHAnsi" w:cs="Arial"/>
                <w:b/>
                <w:bCs/>
                <w:color w:val="000000"/>
                <w:kern w:val="24"/>
                <w:sz w:val="22"/>
                <w:szCs w:val="22"/>
              </w:rPr>
              <w:t>26-27</w:t>
            </w:r>
            <w:r w:rsidR="00DD02DE" w:rsidRPr="005C3D83">
              <w:rPr>
                <w:rFonts w:asciiTheme="majorHAnsi" w:hAnsiTheme="majorHAnsi" w:cs="Arial"/>
                <w:b/>
                <w:bCs/>
                <w:color w:val="000000"/>
                <w:kern w:val="24"/>
                <w:sz w:val="22"/>
                <w:szCs w:val="22"/>
              </w:rPr>
              <w:t xml:space="preserve">   </w:t>
            </w:r>
            <w:r w:rsidR="00B15F90" w:rsidRPr="005C3D83">
              <w:rPr>
                <w:rFonts w:asciiTheme="majorHAnsi" w:hAnsiTheme="majorHAnsi" w:cs="Arial"/>
                <w:b/>
                <w:bCs/>
                <w:color w:val="000000"/>
                <w:kern w:val="24"/>
                <w:sz w:val="22"/>
                <w:szCs w:val="22"/>
              </w:rPr>
              <w:t xml:space="preserve"> </w:t>
            </w:r>
          </w:p>
        </w:tc>
      </w:tr>
      <w:tr w:rsidR="008E6D2C" w:rsidRPr="005C3D83" w14:paraId="0D5D8213" w14:textId="77777777" w:rsidTr="00D6658E">
        <w:trPr>
          <w:trHeight w:val="113"/>
          <w:tblHeader/>
          <w:jc w:val="center"/>
        </w:trPr>
        <w:tc>
          <w:tcPr>
            <w:tcW w:w="4815" w:type="dxa"/>
            <w:shd w:val="clear" w:color="auto" w:fill="C6D9F1" w:themeFill="text2" w:themeFillTint="33"/>
            <w:tcMar>
              <w:top w:w="15" w:type="dxa"/>
              <w:left w:w="15" w:type="dxa"/>
              <w:bottom w:w="0" w:type="dxa"/>
              <w:right w:w="15" w:type="dxa"/>
            </w:tcMar>
            <w:vAlign w:val="center"/>
            <w:hideMark/>
          </w:tcPr>
          <w:p w14:paraId="2892CD2E" w14:textId="77777777" w:rsidR="008E6D2C" w:rsidRPr="005C3D83" w:rsidRDefault="008E6D2C" w:rsidP="00330651">
            <w:pPr>
              <w:pStyle w:val="NormalWeb"/>
              <w:spacing w:before="0" w:beforeAutospacing="0" w:after="0" w:afterAutospacing="0"/>
              <w:ind w:left="115"/>
              <w:textAlignment w:val="center"/>
              <w:rPr>
                <w:rFonts w:asciiTheme="majorHAnsi" w:hAnsiTheme="majorHAnsi" w:cs="Arial"/>
                <w:sz w:val="22"/>
                <w:szCs w:val="22"/>
              </w:rPr>
            </w:pPr>
            <w:r w:rsidRPr="005C3D83">
              <w:rPr>
                <w:rFonts w:asciiTheme="majorHAnsi" w:hAnsiTheme="majorHAnsi" w:cs="Arial"/>
                <w:b/>
                <w:bCs/>
                <w:color w:val="000000"/>
                <w:kern w:val="24"/>
                <w:sz w:val="22"/>
                <w:szCs w:val="22"/>
              </w:rPr>
              <w:t>Parameters</w:t>
            </w:r>
          </w:p>
        </w:tc>
        <w:tc>
          <w:tcPr>
            <w:tcW w:w="1984" w:type="dxa"/>
            <w:shd w:val="clear" w:color="auto" w:fill="C6D9F1" w:themeFill="text2" w:themeFillTint="33"/>
            <w:tcMar>
              <w:top w:w="15" w:type="dxa"/>
              <w:left w:w="15" w:type="dxa"/>
              <w:bottom w:w="0" w:type="dxa"/>
              <w:right w:w="15" w:type="dxa"/>
            </w:tcMar>
            <w:vAlign w:val="center"/>
            <w:hideMark/>
          </w:tcPr>
          <w:p w14:paraId="22D62BDD" w14:textId="77777777" w:rsidR="008E6D2C" w:rsidRPr="005C3D83" w:rsidRDefault="008E6D2C" w:rsidP="00330651">
            <w:pPr>
              <w:pStyle w:val="NormalWeb"/>
              <w:spacing w:before="0" w:beforeAutospacing="0" w:after="0" w:afterAutospacing="0"/>
              <w:jc w:val="center"/>
              <w:textAlignment w:val="center"/>
              <w:rPr>
                <w:rFonts w:asciiTheme="majorHAnsi" w:hAnsiTheme="majorHAnsi" w:cs="Arial"/>
                <w:sz w:val="22"/>
                <w:szCs w:val="22"/>
              </w:rPr>
            </w:pPr>
            <w:r w:rsidRPr="005C3D83">
              <w:rPr>
                <w:rFonts w:asciiTheme="majorHAnsi" w:hAnsiTheme="majorHAnsi" w:cs="Arial"/>
                <w:b/>
                <w:bCs/>
                <w:color w:val="000000"/>
                <w:kern w:val="24"/>
                <w:sz w:val="22"/>
                <w:szCs w:val="22"/>
              </w:rPr>
              <w:t>Rs Cr</w:t>
            </w:r>
          </w:p>
        </w:tc>
      </w:tr>
      <w:tr w:rsidR="008E6D2C" w:rsidRPr="005C3D83" w14:paraId="27AE2640" w14:textId="77777777" w:rsidTr="00C7069F">
        <w:trPr>
          <w:trHeight w:val="116"/>
          <w:jc w:val="center"/>
        </w:trPr>
        <w:tc>
          <w:tcPr>
            <w:tcW w:w="4815" w:type="dxa"/>
            <w:tcMar>
              <w:top w:w="15" w:type="dxa"/>
              <w:left w:w="15" w:type="dxa"/>
              <w:bottom w:w="72" w:type="dxa"/>
              <w:right w:w="15" w:type="dxa"/>
            </w:tcMar>
            <w:vAlign w:val="center"/>
            <w:hideMark/>
          </w:tcPr>
          <w:p w14:paraId="5753BCA3" w14:textId="648B0FAB" w:rsidR="008E6D2C" w:rsidRPr="005C3D83" w:rsidRDefault="008E6D2C" w:rsidP="00330651">
            <w:pPr>
              <w:pStyle w:val="NormalWeb"/>
              <w:spacing w:before="0" w:beforeAutospacing="0" w:after="0" w:afterAutospacing="0"/>
              <w:ind w:left="115"/>
              <w:textAlignment w:val="center"/>
              <w:rPr>
                <w:rFonts w:asciiTheme="majorHAnsi" w:hAnsiTheme="majorHAnsi" w:cs="Arial"/>
                <w:sz w:val="22"/>
                <w:szCs w:val="22"/>
              </w:rPr>
            </w:pPr>
            <w:r w:rsidRPr="005C3D83">
              <w:rPr>
                <w:rFonts w:asciiTheme="majorHAnsi" w:hAnsiTheme="majorHAnsi" w:cs="Arial"/>
                <w:color w:val="000000"/>
                <w:kern w:val="24"/>
                <w:sz w:val="22"/>
                <w:szCs w:val="22"/>
              </w:rPr>
              <w:t>Power Purchase Cost (BSP @ Rs. 3.</w:t>
            </w:r>
            <w:r w:rsidR="002C0D34" w:rsidRPr="005C3D83">
              <w:rPr>
                <w:rFonts w:asciiTheme="majorHAnsi" w:hAnsiTheme="majorHAnsi" w:cs="Arial"/>
                <w:color w:val="000000"/>
                <w:kern w:val="24"/>
                <w:sz w:val="22"/>
                <w:szCs w:val="22"/>
              </w:rPr>
              <w:t>8</w:t>
            </w:r>
            <w:r w:rsidR="00E94D91" w:rsidRPr="005C3D83">
              <w:rPr>
                <w:rFonts w:asciiTheme="majorHAnsi" w:hAnsiTheme="majorHAnsi" w:cs="Arial"/>
                <w:color w:val="000000"/>
                <w:kern w:val="24"/>
                <w:sz w:val="22"/>
                <w:szCs w:val="22"/>
              </w:rPr>
              <w:t>5</w:t>
            </w:r>
            <w:r w:rsidRPr="005C3D83">
              <w:rPr>
                <w:rFonts w:asciiTheme="majorHAnsi" w:hAnsiTheme="majorHAnsi" w:cs="Arial"/>
                <w:color w:val="000000"/>
                <w:kern w:val="24"/>
                <w:sz w:val="22"/>
                <w:szCs w:val="22"/>
              </w:rPr>
              <w:t>/ u)</w:t>
            </w:r>
          </w:p>
        </w:tc>
        <w:tc>
          <w:tcPr>
            <w:tcW w:w="1984" w:type="dxa"/>
            <w:tcMar>
              <w:top w:w="15" w:type="dxa"/>
              <w:left w:w="15" w:type="dxa"/>
              <w:bottom w:w="0" w:type="dxa"/>
              <w:right w:w="15" w:type="dxa"/>
            </w:tcMar>
            <w:vAlign w:val="center"/>
            <w:hideMark/>
          </w:tcPr>
          <w:p w14:paraId="427899B9" w14:textId="02089E7D" w:rsidR="008E6D2C" w:rsidRPr="005C3D83" w:rsidRDefault="002C0D34" w:rsidP="00330651">
            <w:pPr>
              <w:pStyle w:val="NormalWeb"/>
              <w:spacing w:before="0" w:beforeAutospacing="0" w:after="0" w:afterAutospacing="0"/>
              <w:jc w:val="center"/>
              <w:textAlignment w:val="center"/>
              <w:rPr>
                <w:rFonts w:asciiTheme="majorHAnsi" w:hAnsiTheme="majorHAnsi" w:cs="Arial"/>
                <w:sz w:val="22"/>
                <w:szCs w:val="22"/>
              </w:rPr>
            </w:pPr>
            <w:r w:rsidRPr="005C3D83">
              <w:rPr>
                <w:rFonts w:asciiTheme="majorHAnsi" w:hAnsiTheme="majorHAnsi" w:cs="Arial"/>
                <w:color w:val="000000"/>
                <w:kern w:val="24"/>
                <w:sz w:val="22"/>
                <w:szCs w:val="22"/>
              </w:rPr>
              <w:t>4</w:t>
            </w:r>
            <w:r w:rsidR="00E94D91" w:rsidRPr="005C3D83">
              <w:rPr>
                <w:rFonts w:asciiTheme="majorHAnsi" w:hAnsiTheme="majorHAnsi" w:cs="Arial"/>
                <w:color w:val="000000"/>
                <w:kern w:val="24"/>
                <w:sz w:val="22"/>
                <w:szCs w:val="22"/>
              </w:rPr>
              <w:t>903.</w:t>
            </w:r>
            <w:r w:rsidR="002C028D" w:rsidRPr="005C3D83">
              <w:rPr>
                <w:rFonts w:asciiTheme="majorHAnsi" w:hAnsiTheme="majorHAnsi" w:cs="Arial"/>
                <w:color w:val="000000"/>
                <w:kern w:val="24"/>
                <w:sz w:val="22"/>
                <w:szCs w:val="22"/>
              </w:rPr>
              <w:t>8</w:t>
            </w:r>
            <w:r w:rsidR="00E94D91" w:rsidRPr="005C3D83">
              <w:rPr>
                <w:rFonts w:asciiTheme="majorHAnsi" w:hAnsiTheme="majorHAnsi" w:cs="Arial"/>
                <w:color w:val="000000"/>
                <w:kern w:val="24"/>
                <w:sz w:val="22"/>
                <w:szCs w:val="22"/>
              </w:rPr>
              <w:t>5</w:t>
            </w:r>
          </w:p>
        </w:tc>
      </w:tr>
      <w:tr w:rsidR="008E6D2C" w:rsidRPr="005C3D83" w14:paraId="6E99DEF7" w14:textId="77777777" w:rsidTr="00C7069F">
        <w:trPr>
          <w:trHeight w:val="37"/>
          <w:jc w:val="center"/>
        </w:trPr>
        <w:tc>
          <w:tcPr>
            <w:tcW w:w="4815" w:type="dxa"/>
            <w:tcMar>
              <w:top w:w="15" w:type="dxa"/>
              <w:left w:w="15" w:type="dxa"/>
              <w:bottom w:w="72" w:type="dxa"/>
              <w:right w:w="15" w:type="dxa"/>
            </w:tcMar>
            <w:vAlign w:val="center"/>
            <w:hideMark/>
          </w:tcPr>
          <w:p w14:paraId="5EFE2922" w14:textId="7D78E25C" w:rsidR="008E6D2C" w:rsidRPr="005C3D83" w:rsidRDefault="008E6D2C" w:rsidP="00330651">
            <w:pPr>
              <w:pStyle w:val="NormalWeb"/>
              <w:spacing w:before="0" w:beforeAutospacing="0" w:after="0" w:afterAutospacing="0"/>
              <w:ind w:left="115"/>
              <w:textAlignment w:val="center"/>
              <w:rPr>
                <w:rFonts w:asciiTheme="majorHAnsi" w:hAnsiTheme="majorHAnsi" w:cs="Arial"/>
                <w:sz w:val="22"/>
                <w:szCs w:val="22"/>
              </w:rPr>
            </w:pPr>
            <w:r w:rsidRPr="005C3D83">
              <w:rPr>
                <w:rFonts w:asciiTheme="majorHAnsi" w:hAnsiTheme="majorHAnsi" w:cs="Arial"/>
                <w:color w:val="000000"/>
                <w:kern w:val="24"/>
                <w:sz w:val="22"/>
                <w:szCs w:val="22"/>
              </w:rPr>
              <w:t>Distribution Cost incl. tax on ROE</w:t>
            </w:r>
            <w:r w:rsidR="00B75702">
              <w:rPr>
                <w:rFonts w:asciiTheme="majorHAnsi" w:hAnsiTheme="majorHAnsi" w:cs="Arial"/>
                <w:color w:val="000000"/>
                <w:kern w:val="24"/>
                <w:sz w:val="22"/>
                <w:szCs w:val="22"/>
              </w:rPr>
              <w:t xml:space="preserve"> &amp; Tariff Balancing Reserve</w:t>
            </w:r>
          </w:p>
        </w:tc>
        <w:tc>
          <w:tcPr>
            <w:tcW w:w="1984" w:type="dxa"/>
            <w:tcMar>
              <w:top w:w="15" w:type="dxa"/>
              <w:left w:w="15" w:type="dxa"/>
              <w:bottom w:w="0" w:type="dxa"/>
              <w:right w:w="15" w:type="dxa"/>
            </w:tcMar>
            <w:vAlign w:val="center"/>
            <w:hideMark/>
          </w:tcPr>
          <w:p w14:paraId="577CECEB" w14:textId="04A29920" w:rsidR="008E6D2C" w:rsidRPr="005C3D83" w:rsidRDefault="002C028D" w:rsidP="00330651">
            <w:pPr>
              <w:pStyle w:val="NormalWeb"/>
              <w:spacing w:before="0" w:beforeAutospacing="0" w:after="0" w:afterAutospacing="0"/>
              <w:jc w:val="center"/>
              <w:textAlignment w:val="center"/>
              <w:rPr>
                <w:rFonts w:asciiTheme="majorHAnsi" w:hAnsiTheme="majorHAnsi" w:cs="Arial"/>
                <w:sz w:val="22"/>
                <w:szCs w:val="22"/>
              </w:rPr>
            </w:pPr>
            <w:r w:rsidRPr="005C3D83">
              <w:rPr>
                <w:rFonts w:asciiTheme="majorHAnsi" w:hAnsiTheme="majorHAnsi" w:cs="Arial"/>
                <w:sz w:val="22"/>
                <w:szCs w:val="22"/>
              </w:rPr>
              <w:t>19</w:t>
            </w:r>
            <w:r w:rsidR="00B75702">
              <w:rPr>
                <w:rFonts w:asciiTheme="majorHAnsi" w:hAnsiTheme="majorHAnsi" w:cs="Arial"/>
                <w:sz w:val="22"/>
                <w:szCs w:val="22"/>
              </w:rPr>
              <w:t>5</w:t>
            </w:r>
            <w:r w:rsidR="002E7B3E">
              <w:rPr>
                <w:rFonts w:asciiTheme="majorHAnsi" w:hAnsiTheme="majorHAnsi" w:cs="Arial"/>
                <w:sz w:val="22"/>
                <w:szCs w:val="22"/>
              </w:rPr>
              <w:t>1.06</w:t>
            </w:r>
          </w:p>
        </w:tc>
      </w:tr>
      <w:tr w:rsidR="002C0D34" w:rsidRPr="005C3D83" w14:paraId="05C12F3F" w14:textId="77777777" w:rsidTr="00C7069F">
        <w:trPr>
          <w:trHeight w:val="113"/>
          <w:jc w:val="center"/>
        </w:trPr>
        <w:tc>
          <w:tcPr>
            <w:tcW w:w="4815" w:type="dxa"/>
            <w:tcMar>
              <w:top w:w="15" w:type="dxa"/>
              <w:left w:w="15" w:type="dxa"/>
              <w:bottom w:w="72" w:type="dxa"/>
              <w:right w:w="15" w:type="dxa"/>
            </w:tcMar>
            <w:vAlign w:val="center"/>
          </w:tcPr>
          <w:p w14:paraId="2692E469" w14:textId="060CD85B" w:rsidR="002C0D34" w:rsidRPr="005C3D83" w:rsidRDefault="002C0D34" w:rsidP="00330651">
            <w:pPr>
              <w:pStyle w:val="NormalWeb"/>
              <w:spacing w:before="0" w:beforeAutospacing="0" w:after="0" w:afterAutospacing="0"/>
              <w:ind w:left="115"/>
              <w:textAlignment w:val="center"/>
              <w:rPr>
                <w:rFonts w:asciiTheme="majorHAnsi" w:hAnsiTheme="majorHAnsi" w:cs="Arial"/>
                <w:color w:val="000000"/>
                <w:kern w:val="24"/>
                <w:sz w:val="22"/>
                <w:szCs w:val="22"/>
              </w:rPr>
            </w:pPr>
            <w:r w:rsidRPr="005C3D83">
              <w:rPr>
                <w:rFonts w:asciiTheme="majorHAnsi" w:hAnsiTheme="majorHAnsi" w:cs="Arial"/>
                <w:color w:val="000000"/>
                <w:kern w:val="24"/>
                <w:sz w:val="22"/>
                <w:szCs w:val="22"/>
              </w:rPr>
              <w:t>Carrying cost on ASL</w:t>
            </w:r>
          </w:p>
        </w:tc>
        <w:tc>
          <w:tcPr>
            <w:tcW w:w="1984" w:type="dxa"/>
            <w:tcMar>
              <w:top w:w="15" w:type="dxa"/>
              <w:left w:w="15" w:type="dxa"/>
              <w:bottom w:w="0" w:type="dxa"/>
              <w:right w:w="15" w:type="dxa"/>
            </w:tcMar>
            <w:vAlign w:val="center"/>
          </w:tcPr>
          <w:p w14:paraId="6C514B43" w14:textId="33357EDF" w:rsidR="002C0D34" w:rsidRPr="005C3D83" w:rsidRDefault="00E94D91" w:rsidP="00330651">
            <w:pPr>
              <w:pStyle w:val="NormalWeb"/>
              <w:spacing w:before="0" w:beforeAutospacing="0" w:after="0" w:afterAutospacing="0"/>
              <w:jc w:val="center"/>
              <w:textAlignment w:val="center"/>
              <w:rPr>
                <w:rFonts w:asciiTheme="majorHAnsi" w:hAnsiTheme="majorHAnsi" w:cs="Arial"/>
                <w:color w:val="000000"/>
                <w:kern w:val="24"/>
                <w:sz w:val="22"/>
                <w:szCs w:val="22"/>
              </w:rPr>
            </w:pPr>
            <w:r w:rsidRPr="005C3D83">
              <w:rPr>
                <w:rFonts w:asciiTheme="majorHAnsi" w:hAnsiTheme="majorHAnsi" w:cs="Arial"/>
                <w:color w:val="000000"/>
                <w:kern w:val="24"/>
                <w:sz w:val="22"/>
                <w:szCs w:val="22"/>
              </w:rPr>
              <w:t>7.</w:t>
            </w:r>
            <w:r w:rsidR="00B75702">
              <w:rPr>
                <w:rFonts w:asciiTheme="majorHAnsi" w:hAnsiTheme="majorHAnsi" w:cs="Arial"/>
                <w:color w:val="000000"/>
                <w:kern w:val="24"/>
                <w:sz w:val="22"/>
                <w:szCs w:val="22"/>
              </w:rPr>
              <w:t>07</w:t>
            </w:r>
          </w:p>
        </w:tc>
      </w:tr>
      <w:tr w:rsidR="008E6D2C" w:rsidRPr="005C3D83" w14:paraId="3D808158" w14:textId="77777777" w:rsidTr="00C7069F">
        <w:trPr>
          <w:trHeight w:val="35"/>
          <w:jc w:val="center"/>
        </w:trPr>
        <w:tc>
          <w:tcPr>
            <w:tcW w:w="4815" w:type="dxa"/>
            <w:tcMar>
              <w:top w:w="15" w:type="dxa"/>
              <w:left w:w="15" w:type="dxa"/>
              <w:bottom w:w="72" w:type="dxa"/>
              <w:right w:w="15" w:type="dxa"/>
            </w:tcMar>
            <w:vAlign w:val="center"/>
            <w:hideMark/>
          </w:tcPr>
          <w:p w14:paraId="7063A6FF" w14:textId="77777777" w:rsidR="008E6D2C" w:rsidRPr="005C3D83" w:rsidRDefault="008E6D2C" w:rsidP="00330651">
            <w:pPr>
              <w:pStyle w:val="NormalWeb"/>
              <w:spacing w:before="0" w:beforeAutospacing="0" w:after="0" w:afterAutospacing="0"/>
              <w:ind w:left="115"/>
              <w:textAlignment w:val="center"/>
              <w:rPr>
                <w:rFonts w:asciiTheme="majorHAnsi" w:hAnsiTheme="majorHAnsi" w:cs="Arial"/>
                <w:sz w:val="22"/>
                <w:szCs w:val="22"/>
              </w:rPr>
            </w:pPr>
            <w:r w:rsidRPr="005C3D83">
              <w:rPr>
                <w:rFonts w:asciiTheme="majorHAnsi" w:hAnsiTheme="majorHAnsi" w:cs="Arial"/>
                <w:b/>
                <w:bCs/>
                <w:color w:val="000000"/>
                <w:kern w:val="24"/>
                <w:sz w:val="22"/>
                <w:szCs w:val="22"/>
              </w:rPr>
              <w:t>Sub Total </w:t>
            </w:r>
          </w:p>
        </w:tc>
        <w:tc>
          <w:tcPr>
            <w:tcW w:w="1984" w:type="dxa"/>
            <w:tcMar>
              <w:top w:w="15" w:type="dxa"/>
              <w:left w:w="15" w:type="dxa"/>
              <w:bottom w:w="0" w:type="dxa"/>
              <w:right w:w="15" w:type="dxa"/>
            </w:tcMar>
            <w:vAlign w:val="center"/>
            <w:hideMark/>
          </w:tcPr>
          <w:p w14:paraId="3A0A703C" w14:textId="4EDACDB2" w:rsidR="008E6D2C" w:rsidRPr="005C3D83" w:rsidRDefault="002C0D34" w:rsidP="00330651">
            <w:pPr>
              <w:pStyle w:val="NormalWeb"/>
              <w:spacing w:before="0" w:beforeAutospacing="0" w:after="0" w:afterAutospacing="0"/>
              <w:jc w:val="center"/>
              <w:textAlignment w:val="center"/>
              <w:rPr>
                <w:rFonts w:asciiTheme="majorHAnsi" w:hAnsiTheme="majorHAnsi" w:cs="Arial"/>
                <w:sz w:val="22"/>
                <w:szCs w:val="22"/>
              </w:rPr>
            </w:pPr>
            <w:r w:rsidRPr="005C3D83">
              <w:rPr>
                <w:rFonts w:asciiTheme="majorHAnsi" w:hAnsiTheme="majorHAnsi" w:cs="Arial"/>
                <w:b/>
                <w:bCs/>
                <w:color w:val="000000"/>
                <w:kern w:val="24"/>
                <w:sz w:val="22"/>
                <w:szCs w:val="22"/>
              </w:rPr>
              <w:t>6</w:t>
            </w:r>
            <w:r w:rsidR="00E94D91" w:rsidRPr="005C3D83">
              <w:rPr>
                <w:rFonts w:asciiTheme="majorHAnsi" w:hAnsiTheme="majorHAnsi" w:cs="Arial"/>
                <w:b/>
                <w:bCs/>
                <w:color w:val="000000"/>
                <w:kern w:val="24"/>
                <w:sz w:val="22"/>
                <w:szCs w:val="22"/>
              </w:rPr>
              <w:t>8</w:t>
            </w:r>
            <w:r w:rsidR="00B75702">
              <w:rPr>
                <w:rFonts w:asciiTheme="majorHAnsi" w:hAnsiTheme="majorHAnsi" w:cs="Arial"/>
                <w:b/>
                <w:bCs/>
                <w:color w:val="000000"/>
                <w:kern w:val="24"/>
                <w:sz w:val="22"/>
                <w:szCs w:val="22"/>
              </w:rPr>
              <w:t>61.</w:t>
            </w:r>
            <w:r w:rsidR="002E7B3E">
              <w:rPr>
                <w:rFonts w:asciiTheme="majorHAnsi" w:hAnsiTheme="majorHAnsi" w:cs="Arial"/>
                <w:b/>
                <w:bCs/>
                <w:color w:val="000000"/>
                <w:kern w:val="24"/>
                <w:sz w:val="22"/>
                <w:szCs w:val="22"/>
              </w:rPr>
              <w:t>98</w:t>
            </w:r>
          </w:p>
        </w:tc>
      </w:tr>
      <w:tr w:rsidR="008E6D2C" w:rsidRPr="005C3D83" w14:paraId="4DF5E8C0" w14:textId="77777777" w:rsidTr="00C7069F">
        <w:trPr>
          <w:trHeight w:val="35"/>
          <w:jc w:val="center"/>
        </w:trPr>
        <w:tc>
          <w:tcPr>
            <w:tcW w:w="4815" w:type="dxa"/>
            <w:tcMar>
              <w:top w:w="15" w:type="dxa"/>
              <w:left w:w="15" w:type="dxa"/>
              <w:bottom w:w="72" w:type="dxa"/>
              <w:right w:w="15" w:type="dxa"/>
            </w:tcMar>
            <w:vAlign w:val="center"/>
            <w:hideMark/>
          </w:tcPr>
          <w:p w14:paraId="05EED4C1" w14:textId="77777777" w:rsidR="008E6D2C" w:rsidRPr="005C3D83" w:rsidRDefault="008E6D2C" w:rsidP="00330651">
            <w:pPr>
              <w:pStyle w:val="NormalWeb"/>
              <w:spacing w:before="0" w:beforeAutospacing="0" w:after="0" w:afterAutospacing="0"/>
              <w:ind w:left="115"/>
              <w:textAlignment w:val="center"/>
              <w:rPr>
                <w:rFonts w:asciiTheme="majorHAnsi" w:hAnsiTheme="majorHAnsi" w:cs="Arial"/>
                <w:sz w:val="22"/>
                <w:szCs w:val="22"/>
              </w:rPr>
            </w:pPr>
            <w:r w:rsidRPr="005C3D83">
              <w:rPr>
                <w:rFonts w:asciiTheme="majorHAnsi" w:hAnsiTheme="majorHAnsi" w:cs="Arial"/>
                <w:color w:val="000000"/>
                <w:kern w:val="24"/>
                <w:sz w:val="22"/>
                <w:szCs w:val="22"/>
              </w:rPr>
              <w:t>Revenue from sale of power at existing tariffs  </w:t>
            </w:r>
          </w:p>
        </w:tc>
        <w:tc>
          <w:tcPr>
            <w:tcW w:w="1984" w:type="dxa"/>
            <w:tcMar>
              <w:top w:w="15" w:type="dxa"/>
              <w:left w:w="15" w:type="dxa"/>
              <w:bottom w:w="0" w:type="dxa"/>
              <w:right w:w="15" w:type="dxa"/>
            </w:tcMar>
            <w:vAlign w:val="center"/>
            <w:hideMark/>
          </w:tcPr>
          <w:p w14:paraId="3664A40A" w14:textId="4D3814E5" w:rsidR="008E6D2C" w:rsidRPr="005C3D83" w:rsidRDefault="00E94D91" w:rsidP="00330651">
            <w:pPr>
              <w:pStyle w:val="NormalWeb"/>
              <w:spacing w:before="0" w:beforeAutospacing="0" w:after="0" w:afterAutospacing="0"/>
              <w:jc w:val="center"/>
              <w:textAlignment w:val="center"/>
              <w:rPr>
                <w:rFonts w:asciiTheme="majorHAnsi" w:hAnsiTheme="majorHAnsi" w:cs="Arial"/>
                <w:sz w:val="22"/>
                <w:szCs w:val="22"/>
              </w:rPr>
            </w:pPr>
            <w:r w:rsidRPr="005C3D83">
              <w:rPr>
                <w:rFonts w:asciiTheme="majorHAnsi" w:hAnsiTheme="majorHAnsi" w:cs="Arial"/>
                <w:sz w:val="22"/>
                <w:szCs w:val="22"/>
              </w:rPr>
              <w:t>62</w:t>
            </w:r>
            <w:r w:rsidR="002E7B3E">
              <w:rPr>
                <w:rFonts w:asciiTheme="majorHAnsi" w:hAnsiTheme="majorHAnsi" w:cs="Arial"/>
                <w:sz w:val="22"/>
                <w:szCs w:val="22"/>
              </w:rPr>
              <w:t>84.29</w:t>
            </w:r>
          </w:p>
        </w:tc>
      </w:tr>
      <w:tr w:rsidR="008E6D2C" w:rsidRPr="005C3D83" w14:paraId="1474AA58" w14:textId="77777777" w:rsidTr="00C7069F">
        <w:trPr>
          <w:trHeight w:val="35"/>
          <w:jc w:val="center"/>
        </w:trPr>
        <w:tc>
          <w:tcPr>
            <w:tcW w:w="4815" w:type="dxa"/>
            <w:tcMar>
              <w:top w:w="15" w:type="dxa"/>
              <w:left w:w="15" w:type="dxa"/>
              <w:bottom w:w="72" w:type="dxa"/>
              <w:right w:w="15" w:type="dxa"/>
            </w:tcMar>
            <w:vAlign w:val="center"/>
            <w:hideMark/>
          </w:tcPr>
          <w:p w14:paraId="6DEEF4C6" w14:textId="77777777" w:rsidR="008E6D2C" w:rsidRPr="005C3D83" w:rsidRDefault="008E6D2C" w:rsidP="00330651">
            <w:pPr>
              <w:pStyle w:val="NormalWeb"/>
              <w:spacing w:before="0" w:beforeAutospacing="0" w:after="0" w:afterAutospacing="0"/>
              <w:ind w:left="115"/>
              <w:textAlignment w:val="center"/>
              <w:rPr>
                <w:rFonts w:asciiTheme="majorHAnsi" w:hAnsiTheme="majorHAnsi" w:cs="Arial"/>
                <w:sz w:val="22"/>
                <w:szCs w:val="22"/>
              </w:rPr>
            </w:pPr>
            <w:r w:rsidRPr="005C3D83">
              <w:rPr>
                <w:rFonts w:asciiTheme="majorHAnsi" w:hAnsiTheme="majorHAnsi" w:cs="Arial"/>
                <w:color w:val="000000"/>
                <w:kern w:val="24"/>
                <w:sz w:val="22"/>
                <w:szCs w:val="22"/>
              </w:rPr>
              <w:t>Non-Tariff Income </w:t>
            </w:r>
          </w:p>
        </w:tc>
        <w:tc>
          <w:tcPr>
            <w:tcW w:w="1984" w:type="dxa"/>
            <w:tcMar>
              <w:top w:w="15" w:type="dxa"/>
              <w:left w:w="15" w:type="dxa"/>
              <w:bottom w:w="0" w:type="dxa"/>
              <w:right w:w="15" w:type="dxa"/>
            </w:tcMar>
            <w:vAlign w:val="center"/>
            <w:hideMark/>
          </w:tcPr>
          <w:p w14:paraId="033146C5" w14:textId="3EAF75F4" w:rsidR="008E6D2C" w:rsidRPr="005C3D83" w:rsidRDefault="005C3D83" w:rsidP="00330651">
            <w:pPr>
              <w:pStyle w:val="NormalWeb"/>
              <w:spacing w:before="0" w:beforeAutospacing="0" w:after="0" w:afterAutospacing="0"/>
              <w:jc w:val="center"/>
              <w:textAlignment w:val="center"/>
              <w:rPr>
                <w:rFonts w:asciiTheme="majorHAnsi" w:hAnsiTheme="majorHAnsi" w:cs="Arial"/>
                <w:sz w:val="22"/>
                <w:szCs w:val="22"/>
              </w:rPr>
            </w:pPr>
            <w:r w:rsidRPr="005C3D83">
              <w:rPr>
                <w:rFonts w:asciiTheme="majorHAnsi" w:hAnsiTheme="majorHAnsi" w:cs="Arial"/>
                <w:sz w:val="22"/>
                <w:szCs w:val="22"/>
              </w:rPr>
              <w:t>417.42</w:t>
            </w:r>
          </w:p>
        </w:tc>
      </w:tr>
      <w:tr w:rsidR="008E6D2C" w:rsidRPr="00A72835" w14:paraId="25965809" w14:textId="77777777" w:rsidTr="00C7069F">
        <w:trPr>
          <w:trHeight w:val="39"/>
          <w:jc w:val="center"/>
        </w:trPr>
        <w:tc>
          <w:tcPr>
            <w:tcW w:w="4815" w:type="dxa"/>
            <w:tcMar>
              <w:top w:w="15" w:type="dxa"/>
              <w:left w:w="15" w:type="dxa"/>
              <w:bottom w:w="72" w:type="dxa"/>
              <w:right w:w="15" w:type="dxa"/>
            </w:tcMar>
            <w:vAlign w:val="center"/>
            <w:hideMark/>
          </w:tcPr>
          <w:p w14:paraId="5AB79CFB" w14:textId="62837C90" w:rsidR="008E6D2C" w:rsidRPr="005C3D83" w:rsidRDefault="008E6D2C" w:rsidP="00330651">
            <w:pPr>
              <w:pStyle w:val="NormalWeb"/>
              <w:spacing w:before="0" w:beforeAutospacing="0" w:after="0" w:afterAutospacing="0"/>
              <w:ind w:left="115"/>
              <w:textAlignment w:val="center"/>
              <w:rPr>
                <w:rFonts w:asciiTheme="majorHAnsi" w:hAnsiTheme="majorHAnsi" w:cs="Arial"/>
                <w:sz w:val="22"/>
                <w:szCs w:val="22"/>
              </w:rPr>
            </w:pPr>
            <w:r w:rsidRPr="005C3D83">
              <w:rPr>
                <w:rFonts w:asciiTheme="majorHAnsi" w:hAnsiTheme="majorHAnsi" w:cs="Arial"/>
                <w:b/>
                <w:bCs/>
                <w:color w:val="000000"/>
                <w:kern w:val="24"/>
                <w:sz w:val="22"/>
                <w:szCs w:val="22"/>
              </w:rPr>
              <w:t>Revenue GAP(</w:t>
            </w:r>
            <w:r w:rsidR="00E94D91" w:rsidRPr="005C3D83">
              <w:rPr>
                <w:rFonts w:asciiTheme="majorHAnsi" w:hAnsiTheme="majorHAnsi" w:cs="Arial"/>
                <w:b/>
                <w:bCs/>
                <w:color w:val="000000"/>
                <w:kern w:val="24"/>
                <w:sz w:val="22"/>
                <w:szCs w:val="22"/>
              </w:rPr>
              <w:t>-</w:t>
            </w:r>
            <w:r w:rsidRPr="005C3D83">
              <w:rPr>
                <w:rFonts w:asciiTheme="majorHAnsi" w:hAnsiTheme="majorHAnsi" w:cs="Arial"/>
                <w:b/>
                <w:bCs/>
                <w:color w:val="000000"/>
                <w:kern w:val="24"/>
                <w:sz w:val="22"/>
                <w:szCs w:val="22"/>
              </w:rPr>
              <w:t>)/Surplus (</w:t>
            </w:r>
            <w:r w:rsidR="00E94D91" w:rsidRPr="005C3D83">
              <w:rPr>
                <w:rFonts w:asciiTheme="majorHAnsi" w:hAnsiTheme="majorHAnsi" w:cs="Arial"/>
                <w:b/>
                <w:bCs/>
                <w:color w:val="000000"/>
                <w:kern w:val="24"/>
                <w:sz w:val="22"/>
                <w:szCs w:val="22"/>
              </w:rPr>
              <w:t>+</w:t>
            </w:r>
            <w:r w:rsidRPr="005C3D83">
              <w:rPr>
                <w:rFonts w:asciiTheme="majorHAnsi" w:hAnsiTheme="majorHAnsi" w:cs="Arial"/>
                <w:b/>
                <w:bCs/>
                <w:color w:val="000000"/>
                <w:kern w:val="24"/>
                <w:sz w:val="22"/>
                <w:szCs w:val="22"/>
              </w:rPr>
              <w:t>) </w:t>
            </w:r>
          </w:p>
        </w:tc>
        <w:tc>
          <w:tcPr>
            <w:tcW w:w="1984" w:type="dxa"/>
            <w:tcMar>
              <w:top w:w="15" w:type="dxa"/>
              <w:left w:w="15" w:type="dxa"/>
              <w:bottom w:w="0" w:type="dxa"/>
              <w:right w:w="15" w:type="dxa"/>
            </w:tcMar>
            <w:vAlign w:val="center"/>
            <w:hideMark/>
          </w:tcPr>
          <w:p w14:paraId="510E1DB4" w14:textId="5C513C36" w:rsidR="008E6D2C" w:rsidRPr="005C3D83" w:rsidRDefault="00D6658E" w:rsidP="00330651">
            <w:pPr>
              <w:pStyle w:val="NormalWeb"/>
              <w:spacing w:before="0" w:beforeAutospacing="0" w:after="0" w:afterAutospacing="0"/>
              <w:jc w:val="center"/>
              <w:textAlignment w:val="center"/>
              <w:rPr>
                <w:rFonts w:asciiTheme="majorHAnsi" w:hAnsiTheme="majorHAnsi" w:cs="Arial"/>
                <w:b/>
                <w:sz w:val="22"/>
                <w:szCs w:val="22"/>
              </w:rPr>
            </w:pPr>
            <w:r w:rsidRPr="002E7B3E">
              <w:rPr>
                <w:rFonts w:asciiTheme="majorHAnsi" w:hAnsiTheme="majorHAnsi" w:cs="Arial"/>
                <w:b/>
                <w:sz w:val="22"/>
                <w:szCs w:val="22"/>
              </w:rPr>
              <w:t>-</w:t>
            </w:r>
            <w:r w:rsidR="002E7B3E" w:rsidRPr="002E7B3E">
              <w:rPr>
                <w:rFonts w:asciiTheme="majorHAnsi" w:hAnsiTheme="majorHAnsi" w:cs="Arial"/>
                <w:b/>
                <w:sz w:val="22"/>
                <w:szCs w:val="22"/>
              </w:rPr>
              <w:t>160.27</w:t>
            </w:r>
          </w:p>
        </w:tc>
      </w:tr>
    </w:tbl>
    <w:p w14:paraId="640AE093" w14:textId="77777777" w:rsidR="00E94D91" w:rsidRDefault="00E94D91" w:rsidP="00FE34C2">
      <w:pPr>
        <w:spacing w:line="360" w:lineRule="auto"/>
        <w:jc w:val="both"/>
        <w:rPr>
          <w:rFonts w:asciiTheme="majorHAnsi" w:hAnsiTheme="majorHAnsi"/>
          <w:lang w:val="en-GB"/>
        </w:rPr>
      </w:pPr>
      <w:bookmarkStart w:id="110" w:name="_Toc183204725"/>
      <w:bookmarkStart w:id="111" w:name="_Toc183204828"/>
      <w:bookmarkStart w:id="112" w:name="_Toc183205129"/>
    </w:p>
    <w:p w14:paraId="68D7702E" w14:textId="26AECF55" w:rsidR="00081297" w:rsidRDefault="00F57E5C" w:rsidP="00FE34C2">
      <w:pPr>
        <w:spacing w:line="360" w:lineRule="auto"/>
        <w:jc w:val="both"/>
        <w:rPr>
          <w:rFonts w:asciiTheme="majorHAnsi" w:hAnsiTheme="majorHAnsi"/>
          <w:lang w:val="en-GB"/>
        </w:rPr>
      </w:pPr>
      <w:r w:rsidRPr="00F57E5C">
        <w:rPr>
          <w:rFonts w:asciiTheme="majorHAnsi" w:hAnsiTheme="majorHAnsi"/>
          <w:lang w:val="en-GB"/>
        </w:rPr>
        <w:t>That, in the above background it is worth mentioning that as of now, at existing tariffs, the company through additional sale if available &amp; proposed tariff rational</w:t>
      </w:r>
      <w:r w:rsidR="00E94D91">
        <w:rPr>
          <w:rFonts w:asciiTheme="majorHAnsi" w:hAnsiTheme="majorHAnsi"/>
          <w:lang w:val="en-GB"/>
        </w:rPr>
        <w:t>ization</w:t>
      </w:r>
      <w:r w:rsidRPr="00F57E5C">
        <w:rPr>
          <w:rFonts w:asciiTheme="majorHAnsi" w:hAnsiTheme="majorHAnsi"/>
          <w:lang w:val="en-GB"/>
        </w:rPr>
        <w:t xml:space="preserve"> measures along with use of surplus from past period true ups will meet the required ARR without any tariff hike. However, Govt. support and subsidy if any shall be an additional help &amp; will be passed on to the consumer.</w:t>
      </w:r>
      <w:bookmarkEnd w:id="109"/>
      <w:r w:rsidR="00081297">
        <w:rPr>
          <w:rFonts w:asciiTheme="majorHAnsi" w:hAnsiTheme="majorHAnsi"/>
          <w:lang w:val="en-GB"/>
        </w:rPr>
        <w:br w:type="page"/>
      </w:r>
    </w:p>
    <w:p w14:paraId="7D141EA0" w14:textId="77777777" w:rsidR="00525A91" w:rsidRPr="00224D11" w:rsidRDefault="00525A91" w:rsidP="00FC55AF">
      <w:pPr>
        <w:pStyle w:val="Heading1"/>
        <w:numPr>
          <w:ilvl w:val="0"/>
          <w:numId w:val="1"/>
        </w:numPr>
        <w:shd w:val="clear" w:color="auto" w:fill="002060"/>
        <w:spacing w:line="360" w:lineRule="auto"/>
        <w:jc w:val="both"/>
        <w:rPr>
          <w:rFonts w:ascii="Cambria" w:hAnsi="Cambria" w:cs="Calibri"/>
          <w:b w:val="0"/>
          <w:sz w:val="24"/>
          <w:szCs w:val="24"/>
        </w:rPr>
      </w:pPr>
      <w:bookmarkStart w:id="113" w:name="_Toc215250635"/>
      <w:bookmarkEnd w:id="110"/>
      <w:bookmarkEnd w:id="111"/>
      <w:bookmarkEnd w:id="112"/>
      <w:r w:rsidRPr="00224D11">
        <w:rPr>
          <w:rFonts w:ascii="Cambria" w:hAnsi="Cambria" w:cs="Calibri"/>
          <w:sz w:val="24"/>
          <w:szCs w:val="24"/>
        </w:rPr>
        <w:t>Compliance to Directives of Hon’ble Commission</w:t>
      </w:r>
      <w:bookmarkEnd w:id="113"/>
    </w:p>
    <w:p w14:paraId="749E177F" w14:textId="77777777" w:rsidR="000E1100" w:rsidRPr="000E1100" w:rsidRDefault="000E1100" w:rsidP="001972DE">
      <w:pPr>
        <w:pStyle w:val="ListParagraph"/>
        <w:keepNext/>
        <w:numPr>
          <w:ilvl w:val="0"/>
          <w:numId w:val="40"/>
        </w:numPr>
        <w:spacing w:before="240" w:after="60" w:line="360" w:lineRule="auto"/>
        <w:contextualSpacing w:val="0"/>
        <w:jc w:val="both"/>
        <w:outlineLvl w:val="0"/>
        <w:rPr>
          <w:rFonts w:ascii="Cambria" w:eastAsia="Times New Roman" w:hAnsi="Cambria" w:cs="Arial"/>
          <w:b/>
          <w:bCs/>
          <w:vanish/>
          <w:kern w:val="32"/>
          <w:sz w:val="24"/>
          <w:szCs w:val="24"/>
        </w:rPr>
      </w:pPr>
      <w:bookmarkStart w:id="114" w:name="_Toc183802737"/>
      <w:bookmarkStart w:id="115" w:name="_Toc183802837"/>
      <w:bookmarkStart w:id="116" w:name="_Toc214104561"/>
      <w:bookmarkStart w:id="117" w:name="_Toc214104662"/>
      <w:bookmarkStart w:id="118" w:name="_Toc214104837"/>
      <w:bookmarkStart w:id="119" w:name="_Toc214106969"/>
      <w:bookmarkStart w:id="120" w:name="_Toc214126710"/>
      <w:bookmarkStart w:id="121" w:name="_Toc214126812"/>
      <w:bookmarkStart w:id="122" w:name="_Toc214294912"/>
      <w:bookmarkStart w:id="123" w:name="_Toc214295083"/>
      <w:bookmarkStart w:id="124" w:name="_Toc214295285"/>
      <w:bookmarkStart w:id="125" w:name="_Toc214295378"/>
      <w:bookmarkStart w:id="126" w:name="_Toc214701500"/>
      <w:bookmarkStart w:id="127" w:name="_Toc214701590"/>
      <w:bookmarkStart w:id="128" w:name="_Toc214735705"/>
      <w:bookmarkStart w:id="129" w:name="_Toc214735769"/>
      <w:bookmarkStart w:id="130" w:name="_Toc214735833"/>
      <w:bookmarkStart w:id="131" w:name="_Toc214790287"/>
      <w:bookmarkStart w:id="132" w:name="_Toc214966996"/>
      <w:bookmarkStart w:id="133" w:name="_Toc214967078"/>
      <w:bookmarkStart w:id="134" w:name="_Toc152180121"/>
      <w:bookmarkStart w:id="135" w:name="_Toc215235260"/>
      <w:bookmarkStart w:id="136" w:name="_Toc215250636"/>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5"/>
      <w:bookmarkEnd w:id="136"/>
    </w:p>
    <w:p w14:paraId="7D22F9A9" w14:textId="59241BCA" w:rsidR="00525A91" w:rsidRDefault="00525A91" w:rsidP="00291FAE">
      <w:pPr>
        <w:pStyle w:val="Heading1"/>
        <w:numPr>
          <w:ilvl w:val="1"/>
          <w:numId w:val="40"/>
        </w:numPr>
        <w:spacing w:line="360" w:lineRule="auto"/>
        <w:ind w:left="284"/>
        <w:jc w:val="both"/>
        <w:rPr>
          <w:rFonts w:ascii="Cambria" w:hAnsi="Cambria"/>
          <w:sz w:val="24"/>
          <w:szCs w:val="24"/>
        </w:rPr>
      </w:pPr>
      <w:bookmarkStart w:id="137" w:name="_Toc215250637"/>
      <w:r w:rsidRPr="00224D11">
        <w:rPr>
          <w:rFonts w:ascii="Cambria" w:hAnsi="Cambria"/>
          <w:sz w:val="24"/>
          <w:szCs w:val="24"/>
        </w:rPr>
        <w:t>Compliance to the directions under RST Order</w:t>
      </w:r>
      <w:r w:rsidR="00D729CF">
        <w:rPr>
          <w:rFonts w:ascii="Cambria" w:hAnsi="Cambria"/>
          <w:sz w:val="24"/>
          <w:szCs w:val="24"/>
        </w:rPr>
        <w:t xml:space="preserve"> FY 2</w:t>
      </w:r>
      <w:r w:rsidR="00087EFF">
        <w:rPr>
          <w:rFonts w:ascii="Cambria" w:hAnsi="Cambria"/>
          <w:sz w:val="24"/>
          <w:szCs w:val="24"/>
        </w:rPr>
        <w:t>5-26</w:t>
      </w:r>
      <w:r w:rsidRPr="00224D11">
        <w:rPr>
          <w:rFonts w:ascii="Cambria" w:hAnsi="Cambria"/>
          <w:sz w:val="24"/>
          <w:szCs w:val="24"/>
        </w:rPr>
        <w:t>:</w:t>
      </w:r>
      <w:bookmarkEnd w:id="134"/>
      <w:bookmarkEnd w:id="137"/>
    </w:p>
    <w:p w14:paraId="0ED4ACAC" w14:textId="77777777" w:rsidR="0026616B" w:rsidRPr="00361EBF" w:rsidRDefault="0026616B" w:rsidP="00056389">
      <w:pPr>
        <w:pStyle w:val="ListParagraph"/>
        <w:numPr>
          <w:ilvl w:val="0"/>
          <w:numId w:val="82"/>
        </w:numPr>
        <w:spacing w:before="120" w:after="160" w:line="360" w:lineRule="auto"/>
        <w:ind w:left="284" w:hanging="357"/>
        <w:contextualSpacing w:val="0"/>
        <w:jc w:val="both"/>
        <w:rPr>
          <w:rFonts w:ascii="Cambria" w:eastAsia="Cambria" w:hAnsi="Cambria" w:cs="Cambria"/>
          <w:b/>
          <w:bCs/>
          <w:color w:val="000000" w:themeColor="text1"/>
          <w:sz w:val="24"/>
          <w:u w:val="single"/>
        </w:rPr>
      </w:pPr>
      <w:r w:rsidRPr="00361EBF">
        <w:rPr>
          <w:rFonts w:ascii="Cambria" w:eastAsia="Cambria" w:hAnsi="Cambria" w:cs="Cambria"/>
          <w:b/>
          <w:bCs/>
          <w:color w:val="000000" w:themeColor="text1"/>
          <w:sz w:val="24"/>
          <w:u w:val="single"/>
        </w:rPr>
        <w:t xml:space="preserve">Para 214 - </w:t>
      </w:r>
      <w:r w:rsidRPr="00361EBF">
        <w:rPr>
          <w:rFonts w:ascii="Cambria" w:eastAsia="Cambria" w:hAnsi="Cambria" w:cs="Cambria"/>
          <w:color w:val="000000" w:themeColor="text1"/>
          <w:sz w:val="24"/>
        </w:rPr>
        <w:t>To have a comprehensive audit of the security deposits paid by the consumers and security deposits held by the DISCOMs in their Bank account up to 31.03.2025.</w:t>
      </w:r>
    </w:p>
    <w:p w14:paraId="28CB3F0B" w14:textId="77777777" w:rsidR="0026616B" w:rsidRPr="00361EBF" w:rsidRDefault="0026616B" w:rsidP="000F6F24">
      <w:pPr>
        <w:pStyle w:val="ListParagraph"/>
        <w:spacing w:before="120" w:after="160" w:line="360" w:lineRule="auto"/>
        <w:ind w:left="284"/>
        <w:contextualSpacing w:val="0"/>
        <w:jc w:val="both"/>
        <w:rPr>
          <w:rFonts w:ascii="Cambria" w:eastAsia="Cambria" w:hAnsi="Cambria" w:cs="Cambria"/>
          <w:b/>
          <w:bCs/>
          <w:color w:val="000000" w:themeColor="text1"/>
          <w:sz w:val="24"/>
          <w:u w:val="single"/>
        </w:rPr>
      </w:pPr>
      <w:r w:rsidRPr="00361EBF">
        <w:rPr>
          <w:rFonts w:ascii="Cambria" w:eastAsia="Cambria" w:hAnsi="Cambria" w:cs="Cambria"/>
          <w:b/>
          <w:bCs/>
          <w:color w:val="000000" w:themeColor="text1"/>
          <w:sz w:val="24"/>
          <w:u w:val="single"/>
        </w:rPr>
        <w:t>TPWODL’s Submission:</w:t>
      </w:r>
      <w:r w:rsidRPr="00361EBF">
        <w:rPr>
          <w:rFonts w:ascii="Cambria" w:eastAsia="Cambria" w:hAnsi="Cambria" w:cs="Cambria"/>
          <w:color w:val="000000" w:themeColor="text1"/>
          <w:sz w:val="24"/>
        </w:rPr>
        <w:t xml:space="preserve"> The details along with audit report have already been furnished to the Hon’ble Commission vide letter no. TPWODL/RA/2025/064 dated 22.09.2025.</w:t>
      </w:r>
    </w:p>
    <w:p w14:paraId="183E4DB5" w14:textId="77777777" w:rsidR="0026616B" w:rsidRPr="00361EBF" w:rsidRDefault="0026616B" w:rsidP="00291FAE">
      <w:pPr>
        <w:pStyle w:val="ListParagraph"/>
        <w:spacing w:after="160" w:line="360" w:lineRule="auto"/>
        <w:ind w:left="284"/>
        <w:jc w:val="both"/>
        <w:rPr>
          <w:rFonts w:ascii="Cambria" w:eastAsia="Cambria" w:hAnsi="Cambria" w:cs="Cambria"/>
          <w:b/>
          <w:bCs/>
          <w:color w:val="000000" w:themeColor="text1"/>
          <w:sz w:val="6"/>
          <w:u w:val="single"/>
        </w:rPr>
      </w:pPr>
    </w:p>
    <w:p w14:paraId="2937E1E3" w14:textId="77777777" w:rsidR="0026616B" w:rsidRPr="00361EBF" w:rsidRDefault="0026616B" w:rsidP="00056389">
      <w:pPr>
        <w:pStyle w:val="ListParagraph"/>
        <w:numPr>
          <w:ilvl w:val="0"/>
          <w:numId w:val="82"/>
        </w:numPr>
        <w:spacing w:before="120" w:after="160" w:line="360" w:lineRule="auto"/>
        <w:ind w:left="284" w:hanging="357"/>
        <w:contextualSpacing w:val="0"/>
        <w:jc w:val="both"/>
        <w:rPr>
          <w:rFonts w:ascii="Cambria" w:eastAsia="Cambria" w:hAnsi="Cambria" w:cs="Cambria"/>
          <w:b/>
          <w:bCs/>
          <w:color w:val="000000" w:themeColor="text1"/>
          <w:sz w:val="24"/>
          <w:u w:val="single"/>
        </w:rPr>
      </w:pPr>
      <w:r w:rsidRPr="00361EBF">
        <w:rPr>
          <w:rFonts w:ascii="Cambria" w:eastAsia="Cambria" w:hAnsi="Cambria" w:cs="Cambria"/>
          <w:b/>
          <w:bCs/>
          <w:color w:val="000000" w:themeColor="text1"/>
          <w:sz w:val="24"/>
          <w:u w:val="single"/>
        </w:rPr>
        <w:t xml:space="preserve">Para No. 160 - </w:t>
      </w:r>
      <w:r w:rsidRPr="00361EBF">
        <w:rPr>
          <w:rFonts w:ascii="Cambria" w:eastAsia="Cambria" w:hAnsi="Cambria" w:cs="Cambria"/>
          <w:color w:val="000000" w:themeColor="text1"/>
          <w:sz w:val="24"/>
        </w:rPr>
        <w:t xml:space="preserve">To file the applications for determination of LT Open Access charges for FY 2025-26 by 31st July 2025. </w:t>
      </w:r>
    </w:p>
    <w:p w14:paraId="5FE17FBB" w14:textId="77777777" w:rsidR="0026616B" w:rsidRPr="00361EBF" w:rsidRDefault="0026616B" w:rsidP="00291FAE">
      <w:pPr>
        <w:pStyle w:val="ListParagraph"/>
        <w:spacing w:after="160" w:line="360" w:lineRule="auto"/>
        <w:ind w:left="284"/>
        <w:jc w:val="both"/>
        <w:rPr>
          <w:rFonts w:ascii="Cambria" w:eastAsia="Cambria" w:hAnsi="Cambria" w:cs="Cambria"/>
          <w:b/>
          <w:bCs/>
          <w:color w:val="000000" w:themeColor="text1"/>
          <w:sz w:val="24"/>
          <w:u w:val="single"/>
        </w:rPr>
      </w:pPr>
      <w:r w:rsidRPr="00361EBF">
        <w:rPr>
          <w:rFonts w:ascii="Cambria" w:eastAsia="Cambria" w:hAnsi="Cambria" w:cs="Cambria"/>
          <w:b/>
          <w:bCs/>
          <w:color w:val="000000" w:themeColor="text1"/>
          <w:sz w:val="24"/>
          <w:u w:val="single"/>
        </w:rPr>
        <w:t xml:space="preserve">TPWODL’s Submission: </w:t>
      </w:r>
    </w:p>
    <w:p w14:paraId="68EE0099" w14:textId="77777777" w:rsidR="0026616B" w:rsidRPr="00361EBF" w:rsidRDefault="0026616B" w:rsidP="00291FAE">
      <w:pPr>
        <w:pStyle w:val="ListParagraph"/>
        <w:spacing w:after="160" w:line="360" w:lineRule="auto"/>
        <w:ind w:left="284"/>
        <w:jc w:val="both"/>
        <w:rPr>
          <w:rFonts w:ascii="Cambria" w:eastAsia="Cambria" w:hAnsi="Cambria" w:cs="Cambria"/>
          <w:color w:val="000000" w:themeColor="text1"/>
          <w:sz w:val="24"/>
        </w:rPr>
      </w:pPr>
      <w:r w:rsidRPr="00361EBF">
        <w:rPr>
          <w:rFonts w:ascii="Cambria" w:eastAsia="Cambria" w:hAnsi="Cambria" w:cs="Cambria"/>
          <w:color w:val="000000" w:themeColor="text1"/>
          <w:sz w:val="24"/>
        </w:rPr>
        <w:t>The Hon’ble Commission vide letter dated 18.08.2025 had granted time extension till 15</w:t>
      </w:r>
      <w:r w:rsidRPr="00361EBF">
        <w:rPr>
          <w:rFonts w:ascii="Cambria" w:eastAsia="Cambria" w:hAnsi="Cambria" w:cs="Cambria"/>
          <w:color w:val="000000" w:themeColor="text1"/>
          <w:sz w:val="24"/>
          <w:vertAlign w:val="superscript"/>
        </w:rPr>
        <w:t>th</w:t>
      </w:r>
      <w:r w:rsidRPr="00361EBF">
        <w:rPr>
          <w:rFonts w:ascii="Cambria" w:eastAsia="Cambria" w:hAnsi="Cambria" w:cs="Cambria"/>
          <w:color w:val="000000" w:themeColor="text1"/>
          <w:sz w:val="24"/>
        </w:rPr>
        <w:t xml:space="preserve"> Sep 2025 for submission of the LT OA application. In compliance to the same, the Licensee has submitted the application vide affidavit dated 15</w:t>
      </w:r>
      <w:r w:rsidRPr="00361EBF">
        <w:rPr>
          <w:rFonts w:ascii="Cambria" w:eastAsia="Cambria" w:hAnsi="Cambria" w:cs="Cambria"/>
          <w:color w:val="000000" w:themeColor="text1"/>
          <w:sz w:val="24"/>
          <w:vertAlign w:val="superscript"/>
        </w:rPr>
        <w:t>th</w:t>
      </w:r>
      <w:r w:rsidRPr="00361EBF">
        <w:rPr>
          <w:rFonts w:ascii="Cambria" w:eastAsia="Cambria" w:hAnsi="Cambria" w:cs="Cambria"/>
          <w:color w:val="000000" w:themeColor="text1"/>
          <w:sz w:val="24"/>
        </w:rPr>
        <w:t xml:space="preserve"> Sep 2025.</w:t>
      </w:r>
    </w:p>
    <w:p w14:paraId="0D99DB5B" w14:textId="77777777" w:rsidR="0026616B" w:rsidRPr="00361EBF" w:rsidRDefault="0026616B" w:rsidP="00291FAE">
      <w:pPr>
        <w:pStyle w:val="ListParagraph"/>
        <w:spacing w:after="160" w:line="360" w:lineRule="auto"/>
        <w:ind w:left="284"/>
        <w:jc w:val="both"/>
        <w:rPr>
          <w:rFonts w:ascii="Cambria" w:eastAsia="Cambria" w:hAnsi="Cambria" w:cs="Cambria"/>
          <w:color w:val="000000" w:themeColor="text1"/>
          <w:sz w:val="18"/>
        </w:rPr>
      </w:pPr>
    </w:p>
    <w:p w14:paraId="6280E981" w14:textId="77777777" w:rsidR="0026616B" w:rsidRPr="00361EBF" w:rsidRDefault="0026616B" w:rsidP="00056389">
      <w:pPr>
        <w:pStyle w:val="ListParagraph"/>
        <w:numPr>
          <w:ilvl w:val="0"/>
          <w:numId w:val="82"/>
        </w:numPr>
        <w:spacing w:before="120" w:after="160" w:line="360" w:lineRule="auto"/>
        <w:ind w:left="284" w:hanging="357"/>
        <w:contextualSpacing w:val="0"/>
        <w:jc w:val="both"/>
        <w:rPr>
          <w:rFonts w:ascii="Cambria" w:eastAsia="Cambria" w:hAnsi="Cambria" w:cs="Cambria"/>
          <w:b/>
          <w:bCs/>
          <w:color w:val="000000" w:themeColor="text1"/>
          <w:sz w:val="24"/>
          <w:u w:val="single"/>
        </w:rPr>
      </w:pPr>
      <w:r w:rsidRPr="00361EBF">
        <w:rPr>
          <w:rFonts w:ascii="Cambria" w:eastAsia="Cambria" w:hAnsi="Cambria" w:cs="Cambria"/>
          <w:b/>
          <w:bCs/>
          <w:color w:val="000000" w:themeColor="text1"/>
          <w:sz w:val="24"/>
          <w:u w:val="single"/>
        </w:rPr>
        <w:t xml:space="preserve">Para No. 336 - </w:t>
      </w:r>
      <w:r w:rsidRPr="00361EBF">
        <w:rPr>
          <w:rFonts w:ascii="Cambria" w:eastAsia="Cambria" w:hAnsi="Cambria" w:cs="Cambria"/>
          <w:color w:val="000000" w:themeColor="text1"/>
          <w:sz w:val="24"/>
        </w:rPr>
        <w:t xml:space="preserve">To submit detail year-wise plan and expenditure requirement including unrecovered meter rent for installation of Smart Meters for Consumers with CD up to and including 2 kW along with the detail year-wise plan and expenditure requirement for Installation of Smart Meters for the remaining population of the consumers with CD &gt; 2 kW and its financial impact on the Consumers to the Hon’ble Commission.  </w:t>
      </w:r>
    </w:p>
    <w:p w14:paraId="068AE397" w14:textId="77777777" w:rsidR="0026616B" w:rsidRPr="00361EBF" w:rsidRDefault="0026616B" w:rsidP="000F6F24">
      <w:pPr>
        <w:pStyle w:val="ListParagraph"/>
        <w:spacing w:before="120" w:after="160" w:line="360" w:lineRule="auto"/>
        <w:ind w:left="284"/>
        <w:contextualSpacing w:val="0"/>
        <w:jc w:val="both"/>
        <w:rPr>
          <w:rFonts w:ascii="Cambria" w:eastAsia="Cambria" w:hAnsi="Cambria" w:cs="Cambria"/>
          <w:b/>
          <w:bCs/>
          <w:color w:val="000000" w:themeColor="text1"/>
          <w:sz w:val="24"/>
          <w:u w:val="single"/>
        </w:rPr>
      </w:pPr>
      <w:r w:rsidRPr="00361EBF">
        <w:rPr>
          <w:rFonts w:ascii="Cambria" w:eastAsia="Cambria" w:hAnsi="Cambria" w:cs="Cambria"/>
          <w:b/>
          <w:bCs/>
          <w:color w:val="000000" w:themeColor="text1"/>
          <w:sz w:val="24"/>
          <w:u w:val="single"/>
        </w:rPr>
        <w:t xml:space="preserve">TPWODL’s Submission:  </w:t>
      </w:r>
    </w:p>
    <w:p w14:paraId="1949D6A6" w14:textId="77777777" w:rsidR="0026616B" w:rsidRPr="00361EBF" w:rsidRDefault="0026616B" w:rsidP="00291FAE">
      <w:pPr>
        <w:pStyle w:val="ListParagraph"/>
        <w:spacing w:after="160" w:line="360" w:lineRule="auto"/>
        <w:ind w:left="284"/>
        <w:jc w:val="both"/>
        <w:rPr>
          <w:rFonts w:ascii="Cambria" w:eastAsia="Cambria" w:hAnsi="Cambria" w:cs="Cambria"/>
          <w:color w:val="000000" w:themeColor="text1"/>
          <w:sz w:val="24"/>
        </w:rPr>
      </w:pPr>
      <w:r w:rsidRPr="00361EBF">
        <w:rPr>
          <w:rFonts w:ascii="Cambria" w:eastAsia="Cambria" w:hAnsi="Cambria" w:cs="Cambria"/>
          <w:color w:val="000000" w:themeColor="text1"/>
          <w:sz w:val="24"/>
        </w:rPr>
        <w:t xml:space="preserve">We have already submitted the detailed plan for consumer with CD </w:t>
      </w:r>
      <w:proofErr w:type="spellStart"/>
      <w:r w:rsidRPr="00361EBF">
        <w:rPr>
          <w:rFonts w:ascii="Cambria" w:eastAsia="Cambria" w:hAnsi="Cambria" w:cs="Cambria"/>
          <w:color w:val="000000" w:themeColor="text1"/>
          <w:sz w:val="24"/>
        </w:rPr>
        <w:t>upto</w:t>
      </w:r>
      <w:proofErr w:type="spellEnd"/>
      <w:r w:rsidRPr="00361EBF">
        <w:rPr>
          <w:rFonts w:ascii="Cambria" w:eastAsia="Cambria" w:hAnsi="Cambria" w:cs="Cambria"/>
          <w:color w:val="000000" w:themeColor="text1"/>
          <w:sz w:val="24"/>
        </w:rPr>
        <w:t xml:space="preserve"> 2kW to the Govt. of Odisha and the same has also been presented before the Hon’ble Commission.</w:t>
      </w:r>
    </w:p>
    <w:p w14:paraId="1E9314C2" w14:textId="1AC8E61D" w:rsidR="00361EBF" w:rsidRPr="00361EBF" w:rsidRDefault="0026616B" w:rsidP="00291FAE">
      <w:pPr>
        <w:pStyle w:val="ListParagraph"/>
        <w:spacing w:after="160" w:line="360" w:lineRule="auto"/>
        <w:ind w:left="284"/>
        <w:jc w:val="both"/>
        <w:rPr>
          <w:rFonts w:ascii="Cambria" w:eastAsia="Cambria" w:hAnsi="Cambria" w:cs="Cambria"/>
          <w:b/>
          <w:bCs/>
          <w:color w:val="000000" w:themeColor="text1"/>
          <w:sz w:val="24"/>
          <w:u w:val="single"/>
        </w:rPr>
      </w:pPr>
      <w:r w:rsidRPr="00361EBF">
        <w:rPr>
          <w:rFonts w:ascii="Cambria" w:eastAsia="Cambria" w:hAnsi="Cambria" w:cs="Cambria"/>
          <w:b/>
          <w:bCs/>
          <w:color w:val="000000" w:themeColor="text1"/>
          <w:sz w:val="24"/>
          <w:u w:val="single"/>
        </w:rPr>
        <w:t xml:space="preserve">Smart metering status of </w:t>
      </w:r>
      <w:r w:rsidRPr="00361EBF">
        <w:rPr>
          <w:rFonts w:ascii="Cambria" w:hAnsi="Cambria" w:cs="Calibri"/>
          <w:b/>
          <w:bCs/>
          <w:color w:val="000000"/>
          <w:sz w:val="24"/>
          <w:u w:val="single"/>
        </w:rPr>
        <w:t>Consumer with CD &lt; 2 kW as on 30</w:t>
      </w:r>
      <w:r w:rsidRPr="00361EBF">
        <w:rPr>
          <w:rFonts w:ascii="Cambria" w:hAnsi="Cambria" w:cs="Calibri"/>
          <w:b/>
          <w:bCs/>
          <w:color w:val="000000"/>
          <w:sz w:val="24"/>
          <w:u w:val="single"/>
          <w:vertAlign w:val="superscript"/>
        </w:rPr>
        <w:t>th</w:t>
      </w:r>
      <w:r w:rsidRPr="00361EBF">
        <w:rPr>
          <w:rFonts w:ascii="Cambria" w:hAnsi="Cambria" w:cs="Calibri"/>
          <w:b/>
          <w:bCs/>
          <w:color w:val="000000"/>
          <w:sz w:val="24"/>
          <w:u w:val="single"/>
        </w:rPr>
        <w:t xml:space="preserve"> Sep 2025: </w:t>
      </w:r>
    </w:p>
    <w:tbl>
      <w:tblPr>
        <w:tblW w:w="9795" w:type="dxa"/>
        <w:jc w:val="center"/>
        <w:tblLook w:val="04A0" w:firstRow="1" w:lastRow="0" w:firstColumn="1" w:lastColumn="0" w:noHBand="0" w:noVBand="1"/>
      </w:tblPr>
      <w:tblGrid>
        <w:gridCol w:w="786"/>
        <w:gridCol w:w="1417"/>
        <w:gridCol w:w="2592"/>
        <w:gridCol w:w="2471"/>
        <w:gridCol w:w="2661"/>
      </w:tblGrid>
      <w:tr w:rsidR="0026616B" w:rsidRPr="00361EBF" w14:paraId="75171591" w14:textId="77777777" w:rsidTr="00361EBF">
        <w:trPr>
          <w:trHeight w:val="244"/>
          <w:jc w:val="center"/>
        </w:trPr>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4D6691B" w14:textId="7872C253" w:rsidR="0026616B" w:rsidRPr="00361EBF" w:rsidRDefault="0026616B" w:rsidP="00291FAE">
            <w:pPr>
              <w:ind w:left="284"/>
              <w:jc w:val="center"/>
              <w:rPr>
                <w:rFonts w:ascii="Cambria" w:hAnsi="Cambria" w:cs="Calibri"/>
                <w:b/>
                <w:color w:val="000000"/>
                <w:sz w:val="22"/>
                <w:szCs w:val="22"/>
                <w:lang w:val="en-IN"/>
              </w:rPr>
            </w:pPr>
            <w:r w:rsidRPr="00361EBF">
              <w:rPr>
                <w:rFonts w:ascii="Cambria" w:hAnsi="Cambria" w:cs="Calibri"/>
                <w:b/>
                <w:color w:val="000000"/>
                <w:sz w:val="22"/>
                <w:szCs w:val="22"/>
              </w:rPr>
              <w:t>S</w:t>
            </w:r>
            <w:r w:rsidR="00361EBF" w:rsidRPr="00361EBF">
              <w:rPr>
                <w:rFonts w:ascii="Cambria" w:hAnsi="Cambria" w:cs="Calibri"/>
                <w:b/>
                <w:color w:val="000000"/>
                <w:sz w:val="22"/>
                <w:szCs w:val="22"/>
              </w:rPr>
              <w:t>L.</w:t>
            </w:r>
            <w:r w:rsidRPr="00361EBF">
              <w:rPr>
                <w:rFonts w:ascii="Cambria" w:hAnsi="Cambria" w:cs="Calibri"/>
                <w:b/>
                <w:color w:val="000000"/>
                <w:sz w:val="22"/>
                <w:szCs w:val="22"/>
              </w:rPr>
              <w:t xml:space="preserve"> No</w:t>
            </w:r>
          </w:p>
        </w:tc>
        <w:tc>
          <w:tcPr>
            <w:tcW w:w="1323" w:type="dxa"/>
            <w:vMerge w:val="restart"/>
            <w:tcBorders>
              <w:top w:val="single" w:sz="4" w:space="0" w:color="auto"/>
              <w:left w:val="single" w:sz="4" w:space="0" w:color="auto"/>
              <w:bottom w:val="single" w:sz="4" w:space="0" w:color="auto"/>
              <w:right w:val="single" w:sz="4" w:space="0" w:color="auto"/>
            </w:tcBorders>
            <w:noWrap/>
            <w:vAlign w:val="center"/>
            <w:hideMark/>
          </w:tcPr>
          <w:p w14:paraId="008AEAE2" w14:textId="3D710E3E" w:rsidR="0026616B" w:rsidRPr="00361EBF" w:rsidRDefault="00361EBF" w:rsidP="00291FAE">
            <w:pPr>
              <w:ind w:left="284"/>
              <w:jc w:val="center"/>
              <w:rPr>
                <w:rFonts w:ascii="Cambria" w:hAnsi="Cambria" w:cs="Calibri"/>
                <w:b/>
                <w:color w:val="000000"/>
                <w:sz w:val="22"/>
                <w:szCs w:val="22"/>
              </w:rPr>
            </w:pPr>
            <w:r w:rsidRPr="00361EBF">
              <w:rPr>
                <w:rFonts w:ascii="Cambria" w:hAnsi="Cambria" w:cs="Calibri"/>
                <w:b/>
                <w:color w:val="000000"/>
                <w:sz w:val="22"/>
                <w:szCs w:val="22"/>
              </w:rPr>
              <w:t>TPWODL</w:t>
            </w:r>
          </w:p>
        </w:tc>
        <w:tc>
          <w:tcPr>
            <w:tcW w:w="7724" w:type="dxa"/>
            <w:gridSpan w:val="3"/>
            <w:tcBorders>
              <w:top w:val="single" w:sz="4" w:space="0" w:color="auto"/>
              <w:left w:val="nil"/>
              <w:bottom w:val="single" w:sz="4" w:space="0" w:color="auto"/>
              <w:right w:val="single" w:sz="4" w:space="0" w:color="auto"/>
            </w:tcBorders>
            <w:noWrap/>
            <w:vAlign w:val="bottom"/>
            <w:hideMark/>
          </w:tcPr>
          <w:p w14:paraId="6C618ACF" w14:textId="77777777" w:rsidR="0026616B" w:rsidRPr="00361EBF" w:rsidRDefault="0026616B" w:rsidP="00291FAE">
            <w:pPr>
              <w:ind w:left="284"/>
              <w:jc w:val="center"/>
              <w:rPr>
                <w:rFonts w:ascii="Cambria" w:hAnsi="Cambria" w:cs="Calibri"/>
                <w:b/>
                <w:bCs/>
                <w:color w:val="000000"/>
                <w:sz w:val="22"/>
                <w:szCs w:val="22"/>
              </w:rPr>
            </w:pPr>
            <w:r w:rsidRPr="00361EBF">
              <w:rPr>
                <w:rFonts w:ascii="Cambria" w:hAnsi="Cambria" w:cs="Calibri"/>
                <w:b/>
                <w:bCs/>
                <w:color w:val="000000"/>
                <w:sz w:val="22"/>
                <w:szCs w:val="22"/>
              </w:rPr>
              <w:t>Status as on 30</w:t>
            </w:r>
            <w:r w:rsidRPr="00361EBF">
              <w:rPr>
                <w:rFonts w:ascii="Cambria" w:hAnsi="Cambria" w:cs="Calibri"/>
                <w:b/>
                <w:bCs/>
                <w:color w:val="000000"/>
                <w:sz w:val="22"/>
                <w:szCs w:val="22"/>
                <w:vertAlign w:val="superscript"/>
              </w:rPr>
              <w:t>th</w:t>
            </w:r>
            <w:r w:rsidRPr="00361EBF">
              <w:rPr>
                <w:rFonts w:ascii="Cambria" w:hAnsi="Cambria" w:cs="Calibri"/>
                <w:b/>
                <w:bCs/>
                <w:color w:val="000000"/>
                <w:sz w:val="22"/>
                <w:szCs w:val="22"/>
              </w:rPr>
              <w:t xml:space="preserve"> SEP 2025</w:t>
            </w:r>
          </w:p>
        </w:tc>
      </w:tr>
      <w:tr w:rsidR="00361EBF" w:rsidRPr="00361EBF" w14:paraId="66DD4669" w14:textId="77777777" w:rsidTr="00361EBF">
        <w:trPr>
          <w:trHeight w:val="1230"/>
          <w:jc w:val="center"/>
        </w:trPr>
        <w:tc>
          <w:tcPr>
            <w:tcW w:w="748" w:type="dxa"/>
            <w:vMerge/>
            <w:tcBorders>
              <w:top w:val="single" w:sz="4" w:space="0" w:color="auto"/>
              <w:left w:val="single" w:sz="4" w:space="0" w:color="auto"/>
              <w:bottom w:val="single" w:sz="4" w:space="0" w:color="auto"/>
              <w:right w:val="single" w:sz="4" w:space="0" w:color="auto"/>
            </w:tcBorders>
            <w:vAlign w:val="center"/>
            <w:hideMark/>
          </w:tcPr>
          <w:p w14:paraId="11A3567D" w14:textId="77777777" w:rsidR="0026616B" w:rsidRPr="00361EBF" w:rsidRDefault="0026616B" w:rsidP="00291FAE">
            <w:pPr>
              <w:ind w:left="284"/>
              <w:rPr>
                <w:rFonts w:ascii="Cambria" w:hAnsi="Cambria" w:cs="Calibri"/>
                <w:b/>
                <w:color w:val="000000"/>
                <w:sz w:val="22"/>
                <w:szCs w:val="22"/>
              </w:rPr>
            </w:pPr>
          </w:p>
        </w:tc>
        <w:tc>
          <w:tcPr>
            <w:tcW w:w="1323" w:type="dxa"/>
            <w:vMerge/>
            <w:tcBorders>
              <w:top w:val="single" w:sz="4" w:space="0" w:color="auto"/>
              <w:left w:val="single" w:sz="4" w:space="0" w:color="auto"/>
              <w:bottom w:val="single" w:sz="4" w:space="0" w:color="auto"/>
              <w:right w:val="single" w:sz="4" w:space="0" w:color="auto"/>
            </w:tcBorders>
            <w:vAlign w:val="center"/>
            <w:hideMark/>
          </w:tcPr>
          <w:p w14:paraId="4239A1CC" w14:textId="77777777" w:rsidR="0026616B" w:rsidRPr="00361EBF" w:rsidRDefault="0026616B" w:rsidP="00291FAE">
            <w:pPr>
              <w:ind w:left="284"/>
              <w:rPr>
                <w:rFonts w:ascii="Cambria" w:hAnsi="Cambria" w:cs="Calibri"/>
                <w:b/>
                <w:color w:val="000000"/>
                <w:sz w:val="22"/>
                <w:szCs w:val="22"/>
              </w:rPr>
            </w:pPr>
          </w:p>
        </w:tc>
        <w:tc>
          <w:tcPr>
            <w:tcW w:w="2592" w:type="dxa"/>
            <w:tcBorders>
              <w:top w:val="nil"/>
              <w:left w:val="nil"/>
              <w:bottom w:val="single" w:sz="4" w:space="0" w:color="auto"/>
              <w:right w:val="single" w:sz="4" w:space="0" w:color="auto"/>
            </w:tcBorders>
            <w:vAlign w:val="center"/>
            <w:hideMark/>
          </w:tcPr>
          <w:p w14:paraId="3800E547" w14:textId="5ADEBAE9" w:rsidR="0026616B" w:rsidRPr="00361EBF" w:rsidRDefault="0026616B" w:rsidP="00291FAE">
            <w:pPr>
              <w:ind w:left="284"/>
              <w:jc w:val="center"/>
              <w:rPr>
                <w:rFonts w:ascii="Cambria" w:hAnsi="Cambria" w:cs="Calibri"/>
                <w:b/>
                <w:color w:val="000000"/>
                <w:sz w:val="22"/>
                <w:szCs w:val="22"/>
              </w:rPr>
            </w:pPr>
            <w:r w:rsidRPr="00361EBF">
              <w:rPr>
                <w:rFonts w:ascii="Cambria" w:hAnsi="Cambria" w:cs="Calibri"/>
                <w:b/>
                <w:color w:val="000000"/>
                <w:sz w:val="22"/>
                <w:szCs w:val="22"/>
              </w:rPr>
              <w:t xml:space="preserve">Total Nos of Consumer with CD </w:t>
            </w:r>
            <w:r w:rsidRPr="00361EBF">
              <w:rPr>
                <w:rFonts w:ascii="Cambria" w:hAnsi="Cambria" w:cs="Calibri"/>
                <w:b/>
                <w:color w:val="000000"/>
                <w:sz w:val="22"/>
                <w:szCs w:val="22"/>
                <w:u w:val="single"/>
              </w:rPr>
              <w:t xml:space="preserve">&lt; </w:t>
            </w:r>
            <w:r w:rsidRPr="00361EBF">
              <w:rPr>
                <w:rFonts w:ascii="Cambria" w:hAnsi="Cambria" w:cs="Calibri"/>
                <w:b/>
                <w:color w:val="000000"/>
                <w:sz w:val="22"/>
                <w:szCs w:val="22"/>
              </w:rPr>
              <w:t>2 kW with Smart Meter Installed</w:t>
            </w:r>
          </w:p>
        </w:tc>
        <w:tc>
          <w:tcPr>
            <w:tcW w:w="2471" w:type="dxa"/>
            <w:tcBorders>
              <w:top w:val="nil"/>
              <w:left w:val="nil"/>
              <w:bottom w:val="single" w:sz="4" w:space="0" w:color="auto"/>
              <w:right w:val="single" w:sz="4" w:space="0" w:color="auto"/>
            </w:tcBorders>
            <w:vAlign w:val="center"/>
            <w:hideMark/>
          </w:tcPr>
          <w:p w14:paraId="1568AA4A" w14:textId="655DCF18" w:rsidR="0026616B" w:rsidRPr="00361EBF" w:rsidRDefault="0026616B" w:rsidP="00291FAE">
            <w:pPr>
              <w:ind w:left="284"/>
              <w:jc w:val="center"/>
              <w:rPr>
                <w:rFonts w:ascii="Cambria" w:hAnsi="Cambria" w:cs="Calibri"/>
                <w:b/>
                <w:color w:val="000000"/>
                <w:sz w:val="22"/>
                <w:szCs w:val="22"/>
              </w:rPr>
            </w:pPr>
            <w:r w:rsidRPr="00361EBF">
              <w:rPr>
                <w:rFonts w:ascii="Cambria" w:hAnsi="Cambria" w:cs="Calibri"/>
                <w:b/>
                <w:color w:val="000000"/>
                <w:sz w:val="22"/>
                <w:szCs w:val="22"/>
              </w:rPr>
              <w:t xml:space="preserve">Total No of Consumer with CD </w:t>
            </w:r>
            <w:r w:rsidRPr="00361EBF">
              <w:rPr>
                <w:rFonts w:ascii="Cambria" w:hAnsi="Cambria" w:cs="Calibri"/>
                <w:b/>
                <w:color w:val="000000"/>
                <w:sz w:val="22"/>
                <w:szCs w:val="22"/>
                <w:u w:val="single"/>
              </w:rPr>
              <w:t xml:space="preserve">&lt; </w:t>
            </w:r>
            <w:r w:rsidRPr="00361EBF">
              <w:rPr>
                <w:rFonts w:ascii="Cambria" w:hAnsi="Cambria" w:cs="Calibri"/>
                <w:b/>
                <w:color w:val="000000"/>
                <w:sz w:val="22"/>
                <w:szCs w:val="22"/>
              </w:rPr>
              <w:t xml:space="preserve">2 kW without Smart Meter </w:t>
            </w:r>
          </w:p>
        </w:tc>
        <w:tc>
          <w:tcPr>
            <w:tcW w:w="2660" w:type="dxa"/>
            <w:tcBorders>
              <w:top w:val="nil"/>
              <w:left w:val="nil"/>
              <w:bottom w:val="single" w:sz="4" w:space="0" w:color="auto"/>
              <w:right w:val="single" w:sz="4" w:space="0" w:color="auto"/>
            </w:tcBorders>
            <w:vAlign w:val="center"/>
            <w:hideMark/>
          </w:tcPr>
          <w:p w14:paraId="6B599606" w14:textId="42E1A403" w:rsidR="0026616B" w:rsidRPr="00361EBF" w:rsidRDefault="0026616B" w:rsidP="00291FAE">
            <w:pPr>
              <w:ind w:left="284"/>
              <w:jc w:val="center"/>
              <w:rPr>
                <w:rFonts w:ascii="Cambria" w:hAnsi="Cambria" w:cs="Calibri"/>
                <w:b/>
                <w:color w:val="000000"/>
                <w:sz w:val="22"/>
                <w:szCs w:val="22"/>
              </w:rPr>
            </w:pPr>
            <w:r w:rsidRPr="00361EBF">
              <w:rPr>
                <w:rFonts w:ascii="Cambria" w:hAnsi="Cambria" w:cs="Calibri"/>
                <w:b/>
                <w:color w:val="000000"/>
                <w:sz w:val="22"/>
                <w:szCs w:val="22"/>
              </w:rPr>
              <w:t xml:space="preserve">Total Nos of Consumer with CD </w:t>
            </w:r>
            <w:r w:rsidRPr="00361EBF">
              <w:rPr>
                <w:rFonts w:ascii="Cambria" w:hAnsi="Cambria" w:cs="Calibri"/>
                <w:b/>
                <w:color w:val="000000"/>
                <w:sz w:val="22"/>
                <w:szCs w:val="22"/>
                <w:u w:val="single"/>
              </w:rPr>
              <w:t xml:space="preserve">&lt; </w:t>
            </w:r>
            <w:r w:rsidRPr="00361EBF">
              <w:rPr>
                <w:rFonts w:ascii="Cambria" w:hAnsi="Cambria" w:cs="Calibri"/>
                <w:b/>
                <w:color w:val="000000"/>
                <w:sz w:val="22"/>
                <w:szCs w:val="22"/>
              </w:rPr>
              <w:t xml:space="preserve">2 kW </w:t>
            </w:r>
          </w:p>
        </w:tc>
      </w:tr>
      <w:tr w:rsidR="00361EBF" w:rsidRPr="00361EBF" w14:paraId="4FE57AF0" w14:textId="77777777" w:rsidTr="00361EBF">
        <w:trPr>
          <w:trHeight w:val="244"/>
          <w:jc w:val="center"/>
        </w:trPr>
        <w:tc>
          <w:tcPr>
            <w:tcW w:w="748" w:type="dxa"/>
            <w:vMerge/>
            <w:tcBorders>
              <w:top w:val="single" w:sz="4" w:space="0" w:color="auto"/>
              <w:left w:val="single" w:sz="4" w:space="0" w:color="auto"/>
              <w:bottom w:val="single" w:sz="4" w:space="0" w:color="auto"/>
              <w:right w:val="single" w:sz="4" w:space="0" w:color="auto"/>
            </w:tcBorders>
            <w:vAlign w:val="center"/>
            <w:hideMark/>
          </w:tcPr>
          <w:p w14:paraId="51E30914" w14:textId="77777777" w:rsidR="0026616B" w:rsidRPr="00361EBF" w:rsidRDefault="0026616B" w:rsidP="00291FAE">
            <w:pPr>
              <w:ind w:left="284"/>
              <w:rPr>
                <w:rFonts w:ascii="Cambria" w:hAnsi="Cambria" w:cs="Calibri"/>
                <w:color w:val="000000"/>
                <w:sz w:val="22"/>
                <w:szCs w:val="22"/>
              </w:rPr>
            </w:pPr>
          </w:p>
        </w:tc>
        <w:tc>
          <w:tcPr>
            <w:tcW w:w="1323" w:type="dxa"/>
            <w:vMerge/>
            <w:tcBorders>
              <w:top w:val="single" w:sz="4" w:space="0" w:color="auto"/>
              <w:left w:val="single" w:sz="4" w:space="0" w:color="auto"/>
              <w:bottom w:val="single" w:sz="4" w:space="0" w:color="auto"/>
              <w:right w:val="single" w:sz="4" w:space="0" w:color="auto"/>
            </w:tcBorders>
            <w:vAlign w:val="center"/>
            <w:hideMark/>
          </w:tcPr>
          <w:p w14:paraId="0DE0236E" w14:textId="77777777" w:rsidR="0026616B" w:rsidRPr="00361EBF" w:rsidRDefault="0026616B" w:rsidP="00291FAE">
            <w:pPr>
              <w:ind w:left="284"/>
              <w:rPr>
                <w:rFonts w:ascii="Cambria" w:hAnsi="Cambria" w:cs="Calibri"/>
                <w:color w:val="000000"/>
                <w:sz w:val="22"/>
                <w:szCs w:val="22"/>
              </w:rPr>
            </w:pPr>
          </w:p>
        </w:tc>
        <w:tc>
          <w:tcPr>
            <w:tcW w:w="2592" w:type="dxa"/>
            <w:tcBorders>
              <w:top w:val="nil"/>
              <w:left w:val="nil"/>
              <w:bottom w:val="single" w:sz="4" w:space="0" w:color="auto"/>
              <w:right w:val="single" w:sz="4" w:space="0" w:color="auto"/>
            </w:tcBorders>
            <w:noWrap/>
            <w:vAlign w:val="bottom"/>
            <w:hideMark/>
          </w:tcPr>
          <w:p w14:paraId="6ABBDA4C" w14:textId="77777777" w:rsidR="0026616B" w:rsidRPr="00361EBF" w:rsidRDefault="0026616B" w:rsidP="00291FAE">
            <w:pPr>
              <w:ind w:left="284"/>
              <w:jc w:val="center"/>
              <w:rPr>
                <w:rFonts w:ascii="Cambria" w:hAnsi="Cambria" w:cs="Calibri"/>
                <w:color w:val="000000"/>
                <w:sz w:val="22"/>
                <w:szCs w:val="22"/>
              </w:rPr>
            </w:pPr>
            <w:r w:rsidRPr="00361EBF">
              <w:rPr>
                <w:rFonts w:ascii="Cambria" w:hAnsi="Cambria" w:cs="Calibri"/>
                <w:color w:val="000000"/>
                <w:sz w:val="22"/>
                <w:szCs w:val="22"/>
              </w:rPr>
              <w:t>A</w:t>
            </w:r>
          </w:p>
        </w:tc>
        <w:tc>
          <w:tcPr>
            <w:tcW w:w="2471" w:type="dxa"/>
            <w:tcBorders>
              <w:top w:val="nil"/>
              <w:left w:val="nil"/>
              <w:bottom w:val="single" w:sz="4" w:space="0" w:color="auto"/>
              <w:right w:val="single" w:sz="4" w:space="0" w:color="auto"/>
            </w:tcBorders>
            <w:noWrap/>
            <w:vAlign w:val="bottom"/>
            <w:hideMark/>
          </w:tcPr>
          <w:p w14:paraId="43B27D4F" w14:textId="77777777" w:rsidR="0026616B" w:rsidRPr="00361EBF" w:rsidRDefault="0026616B" w:rsidP="00291FAE">
            <w:pPr>
              <w:ind w:left="284"/>
              <w:jc w:val="center"/>
              <w:rPr>
                <w:rFonts w:ascii="Cambria" w:hAnsi="Cambria" w:cs="Calibri"/>
                <w:color w:val="000000"/>
                <w:sz w:val="22"/>
                <w:szCs w:val="22"/>
              </w:rPr>
            </w:pPr>
            <w:r w:rsidRPr="00361EBF">
              <w:rPr>
                <w:rFonts w:ascii="Cambria" w:hAnsi="Cambria" w:cs="Calibri"/>
                <w:color w:val="000000"/>
                <w:sz w:val="22"/>
                <w:szCs w:val="22"/>
              </w:rPr>
              <w:t>B</w:t>
            </w:r>
          </w:p>
        </w:tc>
        <w:tc>
          <w:tcPr>
            <w:tcW w:w="2660" w:type="dxa"/>
            <w:tcBorders>
              <w:top w:val="nil"/>
              <w:left w:val="nil"/>
              <w:bottom w:val="single" w:sz="4" w:space="0" w:color="auto"/>
              <w:right w:val="single" w:sz="4" w:space="0" w:color="auto"/>
            </w:tcBorders>
            <w:noWrap/>
            <w:vAlign w:val="bottom"/>
            <w:hideMark/>
          </w:tcPr>
          <w:p w14:paraId="317E2886" w14:textId="77777777" w:rsidR="0026616B" w:rsidRPr="00361EBF" w:rsidRDefault="0026616B" w:rsidP="00291FAE">
            <w:pPr>
              <w:ind w:left="284"/>
              <w:jc w:val="center"/>
              <w:rPr>
                <w:rFonts w:ascii="Cambria" w:hAnsi="Cambria" w:cs="Calibri"/>
                <w:color w:val="000000"/>
                <w:sz w:val="22"/>
                <w:szCs w:val="22"/>
              </w:rPr>
            </w:pPr>
            <w:r w:rsidRPr="00361EBF">
              <w:rPr>
                <w:rFonts w:ascii="Cambria" w:hAnsi="Cambria" w:cs="Calibri"/>
                <w:color w:val="000000"/>
                <w:sz w:val="22"/>
                <w:szCs w:val="22"/>
              </w:rPr>
              <w:t>C= A+B</w:t>
            </w:r>
          </w:p>
        </w:tc>
      </w:tr>
      <w:tr w:rsidR="00361EBF" w:rsidRPr="00361EBF" w14:paraId="67A56C4A" w14:textId="77777777" w:rsidTr="00361EBF">
        <w:trPr>
          <w:trHeight w:val="244"/>
          <w:jc w:val="center"/>
        </w:trPr>
        <w:tc>
          <w:tcPr>
            <w:tcW w:w="748" w:type="dxa"/>
            <w:tcBorders>
              <w:top w:val="nil"/>
              <w:left w:val="single" w:sz="4" w:space="0" w:color="auto"/>
              <w:bottom w:val="single" w:sz="4" w:space="0" w:color="auto"/>
              <w:right w:val="single" w:sz="4" w:space="0" w:color="auto"/>
            </w:tcBorders>
            <w:noWrap/>
            <w:vAlign w:val="bottom"/>
            <w:hideMark/>
          </w:tcPr>
          <w:p w14:paraId="1372CBC8" w14:textId="77777777" w:rsidR="0026616B" w:rsidRPr="00361EBF" w:rsidRDefault="0026616B" w:rsidP="00291FAE">
            <w:pPr>
              <w:ind w:left="284"/>
              <w:jc w:val="center"/>
              <w:rPr>
                <w:rFonts w:ascii="Cambria" w:hAnsi="Cambria" w:cs="Calibri"/>
                <w:b/>
                <w:bCs/>
                <w:color w:val="000000"/>
                <w:sz w:val="22"/>
                <w:szCs w:val="22"/>
              </w:rPr>
            </w:pPr>
            <w:r w:rsidRPr="00361EBF">
              <w:rPr>
                <w:rFonts w:ascii="Cambria" w:hAnsi="Cambria" w:cs="Calibri"/>
                <w:b/>
                <w:bCs/>
                <w:color w:val="000000"/>
                <w:sz w:val="22"/>
                <w:szCs w:val="22"/>
              </w:rPr>
              <w:t>2</w:t>
            </w:r>
          </w:p>
        </w:tc>
        <w:tc>
          <w:tcPr>
            <w:tcW w:w="1323" w:type="dxa"/>
            <w:tcBorders>
              <w:top w:val="nil"/>
              <w:left w:val="nil"/>
              <w:bottom w:val="single" w:sz="4" w:space="0" w:color="auto"/>
              <w:right w:val="single" w:sz="4" w:space="0" w:color="auto"/>
            </w:tcBorders>
            <w:noWrap/>
            <w:vAlign w:val="bottom"/>
            <w:hideMark/>
          </w:tcPr>
          <w:p w14:paraId="36007C24" w14:textId="77777777" w:rsidR="0026616B" w:rsidRPr="00361EBF" w:rsidRDefault="0026616B" w:rsidP="00291FAE">
            <w:pPr>
              <w:ind w:left="284"/>
              <w:jc w:val="center"/>
              <w:rPr>
                <w:rFonts w:ascii="Cambria" w:hAnsi="Cambria" w:cs="Calibri"/>
                <w:b/>
                <w:bCs/>
                <w:color w:val="000000"/>
                <w:sz w:val="22"/>
                <w:szCs w:val="22"/>
              </w:rPr>
            </w:pPr>
            <w:r w:rsidRPr="00361EBF">
              <w:rPr>
                <w:rFonts w:ascii="Cambria" w:hAnsi="Cambria" w:cs="Calibri"/>
                <w:b/>
                <w:bCs/>
                <w:color w:val="000000"/>
                <w:sz w:val="22"/>
                <w:szCs w:val="22"/>
              </w:rPr>
              <w:t>Total</w:t>
            </w:r>
          </w:p>
        </w:tc>
        <w:tc>
          <w:tcPr>
            <w:tcW w:w="2592" w:type="dxa"/>
            <w:tcBorders>
              <w:top w:val="nil"/>
              <w:left w:val="nil"/>
              <w:bottom w:val="single" w:sz="4" w:space="0" w:color="auto"/>
              <w:right w:val="single" w:sz="4" w:space="0" w:color="auto"/>
            </w:tcBorders>
            <w:noWrap/>
            <w:vAlign w:val="bottom"/>
            <w:hideMark/>
          </w:tcPr>
          <w:p w14:paraId="4BA74BAB" w14:textId="77777777" w:rsidR="0026616B" w:rsidRPr="00361EBF" w:rsidRDefault="0026616B" w:rsidP="00291FAE">
            <w:pPr>
              <w:ind w:left="284"/>
              <w:jc w:val="center"/>
              <w:rPr>
                <w:rFonts w:ascii="Cambria" w:hAnsi="Cambria" w:cs="Calibri"/>
                <w:b/>
                <w:bCs/>
                <w:color w:val="000000"/>
                <w:sz w:val="22"/>
                <w:szCs w:val="22"/>
              </w:rPr>
            </w:pPr>
            <w:r w:rsidRPr="00361EBF">
              <w:rPr>
                <w:rFonts w:ascii="Cambria" w:hAnsi="Cambria" w:cs="Calibri"/>
                <w:b/>
                <w:bCs/>
                <w:color w:val="000000"/>
                <w:sz w:val="22"/>
                <w:szCs w:val="22"/>
              </w:rPr>
              <w:t>435664</w:t>
            </w:r>
          </w:p>
        </w:tc>
        <w:tc>
          <w:tcPr>
            <w:tcW w:w="2471" w:type="dxa"/>
            <w:tcBorders>
              <w:top w:val="nil"/>
              <w:left w:val="nil"/>
              <w:bottom w:val="single" w:sz="4" w:space="0" w:color="auto"/>
              <w:right w:val="single" w:sz="4" w:space="0" w:color="auto"/>
            </w:tcBorders>
            <w:noWrap/>
            <w:vAlign w:val="bottom"/>
            <w:hideMark/>
          </w:tcPr>
          <w:p w14:paraId="6C0EA9BF" w14:textId="77777777" w:rsidR="0026616B" w:rsidRPr="00361EBF" w:rsidRDefault="0026616B" w:rsidP="00291FAE">
            <w:pPr>
              <w:ind w:left="284"/>
              <w:jc w:val="center"/>
              <w:rPr>
                <w:rFonts w:ascii="Cambria" w:hAnsi="Cambria" w:cs="Calibri"/>
                <w:b/>
                <w:bCs/>
                <w:color w:val="000000"/>
                <w:sz w:val="22"/>
                <w:szCs w:val="22"/>
              </w:rPr>
            </w:pPr>
            <w:r w:rsidRPr="00361EBF">
              <w:rPr>
                <w:rFonts w:ascii="Cambria" w:hAnsi="Cambria" w:cs="Calibri"/>
                <w:b/>
                <w:bCs/>
                <w:color w:val="000000"/>
                <w:sz w:val="22"/>
                <w:szCs w:val="22"/>
              </w:rPr>
              <w:t>1326208</w:t>
            </w:r>
          </w:p>
        </w:tc>
        <w:tc>
          <w:tcPr>
            <w:tcW w:w="2660" w:type="dxa"/>
            <w:tcBorders>
              <w:top w:val="nil"/>
              <w:left w:val="nil"/>
              <w:bottom w:val="single" w:sz="4" w:space="0" w:color="auto"/>
              <w:right w:val="single" w:sz="4" w:space="0" w:color="auto"/>
            </w:tcBorders>
            <w:noWrap/>
            <w:vAlign w:val="bottom"/>
            <w:hideMark/>
          </w:tcPr>
          <w:p w14:paraId="0993014C" w14:textId="77777777" w:rsidR="0026616B" w:rsidRPr="00361EBF" w:rsidRDefault="0026616B" w:rsidP="00291FAE">
            <w:pPr>
              <w:ind w:left="284"/>
              <w:jc w:val="center"/>
              <w:rPr>
                <w:rFonts w:ascii="Cambria" w:hAnsi="Cambria" w:cs="Calibri"/>
                <w:b/>
                <w:bCs/>
                <w:color w:val="000000"/>
                <w:sz w:val="22"/>
                <w:szCs w:val="22"/>
              </w:rPr>
            </w:pPr>
            <w:r w:rsidRPr="00361EBF">
              <w:rPr>
                <w:rFonts w:ascii="Cambria" w:hAnsi="Cambria" w:cs="Calibri"/>
                <w:b/>
                <w:bCs/>
                <w:color w:val="000000"/>
                <w:sz w:val="22"/>
                <w:szCs w:val="22"/>
              </w:rPr>
              <w:t>1761872</w:t>
            </w:r>
          </w:p>
        </w:tc>
      </w:tr>
    </w:tbl>
    <w:p w14:paraId="50384F1D" w14:textId="77777777" w:rsidR="0026616B" w:rsidRPr="008F5AAF" w:rsidRDefault="0026616B" w:rsidP="00291FAE">
      <w:pPr>
        <w:pStyle w:val="ListParagraph"/>
        <w:spacing w:after="160" w:line="360" w:lineRule="auto"/>
        <w:ind w:left="284"/>
        <w:jc w:val="both"/>
        <w:rPr>
          <w:rFonts w:ascii="Cambria" w:eastAsia="Cambria" w:hAnsi="Cambria" w:cs="Cambria"/>
          <w:color w:val="000000" w:themeColor="text1"/>
        </w:rPr>
      </w:pPr>
    </w:p>
    <w:p w14:paraId="7E3B1AF0" w14:textId="77777777" w:rsidR="0026616B" w:rsidRPr="00361EBF" w:rsidRDefault="0026616B" w:rsidP="00291FAE">
      <w:pPr>
        <w:pStyle w:val="ListParagraph"/>
        <w:spacing w:after="160" w:line="360" w:lineRule="auto"/>
        <w:ind w:left="284"/>
        <w:jc w:val="both"/>
        <w:rPr>
          <w:rFonts w:ascii="Cambria" w:hAnsi="Cambria" w:cs="Calibri"/>
          <w:b/>
          <w:bCs/>
          <w:color w:val="000000"/>
          <w:sz w:val="24"/>
          <w:u w:val="single"/>
        </w:rPr>
      </w:pPr>
      <w:r w:rsidRPr="00361EBF">
        <w:rPr>
          <w:rFonts w:ascii="Cambria" w:eastAsia="Cambria" w:hAnsi="Cambria" w:cs="Cambria"/>
          <w:b/>
          <w:bCs/>
          <w:color w:val="000000" w:themeColor="text1"/>
          <w:sz w:val="24"/>
          <w:u w:val="single"/>
        </w:rPr>
        <w:t xml:space="preserve">Smart metering status of </w:t>
      </w:r>
      <w:r w:rsidRPr="00361EBF">
        <w:rPr>
          <w:rFonts w:ascii="Cambria" w:hAnsi="Cambria" w:cs="Calibri"/>
          <w:b/>
          <w:bCs/>
          <w:color w:val="000000"/>
          <w:sz w:val="24"/>
          <w:u w:val="single"/>
        </w:rPr>
        <w:t xml:space="preserve">Consumer with CD&gt; 2 kW as on </w:t>
      </w:r>
      <w:bookmarkStart w:id="138" w:name="_Hlk212287356"/>
      <w:r w:rsidRPr="00361EBF">
        <w:rPr>
          <w:rFonts w:ascii="Cambria" w:hAnsi="Cambria" w:cs="Calibri"/>
          <w:b/>
          <w:bCs/>
          <w:color w:val="000000"/>
          <w:sz w:val="24"/>
          <w:u w:val="single"/>
        </w:rPr>
        <w:t>30</w:t>
      </w:r>
      <w:r w:rsidRPr="00361EBF">
        <w:rPr>
          <w:rFonts w:ascii="Cambria" w:hAnsi="Cambria" w:cs="Calibri"/>
          <w:b/>
          <w:bCs/>
          <w:color w:val="000000"/>
          <w:sz w:val="24"/>
          <w:u w:val="single"/>
          <w:vertAlign w:val="superscript"/>
        </w:rPr>
        <w:t>th</w:t>
      </w:r>
      <w:r w:rsidRPr="00361EBF">
        <w:rPr>
          <w:rFonts w:ascii="Cambria" w:hAnsi="Cambria" w:cs="Calibri"/>
          <w:b/>
          <w:bCs/>
          <w:color w:val="000000"/>
          <w:sz w:val="24"/>
          <w:u w:val="single"/>
        </w:rPr>
        <w:t xml:space="preserve"> Sep 2025</w:t>
      </w:r>
      <w:bookmarkEnd w:id="138"/>
      <w:r w:rsidRPr="00361EBF">
        <w:rPr>
          <w:rFonts w:ascii="Cambria" w:hAnsi="Cambria" w:cs="Calibri"/>
          <w:b/>
          <w:bCs/>
          <w:color w:val="000000"/>
          <w:sz w:val="24"/>
          <w:u w:val="single"/>
        </w:rPr>
        <w:t>:</w:t>
      </w:r>
    </w:p>
    <w:tbl>
      <w:tblPr>
        <w:tblW w:w="7060" w:type="dxa"/>
        <w:jc w:val="center"/>
        <w:tblLook w:val="04A0" w:firstRow="1" w:lastRow="0" w:firstColumn="1" w:lastColumn="0" w:noHBand="0" w:noVBand="1"/>
      </w:tblPr>
      <w:tblGrid>
        <w:gridCol w:w="775"/>
        <w:gridCol w:w="2041"/>
        <w:gridCol w:w="1843"/>
        <w:gridCol w:w="1632"/>
        <w:gridCol w:w="1531"/>
      </w:tblGrid>
      <w:tr w:rsidR="0026616B" w:rsidRPr="008F5AAF" w14:paraId="6A3DA719" w14:textId="77777777" w:rsidTr="001F21DF">
        <w:trPr>
          <w:trHeight w:val="290"/>
          <w:jc w:val="center"/>
        </w:trPr>
        <w:tc>
          <w:tcPr>
            <w:tcW w:w="567" w:type="dxa"/>
            <w:vMerge w:val="restart"/>
            <w:tcBorders>
              <w:top w:val="single" w:sz="4" w:space="0" w:color="auto"/>
              <w:left w:val="single" w:sz="4" w:space="0" w:color="auto"/>
              <w:bottom w:val="single" w:sz="4" w:space="0" w:color="auto"/>
              <w:right w:val="single" w:sz="4" w:space="0" w:color="auto"/>
            </w:tcBorders>
            <w:noWrap/>
            <w:vAlign w:val="center"/>
            <w:hideMark/>
          </w:tcPr>
          <w:p w14:paraId="3C857049" w14:textId="77777777" w:rsidR="0026616B" w:rsidRPr="00361EBF" w:rsidRDefault="0026616B" w:rsidP="00291FAE">
            <w:pPr>
              <w:ind w:left="284"/>
              <w:jc w:val="center"/>
              <w:rPr>
                <w:rFonts w:ascii="Cambria" w:hAnsi="Cambria" w:cs="Calibri"/>
                <w:b/>
                <w:color w:val="000000"/>
                <w:sz w:val="22"/>
                <w:szCs w:val="22"/>
                <w:lang w:val="en-IN"/>
              </w:rPr>
            </w:pPr>
            <w:r w:rsidRPr="00361EBF">
              <w:rPr>
                <w:rFonts w:ascii="Cambria" w:hAnsi="Cambria" w:cs="Calibri"/>
                <w:b/>
                <w:color w:val="000000"/>
                <w:sz w:val="22"/>
                <w:szCs w:val="22"/>
              </w:rPr>
              <w:t>Sr No</w:t>
            </w:r>
          </w:p>
        </w:tc>
        <w:tc>
          <w:tcPr>
            <w:tcW w:w="2041" w:type="dxa"/>
            <w:vMerge w:val="restart"/>
            <w:tcBorders>
              <w:top w:val="single" w:sz="4" w:space="0" w:color="auto"/>
              <w:left w:val="single" w:sz="4" w:space="0" w:color="auto"/>
              <w:bottom w:val="single" w:sz="4" w:space="0" w:color="auto"/>
              <w:right w:val="single" w:sz="4" w:space="0" w:color="auto"/>
            </w:tcBorders>
            <w:vAlign w:val="center"/>
            <w:hideMark/>
          </w:tcPr>
          <w:p w14:paraId="6631672D" w14:textId="77777777" w:rsidR="0026616B" w:rsidRPr="00361EBF" w:rsidRDefault="0026616B" w:rsidP="00291FAE">
            <w:pPr>
              <w:ind w:left="284"/>
              <w:jc w:val="center"/>
              <w:rPr>
                <w:rFonts w:ascii="Cambria" w:hAnsi="Cambria" w:cs="Calibri"/>
                <w:b/>
                <w:color w:val="000000"/>
                <w:sz w:val="22"/>
                <w:szCs w:val="22"/>
              </w:rPr>
            </w:pPr>
            <w:r w:rsidRPr="00361EBF">
              <w:rPr>
                <w:rFonts w:ascii="Cambria" w:hAnsi="Cambria" w:cs="Calibri"/>
                <w:b/>
                <w:color w:val="000000"/>
                <w:sz w:val="22"/>
                <w:szCs w:val="22"/>
              </w:rPr>
              <w:t>Meter Type</w:t>
            </w:r>
          </w:p>
        </w:tc>
        <w:tc>
          <w:tcPr>
            <w:tcW w:w="4452" w:type="dxa"/>
            <w:gridSpan w:val="3"/>
            <w:tcBorders>
              <w:top w:val="single" w:sz="4" w:space="0" w:color="auto"/>
              <w:left w:val="nil"/>
              <w:bottom w:val="single" w:sz="4" w:space="0" w:color="auto"/>
              <w:right w:val="single" w:sz="4" w:space="0" w:color="auto"/>
            </w:tcBorders>
            <w:noWrap/>
            <w:vAlign w:val="bottom"/>
            <w:hideMark/>
          </w:tcPr>
          <w:p w14:paraId="10500E34" w14:textId="77777777" w:rsidR="0026616B" w:rsidRPr="00361EBF" w:rsidRDefault="0026616B" w:rsidP="00291FAE">
            <w:pPr>
              <w:ind w:left="284"/>
              <w:jc w:val="center"/>
              <w:rPr>
                <w:rFonts w:ascii="Cambria" w:hAnsi="Cambria" w:cs="Calibri"/>
                <w:b/>
                <w:bCs/>
                <w:color w:val="000000"/>
                <w:sz w:val="22"/>
                <w:szCs w:val="22"/>
              </w:rPr>
            </w:pPr>
            <w:r w:rsidRPr="00361EBF">
              <w:rPr>
                <w:rFonts w:ascii="Cambria" w:hAnsi="Cambria" w:cs="Calibri"/>
                <w:b/>
                <w:bCs/>
                <w:color w:val="000000"/>
                <w:sz w:val="22"/>
                <w:szCs w:val="22"/>
              </w:rPr>
              <w:t>Status as on 30</w:t>
            </w:r>
            <w:r w:rsidRPr="00361EBF">
              <w:rPr>
                <w:rFonts w:ascii="Cambria" w:hAnsi="Cambria" w:cs="Calibri"/>
                <w:b/>
                <w:bCs/>
                <w:color w:val="000000"/>
                <w:sz w:val="22"/>
                <w:szCs w:val="22"/>
                <w:vertAlign w:val="superscript"/>
              </w:rPr>
              <w:t>th</w:t>
            </w:r>
            <w:r w:rsidRPr="00361EBF">
              <w:rPr>
                <w:rFonts w:ascii="Cambria" w:hAnsi="Cambria" w:cs="Calibri"/>
                <w:b/>
                <w:bCs/>
                <w:color w:val="000000"/>
                <w:sz w:val="22"/>
                <w:szCs w:val="22"/>
              </w:rPr>
              <w:t xml:space="preserve"> SEP 2025</w:t>
            </w:r>
          </w:p>
        </w:tc>
      </w:tr>
      <w:tr w:rsidR="0026616B" w:rsidRPr="008F5AAF" w14:paraId="271E93D7" w14:textId="77777777" w:rsidTr="001F21DF">
        <w:trPr>
          <w:trHeight w:val="290"/>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A404B7D" w14:textId="77777777" w:rsidR="0026616B" w:rsidRPr="00361EBF" w:rsidRDefault="0026616B" w:rsidP="00291FAE">
            <w:pPr>
              <w:ind w:left="284"/>
              <w:rPr>
                <w:rFonts w:ascii="Cambria" w:hAnsi="Cambria" w:cs="Calibri"/>
                <w:b/>
                <w:color w:val="000000"/>
                <w:sz w:val="22"/>
                <w:szCs w:val="22"/>
              </w:rPr>
            </w:pPr>
          </w:p>
        </w:tc>
        <w:tc>
          <w:tcPr>
            <w:tcW w:w="2041" w:type="dxa"/>
            <w:vMerge/>
            <w:tcBorders>
              <w:top w:val="single" w:sz="4" w:space="0" w:color="auto"/>
              <w:left w:val="single" w:sz="4" w:space="0" w:color="auto"/>
              <w:bottom w:val="single" w:sz="4" w:space="0" w:color="auto"/>
              <w:right w:val="single" w:sz="4" w:space="0" w:color="auto"/>
            </w:tcBorders>
            <w:vAlign w:val="center"/>
            <w:hideMark/>
          </w:tcPr>
          <w:p w14:paraId="6F9CD957" w14:textId="77777777" w:rsidR="0026616B" w:rsidRPr="00361EBF" w:rsidRDefault="0026616B" w:rsidP="00291FAE">
            <w:pPr>
              <w:ind w:left="284"/>
              <w:rPr>
                <w:rFonts w:ascii="Cambria" w:hAnsi="Cambria" w:cs="Calibri"/>
                <w:b/>
                <w:color w:val="000000"/>
                <w:sz w:val="22"/>
                <w:szCs w:val="22"/>
              </w:rPr>
            </w:pPr>
          </w:p>
        </w:tc>
        <w:tc>
          <w:tcPr>
            <w:tcW w:w="4452" w:type="dxa"/>
            <w:gridSpan w:val="3"/>
            <w:tcBorders>
              <w:top w:val="single" w:sz="4" w:space="0" w:color="auto"/>
              <w:left w:val="nil"/>
              <w:bottom w:val="single" w:sz="4" w:space="0" w:color="auto"/>
              <w:right w:val="single" w:sz="4" w:space="0" w:color="auto"/>
            </w:tcBorders>
            <w:noWrap/>
            <w:vAlign w:val="bottom"/>
            <w:hideMark/>
          </w:tcPr>
          <w:p w14:paraId="6F4AE420" w14:textId="77777777" w:rsidR="0026616B" w:rsidRPr="00361EBF" w:rsidRDefault="0026616B" w:rsidP="00291FAE">
            <w:pPr>
              <w:ind w:left="284"/>
              <w:jc w:val="center"/>
              <w:rPr>
                <w:rFonts w:ascii="Cambria" w:hAnsi="Cambria" w:cs="Calibri"/>
                <w:b/>
                <w:bCs/>
                <w:color w:val="000000"/>
                <w:sz w:val="22"/>
                <w:szCs w:val="22"/>
              </w:rPr>
            </w:pPr>
            <w:r w:rsidRPr="00361EBF">
              <w:rPr>
                <w:rFonts w:ascii="Cambria" w:hAnsi="Cambria" w:cs="Calibri"/>
                <w:b/>
                <w:bCs/>
                <w:color w:val="000000"/>
                <w:sz w:val="22"/>
                <w:szCs w:val="22"/>
              </w:rPr>
              <w:t>TPWODL</w:t>
            </w:r>
          </w:p>
        </w:tc>
      </w:tr>
      <w:tr w:rsidR="0026616B" w:rsidRPr="008F5AAF" w14:paraId="343F0E25" w14:textId="77777777" w:rsidTr="001F21DF">
        <w:trPr>
          <w:trHeight w:val="1450"/>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B1A6E74" w14:textId="77777777" w:rsidR="0026616B" w:rsidRPr="00361EBF" w:rsidRDefault="0026616B" w:rsidP="00291FAE">
            <w:pPr>
              <w:ind w:left="284"/>
              <w:rPr>
                <w:rFonts w:ascii="Cambria" w:hAnsi="Cambria" w:cs="Calibri"/>
                <w:b/>
                <w:color w:val="000000"/>
                <w:sz w:val="22"/>
                <w:szCs w:val="22"/>
              </w:rPr>
            </w:pPr>
          </w:p>
        </w:tc>
        <w:tc>
          <w:tcPr>
            <w:tcW w:w="2041" w:type="dxa"/>
            <w:vMerge/>
            <w:tcBorders>
              <w:top w:val="single" w:sz="4" w:space="0" w:color="auto"/>
              <w:left w:val="single" w:sz="4" w:space="0" w:color="auto"/>
              <w:bottom w:val="single" w:sz="4" w:space="0" w:color="auto"/>
              <w:right w:val="single" w:sz="4" w:space="0" w:color="auto"/>
            </w:tcBorders>
            <w:vAlign w:val="center"/>
            <w:hideMark/>
          </w:tcPr>
          <w:p w14:paraId="200C3FB2" w14:textId="77777777" w:rsidR="0026616B" w:rsidRPr="00361EBF" w:rsidRDefault="0026616B" w:rsidP="00291FAE">
            <w:pPr>
              <w:ind w:left="284"/>
              <w:rPr>
                <w:rFonts w:ascii="Cambria" w:hAnsi="Cambria" w:cs="Calibri"/>
                <w:b/>
                <w:color w:val="000000"/>
                <w:sz w:val="22"/>
                <w:szCs w:val="22"/>
              </w:rPr>
            </w:pPr>
          </w:p>
        </w:tc>
        <w:tc>
          <w:tcPr>
            <w:tcW w:w="1843" w:type="dxa"/>
            <w:tcBorders>
              <w:top w:val="nil"/>
              <w:left w:val="nil"/>
              <w:bottom w:val="single" w:sz="4" w:space="0" w:color="auto"/>
              <w:right w:val="single" w:sz="4" w:space="0" w:color="auto"/>
            </w:tcBorders>
            <w:vAlign w:val="center"/>
            <w:hideMark/>
          </w:tcPr>
          <w:p w14:paraId="10F44431" w14:textId="77777777" w:rsidR="0026616B" w:rsidRPr="00361EBF" w:rsidRDefault="0026616B" w:rsidP="00291FAE">
            <w:pPr>
              <w:ind w:left="284"/>
              <w:jc w:val="center"/>
              <w:rPr>
                <w:rFonts w:ascii="Cambria" w:hAnsi="Cambria" w:cs="Calibri"/>
                <w:b/>
                <w:color w:val="000000"/>
                <w:sz w:val="22"/>
                <w:szCs w:val="22"/>
              </w:rPr>
            </w:pPr>
            <w:r w:rsidRPr="00361EBF">
              <w:rPr>
                <w:rFonts w:ascii="Cambria" w:hAnsi="Cambria" w:cs="Calibri"/>
                <w:b/>
                <w:color w:val="000000"/>
                <w:sz w:val="22"/>
                <w:szCs w:val="22"/>
              </w:rPr>
              <w:t xml:space="preserve">Total Nos of Consumers </w:t>
            </w:r>
            <w:r w:rsidRPr="00361EBF">
              <w:rPr>
                <w:rFonts w:ascii="Cambria" w:hAnsi="Cambria" w:cs="Calibri"/>
                <w:b/>
                <w:color w:val="000000"/>
                <w:sz w:val="22"/>
                <w:szCs w:val="22"/>
              </w:rPr>
              <w:br/>
              <w:t>(with CD&gt; 2kW) with Smart Meter Installed</w:t>
            </w:r>
          </w:p>
        </w:tc>
        <w:tc>
          <w:tcPr>
            <w:tcW w:w="1417" w:type="dxa"/>
            <w:tcBorders>
              <w:top w:val="nil"/>
              <w:left w:val="nil"/>
              <w:bottom w:val="single" w:sz="4" w:space="0" w:color="auto"/>
              <w:right w:val="single" w:sz="4" w:space="0" w:color="auto"/>
            </w:tcBorders>
            <w:vAlign w:val="center"/>
            <w:hideMark/>
          </w:tcPr>
          <w:p w14:paraId="05E8CBF1" w14:textId="77777777" w:rsidR="0026616B" w:rsidRPr="00361EBF" w:rsidRDefault="0026616B" w:rsidP="00291FAE">
            <w:pPr>
              <w:ind w:left="284"/>
              <w:jc w:val="center"/>
              <w:rPr>
                <w:rFonts w:ascii="Cambria" w:hAnsi="Cambria" w:cs="Calibri"/>
                <w:b/>
                <w:color w:val="000000"/>
                <w:sz w:val="22"/>
                <w:szCs w:val="22"/>
              </w:rPr>
            </w:pPr>
            <w:r w:rsidRPr="00361EBF">
              <w:rPr>
                <w:rFonts w:ascii="Cambria" w:hAnsi="Cambria" w:cs="Calibri"/>
                <w:b/>
                <w:color w:val="000000"/>
                <w:sz w:val="22"/>
                <w:szCs w:val="22"/>
              </w:rPr>
              <w:t xml:space="preserve">Total No of Consumers (with CD &gt; 2 kW) without Smart Meter </w:t>
            </w:r>
          </w:p>
        </w:tc>
        <w:tc>
          <w:tcPr>
            <w:tcW w:w="1192" w:type="dxa"/>
            <w:tcBorders>
              <w:top w:val="nil"/>
              <w:left w:val="nil"/>
              <w:bottom w:val="single" w:sz="4" w:space="0" w:color="auto"/>
              <w:right w:val="single" w:sz="4" w:space="0" w:color="auto"/>
            </w:tcBorders>
            <w:vAlign w:val="center"/>
            <w:hideMark/>
          </w:tcPr>
          <w:p w14:paraId="4EE4A29C" w14:textId="77777777" w:rsidR="0026616B" w:rsidRPr="00361EBF" w:rsidRDefault="0026616B" w:rsidP="00291FAE">
            <w:pPr>
              <w:ind w:left="284"/>
              <w:jc w:val="center"/>
              <w:rPr>
                <w:rFonts w:ascii="Cambria" w:hAnsi="Cambria" w:cs="Calibri"/>
                <w:b/>
                <w:color w:val="000000"/>
                <w:sz w:val="22"/>
                <w:szCs w:val="22"/>
              </w:rPr>
            </w:pPr>
            <w:r w:rsidRPr="00361EBF">
              <w:rPr>
                <w:rFonts w:ascii="Cambria" w:hAnsi="Cambria" w:cs="Calibri"/>
                <w:b/>
                <w:color w:val="000000"/>
                <w:sz w:val="22"/>
                <w:szCs w:val="22"/>
              </w:rPr>
              <w:t>Total Nos of Consumer</w:t>
            </w:r>
          </w:p>
        </w:tc>
      </w:tr>
      <w:tr w:rsidR="0026616B" w:rsidRPr="008F5AAF" w14:paraId="34D1ABE9" w14:textId="77777777" w:rsidTr="001F21DF">
        <w:trPr>
          <w:trHeight w:val="290"/>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20E6240" w14:textId="77777777" w:rsidR="0026616B" w:rsidRPr="008F5AAF" w:rsidRDefault="0026616B" w:rsidP="00291FAE">
            <w:pPr>
              <w:ind w:left="284"/>
              <w:rPr>
                <w:rFonts w:ascii="Cambria" w:hAnsi="Cambria" w:cs="Calibri"/>
                <w:color w:val="000000"/>
                <w:sz w:val="22"/>
                <w:szCs w:val="22"/>
              </w:rPr>
            </w:pPr>
          </w:p>
        </w:tc>
        <w:tc>
          <w:tcPr>
            <w:tcW w:w="2041" w:type="dxa"/>
            <w:vMerge/>
            <w:tcBorders>
              <w:top w:val="single" w:sz="4" w:space="0" w:color="auto"/>
              <w:left w:val="single" w:sz="4" w:space="0" w:color="auto"/>
              <w:bottom w:val="single" w:sz="4" w:space="0" w:color="auto"/>
              <w:right w:val="single" w:sz="4" w:space="0" w:color="auto"/>
            </w:tcBorders>
            <w:vAlign w:val="center"/>
            <w:hideMark/>
          </w:tcPr>
          <w:p w14:paraId="2CDC3606" w14:textId="77777777" w:rsidR="0026616B" w:rsidRPr="008F5AAF" w:rsidRDefault="0026616B" w:rsidP="00291FAE">
            <w:pPr>
              <w:ind w:left="284"/>
              <w:rPr>
                <w:rFonts w:ascii="Cambria" w:hAnsi="Cambria" w:cs="Calibri"/>
                <w:color w:val="000000"/>
                <w:sz w:val="22"/>
                <w:szCs w:val="22"/>
              </w:rPr>
            </w:pPr>
          </w:p>
        </w:tc>
        <w:tc>
          <w:tcPr>
            <w:tcW w:w="1843" w:type="dxa"/>
            <w:tcBorders>
              <w:top w:val="nil"/>
              <w:left w:val="nil"/>
              <w:bottom w:val="single" w:sz="4" w:space="0" w:color="auto"/>
              <w:right w:val="single" w:sz="4" w:space="0" w:color="auto"/>
            </w:tcBorders>
            <w:noWrap/>
            <w:vAlign w:val="bottom"/>
            <w:hideMark/>
          </w:tcPr>
          <w:p w14:paraId="171158ED" w14:textId="77777777" w:rsidR="0026616B" w:rsidRPr="008F5AAF" w:rsidRDefault="0026616B" w:rsidP="00291FAE">
            <w:pPr>
              <w:ind w:left="284"/>
              <w:jc w:val="center"/>
              <w:rPr>
                <w:rFonts w:ascii="Cambria" w:hAnsi="Cambria" w:cs="Calibri"/>
                <w:color w:val="000000"/>
                <w:sz w:val="22"/>
                <w:szCs w:val="22"/>
              </w:rPr>
            </w:pPr>
            <w:r w:rsidRPr="008F5AAF">
              <w:rPr>
                <w:rFonts w:ascii="Cambria" w:hAnsi="Cambria" w:cs="Calibri"/>
                <w:color w:val="000000"/>
                <w:sz w:val="22"/>
                <w:szCs w:val="22"/>
              </w:rPr>
              <w:t>A</w:t>
            </w:r>
          </w:p>
        </w:tc>
        <w:tc>
          <w:tcPr>
            <w:tcW w:w="1417" w:type="dxa"/>
            <w:tcBorders>
              <w:top w:val="nil"/>
              <w:left w:val="nil"/>
              <w:bottom w:val="single" w:sz="4" w:space="0" w:color="auto"/>
              <w:right w:val="single" w:sz="4" w:space="0" w:color="auto"/>
            </w:tcBorders>
            <w:noWrap/>
            <w:vAlign w:val="bottom"/>
            <w:hideMark/>
          </w:tcPr>
          <w:p w14:paraId="0F8D4049" w14:textId="77777777" w:rsidR="0026616B" w:rsidRPr="008F5AAF" w:rsidRDefault="0026616B" w:rsidP="00291FAE">
            <w:pPr>
              <w:ind w:left="284"/>
              <w:jc w:val="center"/>
              <w:rPr>
                <w:rFonts w:ascii="Cambria" w:hAnsi="Cambria" w:cs="Calibri"/>
                <w:color w:val="000000"/>
                <w:sz w:val="22"/>
                <w:szCs w:val="22"/>
              </w:rPr>
            </w:pPr>
            <w:r w:rsidRPr="008F5AAF">
              <w:rPr>
                <w:rFonts w:ascii="Cambria" w:hAnsi="Cambria" w:cs="Calibri"/>
                <w:color w:val="000000"/>
                <w:sz w:val="22"/>
                <w:szCs w:val="22"/>
              </w:rPr>
              <w:t>B</w:t>
            </w:r>
          </w:p>
        </w:tc>
        <w:tc>
          <w:tcPr>
            <w:tcW w:w="1192" w:type="dxa"/>
            <w:tcBorders>
              <w:top w:val="nil"/>
              <w:left w:val="nil"/>
              <w:bottom w:val="single" w:sz="4" w:space="0" w:color="auto"/>
              <w:right w:val="single" w:sz="4" w:space="0" w:color="auto"/>
            </w:tcBorders>
            <w:noWrap/>
            <w:vAlign w:val="bottom"/>
            <w:hideMark/>
          </w:tcPr>
          <w:p w14:paraId="38E7EF3C" w14:textId="77777777" w:rsidR="0026616B" w:rsidRPr="008F5AAF" w:rsidRDefault="0026616B" w:rsidP="00291FAE">
            <w:pPr>
              <w:ind w:left="284"/>
              <w:jc w:val="center"/>
              <w:rPr>
                <w:rFonts w:ascii="Cambria" w:hAnsi="Cambria" w:cs="Calibri"/>
                <w:color w:val="000000"/>
                <w:sz w:val="22"/>
                <w:szCs w:val="22"/>
              </w:rPr>
            </w:pPr>
            <w:r w:rsidRPr="008F5AAF">
              <w:rPr>
                <w:rFonts w:ascii="Cambria" w:hAnsi="Cambria" w:cs="Calibri"/>
                <w:color w:val="000000"/>
                <w:sz w:val="22"/>
                <w:szCs w:val="22"/>
              </w:rPr>
              <w:t>C= A+B</w:t>
            </w:r>
          </w:p>
        </w:tc>
      </w:tr>
      <w:tr w:rsidR="0026616B" w:rsidRPr="008F5AAF" w14:paraId="6600E4DD" w14:textId="77777777" w:rsidTr="001F21DF">
        <w:trPr>
          <w:trHeight w:val="290"/>
          <w:jc w:val="center"/>
        </w:trPr>
        <w:tc>
          <w:tcPr>
            <w:tcW w:w="567" w:type="dxa"/>
            <w:tcBorders>
              <w:top w:val="nil"/>
              <w:left w:val="single" w:sz="4" w:space="0" w:color="auto"/>
              <w:bottom w:val="single" w:sz="4" w:space="0" w:color="auto"/>
              <w:right w:val="single" w:sz="4" w:space="0" w:color="auto"/>
            </w:tcBorders>
            <w:noWrap/>
            <w:vAlign w:val="bottom"/>
            <w:hideMark/>
          </w:tcPr>
          <w:p w14:paraId="6ABCDEB0" w14:textId="77777777" w:rsidR="0026616B" w:rsidRPr="008F5AAF" w:rsidRDefault="0026616B" w:rsidP="00291FAE">
            <w:pPr>
              <w:ind w:left="284"/>
              <w:jc w:val="center"/>
              <w:rPr>
                <w:rFonts w:ascii="Cambria" w:hAnsi="Cambria" w:cs="Calibri"/>
                <w:color w:val="000000"/>
                <w:sz w:val="22"/>
                <w:szCs w:val="22"/>
              </w:rPr>
            </w:pPr>
            <w:r w:rsidRPr="008F5AAF">
              <w:rPr>
                <w:rFonts w:ascii="Cambria" w:hAnsi="Cambria" w:cs="Calibri"/>
                <w:color w:val="000000"/>
                <w:sz w:val="22"/>
                <w:szCs w:val="22"/>
              </w:rPr>
              <w:t>1</w:t>
            </w:r>
          </w:p>
        </w:tc>
        <w:tc>
          <w:tcPr>
            <w:tcW w:w="2041" w:type="dxa"/>
            <w:tcBorders>
              <w:top w:val="nil"/>
              <w:left w:val="nil"/>
              <w:bottom w:val="single" w:sz="4" w:space="0" w:color="auto"/>
              <w:right w:val="single" w:sz="4" w:space="0" w:color="auto"/>
            </w:tcBorders>
            <w:noWrap/>
            <w:vAlign w:val="bottom"/>
            <w:hideMark/>
          </w:tcPr>
          <w:p w14:paraId="6AB7E5FE" w14:textId="77777777" w:rsidR="0026616B" w:rsidRPr="008F5AAF" w:rsidRDefault="0026616B" w:rsidP="00291FAE">
            <w:pPr>
              <w:ind w:left="284"/>
              <w:rPr>
                <w:rFonts w:ascii="Cambria" w:hAnsi="Cambria" w:cs="Calibri"/>
                <w:color w:val="000000"/>
                <w:sz w:val="22"/>
                <w:szCs w:val="22"/>
              </w:rPr>
            </w:pPr>
            <w:r w:rsidRPr="008F5AAF">
              <w:rPr>
                <w:rFonts w:ascii="Cambria" w:hAnsi="Cambria" w:cs="Calibri"/>
                <w:color w:val="000000"/>
                <w:sz w:val="22"/>
                <w:szCs w:val="22"/>
              </w:rPr>
              <w:t>Single Phase</w:t>
            </w:r>
          </w:p>
        </w:tc>
        <w:tc>
          <w:tcPr>
            <w:tcW w:w="1843" w:type="dxa"/>
            <w:tcBorders>
              <w:top w:val="nil"/>
              <w:left w:val="nil"/>
              <w:bottom w:val="single" w:sz="4" w:space="0" w:color="auto"/>
              <w:right w:val="single" w:sz="4" w:space="0" w:color="auto"/>
            </w:tcBorders>
            <w:vAlign w:val="center"/>
            <w:hideMark/>
          </w:tcPr>
          <w:p w14:paraId="2BFF3C3B" w14:textId="77777777" w:rsidR="0026616B" w:rsidRPr="008F5AAF" w:rsidRDefault="0026616B" w:rsidP="00291FAE">
            <w:pPr>
              <w:ind w:left="284"/>
              <w:jc w:val="center"/>
              <w:rPr>
                <w:rFonts w:ascii="Cambria" w:hAnsi="Cambria" w:cs="Calibri"/>
                <w:color w:val="000000"/>
                <w:sz w:val="22"/>
                <w:szCs w:val="22"/>
              </w:rPr>
            </w:pPr>
            <w:r w:rsidRPr="008F5AAF">
              <w:rPr>
                <w:rFonts w:ascii="Cambria" w:hAnsi="Cambria" w:cs="Calibri"/>
                <w:color w:val="000000"/>
                <w:sz w:val="22"/>
                <w:szCs w:val="22"/>
              </w:rPr>
              <w:t>59,450</w:t>
            </w:r>
          </w:p>
        </w:tc>
        <w:tc>
          <w:tcPr>
            <w:tcW w:w="1417" w:type="dxa"/>
            <w:tcBorders>
              <w:top w:val="nil"/>
              <w:left w:val="nil"/>
              <w:bottom w:val="single" w:sz="4" w:space="0" w:color="auto"/>
              <w:right w:val="single" w:sz="4" w:space="0" w:color="auto"/>
            </w:tcBorders>
            <w:vAlign w:val="center"/>
            <w:hideMark/>
          </w:tcPr>
          <w:p w14:paraId="79B6800B" w14:textId="77777777" w:rsidR="0026616B" w:rsidRPr="008F5AAF" w:rsidRDefault="0026616B" w:rsidP="00291FAE">
            <w:pPr>
              <w:ind w:left="284"/>
              <w:jc w:val="center"/>
              <w:rPr>
                <w:rFonts w:ascii="Cambria" w:hAnsi="Cambria" w:cs="Calibri"/>
                <w:color w:val="000000"/>
                <w:sz w:val="22"/>
                <w:szCs w:val="22"/>
              </w:rPr>
            </w:pPr>
            <w:r w:rsidRPr="008F5AAF">
              <w:rPr>
                <w:rFonts w:ascii="Cambria" w:hAnsi="Cambria" w:cs="Calibri"/>
                <w:color w:val="000000"/>
                <w:sz w:val="22"/>
                <w:szCs w:val="22"/>
              </w:rPr>
              <w:t>1,42,608</w:t>
            </w:r>
          </w:p>
        </w:tc>
        <w:tc>
          <w:tcPr>
            <w:tcW w:w="1192" w:type="dxa"/>
            <w:tcBorders>
              <w:top w:val="nil"/>
              <w:left w:val="nil"/>
              <w:bottom w:val="single" w:sz="4" w:space="0" w:color="auto"/>
              <w:right w:val="single" w:sz="4" w:space="0" w:color="auto"/>
            </w:tcBorders>
            <w:noWrap/>
            <w:vAlign w:val="center"/>
            <w:hideMark/>
          </w:tcPr>
          <w:p w14:paraId="695B1350" w14:textId="77777777" w:rsidR="0026616B" w:rsidRPr="008F5AAF" w:rsidRDefault="0026616B" w:rsidP="00291FAE">
            <w:pPr>
              <w:ind w:left="284"/>
              <w:jc w:val="center"/>
              <w:rPr>
                <w:rFonts w:ascii="Cambria" w:hAnsi="Cambria" w:cs="Calibri"/>
                <w:color w:val="000000"/>
                <w:sz w:val="22"/>
                <w:szCs w:val="22"/>
              </w:rPr>
            </w:pPr>
            <w:r w:rsidRPr="008F5AAF">
              <w:rPr>
                <w:rFonts w:ascii="Cambria" w:hAnsi="Cambria" w:cs="Calibri"/>
                <w:color w:val="000000"/>
                <w:sz w:val="22"/>
                <w:szCs w:val="22"/>
              </w:rPr>
              <w:t>2,02,058</w:t>
            </w:r>
          </w:p>
        </w:tc>
      </w:tr>
      <w:tr w:rsidR="0026616B" w:rsidRPr="008F5AAF" w14:paraId="7B5D73FE" w14:textId="77777777" w:rsidTr="001F21DF">
        <w:trPr>
          <w:trHeight w:val="290"/>
          <w:jc w:val="center"/>
        </w:trPr>
        <w:tc>
          <w:tcPr>
            <w:tcW w:w="567" w:type="dxa"/>
            <w:tcBorders>
              <w:top w:val="nil"/>
              <w:left w:val="single" w:sz="4" w:space="0" w:color="auto"/>
              <w:bottom w:val="single" w:sz="4" w:space="0" w:color="auto"/>
              <w:right w:val="single" w:sz="4" w:space="0" w:color="auto"/>
            </w:tcBorders>
            <w:noWrap/>
            <w:vAlign w:val="bottom"/>
            <w:hideMark/>
          </w:tcPr>
          <w:p w14:paraId="4B58D557" w14:textId="77777777" w:rsidR="0026616B" w:rsidRPr="008F5AAF" w:rsidRDefault="0026616B" w:rsidP="00291FAE">
            <w:pPr>
              <w:ind w:left="284"/>
              <w:jc w:val="center"/>
              <w:rPr>
                <w:rFonts w:ascii="Cambria" w:hAnsi="Cambria" w:cs="Calibri"/>
                <w:color w:val="000000"/>
                <w:sz w:val="22"/>
                <w:szCs w:val="22"/>
              </w:rPr>
            </w:pPr>
            <w:r w:rsidRPr="008F5AAF">
              <w:rPr>
                <w:rFonts w:ascii="Cambria" w:hAnsi="Cambria" w:cs="Calibri"/>
                <w:color w:val="000000"/>
                <w:sz w:val="22"/>
                <w:szCs w:val="22"/>
              </w:rPr>
              <w:t>2</w:t>
            </w:r>
          </w:p>
        </w:tc>
        <w:tc>
          <w:tcPr>
            <w:tcW w:w="2041" w:type="dxa"/>
            <w:tcBorders>
              <w:top w:val="nil"/>
              <w:left w:val="nil"/>
              <w:bottom w:val="single" w:sz="4" w:space="0" w:color="auto"/>
              <w:right w:val="single" w:sz="4" w:space="0" w:color="auto"/>
            </w:tcBorders>
            <w:noWrap/>
            <w:vAlign w:val="bottom"/>
            <w:hideMark/>
          </w:tcPr>
          <w:p w14:paraId="29FD4964" w14:textId="77777777" w:rsidR="0026616B" w:rsidRPr="008F5AAF" w:rsidRDefault="0026616B" w:rsidP="00291FAE">
            <w:pPr>
              <w:ind w:left="284"/>
              <w:rPr>
                <w:rFonts w:ascii="Cambria" w:hAnsi="Cambria" w:cs="Calibri"/>
                <w:color w:val="000000"/>
                <w:sz w:val="22"/>
                <w:szCs w:val="22"/>
              </w:rPr>
            </w:pPr>
            <w:r w:rsidRPr="008F5AAF">
              <w:rPr>
                <w:rFonts w:ascii="Cambria" w:hAnsi="Cambria" w:cs="Calibri"/>
                <w:color w:val="000000"/>
                <w:sz w:val="22"/>
                <w:szCs w:val="22"/>
              </w:rPr>
              <w:t>Three Phase (WC)</w:t>
            </w:r>
          </w:p>
        </w:tc>
        <w:tc>
          <w:tcPr>
            <w:tcW w:w="1843" w:type="dxa"/>
            <w:tcBorders>
              <w:top w:val="nil"/>
              <w:left w:val="nil"/>
              <w:bottom w:val="single" w:sz="4" w:space="0" w:color="auto"/>
              <w:right w:val="single" w:sz="4" w:space="0" w:color="auto"/>
            </w:tcBorders>
            <w:vAlign w:val="center"/>
            <w:hideMark/>
          </w:tcPr>
          <w:p w14:paraId="74F5528C" w14:textId="77777777" w:rsidR="0026616B" w:rsidRPr="008F5AAF" w:rsidRDefault="0026616B" w:rsidP="00291FAE">
            <w:pPr>
              <w:ind w:left="284"/>
              <w:jc w:val="center"/>
              <w:rPr>
                <w:rFonts w:ascii="Cambria" w:hAnsi="Cambria" w:cs="Calibri"/>
                <w:color w:val="000000"/>
                <w:sz w:val="22"/>
                <w:szCs w:val="22"/>
              </w:rPr>
            </w:pPr>
            <w:r w:rsidRPr="008F5AAF">
              <w:rPr>
                <w:rFonts w:ascii="Cambria" w:hAnsi="Cambria" w:cs="Calibri"/>
                <w:color w:val="000000"/>
                <w:sz w:val="22"/>
                <w:szCs w:val="22"/>
              </w:rPr>
              <w:t>97,684</w:t>
            </w:r>
          </w:p>
        </w:tc>
        <w:tc>
          <w:tcPr>
            <w:tcW w:w="1417" w:type="dxa"/>
            <w:tcBorders>
              <w:top w:val="nil"/>
              <w:left w:val="nil"/>
              <w:bottom w:val="single" w:sz="4" w:space="0" w:color="auto"/>
              <w:right w:val="single" w:sz="4" w:space="0" w:color="auto"/>
            </w:tcBorders>
            <w:vAlign w:val="center"/>
            <w:hideMark/>
          </w:tcPr>
          <w:p w14:paraId="026CC12B" w14:textId="77777777" w:rsidR="0026616B" w:rsidRPr="008F5AAF" w:rsidRDefault="0026616B" w:rsidP="00291FAE">
            <w:pPr>
              <w:ind w:left="284"/>
              <w:jc w:val="center"/>
              <w:rPr>
                <w:rFonts w:ascii="Cambria" w:hAnsi="Cambria" w:cs="Calibri"/>
                <w:color w:val="000000"/>
                <w:sz w:val="22"/>
                <w:szCs w:val="22"/>
              </w:rPr>
            </w:pPr>
            <w:r w:rsidRPr="008F5AAF">
              <w:rPr>
                <w:rFonts w:ascii="Cambria" w:hAnsi="Cambria" w:cs="Calibri"/>
                <w:color w:val="000000"/>
                <w:sz w:val="22"/>
                <w:szCs w:val="22"/>
              </w:rPr>
              <w:t>21,378</w:t>
            </w:r>
          </w:p>
        </w:tc>
        <w:tc>
          <w:tcPr>
            <w:tcW w:w="1192" w:type="dxa"/>
            <w:tcBorders>
              <w:top w:val="nil"/>
              <w:left w:val="nil"/>
              <w:bottom w:val="single" w:sz="4" w:space="0" w:color="auto"/>
              <w:right w:val="single" w:sz="4" w:space="0" w:color="auto"/>
            </w:tcBorders>
            <w:noWrap/>
            <w:vAlign w:val="center"/>
            <w:hideMark/>
          </w:tcPr>
          <w:p w14:paraId="213B4F49" w14:textId="77777777" w:rsidR="0026616B" w:rsidRPr="008F5AAF" w:rsidRDefault="0026616B" w:rsidP="00291FAE">
            <w:pPr>
              <w:ind w:left="284"/>
              <w:jc w:val="center"/>
              <w:rPr>
                <w:rFonts w:ascii="Cambria" w:hAnsi="Cambria" w:cs="Calibri"/>
                <w:color w:val="000000"/>
                <w:sz w:val="22"/>
                <w:szCs w:val="22"/>
              </w:rPr>
            </w:pPr>
            <w:r w:rsidRPr="008F5AAF">
              <w:rPr>
                <w:rFonts w:ascii="Cambria" w:hAnsi="Cambria" w:cs="Calibri"/>
                <w:color w:val="000000"/>
                <w:sz w:val="22"/>
                <w:szCs w:val="22"/>
              </w:rPr>
              <w:t>1,19,062</w:t>
            </w:r>
          </w:p>
        </w:tc>
      </w:tr>
      <w:tr w:rsidR="0026616B" w:rsidRPr="008F5AAF" w14:paraId="581B6F33" w14:textId="77777777" w:rsidTr="001F21DF">
        <w:trPr>
          <w:trHeight w:val="290"/>
          <w:jc w:val="center"/>
        </w:trPr>
        <w:tc>
          <w:tcPr>
            <w:tcW w:w="567" w:type="dxa"/>
            <w:tcBorders>
              <w:top w:val="nil"/>
              <w:left w:val="single" w:sz="4" w:space="0" w:color="auto"/>
              <w:bottom w:val="single" w:sz="4" w:space="0" w:color="auto"/>
              <w:right w:val="single" w:sz="4" w:space="0" w:color="auto"/>
            </w:tcBorders>
            <w:noWrap/>
            <w:vAlign w:val="bottom"/>
            <w:hideMark/>
          </w:tcPr>
          <w:p w14:paraId="4B37CB43" w14:textId="77777777" w:rsidR="0026616B" w:rsidRPr="008F5AAF" w:rsidRDefault="0026616B" w:rsidP="00291FAE">
            <w:pPr>
              <w:ind w:left="284"/>
              <w:jc w:val="center"/>
              <w:rPr>
                <w:rFonts w:ascii="Cambria" w:hAnsi="Cambria" w:cs="Calibri"/>
                <w:color w:val="000000"/>
                <w:sz w:val="22"/>
                <w:szCs w:val="22"/>
              </w:rPr>
            </w:pPr>
            <w:r w:rsidRPr="008F5AAF">
              <w:rPr>
                <w:rFonts w:ascii="Cambria" w:hAnsi="Cambria" w:cs="Calibri"/>
                <w:color w:val="000000"/>
                <w:sz w:val="22"/>
                <w:szCs w:val="22"/>
              </w:rPr>
              <w:t>3</w:t>
            </w:r>
          </w:p>
        </w:tc>
        <w:tc>
          <w:tcPr>
            <w:tcW w:w="2041" w:type="dxa"/>
            <w:tcBorders>
              <w:top w:val="nil"/>
              <w:left w:val="nil"/>
              <w:bottom w:val="single" w:sz="4" w:space="0" w:color="auto"/>
              <w:right w:val="single" w:sz="4" w:space="0" w:color="auto"/>
            </w:tcBorders>
            <w:noWrap/>
            <w:vAlign w:val="bottom"/>
            <w:hideMark/>
          </w:tcPr>
          <w:p w14:paraId="367DAA13" w14:textId="77777777" w:rsidR="0026616B" w:rsidRPr="008F5AAF" w:rsidRDefault="0026616B" w:rsidP="00291FAE">
            <w:pPr>
              <w:ind w:left="284"/>
              <w:rPr>
                <w:rFonts w:ascii="Cambria" w:hAnsi="Cambria" w:cs="Calibri"/>
                <w:color w:val="000000"/>
                <w:sz w:val="22"/>
                <w:szCs w:val="22"/>
              </w:rPr>
            </w:pPr>
            <w:r w:rsidRPr="008F5AAF">
              <w:rPr>
                <w:rFonts w:ascii="Cambria" w:hAnsi="Cambria" w:cs="Calibri"/>
                <w:color w:val="000000"/>
                <w:sz w:val="22"/>
                <w:szCs w:val="22"/>
              </w:rPr>
              <w:t>LTCT</w:t>
            </w:r>
          </w:p>
        </w:tc>
        <w:tc>
          <w:tcPr>
            <w:tcW w:w="1843" w:type="dxa"/>
            <w:tcBorders>
              <w:top w:val="nil"/>
              <w:left w:val="nil"/>
              <w:bottom w:val="single" w:sz="4" w:space="0" w:color="auto"/>
              <w:right w:val="single" w:sz="4" w:space="0" w:color="auto"/>
            </w:tcBorders>
            <w:vAlign w:val="center"/>
            <w:hideMark/>
          </w:tcPr>
          <w:p w14:paraId="0DF2617D" w14:textId="77777777" w:rsidR="0026616B" w:rsidRPr="008F5AAF" w:rsidRDefault="0026616B" w:rsidP="00291FAE">
            <w:pPr>
              <w:ind w:left="284"/>
              <w:jc w:val="center"/>
              <w:rPr>
                <w:rFonts w:ascii="Cambria" w:hAnsi="Cambria" w:cs="Calibri"/>
                <w:color w:val="000000"/>
                <w:sz w:val="22"/>
                <w:szCs w:val="22"/>
              </w:rPr>
            </w:pPr>
            <w:r w:rsidRPr="008F5AAF">
              <w:rPr>
                <w:rFonts w:ascii="Cambria" w:hAnsi="Cambria" w:cs="Calibri"/>
                <w:color w:val="000000"/>
                <w:sz w:val="22"/>
                <w:szCs w:val="22"/>
              </w:rPr>
              <w:t>4,005</w:t>
            </w:r>
          </w:p>
        </w:tc>
        <w:tc>
          <w:tcPr>
            <w:tcW w:w="1417" w:type="dxa"/>
            <w:tcBorders>
              <w:top w:val="nil"/>
              <w:left w:val="nil"/>
              <w:bottom w:val="single" w:sz="4" w:space="0" w:color="auto"/>
              <w:right w:val="single" w:sz="4" w:space="0" w:color="auto"/>
            </w:tcBorders>
            <w:vAlign w:val="center"/>
            <w:hideMark/>
          </w:tcPr>
          <w:p w14:paraId="2692AFEF" w14:textId="77777777" w:rsidR="0026616B" w:rsidRPr="008F5AAF" w:rsidRDefault="0026616B" w:rsidP="00291FAE">
            <w:pPr>
              <w:ind w:left="284"/>
              <w:jc w:val="center"/>
              <w:rPr>
                <w:rFonts w:ascii="Cambria" w:hAnsi="Cambria" w:cs="Calibri"/>
                <w:color w:val="000000"/>
                <w:sz w:val="22"/>
                <w:szCs w:val="22"/>
              </w:rPr>
            </w:pPr>
            <w:r w:rsidRPr="008F5AAF">
              <w:rPr>
                <w:rFonts w:ascii="Cambria" w:hAnsi="Cambria" w:cs="Calibri"/>
                <w:color w:val="000000"/>
                <w:sz w:val="22"/>
                <w:szCs w:val="22"/>
              </w:rPr>
              <w:t>0</w:t>
            </w:r>
          </w:p>
        </w:tc>
        <w:tc>
          <w:tcPr>
            <w:tcW w:w="1192" w:type="dxa"/>
            <w:tcBorders>
              <w:top w:val="nil"/>
              <w:left w:val="nil"/>
              <w:bottom w:val="single" w:sz="4" w:space="0" w:color="auto"/>
              <w:right w:val="single" w:sz="4" w:space="0" w:color="auto"/>
            </w:tcBorders>
            <w:noWrap/>
            <w:vAlign w:val="center"/>
            <w:hideMark/>
          </w:tcPr>
          <w:p w14:paraId="64742E27" w14:textId="77777777" w:rsidR="0026616B" w:rsidRPr="008F5AAF" w:rsidRDefault="0026616B" w:rsidP="00291FAE">
            <w:pPr>
              <w:ind w:left="284"/>
              <w:jc w:val="center"/>
              <w:rPr>
                <w:rFonts w:ascii="Cambria" w:hAnsi="Cambria" w:cs="Calibri"/>
                <w:color w:val="000000"/>
                <w:sz w:val="22"/>
                <w:szCs w:val="22"/>
              </w:rPr>
            </w:pPr>
            <w:r w:rsidRPr="008F5AAF">
              <w:rPr>
                <w:rFonts w:ascii="Cambria" w:hAnsi="Cambria" w:cs="Calibri"/>
                <w:color w:val="000000"/>
                <w:sz w:val="22"/>
                <w:szCs w:val="22"/>
              </w:rPr>
              <w:t>4,005</w:t>
            </w:r>
          </w:p>
        </w:tc>
      </w:tr>
      <w:tr w:rsidR="0026616B" w:rsidRPr="008F5AAF" w14:paraId="53D3DF45" w14:textId="77777777" w:rsidTr="001F21DF">
        <w:trPr>
          <w:trHeight w:val="290"/>
          <w:jc w:val="center"/>
        </w:trPr>
        <w:tc>
          <w:tcPr>
            <w:tcW w:w="567" w:type="dxa"/>
            <w:tcBorders>
              <w:top w:val="nil"/>
              <w:left w:val="single" w:sz="4" w:space="0" w:color="auto"/>
              <w:bottom w:val="single" w:sz="4" w:space="0" w:color="auto"/>
              <w:right w:val="single" w:sz="4" w:space="0" w:color="auto"/>
            </w:tcBorders>
            <w:noWrap/>
            <w:vAlign w:val="bottom"/>
            <w:hideMark/>
          </w:tcPr>
          <w:p w14:paraId="2F85D9FC" w14:textId="77777777" w:rsidR="0026616B" w:rsidRPr="008F5AAF" w:rsidRDefault="0026616B" w:rsidP="00291FAE">
            <w:pPr>
              <w:ind w:left="284"/>
              <w:jc w:val="center"/>
              <w:rPr>
                <w:rFonts w:ascii="Cambria" w:hAnsi="Cambria" w:cs="Calibri"/>
                <w:color w:val="000000"/>
                <w:sz w:val="22"/>
                <w:szCs w:val="22"/>
              </w:rPr>
            </w:pPr>
            <w:r w:rsidRPr="008F5AAF">
              <w:rPr>
                <w:rFonts w:ascii="Cambria" w:hAnsi="Cambria" w:cs="Calibri"/>
                <w:color w:val="000000"/>
                <w:sz w:val="22"/>
                <w:szCs w:val="22"/>
              </w:rPr>
              <w:t>4</w:t>
            </w:r>
          </w:p>
        </w:tc>
        <w:tc>
          <w:tcPr>
            <w:tcW w:w="2041" w:type="dxa"/>
            <w:tcBorders>
              <w:top w:val="nil"/>
              <w:left w:val="nil"/>
              <w:bottom w:val="single" w:sz="4" w:space="0" w:color="auto"/>
              <w:right w:val="single" w:sz="4" w:space="0" w:color="auto"/>
            </w:tcBorders>
            <w:noWrap/>
            <w:vAlign w:val="bottom"/>
            <w:hideMark/>
          </w:tcPr>
          <w:p w14:paraId="3D0865F3" w14:textId="77777777" w:rsidR="0026616B" w:rsidRPr="008F5AAF" w:rsidRDefault="0026616B" w:rsidP="00291FAE">
            <w:pPr>
              <w:ind w:left="284"/>
              <w:rPr>
                <w:rFonts w:ascii="Cambria" w:hAnsi="Cambria" w:cs="Calibri"/>
                <w:color w:val="000000"/>
                <w:sz w:val="22"/>
                <w:szCs w:val="22"/>
              </w:rPr>
            </w:pPr>
            <w:r w:rsidRPr="008F5AAF">
              <w:rPr>
                <w:rFonts w:ascii="Cambria" w:hAnsi="Cambria" w:cs="Calibri"/>
                <w:color w:val="000000"/>
                <w:sz w:val="22"/>
                <w:szCs w:val="22"/>
              </w:rPr>
              <w:t>HT</w:t>
            </w:r>
          </w:p>
        </w:tc>
        <w:tc>
          <w:tcPr>
            <w:tcW w:w="1843" w:type="dxa"/>
            <w:tcBorders>
              <w:top w:val="nil"/>
              <w:left w:val="nil"/>
              <w:bottom w:val="single" w:sz="4" w:space="0" w:color="auto"/>
              <w:right w:val="single" w:sz="4" w:space="0" w:color="auto"/>
            </w:tcBorders>
            <w:vAlign w:val="center"/>
            <w:hideMark/>
          </w:tcPr>
          <w:p w14:paraId="063BE71C" w14:textId="77777777" w:rsidR="0026616B" w:rsidRPr="008F5AAF" w:rsidRDefault="0026616B" w:rsidP="00291FAE">
            <w:pPr>
              <w:ind w:left="284"/>
              <w:jc w:val="center"/>
              <w:rPr>
                <w:rFonts w:ascii="Cambria" w:hAnsi="Cambria" w:cs="Calibri"/>
                <w:color w:val="000000"/>
                <w:sz w:val="22"/>
                <w:szCs w:val="22"/>
              </w:rPr>
            </w:pPr>
            <w:r w:rsidRPr="008F5AAF">
              <w:rPr>
                <w:rFonts w:ascii="Cambria" w:hAnsi="Cambria" w:cs="Calibri"/>
                <w:color w:val="000000"/>
                <w:sz w:val="22"/>
                <w:szCs w:val="22"/>
              </w:rPr>
              <w:t>2,824</w:t>
            </w:r>
          </w:p>
        </w:tc>
        <w:tc>
          <w:tcPr>
            <w:tcW w:w="1417" w:type="dxa"/>
            <w:tcBorders>
              <w:top w:val="nil"/>
              <w:left w:val="nil"/>
              <w:bottom w:val="single" w:sz="4" w:space="0" w:color="auto"/>
              <w:right w:val="single" w:sz="4" w:space="0" w:color="auto"/>
            </w:tcBorders>
            <w:vAlign w:val="center"/>
            <w:hideMark/>
          </w:tcPr>
          <w:p w14:paraId="431DC9C1" w14:textId="77777777" w:rsidR="0026616B" w:rsidRPr="008F5AAF" w:rsidRDefault="0026616B" w:rsidP="00291FAE">
            <w:pPr>
              <w:ind w:left="284"/>
              <w:jc w:val="center"/>
              <w:rPr>
                <w:rFonts w:ascii="Cambria" w:hAnsi="Cambria" w:cs="Calibri"/>
                <w:color w:val="000000"/>
                <w:sz w:val="22"/>
                <w:szCs w:val="22"/>
              </w:rPr>
            </w:pPr>
            <w:r w:rsidRPr="008F5AAF">
              <w:rPr>
                <w:rFonts w:ascii="Cambria" w:hAnsi="Cambria" w:cs="Calibri"/>
                <w:color w:val="000000"/>
                <w:sz w:val="22"/>
                <w:szCs w:val="22"/>
              </w:rPr>
              <w:t>91</w:t>
            </w:r>
          </w:p>
        </w:tc>
        <w:tc>
          <w:tcPr>
            <w:tcW w:w="1192" w:type="dxa"/>
            <w:tcBorders>
              <w:top w:val="nil"/>
              <w:left w:val="nil"/>
              <w:bottom w:val="single" w:sz="4" w:space="0" w:color="auto"/>
              <w:right w:val="single" w:sz="4" w:space="0" w:color="auto"/>
            </w:tcBorders>
            <w:noWrap/>
            <w:vAlign w:val="center"/>
            <w:hideMark/>
          </w:tcPr>
          <w:p w14:paraId="68D1CDDF" w14:textId="77777777" w:rsidR="0026616B" w:rsidRPr="008F5AAF" w:rsidRDefault="0026616B" w:rsidP="00291FAE">
            <w:pPr>
              <w:ind w:left="284"/>
              <w:jc w:val="center"/>
              <w:rPr>
                <w:rFonts w:ascii="Cambria" w:hAnsi="Cambria" w:cs="Calibri"/>
                <w:color w:val="000000"/>
                <w:sz w:val="22"/>
                <w:szCs w:val="22"/>
              </w:rPr>
            </w:pPr>
            <w:r w:rsidRPr="008F5AAF">
              <w:rPr>
                <w:rFonts w:ascii="Cambria" w:hAnsi="Cambria" w:cs="Calibri"/>
                <w:color w:val="000000"/>
                <w:sz w:val="22"/>
                <w:szCs w:val="22"/>
              </w:rPr>
              <w:t>2,915</w:t>
            </w:r>
          </w:p>
        </w:tc>
      </w:tr>
      <w:tr w:rsidR="0026616B" w:rsidRPr="008F5AAF" w14:paraId="63FEB70C" w14:textId="77777777" w:rsidTr="001F21DF">
        <w:trPr>
          <w:trHeight w:val="290"/>
          <w:jc w:val="center"/>
        </w:trPr>
        <w:tc>
          <w:tcPr>
            <w:tcW w:w="567" w:type="dxa"/>
            <w:tcBorders>
              <w:top w:val="nil"/>
              <w:left w:val="single" w:sz="4" w:space="0" w:color="auto"/>
              <w:bottom w:val="single" w:sz="4" w:space="0" w:color="auto"/>
              <w:right w:val="single" w:sz="4" w:space="0" w:color="auto"/>
            </w:tcBorders>
            <w:noWrap/>
            <w:vAlign w:val="bottom"/>
            <w:hideMark/>
          </w:tcPr>
          <w:p w14:paraId="02292C31" w14:textId="77777777" w:rsidR="0026616B" w:rsidRPr="008F5AAF" w:rsidRDefault="0026616B" w:rsidP="00291FAE">
            <w:pPr>
              <w:ind w:left="284"/>
              <w:jc w:val="center"/>
              <w:rPr>
                <w:rFonts w:ascii="Cambria" w:hAnsi="Cambria" w:cs="Calibri"/>
                <w:b/>
                <w:bCs/>
                <w:color w:val="000000"/>
                <w:sz w:val="22"/>
                <w:szCs w:val="22"/>
              </w:rPr>
            </w:pPr>
            <w:r w:rsidRPr="008F5AAF">
              <w:rPr>
                <w:rFonts w:ascii="Cambria" w:hAnsi="Cambria" w:cs="Calibri"/>
                <w:b/>
                <w:bCs/>
                <w:color w:val="000000"/>
                <w:sz w:val="22"/>
                <w:szCs w:val="22"/>
              </w:rPr>
              <w:t>5</w:t>
            </w:r>
          </w:p>
        </w:tc>
        <w:tc>
          <w:tcPr>
            <w:tcW w:w="2041" w:type="dxa"/>
            <w:tcBorders>
              <w:top w:val="nil"/>
              <w:left w:val="nil"/>
              <w:bottom w:val="single" w:sz="4" w:space="0" w:color="auto"/>
              <w:right w:val="single" w:sz="4" w:space="0" w:color="auto"/>
            </w:tcBorders>
            <w:noWrap/>
            <w:vAlign w:val="bottom"/>
            <w:hideMark/>
          </w:tcPr>
          <w:p w14:paraId="00910A47" w14:textId="77777777" w:rsidR="0026616B" w:rsidRPr="008F5AAF" w:rsidRDefault="0026616B" w:rsidP="00291FAE">
            <w:pPr>
              <w:ind w:left="284"/>
              <w:rPr>
                <w:rFonts w:ascii="Cambria" w:hAnsi="Cambria" w:cs="Calibri"/>
                <w:b/>
                <w:bCs/>
                <w:color w:val="000000"/>
                <w:sz w:val="22"/>
                <w:szCs w:val="22"/>
              </w:rPr>
            </w:pPr>
            <w:r w:rsidRPr="008F5AAF">
              <w:rPr>
                <w:rFonts w:ascii="Cambria" w:hAnsi="Cambria" w:cs="Calibri"/>
                <w:b/>
                <w:bCs/>
                <w:color w:val="000000"/>
                <w:sz w:val="22"/>
                <w:szCs w:val="22"/>
              </w:rPr>
              <w:t>Total</w:t>
            </w:r>
          </w:p>
        </w:tc>
        <w:tc>
          <w:tcPr>
            <w:tcW w:w="1843" w:type="dxa"/>
            <w:tcBorders>
              <w:top w:val="nil"/>
              <w:left w:val="nil"/>
              <w:bottom w:val="single" w:sz="4" w:space="0" w:color="auto"/>
              <w:right w:val="single" w:sz="4" w:space="0" w:color="auto"/>
            </w:tcBorders>
            <w:vAlign w:val="bottom"/>
            <w:hideMark/>
          </w:tcPr>
          <w:p w14:paraId="5743FB4B" w14:textId="77777777" w:rsidR="0026616B" w:rsidRPr="008F5AAF" w:rsidRDefault="0026616B" w:rsidP="00291FAE">
            <w:pPr>
              <w:ind w:left="284"/>
              <w:jc w:val="center"/>
              <w:rPr>
                <w:rFonts w:ascii="Cambria" w:hAnsi="Cambria" w:cs="Calibri"/>
                <w:b/>
                <w:bCs/>
                <w:color w:val="000000"/>
                <w:sz w:val="22"/>
                <w:szCs w:val="22"/>
              </w:rPr>
            </w:pPr>
            <w:r w:rsidRPr="008F5AAF">
              <w:rPr>
                <w:rFonts w:ascii="Cambria" w:hAnsi="Cambria" w:cs="Calibri"/>
                <w:b/>
                <w:bCs/>
                <w:color w:val="000000"/>
                <w:sz w:val="22"/>
                <w:szCs w:val="22"/>
              </w:rPr>
              <w:t>1,63,963</w:t>
            </w:r>
          </w:p>
        </w:tc>
        <w:tc>
          <w:tcPr>
            <w:tcW w:w="1417" w:type="dxa"/>
            <w:tcBorders>
              <w:top w:val="nil"/>
              <w:left w:val="nil"/>
              <w:bottom w:val="single" w:sz="4" w:space="0" w:color="auto"/>
              <w:right w:val="single" w:sz="4" w:space="0" w:color="auto"/>
            </w:tcBorders>
            <w:vAlign w:val="bottom"/>
            <w:hideMark/>
          </w:tcPr>
          <w:p w14:paraId="660C513E" w14:textId="77777777" w:rsidR="0026616B" w:rsidRPr="008F5AAF" w:rsidRDefault="0026616B" w:rsidP="00291FAE">
            <w:pPr>
              <w:ind w:left="284"/>
              <w:jc w:val="center"/>
              <w:rPr>
                <w:rFonts w:ascii="Cambria" w:hAnsi="Cambria" w:cs="Calibri"/>
                <w:b/>
                <w:bCs/>
                <w:color w:val="000000"/>
                <w:sz w:val="22"/>
                <w:szCs w:val="22"/>
              </w:rPr>
            </w:pPr>
            <w:r w:rsidRPr="008F5AAF">
              <w:rPr>
                <w:rFonts w:ascii="Cambria" w:hAnsi="Cambria" w:cs="Calibri"/>
                <w:b/>
                <w:bCs/>
                <w:color w:val="000000"/>
                <w:sz w:val="22"/>
                <w:szCs w:val="22"/>
              </w:rPr>
              <w:t>1,64,077</w:t>
            </w:r>
          </w:p>
        </w:tc>
        <w:tc>
          <w:tcPr>
            <w:tcW w:w="1192" w:type="dxa"/>
            <w:tcBorders>
              <w:top w:val="nil"/>
              <w:left w:val="nil"/>
              <w:bottom w:val="single" w:sz="4" w:space="0" w:color="auto"/>
              <w:right w:val="single" w:sz="4" w:space="0" w:color="auto"/>
            </w:tcBorders>
            <w:vAlign w:val="center"/>
            <w:hideMark/>
          </w:tcPr>
          <w:p w14:paraId="01959EEE" w14:textId="77777777" w:rsidR="0026616B" w:rsidRPr="008F5AAF" w:rsidRDefault="0026616B" w:rsidP="00291FAE">
            <w:pPr>
              <w:ind w:left="284"/>
              <w:jc w:val="center"/>
              <w:rPr>
                <w:rFonts w:ascii="Cambria" w:hAnsi="Cambria" w:cs="Calibri"/>
                <w:b/>
                <w:bCs/>
                <w:color w:val="000000"/>
                <w:sz w:val="22"/>
                <w:szCs w:val="22"/>
              </w:rPr>
            </w:pPr>
            <w:r w:rsidRPr="008F5AAF">
              <w:rPr>
                <w:rFonts w:ascii="Cambria" w:hAnsi="Cambria" w:cs="Calibri"/>
                <w:b/>
                <w:bCs/>
                <w:color w:val="000000"/>
                <w:sz w:val="22"/>
                <w:szCs w:val="22"/>
              </w:rPr>
              <w:t>3,28,040</w:t>
            </w:r>
          </w:p>
        </w:tc>
      </w:tr>
    </w:tbl>
    <w:p w14:paraId="3DC1361B" w14:textId="77777777" w:rsidR="0026616B" w:rsidRPr="008F5AAF" w:rsidRDefault="0026616B" w:rsidP="00291FAE">
      <w:pPr>
        <w:pStyle w:val="ListParagraph"/>
        <w:spacing w:after="160" w:line="360" w:lineRule="auto"/>
        <w:ind w:left="284"/>
        <w:jc w:val="both"/>
        <w:rPr>
          <w:rFonts w:ascii="Cambria" w:eastAsia="Cambria" w:hAnsi="Cambria" w:cs="Cambria"/>
          <w:color w:val="000000" w:themeColor="text1"/>
        </w:rPr>
      </w:pPr>
    </w:p>
    <w:p w14:paraId="38457A95" w14:textId="5A565EBC" w:rsidR="0026616B" w:rsidRPr="008F5AAF" w:rsidRDefault="0026616B" w:rsidP="00291FAE">
      <w:pPr>
        <w:pStyle w:val="ListParagraph"/>
        <w:spacing w:after="160" w:line="360" w:lineRule="auto"/>
        <w:ind w:left="284"/>
        <w:jc w:val="both"/>
        <w:rPr>
          <w:rFonts w:ascii="Cambria" w:eastAsia="Cambria" w:hAnsi="Cambria" w:cs="Cambria"/>
          <w:color w:val="000000" w:themeColor="text1"/>
        </w:rPr>
      </w:pPr>
      <w:r w:rsidRPr="00361EBF">
        <w:rPr>
          <w:rFonts w:ascii="Cambria" w:eastAsia="Cambria" w:hAnsi="Cambria" w:cs="Cambria"/>
          <w:color w:val="000000" w:themeColor="text1"/>
          <w:sz w:val="24"/>
        </w:rPr>
        <w:t xml:space="preserve">As can be seen from the above table, there are 1,64,077 nos. of Smart Meter as on 30.09.2025 (for consumer CD &gt; 2kW), and the </w:t>
      </w:r>
      <w:r w:rsidR="002D75B5" w:rsidRPr="00361EBF">
        <w:rPr>
          <w:rFonts w:ascii="Cambria" w:eastAsia="Cambria" w:hAnsi="Cambria" w:cs="Cambria"/>
          <w:color w:val="000000" w:themeColor="text1"/>
          <w:sz w:val="24"/>
        </w:rPr>
        <w:t xml:space="preserve">Licensee </w:t>
      </w:r>
      <w:r w:rsidRPr="00361EBF">
        <w:rPr>
          <w:rFonts w:ascii="Cambria" w:eastAsia="Cambria" w:hAnsi="Cambria" w:cs="Cambria"/>
          <w:color w:val="000000" w:themeColor="text1"/>
          <w:sz w:val="24"/>
        </w:rPr>
        <w:t>planned to replace these Non-Smart Meters with Smart Meters by FY 2028-29. Further, as regards to, the New Connections will all be provided through Smart Meters. The plan below up to FY 2031-32 is shown below</w:t>
      </w:r>
      <w:r w:rsidRPr="008F5AAF">
        <w:rPr>
          <w:rFonts w:ascii="Cambria" w:eastAsia="Cambria" w:hAnsi="Cambria" w:cs="Cambria"/>
          <w:color w:val="000000" w:themeColor="text1"/>
        </w:rPr>
        <w:t>:</w:t>
      </w:r>
    </w:p>
    <w:p w14:paraId="7922954E" w14:textId="57E17ADA" w:rsidR="0026616B" w:rsidRPr="008F5AAF" w:rsidRDefault="00EA3BE9" w:rsidP="00EA3BE9">
      <w:pPr>
        <w:pStyle w:val="ListParagraph"/>
        <w:spacing w:after="160" w:line="360" w:lineRule="auto"/>
        <w:ind w:left="-567"/>
        <w:jc w:val="both"/>
        <w:rPr>
          <w:rFonts w:ascii="Cambria" w:eastAsia="Cambria" w:hAnsi="Cambria" w:cs="Cambria"/>
          <w:color w:val="000000" w:themeColor="text1"/>
        </w:rPr>
      </w:pPr>
      <w:r w:rsidRPr="00EA3BE9">
        <w:rPr>
          <w:noProof/>
        </w:rPr>
        <w:drawing>
          <wp:inline distT="0" distB="0" distL="0" distR="0" wp14:anchorId="0CBBF428" wp14:editId="291FEB28">
            <wp:extent cx="6415405" cy="3019425"/>
            <wp:effectExtent l="0" t="0" r="4445" b="9525"/>
            <wp:docPr id="13093232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31715" cy="3027101"/>
                    </a:xfrm>
                    <a:prstGeom prst="rect">
                      <a:avLst/>
                    </a:prstGeom>
                    <a:noFill/>
                    <a:ln>
                      <a:noFill/>
                    </a:ln>
                  </pic:spPr>
                </pic:pic>
              </a:graphicData>
            </a:graphic>
          </wp:inline>
        </w:drawing>
      </w:r>
    </w:p>
    <w:p w14:paraId="3EC6C793" w14:textId="7703DCF3" w:rsidR="0026616B" w:rsidRDefault="00CC23A4" w:rsidP="00F64E78">
      <w:pPr>
        <w:pStyle w:val="ListParagraph"/>
        <w:spacing w:after="160" w:line="360" w:lineRule="auto"/>
        <w:ind w:left="-567"/>
        <w:jc w:val="both"/>
        <w:rPr>
          <w:rFonts w:ascii="Cambria" w:eastAsia="Cambria" w:hAnsi="Cambria" w:cs="Cambria"/>
          <w:color w:val="000000" w:themeColor="text1"/>
        </w:rPr>
      </w:pPr>
      <w:r w:rsidRPr="00CC23A4">
        <w:rPr>
          <w:noProof/>
        </w:rPr>
        <w:drawing>
          <wp:inline distT="0" distB="0" distL="0" distR="0" wp14:anchorId="603C9A36" wp14:editId="17E42DD4">
            <wp:extent cx="6456045" cy="3286125"/>
            <wp:effectExtent l="0" t="0" r="1905" b="9525"/>
            <wp:docPr id="55903681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95655" cy="3306286"/>
                    </a:xfrm>
                    <a:prstGeom prst="rect">
                      <a:avLst/>
                    </a:prstGeom>
                    <a:noFill/>
                    <a:ln>
                      <a:noFill/>
                    </a:ln>
                  </pic:spPr>
                </pic:pic>
              </a:graphicData>
            </a:graphic>
          </wp:inline>
        </w:drawing>
      </w:r>
    </w:p>
    <w:p w14:paraId="2BD50E67" w14:textId="1A1B597C" w:rsidR="00CC23A4" w:rsidRDefault="004D1D85" w:rsidP="00CC23A4">
      <w:pPr>
        <w:pStyle w:val="ListParagraph"/>
        <w:spacing w:after="160" w:line="360" w:lineRule="auto"/>
        <w:ind w:left="-426"/>
        <w:jc w:val="both"/>
        <w:rPr>
          <w:rFonts w:ascii="Cambria" w:eastAsia="Cambria" w:hAnsi="Cambria" w:cs="Cambria"/>
          <w:color w:val="000000" w:themeColor="text1"/>
        </w:rPr>
      </w:pPr>
      <w:r w:rsidRPr="004D1D85">
        <w:rPr>
          <w:noProof/>
        </w:rPr>
        <w:drawing>
          <wp:inline distT="0" distB="0" distL="0" distR="0" wp14:anchorId="0E3EA3EC" wp14:editId="4F27884A">
            <wp:extent cx="6306185" cy="2000250"/>
            <wp:effectExtent l="0" t="0" r="0" b="0"/>
            <wp:docPr id="12078447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11267" cy="2001862"/>
                    </a:xfrm>
                    <a:prstGeom prst="rect">
                      <a:avLst/>
                    </a:prstGeom>
                    <a:noFill/>
                    <a:ln>
                      <a:noFill/>
                    </a:ln>
                  </pic:spPr>
                </pic:pic>
              </a:graphicData>
            </a:graphic>
          </wp:inline>
        </w:drawing>
      </w:r>
    </w:p>
    <w:p w14:paraId="78B2A5DB" w14:textId="77777777" w:rsidR="00F64E78" w:rsidRPr="008F5AAF" w:rsidRDefault="00F64E78" w:rsidP="00CC23A4">
      <w:pPr>
        <w:pStyle w:val="ListParagraph"/>
        <w:spacing w:after="160" w:line="360" w:lineRule="auto"/>
        <w:ind w:left="-426"/>
        <w:jc w:val="both"/>
        <w:rPr>
          <w:rFonts w:ascii="Cambria" w:eastAsia="Cambria" w:hAnsi="Cambria" w:cs="Cambria"/>
          <w:color w:val="000000" w:themeColor="text1"/>
        </w:rPr>
      </w:pPr>
    </w:p>
    <w:p w14:paraId="652EEF6B" w14:textId="77777777" w:rsidR="0026616B" w:rsidRPr="00361EBF" w:rsidRDefault="0026616B" w:rsidP="00056389">
      <w:pPr>
        <w:pStyle w:val="ListParagraph"/>
        <w:numPr>
          <w:ilvl w:val="0"/>
          <w:numId w:val="82"/>
        </w:numPr>
        <w:spacing w:before="120" w:after="160" w:line="360" w:lineRule="auto"/>
        <w:ind w:left="284" w:hanging="357"/>
        <w:contextualSpacing w:val="0"/>
        <w:jc w:val="both"/>
        <w:rPr>
          <w:rFonts w:ascii="Cambria" w:eastAsia="Cambria" w:hAnsi="Cambria" w:cs="Cambria"/>
          <w:color w:val="000000" w:themeColor="text1"/>
          <w:sz w:val="24"/>
          <w:lang w:val="en-GB"/>
        </w:rPr>
      </w:pPr>
      <w:r w:rsidRPr="00361EBF">
        <w:rPr>
          <w:rFonts w:ascii="Cambria" w:eastAsia="Cambria" w:hAnsi="Cambria" w:cs="Cambria"/>
          <w:b/>
          <w:bCs/>
          <w:color w:val="000000" w:themeColor="text1"/>
          <w:sz w:val="24"/>
          <w:u w:val="single"/>
        </w:rPr>
        <w:t xml:space="preserve">Para No. 348 (b)- </w:t>
      </w:r>
      <w:r w:rsidRPr="00361EBF">
        <w:rPr>
          <w:rFonts w:ascii="Cambria" w:hAnsi="Cambria"/>
          <w:sz w:val="24"/>
          <w:lang w:val="en-IN"/>
        </w:rPr>
        <w:t xml:space="preserve">The details of GFA need to be submitted to the Commission by all four DISCOMs under </w:t>
      </w:r>
      <w:r w:rsidRPr="00361EBF">
        <w:rPr>
          <w:rFonts w:ascii="Cambria" w:hAnsi="Cambria"/>
          <w:sz w:val="24"/>
        </w:rPr>
        <w:t>the heads (a) assets created through own investment under CAPEX (b) assets inherited from erstwhile DISCOMs (c) assets created through Govt.’s aid/grant (Govt. of Odisha &amp; Govt. of India) (d) assets decapitalized</w:t>
      </w:r>
      <w:r w:rsidRPr="00361EBF">
        <w:rPr>
          <w:rFonts w:ascii="Cambria" w:hAnsi="Cambria"/>
          <w:sz w:val="24"/>
          <w:lang w:val="en-IN"/>
        </w:rPr>
        <w:t>.</w:t>
      </w:r>
    </w:p>
    <w:p w14:paraId="27F1D39E" w14:textId="77777777" w:rsidR="0026616B" w:rsidRPr="008F5AAF" w:rsidRDefault="0026616B" w:rsidP="00291FAE">
      <w:pPr>
        <w:pStyle w:val="ListParagraph"/>
        <w:spacing w:after="160" w:line="360" w:lineRule="auto"/>
        <w:ind w:left="284"/>
        <w:jc w:val="both"/>
        <w:rPr>
          <w:rFonts w:ascii="Cambria" w:hAnsi="Cambria"/>
        </w:rPr>
      </w:pPr>
      <w:r w:rsidRPr="00361EBF">
        <w:rPr>
          <w:rFonts w:ascii="Cambria" w:hAnsi="Cambria"/>
          <w:b/>
          <w:bCs/>
          <w:sz w:val="24"/>
          <w:u w:val="single"/>
        </w:rPr>
        <w:t xml:space="preserve">TPWODL’s Submission: </w:t>
      </w:r>
      <w:r w:rsidRPr="00361EBF">
        <w:rPr>
          <w:rFonts w:ascii="Cambria" w:hAnsi="Cambria"/>
          <w:sz w:val="24"/>
        </w:rPr>
        <w:t xml:space="preserve">The desired details </w:t>
      </w:r>
      <w:r w:rsidRPr="00361EBF">
        <w:rPr>
          <w:rFonts w:ascii="Cambria" w:hAnsi="Cambria"/>
          <w:sz w:val="24"/>
          <w:lang w:val="en-IN"/>
        </w:rPr>
        <w:t xml:space="preserve">of GFA </w:t>
      </w:r>
      <w:r w:rsidRPr="00361EBF">
        <w:rPr>
          <w:rFonts w:ascii="Cambria" w:hAnsi="Cambria"/>
          <w:sz w:val="24"/>
        </w:rPr>
        <w:t>had been furnished before the Hon’ble commission by the Licensee vide its letter TPWODL/RA&amp;S/2025/040 dated 21.06.2025. In compliance with the above direction the information pertains to GFA details as follows</w:t>
      </w:r>
      <w:r w:rsidRPr="008F5AAF">
        <w:rPr>
          <w:rFonts w:ascii="Cambria" w:hAnsi="Cambria"/>
        </w:rPr>
        <w:t>:</w:t>
      </w:r>
    </w:p>
    <w:tbl>
      <w:tblPr>
        <w:tblW w:w="10302" w:type="dxa"/>
        <w:tblInd w:w="-851" w:type="dxa"/>
        <w:tblLayout w:type="fixed"/>
        <w:tblLook w:val="04A0" w:firstRow="1" w:lastRow="0" w:firstColumn="1" w:lastColumn="0" w:noHBand="0" w:noVBand="1"/>
      </w:tblPr>
      <w:tblGrid>
        <w:gridCol w:w="424"/>
        <w:gridCol w:w="1638"/>
        <w:gridCol w:w="825"/>
        <w:gridCol w:w="822"/>
        <w:gridCol w:w="599"/>
        <w:gridCol w:w="912"/>
        <w:gridCol w:w="825"/>
        <w:gridCol w:w="620"/>
        <w:gridCol w:w="1029"/>
        <w:gridCol w:w="959"/>
        <w:gridCol w:w="620"/>
        <w:gridCol w:w="1029"/>
      </w:tblGrid>
      <w:tr w:rsidR="00B238BD" w:rsidRPr="006F29FC" w14:paraId="26D999E9" w14:textId="77777777" w:rsidTr="00361EBF">
        <w:trPr>
          <w:trHeight w:val="285"/>
          <w:tblHeader/>
        </w:trPr>
        <w:tc>
          <w:tcPr>
            <w:tcW w:w="2062" w:type="dxa"/>
            <w:gridSpan w:val="2"/>
            <w:tcBorders>
              <w:top w:val="nil"/>
              <w:left w:val="nil"/>
              <w:bottom w:val="single" w:sz="4" w:space="0" w:color="auto"/>
              <w:right w:val="nil"/>
            </w:tcBorders>
            <w:noWrap/>
            <w:vAlign w:val="bottom"/>
            <w:hideMark/>
          </w:tcPr>
          <w:p w14:paraId="0B8298F1" w14:textId="77777777" w:rsidR="008661AF" w:rsidRPr="006F29FC" w:rsidRDefault="008661AF" w:rsidP="001D5791">
            <w:pPr>
              <w:contextualSpacing/>
              <w:rPr>
                <w:rFonts w:asciiTheme="majorHAnsi" w:hAnsiTheme="majorHAnsi"/>
                <w:b/>
                <w:bCs/>
                <w:color w:val="000000"/>
                <w:sz w:val="16"/>
                <w:szCs w:val="16"/>
                <w:u w:val="single"/>
                <w:lang w:val="en-IN" w:eastAsia="en-IN"/>
              </w:rPr>
            </w:pPr>
            <w:r w:rsidRPr="006F29FC">
              <w:rPr>
                <w:rFonts w:asciiTheme="majorHAnsi" w:hAnsiTheme="majorHAnsi"/>
                <w:b/>
                <w:bCs/>
                <w:color w:val="000000"/>
                <w:sz w:val="16"/>
                <w:szCs w:val="16"/>
                <w:u w:val="single"/>
              </w:rPr>
              <w:t>TPWODL Assets</w:t>
            </w:r>
          </w:p>
        </w:tc>
        <w:tc>
          <w:tcPr>
            <w:tcW w:w="825" w:type="dxa"/>
            <w:tcBorders>
              <w:top w:val="nil"/>
              <w:left w:val="nil"/>
              <w:bottom w:val="nil"/>
              <w:right w:val="nil"/>
            </w:tcBorders>
            <w:noWrap/>
            <w:vAlign w:val="bottom"/>
            <w:hideMark/>
          </w:tcPr>
          <w:p w14:paraId="2C321E3C" w14:textId="77777777" w:rsidR="008661AF" w:rsidRPr="006F29FC" w:rsidRDefault="008661AF" w:rsidP="001D5791">
            <w:pPr>
              <w:contextualSpacing/>
              <w:rPr>
                <w:rFonts w:asciiTheme="majorHAnsi" w:hAnsiTheme="majorHAnsi"/>
                <w:b/>
                <w:bCs/>
                <w:color w:val="000000"/>
                <w:sz w:val="16"/>
                <w:szCs w:val="16"/>
                <w:u w:val="single"/>
              </w:rPr>
            </w:pPr>
          </w:p>
        </w:tc>
        <w:tc>
          <w:tcPr>
            <w:tcW w:w="822" w:type="dxa"/>
            <w:tcBorders>
              <w:top w:val="nil"/>
              <w:left w:val="nil"/>
              <w:bottom w:val="nil"/>
              <w:right w:val="nil"/>
            </w:tcBorders>
            <w:noWrap/>
            <w:vAlign w:val="bottom"/>
            <w:hideMark/>
          </w:tcPr>
          <w:p w14:paraId="19BE9E9E" w14:textId="77777777" w:rsidR="008661AF" w:rsidRPr="006F29FC" w:rsidRDefault="008661AF" w:rsidP="001D5791">
            <w:pPr>
              <w:contextualSpacing/>
              <w:rPr>
                <w:rFonts w:asciiTheme="majorHAnsi" w:hAnsiTheme="majorHAnsi"/>
                <w:sz w:val="16"/>
                <w:szCs w:val="16"/>
              </w:rPr>
            </w:pPr>
          </w:p>
        </w:tc>
        <w:tc>
          <w:tcPr>
            <w:tcW w:w="599" w:type="dxa"/>
            <w:tcBorders>
              <w:top w:val="nil"/>
              <w:left w:val="nil"/>
              <w:bottom w:val="nil"/>
              <w:right w:val="nil"/>
            </w:tcBorders>
            <w:noWrap/>
            <w:vAlign w:val="bottom"/>
            <w:hideMark/>
          </w:tcPr>
          <w:p w14:paraId="40D7DD6E" w14:textId="77777777" w:rsidR="008661AF" w:rsidRPr="006F29FC" w:rsidRDefault="008661AF" w:rsidP="001D5791">
            <w:pPr>
              <w:contextualSpacing/>
              <w:rPr>
                <w:rFonts w:asciiTheme="majorHAnsi" w:hAnsiTheme="majorHAnsi"/>
                <w:sz w:val="16"/>
                <w:szCs w:val="16"/>
              </w:rPr>
            </w:pPr>
          </w:p>
        </w:tc>
        <w:tc>
          <w:tcPr>
            <w:tcW w:w="912" w:type="dxa"/>
            <w:tcBorders>
              <w:top w:val="nil"/>
              <w:left w:val="nil"/>
              <w:bottom w:val="nil"/>
              <w:right w:val="nil"/>
            </w:tcBorders>
            <w:noWrap/>
            <w:vAlign w:val="bottom"/>
            <w:hideMark/>
          </w:tcPr>
          <w:p w14:paraId="34568A1F" w14:textId="77777777" w:rsidR="008661AF" w:rsidRPr="006F29FC" w:rsidRDefault="008661AF" w:rsidP="001D5791">
            <w:pPr>
              <w:contextualSpacing/>
              <w:rPr>
                <w:rFonts w:asciiTheme="majorHAnsi" w:hAnsiTheme="majorHAnsi"/>
                <w:sz w:val="16"/>
                <w:szCs w:val="16"/>
              </w:rPr>
            </w:pPr>
          </w:p>
        </w:tc>
        <w:tc>
          <w:tcPr>
            <w:tcW w:w="825" w:type="dxa"/>
            <w:tcBorders>
              <w:top w:val="nil"/>
              <w:left w:val="nil"/>
              <w:bottom w:val="nil"/>
              <w:right w:val="nil"/>
            </w:tcBorders>
            <w:noWrap/>
            <w:vAlign w:val="bottom"/>
            <w:hideMark/>
          </w:tcPr>
          <w:p w14:paraId="76FD93D6" w14:textId="77777777" w:rsidR="008661AF" w:rsidRPr="006F29FC" w:rsidRDefault="008661AF" w:rsidP="001D5791">
            <w:pPr>
              <w:contextualSpacing/>
              <w:rPr>
                <w:rFonts w:asciiTheme="majorHAnsi" w:hAnsiTheme="majorHAnsi"/>
                <w:sz w:val="16"/>
                <w:szCs w:val="16"/>
              </w:rPr>
            </w:pPr>
          </w:p>
        </w:tc>
        <w:tc>
          <w:tcPr>
            <w:tcW w:w="620" w:type="dxa"/>
            <w:tcBorders>
              <w:top w:val="nil"/>
              <w:left w:val="nil"/>
              <w:bottom w:val="nil"/>
              <w:right w:val="nil"/>
            </w:tcBorders>
            <w:noWrap/>
            <w:vAlign w:val="bottom"/>
            <w:hideMark/>
          </w:tcPr>
          <w:p w14:paraId="791D6B01" w14:textId="77777777" w:rsidR="008661AF" w:rsidRPr="006F29FC" w:rsidRDefault="008661AF" w:rsidP="001D5791">
            <w:pPr>
              <w:contextualSpacing/>
              <w:rPr>
                <w:rFonts w:asciiTheme="majorHAnsi" w:hAnsiTheme="majorHAnsi"/>
                <w:sz w:val="16"/>
                <w:szCs w:val="16"/>
              </w:rPr>
            </w:pPr>
          </w:p>
        </w:tc>
        <w:tc>
          <w:tcPr>
            <w:tcW w:w="1029" w:type="dxa"/>
            <w:tcBorders>
              <w:top w:val="nil"/>
              <w:left w:val="nil"/>
              <w:bottom w:val="nil"/>
              <w:right w:val="nil"/>
            </w:tcBorders>
            <w:noWrap/>
            <w:vAlign w:val="bottom"/>
            <w:hideMark/>
          </w:tcPr>
          <w:p w14:paraId="789F05B6" w14:textId="77777777" w:rsidR="008661AF" w:rsidRPr="006F29FC" w:rsidRDefault="008661AF" w:rsidP="001D5791">
            <w:pPr>
              <w:contextualSpacing/>
              <w:rPr>
                <w:rFonts w:asciiTheme="majorHAnsi" w:hAnsiTheme="majorHAnsi"/>
                <w:sz w:val="16"/>
                <w:szCs w:val="16"/>
              </w:rPr>
            </w:pPr>
          </w:p>
        </w:tc>
        <w:tc>
          <w:tcPr>
            <w:tcW w:w="959" w:type="dxa"/>
            <w:tcBorders>
              <w:top w:val="nil"/>
              <w:left w:val="nil"/>
              <w:bottom w:val="nil"/>
              <w:right w:val="nil"/>
            </w:tcBorders>
            <w:noWrap/>
            <w:vAlign w:val="bottom"/>
            <w:hideMark/>
          </w:tcPr>
          <w:p w14:paraId="07AB1D2B" w14:textId="77777777" w:rsidR="008661AF" w:rsidRPr="006F29FC" w:rsidRDefault="008661AF" w:rsidP="001D5791">
            <w:pPr>
              <w:contextualSpacing/>
              <w:rPr>
                <w:rFonts w:asciiTheme="majorHAnsi" w:hAnsiTheme="majorHAnsi"/>
                <w:sz w:val="16"/>
                <w:szCs w:val="16"/>
              </w:rPr>
            </w:pPr>
          </w:p>
        </w:tc>
        <w:tc>
          <w:tcPr>
            <w:tcW w:w="620" w:type="dxa"/>
            <w:tcBorders>
              <w:top w:val="nil"/>
              <w:left w:val="nil"/>
              <w:bottom w:val="nil"/>
              <w:right w:val="nil"/>
            </w:tcBorders>
            <w:noWrap/>
            <w:vAlign w:val="bottom"/>
            <w:hideMark/>
          </w:tcPr>
          <w:p w14:paraId="4A8AAC73" w14:textId="77777777" w:rsidR="008661AF" w:rsidRPr="006F29FC" w:rsidRDefault="008661AF" w:rsidP="001D5791">
            <w:pPr>
              <w:contextualSpacing/>
              <w:rPr>
                <w:rFonts w:asciiTheme="majorHAnsi" w:hAnsiTheme="majorHAnsi"/>
                <w:sz w:val="16"/>
                <w:szCs w:val="16"/>
              </w:rPr>
            </w:pPr>
          </w:p>
        </w:tc>
        <w:tc>
          <w:tcPr>
            <w:tcW w:w="1029" w:type="dxa"/>
            <w:tcBorders>
              <w:top w:val="nil"/>
              <w:left w:val="nil"/>
              <w:bottom w:val="nil"/>
              <w:right w:val="nil"/>
            </w:tcBorders>
            <w:noWrap/>
            <w:vAlign w:val="bottom"/>
            <w:hideMark/>
          </w:tcPr>
          <w:p w14:paraId="45068999" w14:textId="77777777" w:rsidR="008661AF" w:rsidRPr="006F29FC" w:rsidRDefault="008661AF" w:rsidP="001D5791">
            <w:pPr>
              <w:contextualSpacing/>
              <w:rPr>
                <w:rFonts w:asciiTheme="majorHAnsi" w:hAnsiTheme="majorHAnsi"/>
                <w:sz w:val="16"/>
                <w:szCs w:val="16"/>
              </w:rPr>
            </w:pPr>
          </w:p>
        </w:tc>
      </w:tr>
      <w:tr w:rsidR="001D5791" w:rsidRPr="006F29FC" w14:paraId="1478791B" w14:textId="77777777" w:rsidTr="00361EBF">
        <w:trPr>
          <w:trHeight w:val="570"/>
          <w:tblHeader/>
        </w:trPr>
        <w:tc>
          <w:tcPr>
            <w:tcW w:w="424" w:type="dxa"/>
            <w:tcBorders>
              <w:top w:val="nil"/>
              <w:left w:val="single" w:sz="4" w:space="0" w:color="auto"/>
              <w:bottom w:val="single" w:sz="4" w:space="0" w:color="auto"/>
              <w:right w:val="single" w:sz="4" w:space="0" w:color="auto"/>
            </w:tcBorders>
            <w:shd w:val="clear" w:color="000000" w:fill="D9D9D9"/>
            <w:noWrap/>
            <w:vAlign w:val="center"/>
            <w:hideMark/>
          </w:tcPr>
          <w:p w14:paraId="04F245A2" w14:textId="77777777" w:rsidR="001D5791" w:rsidRPr="006F29FC" w:rsidRDefault="001D5791" w:rsidP="001D5791">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S. No.</w:t>
            </w:r>
          </w:p>
        </w:tc>
        <w:tc>
          <w:tcPr>
            <w:tcW w:w="1638" w:type="dxa"/>
            <w:tcBorders>
              <w:top w:val="nil"/>
              <w:left w:val="nil"/>
              <w:bottom w:val="single" w:sz="4" w:space="0" w:color="auto"/>
              <w:right w:val="single" w:sz="4" w:space="0" w:color="auto"/>
            </w:tcBorders>
            <w:shd w:val="clear" w:color="000000" w:fill="D9D9D9"/>
            <w:vAlign w:val="center"/>
            <w:hideMark/>
          </w:tcPr>
          <w:p w14:paraId="5D65FDFD" w14:textId="2404A5A4" w:rsidR="001D5791" w:rsidRPr="006F29FC" w:rsidRDefault="001D5791" w:rsidP="001D5791">
            <w:pPr>
              <w:contextualSpacing/>
              <w:rPr>
                <w:rFonts w:asciiTheme="majorHAnsi" w:hAnsiTheme="majorHAnsi"/>
                <w:b/>
                <w:bCs/>
                <w:color w:val="000000"/>
                <w:sz w:val="16"/>
                <w:szCs w:val="16"/>
              </w:rPr>
            </w:pPr>
            <w:r w:rsidRPr="006F29FC">
              <w:rPr>
                <w:rFonts w:asciiTheme="majorHAnsi" w:hAnsiTheme="majorHAnsi"/>
                <w:b/>
                <w:bCs/>
                <w:color w:val="000000"/>
                <w:sz w:val="16"/>
                <w:szCs w:val="16"/>
              </w:rPr>
              <w:t>Asset Class Details (Rs. Cr.)</w:t>
            </w:r>
          </w:p>
        </w:tc>
        <w:tc>
          <w:tcPr>
            <w:tcW w:w="825" w:type="dxa"/>
            <w:tcBorders>
              <w:top w:val="single" w:sz="4" w:space="0" w:color="auto"/>
              <w:left w:val="nil"/>
              <w:bottom w:val="single" w:sz="4" w:space="0" w:color="auto"/>
              <w:right w:val="single" w:sz="4" w:space="0" w:color="auto"/>
            </w:tcBorders>
            <w:shd w:val="clear" w:color="000000" w:fill="D9D9D9"/>
            <w:vAlign w:val="center"/>
            <w:hideMark/>
          </w:tcPr>
          <w:p w14:paraId="3883F0B8" w14:textId="77777777" w:rsidR="001D5791" w:rsidRPr="006F29FC" w:rsidRDefault="001D5791" w:rsidP="001D5791">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GB as on 31.03.</w:t>
            </w:r>
          </w:p>
          <w:p w14:paraId="2CCDBE35" w14:textId="03BB038D" w:rsidR="001D5791" w:rsidRPr="006F29FC" w:rsidRDefault="001D5791" w:rsidP="001D5791">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22</w:t>
            </w:r>
          </w:p>
        </w:tc>
        <w:tc>
          <w:tcPr>
            <w:tcW w:w="822" w:type="dxa"/>
            <w:tcBorders>
              <w:top w:val="single" w:sz="4" w:space="0" w:color="auto"/>
              <w:left w:val="nil"/>
              <w:bottom w:val="single" w:sz="4" w:space="0" w:color="auto"/>
              <w:right w:val="single" w:sz="4" w:space="0" w:color="auto"/>
            </w:tcBorders>
            <w:shd w:val="clear" w:color="000000" w:fill="D9D9D9"/>
            <w:vAlign w:val="center"/>
            <w:hideMark/>
          </w:tcPr>
          <w:p w14:paraId="6C06D549" w14:textId="44FEDD94" w:rsidR="001D5791" w:rsidRPr="006F29FC" w:rsidRDefault="001D5791" w:rsidP="001D5791">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Add.</w:t>
            </w:r>
          </w:p>
        </w:tc>
        <w:tc>
          <w:tcPr>
            <w:tcW w:w="599" w:type="dxa"/>
            <w:tcBorders>
              <w:top w:val="single" w:sz="4" w:space="0" w:color="auto"/>
              <w:left w:val="nil"/>
              <w:bottom w:val="single" w:sz="4" w:space="0" w:color="auto"/>
              <w:right w:val="single" w:sz="4" w:space="0" w:color="auto"/>
            </w:tcBorders>
            <w:shd w:val="clear" w:color="000000" w:fill="D9D9D9"/>
            <w:vAlign w:val="center"/>
            <w:hideMark/>
          </w:tcPr>
          <w:p w14:paraId="5D315026" w14:textId="5F5A9C71" w:rsidR="001D5791" w:rsidRPr="006F29FC" w:rsidRDefault="001D5791" w:rsidP="001D5791">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Ret.</w:t>
            </w:r>
          </w:p>
        </w:tc>
        <w:tc>
          <w:tcPr>
            <w:tcW w:w="912" w:type="dxa"/>
            <w:tcBorders>
              <w:top w:val="single" w:sz="4" w:space="0" w:color="auto"/>
              <w:left w:val="nil"/>
              <w:bottom w:val="single" w:sz="4" w:space="0" w:color="auto"/>
              <w:right w:val="single" w:sz="4" w:space="0" w:color="auto"/>
            </w:tcBorders>
            <w:shd w:val="clear" w:color="000000" w:fill="D9D9D9"/>
            <w:vAlign w:val="center"/>
            <w:hideMark/>
          </w:tcPr>
          <w:p w14:paraId="2BD51E8F" w14:textId="77777777" w:rsidR="001D5791" w:rsidRPr="006F29FC" w:rsidRDefault="001D5791" w:rsidP="001D5791">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GB as on 31.03.</w:t>
            </w:r>
          </w:p>
          <w:p w14:paraId="47DC9ABF" w14:textId="0666ABAF" w:rsidR="001D5791" w:rsidRPr="006F29FC" w:rsidRDefault="001D5791" w:rsidP="001D5791">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23</w:t>
            </w:r>
          </w:p>
        </w:tc>
        <w:tc>
          <w:tcPr>
            <w:tcW w:w="825" w:type="dxa"/>
            <w:tcBorders>
              <w:top w:val="single" w:sz="4" w:space="0" w:color="auto"/>
              <w:left w:val="nil"/>
              <w:bottom w:val="single" w:sz="4" w:space="0" w:color="auto"/>
              <w:right w:val="single" w:sz="4" w:space="0" w:color="auto"/>
            </w:tcBorders>
            <w:shd w:val="clear" w:color="000000" w:fill="D9D9D9"/>
            <w:vAlign w:val="center"/>
            <w:hideMark/>
          </w:tcPr>
          <w:p w14:paraId="75295C2A" w14:textId="2C35D0C5" w:rsidR="001D5791" w:rsidRPr="006F29FC" w:rsidRDefault="001D5791" w:rsidP="001D5791">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Add.</w:t>
            </w:r>
          </w:p>
        </w:tc>
        <w:tc>
          <w:tcPr>
            <w:tcW w:w="620" w:type="dxa"/>
            <w:tcBorders>
              <w:top w:val="single" w:sz="4" w:space="0" w:color="auto"/>
              <w:left w:val="nil"/>
              <w:bottom w:val="single" w:sz="4" w:space="0" w:color="auto"/>
              <w:right w:val="single" w:sz="4" w:space="0" w:color="auto"/>
            </w:tcBorders>
            <w:shd w:val="clear" w:color="000000" w:fill="D9D9D9"/>
            <w:vAlign w:val="center"/>
            <w:hideMark/>
          </w:tcPr>
          <w:p w14:paraId="4EC19BBC" w14:textId="5FD66F37" w:rsidR="001D5791" w:rsidRPr="006F29FC" w:rsidRDefault="001D5791" w:rsidP="001D5791">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Ret.</w:t>
            </w:r>
          </w:p>
        </w:tc>
        <w:tc>
          <w:tcPr>
            <w:tcW w:w="1029" w:type="dxa"/>
            <w:tcBorders>
              <w:top w:val="single" w:sz="4" w:space="0" w:color="auto"/>
              <w:left w:val="nil"/>
              <w:bottom w:val="single" w:sz="4" w:space="0" w:color="auto"/>
              <w:right w:val="single" w:sz="4" w:space="0" w:color="auto"/>
            </w:tcBorders>
            <w:shd w:val="clear" w:color="000000" w:fill="D9D9D9"/>
            <w:vAlign w:val="center"/>
            <w:hideMark/>
          </w:tcPr>
          <w:p w14:paraId="466C2C74" w14:textId="77777777" w:rsidR="001D5791" w:rsidRPr="006F29FC" w:rsidRDefault="001D5791" w:rsidP="001D5791">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GB as on 31.03.</w:t>
            </w:r>
          </w:p>
          <w:p w14:paraId="74806B76" w14:textId="5C1901F0" w:rsidR="001D5791" w:rsidRPr="006F29FC" w:rsidRDefault="001D5791" w:rsidP="001D5791">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24</w:t>
            </w:r>
          </w:p>
        </w:tc>
        <w:tc>
          <w:tcPr>
            <w:tcW w:w="959" w:type="dxa"/>
            <w:tcBorders>
              <w:top w:val="single" w:sz="4" w:space="0" w:color="auto"/>
              <w:left w:val="nil"/>
              <w:bottom w:val="single" w:sz="4" w:space="0" w:color="auto"/>
              <w:right w:val="single" w:sz="4" w:space="0" w:color="auto"/>
            </w:tcBorders>
            <w:shd w:val="clear" w:color="000000" w:fill="D9D9D9"/>
            <w:vAlign w:val="center"/>
            <w:hideMark/>
          </w:tcPr>
          <w:p w14:paraId="7DA78AD8" w14:textId="768F667F" w:rsidR="001D5791" w:rsidRPr="006F29FC" w:rsidRDefault="001D5791" w:rsidP="001D5791">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Add.</w:t>
            </w:r>
          </w:p>
        </w:tc>
        <w:tc>
          <w:tcPr>
            <w:tcW w:w="620" w:type="dxa"/>
            <w:tcBorders>
              <w:top w:val="single" w:sz="4" w:space="0" w:color="auto"/>
              <w:left w:val="nil"/>
              <w:bottom w:val="single" w:sz="4" w:space="0" w:color="auto"/>
              <w:right w:val="single" w:sz="4" w:space="0" w:color="auto"/>
            </w:tcBorders>
            <w:shd w:val="clear" w:color="000000" w:fill="D9D9D9"/>
            <w:vAlign w:val="center"/>
            <w:hideMark/>
          </w:tcPr>
          <w:p w14:paraId="1F867FC6" w14:textId="41F7E5A3" w:rsidR="001D5791" w:rsidRPr="006F29FC" w:rsidRDefault="001D5791" w:rsidP="001D5791">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Ret.</w:t>
            </w:r>
          </w:p>
        </w:tc>
        <w:tc>
          <w:tcPr>
            <w:tcW w:w="1029" w:type="dxa"/>
            <w:tcBorders>
              <w:top w:val="single" w:sz="4" w:space="0" w:color="auto"/>
              <w:left w:val="nil"/>
              <w:bottom w:val="single" w:sz="4" w:space="0" w:color="auto"/>
              <w:right w:val="single" w:sz="4" w:space="0" w:color="auto"/>
            </w:tcBorders>
            <w:shd w:val="clear" w:color="000000" w:fill="D9D9D9"/>
            <w:vAlign w:val="center"/>
            <w:hideMark/>
          </w:tcPr>
          <w:p w14:paraId="065908BE" w14:textId="77777777" w:rsidR="001D5791" w:rsidRPr="006F29FC" w:rsidRDefault="001D5791" w:rsidP="001D5791">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GB as on 31.03.</w:t>
            </w:r>
          </w:p>
          <w:p w14:paraId="05E099C9" w14:textId="38C2057B" w:rsidR="001D5791" w:rsidRPr="006F29FC" w:rsidRDefault="001D5791" w:rsidP="001D5791">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25</w:t>
            </w:r>
          </w:p>
        </w:tc>
      </w:tr>
      <w:tr w:rsidR="002E7B3E" w:rsidRPr="006F29FC" w14:paraId="3E9DD9E8" w14:textId="77777777" w:rsidTr="002E7B3E">
        <w:trPr>
          <w:trHeight w:val="285"/>
          <w:tblHeader/>
        </w:trPr>
        <w:tc>
          <w:tcPr>
            <w:tcW w:w="424" w:type="dxa"/>
            <w:tcBorders>
              <w:top w:val="nil"/>
              <w:left w:val="single" w:sz="4" w:space="0" w:color="auto"/>
              <w:bottom w:val="single" w:sz="4" w:space="0" w:color="auto"/>
              <w:right w:val="single" w:sz="4" w:space="0" w:color="auto"/>
            </w:tcBorders>
            <w:noWrap/>
            <w:vAlign w:val="center"/>
            <w:hideMark/>
          </w:tcPr>
          <w:p w14:paraId="6CCAC66A" w14:textId="77777777" w:rsidR="002E7B3E" w:rsidRPr="006F29FC" w:rsidRDefault="002E7B3E" w:rsidP="002E7B3E">
            <w:pPr>
              <w:contextualSpacing/>
              <w:jc w:val="center"/>
              <w:rPr>
                <w:rFonts w:asciiTheme="majorHAnsi" w:hAnsiTheme="majorHAnsi"/>
                <w:color w:val="000000"/>
                <w:sz w:val="16"/>
                <w:szCs w:val="16"/>
              </w:rPr>
            </w:pPr>
            <w:r w:rsidRPr="006F29FC">
              <w:rPr>
                <w:rFonts w:asciiTheme="majorHAnsi" w:hAnsiTheme="majorHAnsi"/>
                <w:color w:val="000000"/>
                <w:sz w:val="16"/>
                <w:szCs w:val="16"/>
              </w:rPr>
              <w:t>1</w:t>
            </w:r>
          </w:p>
        </w:tc>
        <w:tc>
          <w:tcPr>
            <w:tcW w:w="1638" w:type="dxa"/>
            <w:tcBorders>
              <w:top w:val="nil"/>
              <w:left w:val="nil"/>
              <w:bottom w:val="single" w:sz="4" w:space="0" w:color="auto"/>
              <w:right w:val="single" w:sz="4" w:space="0" w:color="auto"/>
            </w:tcBorders>
            <w:noWrap/>
            <w:vAlign w:val="center"/>
            <w:hideMark/>
          </w:tcPr>
          <w:p w14:paraId="3A2AC6E5" w14:textId="77777777" w:rsidR="002E7B3E" w:rsidRPr="006F29FC" w:rsidRDefault="002E7B3E" w:rsidP="002E7B3E">
            <w:pPr>
              <w:contextualSpacing/>
              <w:rPr>
                <w:rFonts w:asciiTheme="majorHAnsi" w:hAnsiTheme="majorHAnsi"/>
                <w:color w:val="000000"/>
                <w:sz w:val="16"/>
                <w:szCs w:val="16"/>
              </w:rPr>
            </w:pPr>
            <w:r w:rsidRPr="006F29FC">
              <w:rPr>
                <w:rFonts w:asciiTheme="majorHAnsi" w:hAnsiTheme="majorHAnsi"/>
                <w:color w:val="000000"/>
                <w:sz w:val="16"/>
                <w:szCs w:val="16"/>
              </w:rPr>
              <w:t>Buildings</w:t>
            </w:r>
          </w:p>
        </w:tc>
        <w:tc>
          <w:tcPr>
            <w:tcW w:w="825" w:type="dxa"/>
            <w:tcBorders>
              <w:top w:val="nil"/>
              <w:left w:val="nil"/>
              <w:bottom w:val="single" w:sz="4" w:space="0" w:color="auto"/>
              <w:right w:val="single" w:sz="4" w:space="0" w:color="auto"/>
            </w:tcBorders>
            <w:noWrap/>
            <w:vAlign w:val="center"/>
            <w:hideMark/>
          </w:tcPr>
          <w:p w14:paraId="161D18BC" w14:textId="515321AA"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29.48</w:t>
            </w:r>
          </w:p>
        </w:tc>
        <w:tc>
          <w:tcPr>
            <w:tcW w:w="822" w:type="dxa"/>
            <w:tcBorders>
              <w:top w:val="nil"/>
              <w:left w:val="nil"/>
              <w:bottom w:val="single" w:sz="4" w:space="0" w:color="auto"/>
              <w:right w:val="single" w:sz="4" w:space="0" w:color="auto"/>
            </w:tcBorders>
            <w:noWrap/>
            <w:vAlign w:val="center"/>
            <w:hideMark/>
          </w:tcPr>
          <w:p w14:paraId="754A9A18" w14:textId="0200C3E1"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76.31</w:t>
            </w:r>
          </w:p>
        </w:tc>
        <w:tc>
          <w:tcPr>
            <w:tcW w:w="599" w:type="dxa"/>
            <w:tcBorders>
              <w:top w:val="nil"/>
              <w:left w:val="nil"/>
              <w:bottom w:val="single" w:sz="4" w:space="0" w:color="auto"/>
              <w:right w:val="single" w:sz="4" w:space="0" w:color="auto"/>
            </w:tcBorders>
            <w:noWrap/>
            <w:vAlign w:val="center"/>
            <w:hideMark/>
          </w:tcPr>
          <w:p w14:paraId="4A067498" w14:textId="7BBDA82C"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912" w:type="dxa"/>
            <w:tcBorders>
              <w:top w:val="nil"/>
              <w:left w:val="nil"/>
              <w:bottom w:val="single" w:sz="4" w:space="0" w:color="auto"/>
              <w:right w:val="single" w:sz="4" w:space="0" w:color="auto"/>
            </w:tcBorders>
            <w:noWrap/>
            <w:vAlign w:val="center"/>
            <w:hideMark/>
          </w:tcPr>
          <w:p w14:paraId="74B3B804" w14:textId="5E5CE710"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105.79</w:t>
            </w:r>
          </w:p>
        </w:tc>
        <w:tc>
          <w:tcPr>
            <w:tcW w:w="825" w:type="dxa"/>
            <w:tcBorders>
              <w:top w:val="nil"/>
              <w:left w:val="nil"/>
              <w:bottom w:val="single" w:sz="4" w:space="0" w:color="auto"/>
              <w:right w:val="single" w:sz="4" w:space="0" w:color="auto"/>
            </w:tcBorders>
            <w:noWrap/>
            <w:vAlign w:val="center"/>
            <w:hideMark/>
          </w:tcPr>
          <w:p w14:paraId="2DA778A0" w14:textId="3BC7E059"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98.49</w:t>
            </w:r>
          </w:p>
        </w:tc>
        <w:tc>
          <w:tcPr>
            <w:tcW w:w="620" w:type="dxa"/>
            <w:tcBorders>
              <w:top w:val="nil"/>
              <w:left w:val="nil"/>
              <w:bottom w:val="single" w:sz="4" w:space="0" w:color="auto"/>
              <w:right w:val="single" w:sz="4" w:space="0" w:color="auto"/>
            </w:tcBorders>
            <w:noWrap/>
            <w:vAlign w:val="center"/>
            <w:hideMark/>
          </w:tcPr>
          <w:p w14:paraId="0CCB5FAE" w14:textId="738D819D"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1029" w:type="dxa"/>
            <w:tcBorders>
              <w:top w:val="nil"/>
              <w:left w:val="nil"/>
              <w:bottom w:val="single" w:sz="4" w:space="0" w:color="auto"/>
              <w:right w:val="single" w:sz="4" w:space="0" w:color="auto"/>
            </w:tcBorders>
            <w:noWrap/>
            <w:vAlign w:val="center"/>
            <w:hideMark/>
          </w:tcPr>
          <w:p w14:paraId="7122499C" w14:textId="55CA7DC0"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204.28</w:t>
            </w:r>
          </w:p>
        </w:tc>
        <w:tc>
          <w:tcPr>
            <w:tcW w:w="959" w:type="dxa"/>
            <w:tcBorders>
              <w:top w:val="nil"/>
              <w:left w:val="nil"/>
              <w:bottom w:val="single" w:sz="4" w:space="0" w:color="auto"/>
              <w:right w:val="single" w:sz="4" w:space="0" w:color="auto"/>
            </w:tcBorders>
            <w:noWrap/>
            <w:vAlign w:val="center"/>
            <w:hideMark/>
          </w:tcPr>
          <w:p w14:paraId="4B6ED6BD" w14:textId="448BB5BE"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87.84</w:t>
            </w:r>
          </w:p>
        </w:tc>
        <w:tc>
          <w:tcPr>
            <w:tcW w:w="620" w:type="dxa"/>
            <w:tcBorders>
              <w:top w:val="nil"/>
              <w:left w:val="nil"/>
              <w:bottom w:val="single" w:sz="4" w:space="0" w:color="auto"/>
              <w:right w:val="single" w:sz="4" w:space="0" w:color="auto"/>
            </w:tcBorders>
            <w:noWrap/>
            <w:vAlign w:val="center"/>
            <w:hideMark/>
          </w:tcPr>
          <w:p w14:paraId="7630EE3E" w14:textId="3EC81463" w:rsidR="002E7B3E" w:rsidRPr="002E7B3E" w:rsidRDefault="002E7B3E" w:rsidP="002E7B3E">
            <w:pPr>
              <w:contextualSpacing/>
              <w:jc w:val="center"/>
              <w:rPr>
                <w:rFonts w:asciiTheme="majorHAnsi" w:hAnsiTheme="majorHAnsi"/>
                <w:color w:val="000000"/>
                <w:sz w:val="16"/>
                <w:szCs w:val="16"/>
              </w:rPr>
            </w:pPr>
          </w:p>
        </w:tc>
        <w:tc>
          <w:tcPr>
            <w:tcW w:w="1029" w:type="dxa"/>
            <w:tcBorders>
              <w:top w:val="nil"/>
              <w:left w:val="nil"/>
              <w:bottom w:val="single" w:sz="4" w:space="0" w:color="auto"/>
              <w:right w:val="single" w:sz="4" w:space="0" w:color="auto"/>
            </w:tcBorders>
            <w:noWrap/>
            <w:vAlign w:val="center"/>
            <w:hideMark/>
          </w:tcPr>
          <w:p w14:paraId="4E30BBB4" w14:textId="7E6633A0"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292.12</w:t>
            </w:r>
          </w:p>
        </w:tc>
      </w:tr>
      <w:tr w:rsidR="002E7B3E" w:rsidRPr="006F29FC" w14:paraId="7983E054" w14:textId="77777777" w:rsidTr="002E7B3E">
        <w:trPr>
          <w:trHeight w:val="285"/>
          <w:tblHeader/>
        </w:trPr>
        <w:tc>
          <w:tcPr>
            <w:tcW w:w="424" w:type="dxa"/>
            <w:tcBorders>
              <w:top w:val="nil"/>
              <w:left w:val="single" w:sz="4" w:space="0" w:color="auto"/>
              <w:bottom w:val="single" w:sz="4" w:space="0" w:color="auto"/>
              <w:right w:val="single" w:sz="4" w:space="0" w:color="auto"/>
            </w:tcBorders>
            <w:noWrap/>
            <w:vAlign w:val="center"/>
            <w:hideMark/>
          </w:tcPr>
          <w:p w14:paraId="48BD7A3D" w14:textId="77777777" w:rsidR="002E7B3E" w:rsidRPr="006F29FC" w:rsidRDefault="002E7B3E" w:rsidP="002E7B3E">
            <w:pPr>
              <w:contextualSpacing/>
              <w:jc w:val="center"/>
              <w:rPr>
                <w:rFonts w:asciiTheme="majorHAnsi" w:hAnsiTheme="majorHAnsi"/>
                <w:color w:val="000000"/>
                <w:sz w:val="16"/>
                <w:szCs w:val="16"/>
              </w:rPr>
            </w:pPr>
            <w:r w:rsidRPr="006F29FC">
              <w:rPr>
                <w:rFonts w:asciiTheme="majorHAnsi" w:hAnsiTheme="majorHAnsi"/>
                <w:color w:val="000000"/>
                <w:sz w:val="16"/>
                <w:szCs w:val="16"/>
              </w:rPr>
              <w:t>2</w:t>
            </w:r>
          </w:p>
        </w:tc>
        <w:tc>
          <w:tcPr>
            <w:tcW w:w="1638" w:type="dxa"/>
            <w:tcBorders>
              <w:top w:val="nil"/>
              <w:left w:val="nil"/>
              <w:bottom w:val="single" w:sz="4" w:space="0" w:color="auto"/>
              <w:right w:val="single" w:sz="4" w:space="0" w:color="auto"/>
            </w:tcBorders>
            <w:noWrap/>
            <w:vAlign w:val="center"/>
            <w:hideMark/>
          </w:tcPr>
          <w:p w14:paraId="280751A6" w14:textId="77777777" w:rsidR="002E7B3E" w:rsidRPr="006F29FC" w:rsidRDefault="002E7B3E" w:rsidP="002E7B3E">
            <w:pPr>
              <w:contextualSpacing/>
              <w:rPr>
                <w:rFonts w:asciiTheme="majorHAnsi" w:hAnsiTheme="majorHAnsi"/>
                <w:color w:val="000000"/>
                <w:sz w:val="16"/>
                <w:szCs w:val="16"/>
              </w:rPr>
            </w:pPr>
            <w:r w:rsidRPr="006F29FC">
              <w:rPr>
                <w:rFonts w:asciiTheme="majorHAnsi" w:hAnsiTheme="majorHAnsi"/>
                <w:color w:val="000000"/>
                <w:sz w:val="16"/>
                <w:szCs w:val="16"/>
              </w:rPr>
              <w:t>Lines, Cables &amp; Network Assets</w:t>
            </w:r>
          </w:p>
        </w:tc>
        <w:tc>
          <w:tcPr>
            <w:tcW w:w="825" w:type="dxa"/>
            <w:tcBorders>
              <w:top w:val="nil"/>
              <w:left w:val="nil"/>
              <w:bottom w:val="single" w:sz="4" w:space="0" w:color="auto"/>
              <w:right w:val="single" w:sz="4" w:space="0" w:color="auto"/>
            </w:tcBorders>
            <w:noWrap/>
            <w:vAlign w:val="center"/>
            <w:hideMark/>
          </w:tcPr>
          <w:p w14:paraId="3BD41ED4" w14:textId="323054C8"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303.55</w:t>
            </w:r>
          </w:p>
        </w:tc>
        <w:tc>
          <w:tcPr>
            <w:tcW w:w="822" w:type="dxa"/>
            <w:tcBorders>
              <w:top w:val="nil"/>
              <w:left w:val="nil"/>
              <w:bottom w:val="single" w:sz="4" w:space="0" w:color="auto"/>
              <w:right w:val="single" w:sz="4" w:space="0" w:color="auto"/>
            </w:tcBorders>
            <w:noWrap/>
            <w:vAlign w:val="center"/>
            <w:hideMark/>
          </w:tcPr>
          <w:p w14:paraId="53AF7678" w14:textId="172933CD"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425.83</w:t>
            </w:r>
          </w:p>
        </w:tc>
        <w:tc>
          <w:tcPr>
            <w:tcW w:w="599" w:type="dxa"/>
            <w:tcBorders>
              <w:top w:val="nil"/>
              <w:left w:val="nil"/>
              <w:bottom w:val="single" w:sz="4" w:space="0" w:color="auto"/>
              <w:right w:val="single" w:sz="4" w:space="0" w:color="auto"/>
            </w:tcBorders>
            <w:noWrap/>
            <w:vAlign w:val="center"/>
            <w:hideMark/>
          </w:tcPr>
          <w:p w14:paraId="0D60B010" w14:textId="16A1F15F"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912" w:type="dxa"/>
            <w:tcBorders>
              <w:top w:val="nil"/>
              <w:left w:val="nil"/>
              <w:bottom w:val="single" w:sz="4" w:space="0" w:color="auto"/>
              <w:right w:val="single" w:sz="4" w:space="0" w:color="auto"/>
            </w:tcBorders>
            <w:noWrap/>
            <w:vAlign w:val="center"/>
            <w:hideMark/>
          </w:tcPr>
          <w:p w14:paraId="514F20D1" w14:textId="19B3631D"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729.37</w:t>
            </w:r>
          </w:p>
        </w:tc>
        <w:tc>
          <w:tcPr>
            <w:tcW w:w="825" w:type="dxa"/>
            <w:tcBorders>
              <w:top w:val="nil"/>
              <w:left w:val="nil"/>
              <w:bottom w:val="single" w:sz="4" w:space="0" w:color="auto"/>
              <w:right w:val="single" w:sz="4" w:space="0" w:color="auto"/>
            </w:tcBorders>
            <w:noWrap/>
            <w:vAlign w:val="center"/>
            <w:hideMark/>
          </w:tcPr>
          <w:p w14:paraId="63AAC4F2" w14:textId="76F5ADB8"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625.92</w:t>
            </w:r>
          </w:p>
        </w:tc>
        <w:tc>
          <w:tcPr>
            <w:tcW w:w="620" w:type="dxa"/>
            <w:tcBorders>
              <w:top w:val="nil"/>
              <w:left w:val="nil"/>
              <w:bottom w:val="single" w:sz="4" w:space="0" w:color="auto"/>
              <w:right w:val="single" w:sz="4" w:space="0" w:color="auto"/>
            </w:tcBorders>
            <w:noWrap/>
            <w:vAlign w:val="center"/>
            <w:hideMark/>
          </w:tcPr>
          <w:p w14:paraId="29525BA5" w14:textId="4A16624E" w:rsidR="002E7B3E" w:rsidRPr="002E7B3E" w:rsidRDefault="002E7B3E" w:rsidP="002E7B3E">
            <w:pPr>
              <w:contextualSpacing/>
              <w:jc w:val="center"/>
              <w:rPr>
                <w:rFonts w:asciiTheme="majorHAnsi" w:hAnsiTheme="majorHAnsi"/>
                <w:color w:val="000000"/>
                <w:sz w:val="16"/>
                <w:szCs w:val="16"/>
              </w:rPr>
            </w:pPr>
          </w:p>
        </w:tc>
        <w:tc>
          <w:tcPr>
            <w:tcW w:w="1029" w:type="dxa"/>
            <w:tcBorders>
              <w:top w:val="nil"/>
              <w:left w:val="nil"/>
              <w:bottom w:val="single" w:sz="4" w:space="0" w:color="auto"/>
              <w:right w:val="single" w:sz="4" w:space="0" w:color="auto"/>
            </w:tcBorders>
            <w:noWrap/>
            <w:vAlign w:val="center"/>
            <w:hideMark/>
          </w:tcPr>
          <w:p w14:paraId="579299B7" w14:textId="68695861"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1,369.35</w:t>
            </w:r>
          </w:p>
        </w:tc>
        <w:tc>
          <w:tcPr>
            <w:tcW w:w="959" w:type="dxa"/>
            <w:tcBorders>
              <w:top w:val="nil"/>
              <w:left w:val="nil"/>
              <w:bottom w:val="single" w:sz="4" w:space="0" w:color="auto"/>
              <w:right w:val="single" w:sz="4" w:space="0" w:color="auto"/>
            </w:tcBorders>
            <w:noWrap/>
            <w:vAlign w:val="center"/>
            <w:hideMark/>
          </w:tcPr>
          <w:p w14:paraId="2E1FD3FA" w14:textId="6F3A4ABA"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1,168.50</w:t>
            </w:r>
          </w:p>
        </w:tc>
        <w:tc>
          <w:tcPr>
            <w:tcW w:w="620" w:type="dxa"/>
            <w:tcBorders>
              <w:top w:val="nil"/>
              <w:left w:val="nil"/>
              <w:bottom w:val="single" w:sz="4" w:space="0" w:color="auto"/>
              <w:right w:val="single" w:sz="4" w:space="0" w:color="auto"/>
            </w:tcBorders>
            <w:noWrap/>
            <w:vAlign w:val="center"/>
            <w:hideMark/>
          </w:tcPr>
          <w:p w14:paraId="1613F723" w14:textId="2A51A9A6" w:rsidR="002E7B3E" w:rsidRPr="002E7B3E" w:rsidRDefault="002E7B3E" w:rsidP="002E7B3E">
            <w:pPr>
              <w:contextualSpacing/>
              <w:jc w:val="center"/>
              <w:rPr>
                <w:rFonts w:asciiTheme="majorHAnsi" w:hAnsiTheme="majorHAnsi"/>
                <w:color w:val="000000"/>
                <w:sz w:val="16"/>
                <w:szCs w:val="16"/>
              </w:rPr>
            </w:pPr>
          </w:p>
        </w:tc>
        <w:tc>
          <w:tcPr>
            <w:tcW w:w="1029" w:type="dxa"/>
            <w:tcBorders>
              <w:top w:val="nil"/>
              <w:left w:val="nil"/>
              <w:bottom w:val="single" w:sz="4" w:space="0" w:color="auto"/>
              <w:right w:val="single" w:sz="4" w:space="0" w:color="auto"/>
            </w:tcBorders>
            <w:noWrap/>
            <w:vAlign w:val="center"/>
            <w:hideMark/>
          </w:tcPr>
          <w:p w14:paraId="16FCC0F9" w14:textId="28408E6A"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2,537.85</w:t>
            </w:r>
          </w:p>
        </w:tc>
      </w:tr>
      <w:tr w:rsidR="002E7B3E" w:rsidRPr="006F29FC" w14:paraId="77F33D9D" w14:textId="77777777" w:rsidTr="002E7B3E">
        <w:trPr>
          <w:trHeight w:val="285"/>
          <w:tblHeader/>
        </w:trPr>
        <w:tc>
          <w:tcPr>
            <w:tcW w:w="424" w:type="dxa"/>
            <w:tcBorders>
              <w:top w:val="nil"/>
              <w:left w:val="single" w:sz="4" w:space="0" w:color="auto"/>
              <w:bottom w:val="single" w:sz="4" w:space="0" w:color="auto"/>
              <w:right w:val="single" w:sz="4" w:space="0" w:color="auto"/>
            </w:tcBorders>
            <w:noWrap/>
            <w:vAlign w:val="center"/>
            <w:hideMark/>
          </w:tcPr>
          <w:p w14:paraId="5341E87B" w14:textId="77777777" w:rsidR="002E7B3E" w:rsidRPr="006F29FC" w:rsidRDefault="002E7B3E" w:rsidP="002E7B3E">
            <w:pPr>
              <w:contextualSpacing/>
              <w:jc w:val="center"/>
              <w:rPr>
                <w:rFonts w:asciiTheme="majorHAnsi" w:hAnsiTheme="majorHAnsi"/>
                <w:color w:val="000000"/>
                <w:sz w:val="16"/>
                <w:szCs w:val="16"/>
              </w:rPr>
            </w:pPr>
            <w:r w:rsidRPr="006F29FC">
              <w:rPr>
                <w:rFonts w:asciiTheme="majorHAnsi" w:hAnsiTheme="majorHAnsi"/>
                <w:color w:val="000000"/>
                <w:sz w:val="16"/>
                <w:szCs w:val="16"/>
              </w:rPr>
              <w:t>3</w:t>
            </w:r>
          </w:p>
        </w:tc>
        <w:tc>
          <w:tcPr>
            <w:tcW w:w="1638" w:type="dxa"/>
            <w:tcBorders>
              <w:top w:val="nil"/>
              <w:left w:val="nil"/>
              <w:bottom w:val="single" w:sz="4" w:space="0" w:color="auto"/>
              <w:right w:val="single" w:sz="4" w:space="0" w:color="auto"/>
            </w:tcBorders>
            <w:noWrap/>
            <w:vAlign w:val="center"/>
            <w:hideMark/>
          </w:tcPr>
          <w:p w14:paraId="22809B2A" w14:textId="77777777" w:rsidR="002E7B3E" w:rsidRPr="006F29FC" w:rsidRDefault="002E7B3E" w:rsidP="002E7B3E">
            <w:pPr>
              <w:contextualSpacing/>
              <w:rPr>
                <w:rFonts w:asciiTheme="majorHAnsi" w:hAnsiTheme="majorHAnsi"/>
                <w:color w:val="000000"/>
                <w:sz w:val="16"/>
                <w:szCs w:val="16"/>
              </w:rPr>
            </w:pPr>
            <w:r w:rsidRPr="006F29FC">
              <w:rPr>
                <w:rFonts w:asciiTheme="majorHAnsi" w:hAnsiTheme="majorHAnsi"/>
                <w:color w:val="000000"/>
                <w:sz w:val="16"/>
                <w:szCs w:val="16"/>
              </w:rPr>
              <w:t>Meters</w:t>
            </w:r>
          </w:p>
        </w:tc>
        <w:tc>
          <w:tcPr>
            <w:tcW w:w="825" w:type="dxa"/>
            <w:tcBorders>
              <w:top w:val="nil"/>
              <w:left w:val="nil"/>
              <w:bottom w:val="single" w:sz="4" w:space="0" w:color="auto"/>
              <w:right w:val="single" w:sz="4" w:space="0" w:color="auto"/>
            </w:tcBorders>
            <w:noWrap/>
            <w:vAlign w:val="center"/>
            <w:hideMark/>
          </w:tcPr>
          <w:p w14:paraId="3ACD63FD" w14:textId="6AC796BB"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0.03</w:t>
            </w:r>
          </w:p>
        </w:tc>
        <w:tc>
          <w:tcPr>
            <w:tcW w:w="822" w:type="dxa"/>
            <w:tcBorders>
              <w:top w:val="nil"/>
              <w:left w:val="nil"/>
              <w:bottom w:val="single" w:sz="4" w:space="0" w:color="auto"/>
              <w:right w:val="single" w:sz="4" w:space="0" w:color="auto"/>
            </w:tcBorders>
            <w:noWrap/>
            <w:vAlign w:val="center"/>
            <w:hideMark/>
          </w:tcPr>
          <w:p w14:paraId="7481B08E" w14:textId="276A65D4"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58.87</w:t>
            </w:r>
          </w:p>
        </w:tc>
        <w:tc>
          <w:tcPr>
            <w:tcW w:w="599" w:type="dxa"/>
            <w:tcBorders>
              <w:top w:val="nil"/>
              <w:left w:val="nil"/>
              <w:bottom w:val="single" w:sz="4" w:space="0" w:color="auto"/>
              <w:right w:val="single" w:sz="4" w:space="0" w:color="auto"/>
            </w:tcBorders>
            <w:noWrap/>
            <w:vAlign w:val="center"/>
            <w:hideMark/>
          </w:tcPr>
          <w:p w14:paraId="2E5F3B03" w14:textId="7347BDDC"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912" w:type="dxa"/>
            <w:tcBorders>
              <w:top w:val="nil"/>
              <w:left w:val="nil"/>
              <w:bottom w:val="single" w:sz="4" w:space="0" w:color="auto"/>
              <w:right w:val="single" w:sz="4" w:space="0" w:color="auto"/>
            </w:tcBorders>
            <w:noWrap/>
            <w:vAlign w:val="center"/>
            <w:hideMark/>
          </w:tcPr>
          <w:p w14:paraId="1667ACA5" w14:textId="46916710"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58.90</w:t>
            </w:r>
          </w:p>
        </w:tc>
        <w:tc>
          <w:tcPr>
            <w:tcW w:w="825" w:type="dxa"/>
            <w:tcBorders>
              <w:top w:val="nil"/>
              <w:left w:val="nil"/>
              <w:bottom w:val="single" w:sz="4" w:space="0" w:color="auto"/>
              <w:right w:val="single" w:sz="4" w:space="0" w:color="auto"/>
            </w:tcBorders>
            <w:noWrap/>
            <w:vAlign w:val="center"/>
            <w:hideMark/>
          </w:tcPr>
          <w:p w14:paraId="22570584" w14:textId="4F9D1F0D"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119.04</w:t>
            </w:r>
          </w:p>
        </w:tc>
        <w:tc>
          <w:tcPr>
            <w:tcW w:w="620" w:type="dxa"/>
            <w:tcBorders>
              <w:top w:val="nil"/>
              <w:left w:val="nil"/>
              <w:bottom w:val="single" w:sz="4" w:space="0" w:color="auto"/>
              <w:right w:val="single" w:sz="4" w:space="0" w:color="auto"/>
            </w:tcBorders>
            <w:noWrap/>
            <w:vAlign w:val="center"/>
            <w:hideMark/>
          </w:tcPr>
          <w:p w14:paraId="7F7B6F0B" w14:textId="46E523A5"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0.22</w:t>
            </w:r>
          </w:p>
        </w:tc>
        <w:tc>
          <w:tcPr>
            <w:tcW w:w="1029" w:type="dxa"/>
            <w:tcBorders>
              <w:top w:val="nil"/>
              <w:left w:val="nil"/>
              <w:bottom w:val="single" w:sz="4" w:space="0" w:color="auto"/>
              <w:right w:val="single" w:sz="4" w:space="0" w:color="auto"/>
            </w:tcBorders>
            <w:noWrap/>
            <w:vAlign w:val="center"/>
            <w:hideMark/>
          </w:tcPr>
          <w:p w14:paraId="3D5FEDE2" w14:textId="7EE6BADE"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177.72</w:t>
            </w:r>
          </w:p>
        </w:tc>
        <w:tc>
          <w:tcPr>
            <w:tcW w:w="959" w:type="dxa"/>
            <w:tcBorders>
              <w:top w:val="nil"/>
              <w:left w:val="nil"/>
              <w:bottom w:val="single" w:sz="4" w:space="0" w:color="auto"/>
              <w:right w:val="single" w:sz="4" w:space="0" w:color="auto"/>
            </w:tcBorders>
            <w:noWrap/>
            <w:vAlign w:val="center"/>
            <w:hideMark/>
          </w:tcPr>
          <w:p w14:paraId="2435DEBB" w14:textId="169A3CE2"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163.00</w:t>
            </w:r>
          </w:p>
        </w:tc>
        <w:tc>
          <w:tcPr>
            <w:tcW w:w="620" w:type="dxa"/>
            <w:tcBorders>
              <w:top w:val="nil"/>
              <w:left w:val="nil"/>
              <w:bottom w:val="single" w:sz="4" w:space="0" w:color="auto"/>
              <w:right w:val="single" w:sz="4" w:space="0" w:color="auto"/>
            </w:tcBorders>
            <w:noWrap/>
            <w:vAlign w:val="center"/>
            <w:hideMark/>
          </w:tcPr>
          <w:p w14:paraId="41AE676D" w14:textId="475D3867"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2.82</w:t>
            </w:r>
          </w:p>
        </w:tc>
        <w:tc>
          <w:tcPr>
            <w:tcW w:w="1029" w:type="dxa"/>
            <w:tcBorders>
              <w:top w:val="nil"/>
              <w:left w:val="nil"/>
              <w:bottom w:val="single" w:sz="4" w:space="0" w:color="auto"/>
              <w:right w:val="single" w:sz="4" w:space="0" w:color="auto"/>
            </w:tcBorders>
            <w:noWrap/>
            <w:vAlign w:val="center"/>
            <w:hideMark/>
          </w:tcPr>
          <w:p w14:paraId="5AC2A2FA" w14:textId="47D388A2"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337.90</w:t>
            </w:r>
          </w:p>
        </w:tc>
      </w:tr>
      <w:tr w:rsidR="002E7B3E" w:rsidRPr="006F29FC" w14:paraId="388D3DF5" w14:textId="77777777" w:rsidTr="002E7B3E">
        <w:trPr>
          <w:trHeight w:val="285"/>
          <w:tblHeader/>
        </w:trPr>
        <w:tc>
          <w:tcPr>
            <w:tcW w:w="424" w:type="dxa"/>
            <w:tcBorders>
              <w:top w:val="nil"/>
              <w:left w:val="single" w:sz="4" w:space="0" w:color="auto"/>
              <w:bottom w:val="single" w:sz="4" w:space="0" w:color="auto"/>
              <w:right w:val="single" w:sz="4" w:space="0" w:color="auto"/>
            </w:tcBorders>
            <w:noWrap/>
            <w:vAlign w:val="center"/>
            <w:hideMark/>
          </w:tcPr>
          <w:p w14:paraId="498FA659" w14:textId="77777777" w:rsidR="002E7B3E" w:rsidRPr="006F29FC" w:rsidRDefault="002E7B3E" w:rsidP="002E7B3E">
            <w:pPr>
              <w:contextualSpacing/>
              <w:jc w:val="center"/>
              <w:rPr>
                <w:rFonts w:asciiTheme="majorHAnsi" w:hAnsiTheme="majorHAnsi"/>
                <w:color w:val="000000"/>
                <w:sz w:val="16"/>
                <w:szCs w:val="16"/>
              </w:rPr>
            </w:pPr>
            <w:r w:rsidRPr="006F29FC">
              <w:rPr>
                <w:rFonts w:asciiTheme="majorHAnsi" w:hAnsiTheme="majorHAnsi"/>
                <w:color w:val="000000"/>
                <w:sz w:val="16"/>
                <w:szCs w:val="16"/>
              </w:rPr>
              <w:t>4</w:t>
            </w:r>
          </w:p>
        </w:tc>
        <w:tc>
          <w:tcPr>
            <w:tcW w:w="1638" w:type="dxa"/>
            <w:tcBorders>
              <w:top w:val="nil"/>
              <w:left w:val="nil"/>
              <w:bottom w:val="single" w:sz="4" w:space="0" w:color="auto"/>
              <w:right w:val="single" w:sz="4" w:space="0" w:color="auto"/>
            </w:tcBorders>
            <w:noWrap/>
            <w:vAlign w:val="center"/>
            <w:hideMark/>
          </w:tcPr>
          <w:p w14:paraId="26ED76FB" w14:textId="77777777" w:rsidR="002E7B3E" w:rsidRPr="006F29FC" w:rsidRDefault="002E7B3E" w:rsidP="002E7B3E">
            <w:pPr>
              <w:contextualSpacing/>
              <w:rPr>
                <w:rFonts w:asciiTheme="majorHAnsi" w:hAnsiTheme="majorHAnsi"/>
                <w:color w:val="000000"/>
                <w:sz w:val="16"/>
                <w:szCs w:val="16"/>
              </w:rPr>
            </w:pPr>
            <w:r w:rsidRPr="006F29FC">
              <w:rPr>
                <w:rFonts w:asciiTheme="majorHAnsi" w:hAnsiTheme="majorHAnsi"/>
                <w:color w:val="000000"/>
                <w:sz w:val="16"/>
                <w:szCs w:val="16"/>
              </w:rPr>
              <w:t>Vehicles</w:t>
            </w:r>
          </w:p>
        </w:tc>
        <w:tc>
          <w:tcPr>
            <w:tcW w:w="825" w:type="dxa"/>
            <w:tcBorders>
              <w:top w:val="nil"/>
              <w:left w:val="nil"/>
              <w:bottom w:val="single" w:sz="4" w:space="0" w:color="auto"/>
              <w:right w:val="single" w:sz="4" w:space="0" w:color="auto"/>
            </w:tcBorders>
            <w:noWrap/>
            <w:vAlign w:val="center"/>
            <w:hideMark/>
          </w:tcPr>
          <w:p w14:paraId="7EFA3C11" w14:textId="0451AF6C"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1.39</w:t>
            </w:r>
          </w:p>
        </w:tc>
        <w:tc>
          <w:tcPr>
            <w:tcW w:w="822" w:type="dxa"/>
            <w:tcBorders>
              <w:top w:val="nil"/>
              <w:left w:val="nil"/>
              <w:bottom w:val="single" w:sz="4" w:space="0" w:color="auto"/>
              <w:right w:val="single" w:sz="4" w:space="0" w:color="auto"/>
            </w:tcBorders>
            <w:noWrap/>
            <w:vAlign w:val="center"/>
            <w:hideMark/>
          </w:tcPr>
          <w:p w14:paraId="60DF63EA" w14:textId="02E64904"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3.90</w:t>
            </w:r>
          </w:p>
        </w:tc>
        <w:tc>
          <w:tcPr>
            <w:tcW w:w="599" w:type="dxa"/>
            <w:tcBorders>
              <w:top w:val="nil"/>
              <w:left w:val="nil"/>
              <w:bottom w:val="single" w:sz="4" w:space="0" w:color="auto"/>
              <w:right w:val="single" w:sz="4" w:space="0" w:color="auto"/>
            </w:tcBorders>
            <w:noWrap/>
            <w:vAlign w:val="center"/>
            <w:hideMark/>
          </w:tcPr>
          <w:p w14:paraId="7508FF11" w14:textId="2954F0E5"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0.02</w:t>
            </w:r>
          </w:p>
        </w:tc>
        <w:tc>
          <w:tcPr>
            <w:tcW w:w="912" w:type="dxa"/>
            <w:tcBorders>
              <w:top w:val="nil"/>
              <w:left w:val="nil"/>
              <w:bottom w:val="single" w:sz="4" w:space="0" w:color="auto"/>
              <w:right w:val="single" w:sz="4" w:space="0" w:color="auto"/>
            </w:tcBorders>
            <w:noWrap/>
            <w:vAlign w:val="center"/>
            <w:hideMark/>
          </w:tcPr>
          <w:p w14:paraId="752E2110" w14:textId="34A3F161"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5.27</w:t>
            </w:r>
          </w:p>
        </w:tc>
        <w:tc>
          <w:tcPr>
            <w:tcW w:w="825" w:type="dxa"/>
            <w:tcBorders>
              <w:top w:val="nil"/>
              <w:left w:val="nil"/>
              <w:bottom w:val="single" w:sz="4" w:space="0" w:color="auto"/>
              <w:right w:val="single" w:sz="4" w:space="0" w:color="auto"/>
            </w:tcBorders>
            <w:noWrap/>
            <w:vAlign w:val="center"/>
            <w:hideMark/>
          </w:tcPr>
          <w:p w14:paraId="05B7669E" w14:textId="32489634"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4.58</w:t>
            </w:r>
          </w:p>
        </w:tc>
        <w:tc>
          <w:tcPr>
            <w:tcW w:w="620" w:type="dxa"/>
            <w:tcBorders>
              <w:top w:val="nil"/>
              <w:left w:val="nil"/>
              <w:bottom w:val="single" w:sz="4" w:space="0" w:color="auto"/>
              <w:right w:val="single" w:sz="4" w:space="0" w:color="auto"/>
            </w:tcBorders>
            <w:noWrap/>
            <w:vAlign w:val="center"/>
            <w:hideMark/>
          </w:tcPr>
          <w:p w14:paraId="67E85BFD" w14:textId="7E268CD1"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0.06</w:t>
            </w:r>
          </w:p>
        </w:tc>
        <w:tc>
          <w:tcPr>
            <w:tcW w:w="1029" w:type="dxa"/>
            <w:tcBorders>
              <w:top w:val="nil"/>
              <w:left w:val="nil"/>
              <w:bottom w:val="single" w:sz="4" w:space="0" w:color="auto"/>
              <w:right w:val="single" w:sz="4" w:space="0" w:color="auto"/>
            </w:tcBorders>
            <w:noWrap/>
            <w:vAlign w:val="center"/>
            <w:hideMark/>
          </w:tcPr>
          <w:p w14:paraId="581DF9A3" w14:textId="040B98E9"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9.78</w:t>
            </w:r>
          </w:p>
        </w:tc>
        <w:tc>
          <w:tcPr>
            <w:tcW w:w="959" w:type="dxa"/>
            <w:tcBorders>
              <w:top w:val="nil"/>
              <w:left w:val="nil"/>
              <w:bottom w:val="single" w:sz="4" w:space="0" w:color="auto"/>
              <w:right w:val="single" w:sz="4" w:space="0" w:color="auto"/>
            </w:tcBorders>
            <w:noWrap/>
            <w:vAlign w:val="center"/>
            <w:hideMark/>
          </w:tcPr>
          <w:p w14:paraId="10FEBE4E" w14:textId="2ED6EF72"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2.74</w:t>
            </w:r>
          </w:p>
        </w:tc>
        <w:tc>
          <w:tcPr>
            <w:tcW w:w="620" w:type="dxa"/>
            <w:tcBorders>
              <w:top w:val="nil"/>
              <w:left w:val="nil"/>
              <w:bottom w:val="single" w:sz="4" w:space="0" w:color="auto"/>
              <w:right w:val="single" w:sz="4" w:space="0" w:color="auto"/>
            </w:tcBorders>
            <w:noWrap/>
            <w:vAlign w:val="center"/>
            <w:hideMark/>
          </w:tcPr>
          <w:p w14:paraId="17D772E1" w14:textId="2CB368A4"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1.26</w:t>
            </w:r>
          </w:p>
        </w:tc>
        <w:tc>
          <w:tcPr>
            <w:tcW w:w="1029" w:type="dxa"/>
            <w:tcBorders>
              <w:top w:val="nil"/>
              <w:left w:val="nil"/>
              <w:bottom w:val="single" w:sz="4" w:space="0" w:color="auto"/>
              <w:right w:val="single" w:sz="4" w:space="0" w:color="auto"/>
            </w:tcBorders>
            <w:noWrap/>
            <w:vAlign w:val="center"/>
            <w:hideMark/>
          </w:tcPr>
          <w:p w14:paraId="3F5EF296" w14:textId="27605FE3"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11.26</w:t>
            </w:r>
          </w:p>
        </w:tc>
      </w:tr>
      <w:tr w:rsidR="002E7B3E" w:rsidRPr="006F29FC" w14:paraId="7CA392EA" w14:textId="77777777" w:rsidTr="002E7B3E">
        <w:trPr>
          <w:trHeight w:val="285"/>
          <w:tblHeader/>
        </w:trPr>
        <w:tc>
          <w:tcPr>
            <w:tcW w:w="424" w:type="dxa"/>
            <w:tcBorders>
              <w:top w:val="nil"/>
              <w:left w:val="single" w:sz="4" w:space="0" w:color="auto"/>
              <w:bottom w:val="single" w:sz="4" w:space="0" w:color="auto"/>
              <w:right w:val="single" w:sz="4" w:space="0" w:color="auto"/>
            </w:tcBorders>
            <w:noWrap/>
            <w:vAlign w:val="center"/>
            <w:hideMark/>
          </w:tcPr>
          <w:p w14:paraId="1D8EB533" w14:textId="77777777" w:rsidR="002E7B3E" w:rsidRPr="006F29FC" w:rsidRDefault="002E7B3E" w:rsidP="002E7B3E">
            <w:pPr>
              <w:contextualSpacing/>
              <w:jc w:val="center"/>
              <w:rPr>
                <w:rFonts w:asciiTheme="majorHAnsi" w:hAnsiTheme="majorHAnsi"/>
                <w:color w:val="000000"/>
                <w:sz w:val="16"/>
                <w:szCs w:val="16"/>
              </w:rPr>
            </w:pPr>
            <w:r w:rsidRPr="006F29FC">
              <w:rPr>
                <w:rFonts w:asciiTheme="majorHAnsi" w:hAnsiTheme="majorHAnsi"/>
                <w:color w:val="000000"/>
                <w:sz w:val="16"/>
                <w:szCs w:val="16"/>
              </w:rPr>
              <w:t>5</w:t>
            </w:r>
          </w:p>
        </w:tc>
        <w:tc>
          <w:tcPr>
            <w:tcW w:w="1638" w:type="dxa"/>
            <w:tcBorders>
              <w:top w:val="nil"/>
              <w:left w:val="nil"/>
              <w:bottom w:val="single" w:sz="4" w:space="0" w:color="auto"/>
              <w:right w:val="single" w:sz="4" w:space="0" w:color="auto"/>
            </w:tcBorders>
            <w:noWrap/>
            <w:vAlign w:val="center"/>
            <w:hideMark/>
          </w:tcPr>
          <w:p w14:paraId="06CA2D2A" w14:textId="77777777" w:rsidR="002E7B3E" w:rsidRPr="006F29FC" w:rsidRDefault="002E7B3E" w:rsidP="002E7B3E">
            <w:pPr>
              <w:contextualSpacing/>
              <w:rPr>
                <w:rFonts w:asciiTheme="majorHAnsi" w:hAnsiTheme="majorHAnsi"/>
                <w:color w:val="000000"/>
                <w:sz w:val="16"/>
                <w:szCs w:val="16"/>
              </w:rPr>
            </w:pPr>
            <w:r w:rsidRPr="006F29FC">
              <w:rPr>
                <w:rFonts w:asciiTheme="majorHAnsi" w:hAnsiTheme="majorHAnsi"/>
                <w:color w:val="000000"/>
                <w:sz w:val="16"/>
                <w:szCs w:val="16"/>
              </w:rPr>
              <w:t>Furniture &amp; Fixtures</w:t>
            </w:r>
          </w:p>
        </w:tc>
        <w:tc>
          <w:tcPr>
            <w:tcW w:w="825" w:type="dxa"/>
            <w:tcBorders>
              <w:top w:val="nil"/>
              <w:left w:val="nil"/>
              <w:bottom w:val="single" w:sz="4" w:space="0" w:color="auto"/>
              <w:right w:val="single" w:sz="4" w:space="0" w:color="auto"/>
            </w:tcBorders>
            <w:noWrap/>
            <w:vAlign w:val="center"/>
            <w:hideMark/>
          </w:tcPr>
          <w:p w14:paraId="15334A40" w14:textId="5D23B595"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1.00</w:t>
            </w:r>
          </w:p>
        </w:tc>
        <w:tc>
          <w:tcPr>
            <w:tcW w:w="822" w:type="dxa"/>
            <w:tcBorders>
              <w:top w:val="nil"/>
              <w:left w:val="nil"/>
              <w:bottom w:val="single" w:sz="4" w:space="0" w:color="auto"/>
              <w:right w:val="single" w:sz="4" w:space="0" w:color="auto"/>
            </w:tcBorders>
            <w:noWrap/>
            <w:vAlign w:val="center"/>
            <w:hideMark/>
          </w:tcPr>
          <w:p w14:paraId="6BB4303F" w14:textId="3A28DC8F"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5.80</w:t>
            </w:r>
          </w:p>
        </w:tc>
        <w:tc>
          <w:tcPr>
            <w:tcW w:w="599" w:type="dxa"/>
            <w:tcBorders>
              <w:top w:val="nil"/>
              <w:left w:val="nil"/>
              <w:bottom w:val="single" w:sz="4" w:space="0" w:color="auto"/>
              <w:right w:val="single" w:sz="4" w:space="0" w:color="auto"/>
            </w:tcBorders>
            <w:noWrap/>
            <w:vAlign w:val="center"/>
            <w:hideMark/>
          </w:tcPr>
          <w:p w14:paraId="7AABC729" w14:textId="020C07B4"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912" w:type="dxa"/>
            <w:tcBorders>
              <w:top w:val="nil"/>
              <w:left w:val="nil"/>
              <w:bottom w:val="single" w:sz="4" w:space="0" w:color="auto"/>
              <w:right w:val="single" w:sz="4" w:space="0" w:color="auto"/>
            </w:tcBorders>
            <w:noWrap/>
            <w:vAlign w:val="center"/>
            <w:hideMark/>
          </w:tcPr>
          <w:p w14:paraId="2B046DDA" w14:textId="0F4F2D43"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6.80</w:t>
            </w:r>
          </w:p>
        </w:tc>
        <w:tc>
          <w:tcPr>
            <w:tcW w:w="825" w:type="dxa"/>
            <w:tcBorders>
              <w:top w:val="nil"/>
              <w:left w:val="nil"/>
              <w:bottom w:val="single" w:sz="4" w:space="0" w:color="auto"/>
              <w:right w:val="single" w:sz="4" w:space="0" w:color="auto"/>
            </w:tcBorders>
            <w:noWrap/>
            <w:vAlign w:val="center"/>
            <w:hideMark/>
          </w:tcPr>
          <w:p w14:paraId="63F704B5" w14:textId="5DAC8F6F"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9.04</w:t>
            </w:r>
          </w:p>
        </w:tc>
        <w:tc>
          <w:tcPr>
            <w:tcW w:w="620" w:type="dxa"/>
            <w:tcBorders>
              <w:top w:val="nil"/>
              <w:left w:val="nil"/>
              <w:bottom w:val="single" w:sz="4" w:space="0" w:color="auto"/>
              <w:right w:val="single" w:sz="4" w:space="0" w:color="auto"/>
            </w:tcBorders>
            <w:noWrap/>
            <w:vAlign w:val="center"/>
            <w:hideMark/>
          </w:tcPr>
          <w:p w14:paraId="167C7CA8" w14:textId="7B094FDB"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0.08</w:t>
            </w:r>
          </w:p>
        </w:tc>
        <w:tc>
          <w:tcPr>
            <w:tcW w:w="1029" w:type="dxa"/>
            <w:tcBorders>
              <w:top w:val="nil"/>
              <w:left w:val="nil"/>
              <w:bottom w:val="single" w:sz="4" w:space="0" w:color="auto"/>
              <w:right w:val="single" w:sz="4" w:space="0" w:color="auto"/>
            </w:tcBorders>
            <w:noWrap/>
            <w:vAlign w:val="center"/>
            <w:hideMark/>
          </w:tcPr>
          <w:p w14:paraId="40C6F7E5" w14:textId="2EB6E9C8"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15.76</w:t>
            </w:r>
          </w:p>
        </w:tc>
        <w:tc>
          <w:tcPr>
            <w:tcW w:w="959" w:type="dxa"/>
            <w:tcBorders>
              <w:top w:val="nil"/>
              <w:left w:val="nil"/>
              <w:bottom w:val="single" w:sz="4" w:space="0" w:color="auto"/>
              <w:right w:val="single" w:sz="4" w:space="0" w:color="auto"/>
            </w:tcBorders>
            <w:noWrap/>
            <w:vAlign w:val="center"/>
            <w:hideMark/>
          </w:tcPr>
          <w:p w14:paraId="2C20F53E" w14:textId="63C3F193"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3.33</w:t>
            </w:r>
          </w:p>
        </w:tc>
        <w:tc>
          <w:tcPr>
            <w:tcW w:w="620" w:type="dxa"/>
            <w:tcBorders>
              <w:top w:val="nil"/>
              <w:left w:val="nil"/>
              <w:bottom w:val="single" w:sz="4" w:space="0" w:color="auto"/>
              <w:right w:val="single" w:sz="4" w:space="0" w:color="auto"/>
            </w:tcBorders>
            <w:noWrap/>
            <w:vAlign w:val="center"/>
            <w:hideMark/>
          </w:tcPr>
          <w:p w14:paraId="076D1854" w14:textId="6F1779DA" w:rsidR="002E7B3E" w:rsidRPr="002E7B3E" w:rsidRDefault="002E7B3E" w:rsidP="002E7B3E">
            <w:pPr>
              <w:contextualSpacing/>
              <w:jc w:val="center"/>
              <w:rPr>
                <w:rFonts w:asciiTheme="majorHAnsi" w:hAnsiTheme="majorHAnsi"/>
                <w:color w:val="000000"/>
                <w:sz w:val="16"/>
                <w:szCs w:val="16"/>
              </w:rPr>
            </w:pPr>
          </w:p>
        </w:tc>
        <w:tc>
          <w:tcPr>
            <w:tcW w:w="1029" w:type="dxa"/>
            <w:tcBorders>
              <w:top w:val="nil"/>
              <w:left w:val="nil"/>
              <w:bottom w:val="single" w:sz="4" w:space="0" w:color="auto"/>
              <w:right w:val="single" w:sz="4" w:space="0" w:color="auto"/>
            </w:tcBorders>
            <w:noWrap/>
            <w:vAlign w:val="center"/>
            <w:hideMark/>
          </w:tcPr>
          <w:p w14:paraId="7F4B08F5" w14:textId="1681FEAF"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19.09</w:t>
            </w:r>
          </w:p>
        </w:tc>
      </w:tr>
      <w:tr w:rsidR="002E7B3E" w:rsidRPr="006F29FC" w14:paraId="5D20B4FF" w14:textId="77777777" w:rsidTr="002E7B3E">
        <w:trPr>
          <w:trHeight w:val="285"/>
          <w:tblHeader/>
        </w:trPr>
        <w:tc>
          <w:tcPr>
            <w:tcW w:w="424" w:type="dxa"/>
            <w:tcBorders>
              <w:top w:val="nil"/>
              <w:left w:val="single" w:sz="4" w:space="0" w:color="auto"/>
              <w:bottom w:val="single" w:sz="4" w:space="0" w:color="auto"/>
              <w:right w:val="single" w:sz="4" w:space="0" w:color="auto"/>
            </w:tcBorders>
            <w:noWrap/>
            <w:vAlign w:val="center"/>
            <w:hideMark/>
          </w:tcPr>
          <w:p w14:paraId="2A481B36" w14:textId="77777777" w:rsidR="002E7B3E" w:rsidRPr="006F29FC" w:rsidRDefault="002E7B3E" w:rsidP="002E7B3E">
            <w:pPr>
              <w:contextualSpacing/>
              <w:jc w:val="center"/>
              <w:rPr>
                <w:rFonts w:asciiTheme="majorHAnsi" w:hAnsiTheme="majorHAnsi"/>
                <w:color w:val="000000"/>
                <w:sz w:val="16"/>
                <w:szCs w:val="16"/>
              </w:rPr>
            </w:pPr>
            <w:r w:rsidRPr="006F29FC">
              <w:rPr>
                <w:rFonts w:asciiTheme="majorHAnsi" w:hAnsiTheme="majorHAnsi"/>
                <w:color w:val="000000"/>
                <w:sz w:val="16"/>
                <w:szCs w:val="16"/>
              </w:rPr>
              <w:t>6</w:t>
            </w:r>
          </w:p>
        </w:tc>
        <w:tc>
          <w:tcPr>
            <w:tcW w:w="1638" w:type="dxa"/>
            <w:tcBorders>
              <w:top w:val="nil"/>
              <w:left w:val="nil"/>
              <w:bottom w:val="single" w:sz="4" w:space="0" w:color="auto"/>
              <w:right w:val="single" w:sz="4" w:space="0" w:color="auto"/>
            </w:tcBorders>
            <w:noWrap/>
            <w:vAlign w:val="center"/>
            <w:hideMark/>
          </w:tcPr>
          <w:p w14:paraId="2B48B85E" w14:textId="77777777" w:rsidR="002E7B3E" w:rsidRPr="006F29FC" w:rsidRDefault="002E7B3E" w:rsidP="002E7B3E">
            <w:pPr>
              <w:contextualSpacing/>
              <w:rPr>
                <w:rFonts w:asciiTheme="majorHAnsi" w:hAnsiTheme="majorHAnsi"/>
                <w:color w:val="000000"/>
                <w:sz w:val="16"/>
                <w:szCs w:val="16"/>
              </w:rPr>
            </w:pPr>
            <w:r w:rsidRPr="006F29FC">
              <w:rPr>
                <w:rFonts w:asciiTheme="majorHAnsi" w:hAnsiTheme="majorHAnsi"/>
                <w:color w:val="000000"/>
                <w:sz w:val="16"/>
                <w:szCs w:val="16"/>
              </w:rPr>
              <w:t>Office Equipment</w:t>
            </w:r>
          </w:p>
        </w:tc>
        <w:tc>
          <w:tcPr>
            <w:tcW w:w="825" w:type="dxa"/>
            <w:tcBorders>
              <w:top w:val="nil"/>
              <w:left w:val="nil"/>
              <w:bottom w:val="single" w:sz="4" w:space="0" w:color="auto"/>
              <w:right w:val="single" w:sz="4" w:space="0" w:color="auto"/>
            </w:tcBorders>
            <w:noWrap/>
            <w:vAlign w:val="center"/>
            <w:hideMark/>
          </w:tcPr>
          <w:p w14:paraId="1FD5A825" w14:textId="683BF145"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0.57</w:t>
            </w:r>
          </w:p>
        </w:tc>
        <w:tc>
          <w:tcPr>
            <w:tcW w:w="822" w:type="dxa"/>
            <w:tcBorders>
              <w:top w:val="nil"/>
              <w:left w:val="nil"/>
              <w:bottom w:val="single" w:sz="4" w:space="0" w:color="auto"/>
              <w:right w:val="single" w:sz="4" w:space="0" w:color="auto"/>
            </w:tcBorders>
            <w:noWrap/>
            <w:vAlign w:val="center"/>
            <w:hideMark/>
          </w:tcPr>
          <w:p w14:paraId="62A05D8B" w14:textId="4C62ABD0"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10.68</w:t>
            </w:r>
          </w:p>
        </w:tc>
        <w:tc>
          <w:tcPr>
            <w:tcW w:w="599" w:type="dxa"/>
            <w:tcBorders>
              <w:top w:val="nil"/>
              <w:left w:val="nil"/>
              <w:bottom w:val="single" w:sz="4" w:space="0" w:color="auto"/>
              <w:right w:val="single" w:sz="4" w:space="0" w:color="auto"/>
            </w:tcBorders>
            <w:noWrap/>
            <w:vAlign w:val="center"/>
            <w:hideMark/>
          </w:tcPr>
          <w:p w14:paraId="3D318FFD" w14:textId="6A138F23"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912" w:type="dxa"/>
            <w:tcBorders>
              <w:top w:val="nil"/>
              <w:left w:val="nil"/>
              <w:bottom w:val="single" w:sz="4" w:space="0" w:color="auto"/>
              <w:right w:val="single" w:sz="4" w:space="0" w:color="auto"/>
            </w:tcBorders>
            <w:noWrap/>
            <w:vAlign w:val="center"/>
            <w:hideMark/>
          </w:tcPr>
          <w:p w14:paraId="316DA55E" w14:textId="1137E154"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11.25</w:t>
            </w:r>
          </w:p>
        </w:tc>
        <w:tc>
          <w:tcPr>
            <w:tcW w:w="825" w:type="dxa"/>
            <w:tcBorders>
              <w:top w:val="nil"/>
              <w:left w:val="nil"/>
              <w:bottom w:val="single" w:sz="4" w:space="0" w:color="auto"/>
              <w:right w:val="single" w:sz="4" w:space="0" w:color="auto"/>
            </w:tcBorders>
            <w:noWrap/>
            <w:vAlign w:val="center"/>
            <w:hideMark/>
          </w:tcPr>
          <w:p w14:paraId="566DD36D" w14:textId="5AD8BD10"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4.53</w:t>
            </w:r>
          </w:p>
        </w:tc>
        <w:tc>
          <w:tcPr>
            <w:tcW w:w="620" w:type="dxa"/>
            <w:tcBorders>
              <w:top w:val="nil"/>
              <w:left w:val="nil"/>
              <w:bottom w:val="single" w:sz="4" w:space="0" w:color="auto"/>
              <w:right w:val="single" w:sz="4" w:space="0" w:color="auto"/>
            </w:tcBorders>
            <w:noWrap/>
            <w:vAlign w:val="center"/>
            <w:hideMark/>
          </w:tcPr>
          <w:p w14:paraId="4E54D2FD" w14:textId="0F7F8C2B"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1029" w:type="dxa"/>
            <w:tcBorders>
              <w:top w:val="nil"/>
              <w:left w:val="nil"/>
              <w:bottom w:val="single" w:sz="4" w:space="0" w:color="auto"/>
              <w:right w:val="single" w:sz="4" w:space="0" w:color="auto"/>
            </w:tcBorders>
            <w:noWrap/>
            <w:vAlign w:val="center"/>
            <w:hideMark/>
          </w:tcPr>
          <w:p w14:paraId="272F1E4F" w14:textId="13571E7F"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15.78</w:t>
            </w:r>
          </w:p>
        </w:tc>
        <w:tc>
          <w:tcPr>
            <w:tcW w:w="959" w:type="dxa"/>
            <w:tcBorders>
              <w:top w:val="nil"/>
              <w:left w:val="nil"/>
              <w:bottom w:val="single" w:sz="4" w:space="0" w:color="auto"/>
              <w:right w:val="single" w:sz="4" w:space="0" w:color="auto"/>
            </w:tcBorders>
            <w:noWrap/>
            <w:vAlign w:val="center"/>
            <w:hideMark/>
          </w:tcPr>
          <w:p w14:paraId="55AA93D7" w14:textId="0FC5C105"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1.76</w:t>
            </w:r>
          </w:p>
        </w:tc>
        <w:tc>
          <w:tcPr>
            <w:tcW w:w="620" w:type="dxa"/>
            <w:tcBorders>
              <w:top w:val="nil"/>
              <w:left w:val="nil"/>
              <w:bottom w:val="single" w:sz="4" w:space="0" w:color="auto"/>
              <w:right w:val="single" w:sz="4" w:space="0" w:color="auto"/>
            </w:tcBorders>
            <w:noWrap/>
            <w:vAlign w:val="center"/>
            <w:hideMark/>
          </w:tcPr>
          <w:p w14:paraId="0BF68277" w14:textId="308A88A7" w:rsidR="002E7B3E" w:rsidRPr="002E7B3E" w:rsidRDefault="002E7B3E" w:rsidP="002E7B3E">
            <w:pPr>
              <w:contextualSpacing/>
              <w:jc w:val="center"/>
              <w:rPr>
                <w:rFonts w:asciiTheme="majorHAnsi" w:hAnsiTheme="majorHAnsi"/>
                <w:color w:val="000000"/>
                <w:sz w:val="16"/>
                <w:szCs w:val="16"/>
              </w:rPr>
            </w:pPr>
          </w:p>
        </w:tc>
        <w:tc>
          <w:tcPr>
            <w:tcW w:w="1029" w:type="dxa"/>
            <w:tcBorders>
              <w:top w:val="nil"/>
              <w:left w:val="nil"/>
              <w:bottom w:val="single" w:sz="4" w:space="0" w:color="auto"/>
              <w:right w:val="single" w:sz="4" w:space="0" w:color="auto"/>
            </w:tcBorders>
            <w:noWrap/>
            <w:vAlign w:val="center"/>
            <w:hideMark/>
          </w:tcPr>
          <w:p w14:paraId="0AF7BD2A" w14:textId="6E0E05E9"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17.54</w:t>
            </w:r>
          </w:p>
        </w:tc>
      </w:tr>
      <w:tr w:rsidR="002E7B3E" w:rsidRPr="006F29FC" w14:paraId="2AA5ACE4" w14:textId="77777777" w:rsidTr="002E7B3E">
        <w:trPr>
          <w:trHeight w:val="285"/>
          <w:tblHeader/>
        </w:trPr>
        <w:tc>
          <w:tcPr>
            <w:tcW w:w="424" w:type="dxa"/>
            <w:tcBorders>
              <w:top w:val="nil"/>
              <w:left w:val="single" w:sz="4" w:space="0" w:color="auto"/>
              <w:bottom w:val="single" w:sz="4" w:space="0" w:color="auto"/>
              <w:right w:val="single" w:sz="4" w:space="0" w:color="auto"/>
            </w:tcBorders>
            <w:noWrap/>
            <w:vAlign w:val="center"/>
            <w:hideMark/>
          </w:tcPr>
          <w:p w14:paraId="4ACC7214" w14:textId="77777777" w:rsidR="002E7B3E" w:rsidRPr="006F29FC" w:rsidRDefault="002E7B3E" w:rsidP="002E7B3E">
            <w:pPr>
              <w:contextualSpacing/>
              <w:jc w:val="center"/>
              <w:rPr>
                <w:rFonts w:asciiTheme="majorHAnsi" w:hAnsiTheme="majorHAnsi"/>
                <w:color w:val="000000"/>
                <w:sz w:val="16"/>
                <w:szCs w:val="16"/>
              </w:rPr>
            </w:pPr>
            <w:r w:rsidRPr="006F29FC">
              <w:rPr>
                <w:rFonts w:asciiTheme="majorHAnsi" w:hAnsiTheme="majorHAnsi"/>
                <w:color w:val="000000"/>
                <w:sz w:val="16"/>
                <w:szCs w:val="16"/>
              </w:rPr>
              <w:t>7</w:t>
            </w:r>
          </w:p>
        </w:tc>
        <w:tc>
          <w:tcPr>
            <w:tcW w:w="1638" w:type="dxa"/>
            <w:tcBorders>
              <w:top w:val="nil"/>
              <w:left w:val="nil"/>
              <w:bottom w:val="single" w:sz="4" w:space="0" w:color="auto"/>
              <w:right w:val="single" w:sz="4" w:space="0" w:color="auto"/>
            </w:tcBorders>
            <w:noWrap/>
            <w:vAlign w:val="center"/>
            <w:hideMark/>
          </w:tcPr>
          <w:p w14:paraId="20414222" w14:textId="77777777" w:rsidR="002E7B3E" w:rsidRPr="006F29FC" w:rsidRDefault="002E7B3E" w:rsidP="002E7B3E">
            <w:pPr>
              <w:contextualSpacing/>
              <w:rPr>
                <w:rFonts w:asciiTheme="majorHAnsi" w:hAnsiTheme="majorHAnsi"/>
                <w:color w:val="000000"/>
                <w:sz w:val="16"/>
                <w:szCs w:val="16"/>
              </w:rPr>
            </w:pPr>
            <w:r w:rsidRPr="006F29FC">
              <w:rPr>
                <w:rFonts w:asciiTheme="majorHAnsi" w:hAnsiTheme="majorHAnsi"/>
                <w:color w:val="000000"/>
                <w:sz w:val="16"/>
                <w:szCs w:val="16"/>
              </w:rPr>
              <w:t>Computer &amp; IT Equipment</w:t>
            </w:r>
          </w:p>
        </w:tc>
        <w:tc>
          <w:tcPr>
            <w:tcW w:w="825" w:type="dxa"/>
            <w:tcBorders>
              <w:top w:val="nil"/>
              <w:left w:val="nil"/>
              <w:bottom w:val="single" w:sz="4" w:space="0" w:color="auto"/>
              <w:right w:val="single" w:sz="4" w:space="0" w:color="auto"/>
            </w:tcBorders>
            <w:noWrap/>
            <w:vAlign w:val="center"/>
            <w:hideMark/>
          </w:tcPr>
          <w:p w14:paraId="0292D62A" w14:textId="144C7972"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19.73</w:t>
            </w:r>
          </w:p>
        </w:tc>
        <w:tc>
          <w:tcPr>
            <w:tcW w:w="822" w:type="dxa"/>
            <w:tcBorders>
              <w:top w:val="nil"/>
              <w:left w:val="nil"/>
              <w:bottom w:val="single" w:sz="4" w:space="0" w:color="auto"/>
              <w:right w:val="single" w:sz="4" w:space="0" w:color="auto"/>
            </w:tcBorders>
            <w:noWrap/>
            <w:vAlign w:val="center"/>
            <w:hideMark/>
          </w:tcPr>
          <w:p w14:paraId="562ECB7E" w14:textId="0BD7539A"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29.59</w:t>
            </w:r>
          </w:p>
        </w:tc>
        <w:tc>
          <w:tcPr>
            <w:tcW w:w="599" w:type="dxa"/>
            <w:tcBorders>
              <w:top w:val="nil"/>
              <w:left w:val="nil"/>
              <w:bottom w:val="single" w:sz="4" w:space="0" w:color="auto"/>
              <w:right w:val="single" w:sz="4" w:space="0" w:color="auto"/>
            </w:tcBorders>
            <w:noWrap/>
            <w:vAlign w:val="center"/>
            <w:hideMark/>
          </w:tcPr>
          <w:p w14:paraId="5C41907E" w14:textId="763FEAF3"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0.01</w:t>
            </w:r>
          </w:p>
        </w:tc>
        <w:tc>
          <w:tcPr>
            <w:tcW w:w="912" w:type="dxa"/>
            <w:tcBorders>
              <w:top w:val="nil"/>
              <w:left w:val="nil"/>
              <w:bottom w:val="single" w:sz="4" w:space="0" w:color="auto"/>
              <w:right w:val="single" w:sz="4" w:space="0" w:color="auto"/>
            </w:tcBorders>
            <w:noWrap/>
            <w:vAlign w:val="center"/>
            <w:hideMark/>
          </w:tcPr>
          <w:p w14:paraId="5A511BF2" w14:textId="6DABB46E"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49.31</w:t>
            </w:r>
          </w:p>
        </w:tc>
        <w:tc>
          <w:tcPr>
            <w:tcW w:w="825" w:type="dxa"/>
            <w:tcBorders>
              <w:top w:val="nil"/>
              <w:left w:val="nil"/>
              <w:bottom w:val="single" w:sz="4" w:space="0" w:color="auto"/>
              <w:right w:val="single" w:sz="4" w:space="0" w:color="auto"/>
            </w:tcBorders>
            <w:noWrap/>
            <w:vAlign w:val="center"/>
            <w:hideMark/>
          </w:tcPr>
          <w:p w14:paraId="74A9FB83" w14:textId="7C70506B"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58.26</w:t>
            </w:r>
          </w:p>
        </w:tc>
        <w:tc>
          <w:tcPr>
            <w:tcW w:w="620" w:type="dxa"/>
            <w:tcBorders>
              <w:top w:val="nil"/>
              <w:left w:val="nil"/>
              <w:bottom w:val="single" w:sz="4" w:space="0" w:color="auto"/>
              <w:right w:val="single" w:sz="4" w:space="0" w:color="auto"/>
            </w:tcBorders>
            <w:noWrap/>
            <w:vAlign w:val="center"/>
            <w:hideMark/>
          </w:tcPr>
          <w:p w14:paraId="3822C04F" w14:textId="1330BFA7"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0.01</w:t>
            </w:r>
          </w:p>
        </w:tc>
        <w:tc>
          <w:tcPr>
            <w:tcW w:w="1029" w:type="dxa"/>
            <w:tcBorders>
              <w:top w:val="nil"/>
              <w:left w:val="nil"/>
              <w:bottom w:val="single" w:sz="4" w:space="0" w:color="auto"/>
              <w:right w:val="single" w:sz="4" w:space="0" w:color="auto"/>
            </w:tcBorders>
            <w:noWrap/>
            <w:vAlign w:val="center"/>
            <w:hideMark/>
          </w:tcPr>
          <w:p w14:paraId="283869F2" w14:textId="21A8DABC"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107.56</w:t>
            </w:r>
          </w:p>
        </w:tc>
        <w:tc>
          <w:tcPr>
            <w:tcW w:w="959" w:type="dxa"/>
            <w:tcBorders>
              <w:top w:val="nil"/>
              <w:left w:val="nil"/>
              <w:bottom w:val="single" w:sz="4" w:space="0" w:color="auto"/>
              <w:right w:val="single" w:sz="4" w:space="0" w:color="auto"/>
            </w:tcBorders>
            <w:noWrap/>
            <w:vAlign w:val="center"/>
            <w:hideMark/>
          </w:tcPr>
          <w:p w14:paraId="17453B30" w14:textId="49B6472A"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17.96</w:t>
            </w:r>
          </w:p>
        </w:tc>
        <w:tc>
          <w:tcPr>
            <w:tcW w:w="620" w:type="dxa"/>
            <w:tcBorders>
              <w:top w:val="nil"/>
              <w:left w:val="nil"/>
              <w:bottom w:val="single" w:sz="4" w:space="0" w:color="auto"/>
              <w:right w:val="single" w:sz="4" w:space="0" w:color="auto"/>
            </w:tcBorders>
            <w:noWrap/>
            <w:vAlign w:val="center"/>
            <w:hideMark/>
          </w:tcPr>
          <w:p w14:paraId="55FC64D9" w14:textId="373C1C07"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0.27</w:t>
            </w:r>
          </w:p>
        </w:tc>
        <w:tc>
          <w:tcPr>
            <w:tcW w:w="1029" w:type="dxa"/>
            <w:tcBorders>
              <w:top w:val="nil"/>
              <w:left w:val="nil"/>
              <w:bottom w:val="single" w:sz="4" w:space="0" w:color="auto"/>
              <w:right w:val="single" w:sz="4" w:space="0" w:color="auto"/>
            </w:tcBorders>
            <w:noWrap/>
            <w:vAlign w:val="center"/>
            <w:hideMark/>
          </w:tcPr>
          <w:p w14:paraId="4EB5AC74" w14:textId="1F332D6B"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125.25</w:t>
            </w:r>
          </w:p>
        </w:tc>
      </w:tr>
      <w:tr w:rsidR="002E7B3E" w:rsidRPr="006F29FC" w14:paraId="395E75A5" w14:textId="77777777" w:rsidTr="002E7B3E">
        <w:trPr>
          <w:trHeight w:val="285"/>
          <w:tblHeader/>
        </w:trPr>
        <w:tc>
          <w:tcPr>
            <w:tcW w:w="424" w:type="dxa"/>
            <w:tcBorders>
              <w:top w:val="nil"/>
              <w:left w:val="single" w:sz="4" w:space="0" w:color="auto"/>
              <w:bottom w:val="single" w:sz="4" w:space="0" w:color="auto"/>
              <w:right w:val="single" w:sz="4" w:space="0" w:color="auto"/>
            </w:tcBorders>
            <w:noWrap/>
            <w:vAlign w:val="center"/>
            <w:hideMark/>
          </w:tcPr>
          <w:p w14:paraId="30E67CFF" w14:textId="77777777" w:rsidR="002E7B3E" w:rsidRPr="006F29FC" w:rsidRDefault="002E7B3E" w:rsidP="002E7B3E">
            <w:pPr>
              <w:contextualSpacing/>
              <w:jc w:val="center"/>
              <w:rPr>
                <w:rFonts w:asciiTheme="majorHAnsi" w:hAnsiTheme="majorHAnsi"/>
                <w:color w:val="000000"/>
                <w:sz w:val="16"/>
                <w:szCs w:val="16"/>
              </w:rPr>
            </w:pPr>
            <w:r w:rsidRPr="006F29FC">
              <w:rPr>
                <w:rFonts w:asciiTheme="majorHAnsi" w:hAnsiTheme="majorHAnsi"/>
                <w:color w:val="000000"/>
                <w:sz w:val="16"/>
                <w:szCs w:val="16"/>
              </w:rPr>
              <w:t>8</w:t>
            </w:r>
          </w:p>
        </w:tc>
        <w:tc>
          <w:tcPr>
            <w:tcW w:w="1638" w:type="dxa"/>
            <w:tcBorders>
              <w:top w:val="nil"/>
              <w:left w:val="nil"/>
              <w:bottom w:val="single" w:sz="4" w:space="0" w:color="auto"/>
              <w:right w:val="single" w:sz="4" w:space="0" w:color="auto"/>
            </w:tcBorders>
            <w:noWrap/>
            <w:vAlign w:val="center"/>
            <w:hideMark/>
          </w:tcPr>
          <w:p w14:paraId="15561822" w14:textId="77777777" w:rsidR="002E7B3E" w:rsidRPr="006F29FC" w:rsidRDefault="002E7B3E" w:rsidP="002E7B3E">
            <w:pPr>
              <w:contextualSpacing/>
              <w:rPr>
                <w:rFonts w:asciiTheme="majorHAnsi" w:hAnsiTheme="majorHAnsi"/>
                <w:color w:val="000000"/>
                <w:sz w:val="16"/>
                <w:szCs w:val="16"/>
              </w:rPr>
            </w:pPr>
            <w:r w:rsidRPr="006F29FC">
              <w:rPr>
                <w:rFonts w:asciiTheme="majorHAnsi" w:hAnsiTheme="majorHAnsi"/>
                <w:color w:val="000000"/>
                <w:sz w:val="16"/>
                <w:szCs w:val="16"/>
              </w:rPr>
              <w:t>Software</w:t>
            </w:r>
          </w:p>
        </w:tc>
        <w:tc>
          <w:tcPr>
            <w:tcW w:w="825" w:type="dxa"/>
            <w:tcBorders>
              <w:top w:val="nil"/>
              <w:left w:val="nil"/>
              <w:bottom w:val="single" w:sz="4" w:space="0" w:color="auto"/>
              <w:right w:val="single" w:sz="4" w:space="0" w:color="auto"/>
            </w:tcBorders>
            <w:noWrap/>
            <w:vAlign w:val="center"/>
            <w:hideMark/>
          </w:tcPr>
          <w:p w14:paraId="22E88D7F" w14:textId="14D971FD"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34.52</w:t>
            </w:r>
          </w:p>
        </w:tc>
        <w:tc>
          <w:tcPr>
            <w:tcW w:w="822" w:type="dxa"/>
            <w:tcBorders>
              <w:top w:val="nil"/>
              <w:left w:val="nil"/>
              <w:bottom w:val="single" w:sz="4" w:space="0" w:color="auto"/>
              <w:right w:val="single" w:sz="4" w:space="0" w:color="auto"/>
            </w:tcBorders>
            <w:noWrap/>
            <w:vAlign w:val="center"/>
            <w:hideMark/>
          </w:tcPr>
          <w:p w14:paraId="4E88FD01" w14:textId="352FF26F"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33.43</w:t>
            </w:r>
          </w:p>
        </w:tc>
        <w:tc>
          <w:tcPr>
            <w:tcW w:w="599" w:type="dxa"/>
            <w:tcBorders>
              <w:top w:val="nil"/>
              <w:left w:val="nil"/>
              <w:bottom w:val="single" w:sz="4" w:space="0" w:color="auto"/>
              <w:right w:val="single" w:sz="4" w:space="0" w:color="auto"/>
            </w:tcBorders>
            <w:noWrap/>
            <w:vAlign w:val="center"/>
            <w:hideMark/>
          </w:tcPr>
          <w:p w14:paraId="785EEE38" w14:textId="0775597E"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912" w:type="dxa"/>
            <w:tcBorders>
              <w:top w:val="nil"/>
              <w:left w:val="nil"/>
              <w:bottom w:val="single" w:sz="4" w:space="0" w:color="auto"/>
              <w:right w:val="single" w:sz="4" w:space="0" w:color="auto"/>
            </w:tcBorders>
            <w:noWrap/>
            <w:vAlign w:val="center"/>
            <w:hideMark/>
          </w:tcPr>
          <w:p w14:paraId="6CE5D8E5" w14:textId="0891416E"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67.95</w:t>
            </w:r>
          </w:p>
        </w:tc>
        <w:tc>
          <w:tcPr>
            <w:tcW w:w="825" w:type="dxa"/>
            <w:tcBorders>
              <w:top w:val="nil"/>
              <w:left w:val="nil"/>
              <w:bottom w:val="single" w:sz="4" w:space="0" w:color="auto"/>
              <w:right w:val="single" w:sz="4" w:space="0" w:color="auto"/>
            </w:tcBorders>
            <w:noWrap/>
            <w:vAlign w:val="center"/>
            <w:hideMark/>
          </w:tcPr>
          <w:p w14:paraId="48BEC173" w14:textId="3DE34B92"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61.87</w:t>
            </w:r>
          </w:p>
        </w:tc>
        <w:tc>
          <w:tcPr>
            <w:tcW w:w="620" w:type="dxa"/>
            <w:tcBorders>
              <w:top w:val="nil"/>
              <w:left w:val="nil"/>
              <w:bottom w:val="single" w:sz="4" w:space="0" w:color="auto"/>
              <w:right w:val="single" w:sz="4" w:space="0" w:color="auto"/>
            </w:tcBorders>
            <w:noWrap/>
            <w:vAlign w:val="center"/>
            <w:hideMark/>
          </w:tcPr>
          <w:p w14:paraId="59104725" w14:textId="76F85888"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1029" w:type="dxa"/>
            <w:tcBorders>
              <w:top w:val="nil"/>
              <w:left w:val="nil"/>
              <w:bottom w:val="single" w:sz="4" w:space="0" w:color="auto"/>
              <w:right w:val="single" w:sz="4" w:space="0" w:color="auto"/>
            </w:tcBorders>
            <w:noWrap/>
            <w:vAlign w:val="center"/>
            <w:hideMark/>
          </w:tcPr>
          <w:p w14:paraId="608645A2" w14:textId="52D39C1C"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129.82</w:t>
            </w:r>
          </w:p>
        </w:tc>
        <w:tc>
          <w:tcPr>
            <w:tcW w:w="959" w:type="dxa"/>
            <w:tcBorders>
              <w:top w:val="nil"/>
              <w:left w:val="nil"/>
              <w:bottom w:val="single" w:sz="4" w:space="0" w:color="auto"/>
              <w:right w:val="single" w:sz="4" w:space="0" w:color="auto"/>
            </w:tcBorders>
            <w:noWrap/>
            <w:vAlign w:val="center"/>
            <w:hideMark/>
          </w:tcPr>
          <w:p w14:paraId="1A2A46F9" w14:textId="20662519"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19.75</w:t>
            </w:r>
          </w:p>
        </w:tc>
        <w:tc>
          <w:tcPr>
            <w:tcW w:w="620" w:type="dxa"/>
            <w:tcBorders>
              <w:top w:val="nil"/>
              <w:left w:val="nil"/>
              <w:bottom w:val="single" w:sz="4" w:space="0" w:color="auto"/>
              <w:right w:val="single" w:sz="4" w:space="0" w:color="auto"/>
            </w:tcBorders>
            <w:noWrap/>
            <w:vAlign w:val="center"/>
            <w:hideMark/>
          </w:tcPr>
          <w:p w14:paraId="62F1803E" w14:textId="09A9F039" w:rsidR="002E7B3E" w:rsidRPr="002E7B3E" w:rsidRDefault="002E7B3E" w:rsidP="002E7B3E">
            <w:pPr>
              <w:contextualSpacing/>
              <w:jc w:val="center"/>
              <w:rPr>
                <w:rFonts w:asciiTheme="majorHAnsi" w:hAnsiTheme="majorHAnsi"/>
                <w:color w:val="000000"/>
                <w:sz w:val="16"/>
                <w:szCs w:val="16"/>
              </w:rPr>
            </w:pPr>
          </w:p>
        </w:tc>
        <w:tc>
          <w:tcPr>
            <w:tcW w:w="1029" w:type="dxa"/>
            <w:tcBorders>
              <w:top w:val="nil"/>
              <w:left w:val="nil"/>
              <w:bottom w:val="single" w:sz="4" w:space="0" w:color="auto"/>
              <w:right w:val="single" w:sz="4" w:space="0" w:color="auto"/>
            </w:tcBorders>
            <w:noWrap/>
            <w:vAlign w:val="center"/>
            <w:hideMark/>
          </w:tcPr>
          <w:p w14:paraId="65D1B6CB" w14:textId="3865B2AD"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149.57</w:t>
            </w:r>
          </w:p>
        </w:tc>
      </w:tr>
      <w:tr w:rsidR="002E7B3E" w:rsidRPr="006F29FC" w14:paraId="25F7481A" w14:textId="77777777" w:rsidTr="002E7B3E">
        <w:trPr>
          <w:trHeight w:val="285"/>
          <w:tblHeader/>
        </w:trPr>
        <w:tc>
          <w:tcPr>
            <w:tcW w:w="424" w:type="dxa"/>
            <w:tcBorders>
              <w:top w:val="nil"/>
              <w:left w:val="single" w:sz="4" w:space="0" w:color="auto"/>
              <w:bottom w:val="single" w:sz="4" w:space="0" w:color="auto"/>
              <w:right w:val="single" w:sz="4" w:space="0" w:color="auto"/>
            </w:tcBorders>
            <w:noWrap/>
            <w:vAlign w:val="center"/>
            <w:hideMark/>
          </w:tcPr>
          <w:p w14:paraId="77D403FE" w14:textId="77777777" w:rsidR="002E7B3E" w:rsidRPr="006F29FC" w:rsidRDefault="002E7B3E" w:rsidP="002E7B3E">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9</w:t>
            </w:r>
          </w:p>
        </w:tc>
        <w:tc>
          <w:tcPr>
            <w:tcW w:w="1638" w:type="dxa"/>
            <w:tcBorders>
              <w:top w:val="nil"/>
              <w:left w:val="nil"/>
              <w:bottom w:val="single" w:sz="4" w:space="0" w:color="auto"/>
              <w:right w:val="single" w:sz="4" w:space="0" w:color="auto"/>
            </w:tcBorders>
            <w:noWrap/>
            <w:vAlign w:val="center"/>
            <w:hideMark/>
          </w:tcPr>
          <w:p w14:paraId="1BAA2B4D" w14:textId="77777777" w:rsidR="002E7B3E" w:rsidRPr="006F29FC" w:rsidRDefault="002E7B3E" w:rsidP="002E7B3E">
            <w:pPr>
              <w:contextualSpacing/>
              <w:rPr>
                <w:rFonts w:asciiTheme="majorHAnsi" w:hAnsiTheme="majorHAnsi"/>
                <w:b/>
                <w:bCs/>
                <w:color w:val="000000"/>
                <w:sz w:val="16"/>
                <w:szCs w:val="16"/>
              </w:rPr>
            </w:pPr>
            <w:r w:rsidRPr="006F29FC">
              <w:rPr>
                <w:rFonts w:asciiTheme="majorHAnsi" w:hAnsiTheme="majorHAnsi"/>
                <w:b/>
                <w:bCs/>
                <w:color w:val="000000"/>
                <w:sz w:val="16"/>
                <w:szCs w:val="16"/>
              </w:rPr>
              <w:t>Total</w:t>
            </w:r>
          </w:p>
        </w:tc>
        <w:tc>
          <w:tcPr>
            <w:tcW w:w="825" w:type="dxa"/>
            <w:tcBorders>
              <w:top w:val="nil"/>
              <w:left w:val="nil"/>
              <w:bottom w:val="single" w:sz="4" w:space="0" w:color="auto"/>
              <w:right w:val="single" w:sz="4" w:space="0" w:color="auto"/>
            </w:tcBorders>
            <w:noWrap/>
            <w:vAlign w:val="center"/>
            <w:hideMark/>
          </w:tcPr>
          <w:p w14:paraId="6A4BDE8B" w14:textId="6023CCCD"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390.27</w:t>
            </w:r>
          </w:p>
        </w:tc>
        <w:tc>
          <w:tcPr>
            <w:tcW w:w="822" w:type="dxa"/>
            <w:tcBorders>
              <w:top w:val="nil"/>
              <w:left w:val="nil"/>
              <w:bottom w:val="single" w:sz="4" w:space="0" w:color="auto"/>
              <w:right w:val="single" w:sz="4" w:space="0" w:color="auto"/>
            </w:tcBorders>
            <w:noWrap/>
            <w:vAlign w:val="center"/>
            <w:hideMark/>
          </w:tcPr>
          <w:p w14:paraId="7BA575D3" w14:textId="144C4B51"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644.41</w:t>
            </w:r>
          </w:p>
        </w:tc>
        <w:tc>
          <w:tcPr>
            <w:tcW w:w="599" w:type="dxa"/>
            <w:tcBorders>
              <w:top w:val="nil"/>
              <w:left w:val="nil"/>
              <w:bottom w:val="single" w:sz="4" w:space="0" w:color="auto"/>
              <w:right w:val="single" w:sz="4" w:space="0" w:color="auto"/>
            </w:tcBorders>
            <w:noWrap/>
            <w:vAlign w:val="center"/>
            <w:hideMark/>
          </w:tcPr>
          <w:p w14:paraId="15A61F1C" w14:textId="5CEE3D31"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0.03</w:t>
            </w:r>
          </w:p>
        </w:tc>
        <w:tc>
          <w:tcPr>
            <w:tcW w:w="912" w:type="dxa"/>
            <w:tcBorders>
              <w:top w:val="nil"/>
              <w:left w:val="nil"/>
              <w:bottom w:val="single" w:sz="4" w:space="0" w:color="auto"/>
              <w:right w:val="single" w:sz="4" w:space="0" w:color="auto"/>
            </w:tcBorders>
            <w:noWrap/>
            <w:vAlign w:val="center"/>
            <w:hideMark/>
          </w:tcPr>
          <w:p w14:paraId="2104279A" w14:textId="4D201F87"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1,034.64</w:t>
            </w:r>
          </w:p>
        </w:tc>
        <w:tc>
          <w:tcPr>
            <w:tcW w:w="825" w:type="dxa"/>
            <w:tcBorders>
              <w:top w:val="nil"/>
              <w:left w:val="nil"/>
              <w:bottom w:val="single" w:sz="4" w:space="0" w:color="auto"/>
              <w:right w:val="single" w:sz="4" w:space="0" w:color="auto"/>
            </w:tcBorders>
            <w:noWrap/>
            <w:vAlign w:val="center"/>
            <w:hideMark/>
          </w:tcPr>
          <w:p w14:paraId="376FFBCA" w14:textId="447D13D4"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981.73</w:t>
            </w:r>
          </w:p>
        </w:tc>
        <w:tc>
          <w:tcPr>
            <w:tcW w:w="620" w:type="dxa"/>
            <w:tcBorders>
              <w:top w:val="nil"/>
              <w:left w:val="nil"/>
              <w:bottom w:val="single" w:sz="4" w:space="0" w:color="auto"/>
              <w:right w:val="single" w:sz="4" w:space="0" w:color="auto"/>
            </w:tcBorders>
            <w:noWrap/>
            <w:vAlign w:val="center"/>
            <w:hideMark/>
          </w:tcPr>
          <w:p w14:paraId="5E1B3ABD" w14:textId="613D94D2"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0.37</w:t>
            </w:r>
          </w:p>
        </w:tc>
        <w:tc>
          <w:tcPr>
            <w:tcW w:w="1029" w:type="dxa"/>
            <w:tcBorders>
              <w:top w:val="nil"/>
              <w:left w:val="nil"/>
              <w:bottom w:val="single" w:sz="4" w:space="0" w:color="auto"/>
              <w:right w:val="single" w:sz="4" w:space="0" w:color="auto"/>
            </w:tcBorders>
            <w:noWrap/>
            <w:vAlign w:val="center"/>
            <w:hideMark/>
          </w:tcPr>
          <w:p w14:paraId="55A95401" w14:textId="4A4AFDC8"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2,030.05</w:t>
            </w:r>
          </w:p>
        </w:tc>
        <w:tc>
          <w:tcPr>
            <w:tcW w:w="959" w:type="dxa"/>
            <w:tcBorders>
              <w:top w:val="nil"/>
              <w:left w:val="nil"/>
              <w:bottom w:val="single" w:sz="4" w:space="0" w:color="auto"/>
              <w:right w:val="single" w:sz="4" w:space="0" w:color="auto"/>
            </w:tcBorders>
            <w:noWrap/>
            <w:vAlign w:val="center"/>
            <w:hideMark/>
          </w:tcPr>
          <w:p w14:paraId="5C08810E" w14:textId="482AD854"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1,464.88</w:t>
            </w:r>
          </w:p>
        </w:tc>
        <w:tc>
          <w:tcPr>
            <w:tcW w:w="620" w:type="dxa"/>
            <w:tcBorders>
              <w:top w:val="nil"/>
              <w:left w:val="nil"/>
              <w:bottom w:val="single" w:sz="4" w:space="0" w:color="auto"/>
              <w:right w:val="single" w:sz="4" w:space="0" w:color="auto"/>
            </w:tcBorders>
            <w:noWrap/>
            <w:vAlign w:val="center"/>
            <w:hideMark/>
          </w:tcPr>
          <w:p w14:paraId="4D4BD5FE" w14:textId="2C6184C0"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4.35</w:t>
            </w:r>
          </w:p>
        </w:tc>
        <w:tc>
          <w:tcPr>
            <w:tcW w:w="1029" w:type="dxa"/>
            <w:tcBorders>
              <w:top w:val="nil"/>
              <w:left w:val="nil"/>
              <w:bottom w:val="single" w:sz="4" w:space="0" w:color="auto"/>
              <w:right w:val="single" w:sz="4" w:space="0" w:color="auto"/>
            </w:tcBorders>
            <w:noWrap/>
            <w:vAlign w:val="center"/>
            <w:hideMark/>
          </w:tcPr>
          <w:p w14:paraId="715D5E4B" w14:textId="77DB70CE"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3,490.58</w:t>
            </w:r>
          </w:p>
        </w:tc>
      </w:tr>
      <w:tr w:rsidR="00B238BD" w:rsidRPr="006F29FC" w14:paraId="278C47FF" w14:textId="77777777" w:rsidTr="00361EBF">
        <w:trPr>
          <w:trHeight w:val="285"/>
          <w:tblHeader/>
        </w:trPr>
        <w:tc>
          <w:tcPr>
            <w:tcW w:w="10302" w:type="dxa"/>
            <w:gridSpan w:val="12"/>
            <w:tcBorders>
              <w:top w:val="nil"/>
              <w:left w:val="single" w:sz="4" w:space="0" w:color="auto"/>
              <w:bottom w:val="single" w:sz="4" w:space="0" w:color="auto"/>
              <w:right w:val="single" w:sz="4" w:space="0" w:color="auto"/>
            </w:tcBorders>
            <w:noWrap/>
            <w:vAlign w:val="center"/>
            <w:hideMark/>
          </w:tcPr>
          <w:p w14:paraId="6FABA956" w14:textId="3E1EF3EB" w:rsidR="00B238BD" w:rsidRPr="006F29FC" w:rsidRDefault="00B238BD" w:rsidP="00B238BD">
            <w:pPr>
              <w:contextualSpacing/>
              <w:rPr>
                <w:rFonts w:asciiTheme="majorHAnsi" w:hAnsiTheme="majorHAnsi"/>
                <w:color w:val="000000"/>
                <w:sz w:val="16"/>
                <w:szCs w:val="16"/>
              </w:rPr>
            </w:pPr>
            <w:r w:rsidRPr="006F29FC">
              <w:rPr>
                <w:rFonts w:asciiTheme="majorHAnsi" w:hAnsiTheme="majorHAnsi"/>
                <w:b/>
                <w:bCs/>
                <w:color w:val="000000"/>
                <w:sz w:val="16"/>
                <w:szCs w:val="16"/>
              </w:rPr>
              <w:t>TPWODL Assets through Grants/ CC/ Meters/ Own funds</w:t>
            </w:r>
            <w:r w:rsidRPr="006F29FC">
              <w:rPr>
                <w:rFonts w:asciiTheme="majorHAnsi" w:hAnsiTheme="majorHAnsi"/>
                <w:color w:val="000000"/>
                <w:sz w:val="16"/>
                <w:szCs w:val="16"/>
              </w:rPr>
              <w:t> </w:t>
            </w:r>
          </w:p>
        </w:tc>
      </w:tr>
      <w:tr w:rsidR="002E7B3E" w:rsidRPr="006F29FC" w14:paraId="0C2ECC81" w14:textId="77777777" w:rsidTr="002E7B3E">
        <w:trPr>
          <w:trHeight w:val="285"/>
          <w:tblHeader/>
        </w:trPr>
        <w:tc>
          <w:tcPr>
            <w:tcW w:w="424" w:type="dxa"/>
            <w:tcBorders>
              <w:top w:val="nil"/>
              <w:left w:val="single" w:sz="4" w:space="0" w:color="auto"/>
              <w:bottom w:val="single" w:sz="4" w:space="0" w:color="auto"/>
              <w:right w:val="single" w:sz="4" w:space="0" w:color="auto"/>
            </w:tcBorders>
            <w:noWrap/>
            <w:vAlign w:val="center"/>
            <w:hideMark/>
          </w:tcPr>
          <w:p w14:paraId="4BB2CFF0" w14:textId="7A79AE6D" w:rsidR="002E7B3E" w:rsidRPr="006F29FC" w:rsidRDefault="002E7B3E" w:rsidP="002E7B3E">
            <w:pPr>
              <w:contextualSpacing/>
              <w:jc w:val="center"/>
              <w:rPr>
                <w:rFonts w:asciiTheme="majorHAnsi" w:hAnsiTheme="majorHAnsi"/>
                <w:color w:val="000000"/>
                <w:sz w:val="16"/>
                <w:szCs w:val="16"/>
              </w:rPr>
            </w:pPr>
            <w:r>
              <w:rPr>
                <w:rFonts w:asciiTheme="majorHAnsi" w:hAnsiTheme="majorHAnsi"/>
                <w:color w:val="000000"/>
                <w:sz w:val="16"/>
                <w:szCs w:val="16"/>
              </w:rPr>
              <w:t>1</w:t>
            </w:r>
          </w:p>
        </w:tc>
        <w:tc>
          <w:tcPr>
            <w:tcW w:w="1638" w:type="dxa"/>
            <w:tcBorders>
              <w:top w:val="nil"/>
              <w:left w:val="nil"/>
              <w:bottom w:val="single" w:sz="4" w:space="0" w:color="auto"/>
              <w:right w:val="single" w:sz="4" w:space="0" w:color="auto"/>
            </w:tcBorders>
            <w:noWrap/>
            <w:vAlign w:val="center"/>
            <w:hideMark/>
          </w:tcPr>
          <w:p w14:paraId="25DFFCE9" w14:textId="77777777" w:rsidR="002E7B3E" w:rsidRPr="006F29FC" w:rsidRDefault="002E7B3E" w:rsidP="002E7B3E">
            <w:pPr>
              <w:contextualSpacing/>
              <w:rPr>
                <w:rFonts w:asciiTheme="majorHAnsi" w:hAnsiTheme="majorHAnsi"/>
                <w:color w:val="000000"/>
                <w:sz w:val="16"/>
                <w:szCs w:val="16"/>
              </w:rPr>
            </w:pPr>
            <w:r w:rsidRPr="006F29FC">
              <w:rPr>
                <w:rFonts w:asciiTheme="majorHAnsi" w:hAnsiTheme="majorHAnsi"/>
                <w:color w:val="000000"/>
                <w:sz w:val="16"/>
                <w:szCs w:val="16"/>
              </w:rPr>
              <w:t>Grants</w:t>
            </w:r>
          </w:p>
        </w:tc>
        <w:tc>
          <w:tcPr>
            <w:tcW w:w="825" w:type="dxa"/>
            <w:tcBorders>
              <w:top w:val="nil"/>
              <w:left w:val="nil"/>
              <w:bottom w:val="single" w:sz="4" w:space="0" w:color="auto"/>
              <w:right w:val="single" w:sz="4" w:space="0" w:color="auto"/>
            </w:tcBorders>
            <w:noWrap/>
            <w:vAlign w:val="center"/>
            <w:hideMark/>
          </w:tcPr>
          <w:p w14:paraId="1CF63E81" w14:textId="3A00B2BC"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30.60</w:t>
            </w:r>
          </w:p>
        </w:tc>
        <w:tc>
          <w:tcPr>
            <w:tcW w:w="822" w:type="dxa"/>
            <w:tcBorders>
              <w:top w:val="nil"/>
              <w:left w:val="nil"/>
              <w:bottom w:val="single" w:sz="4" w:space="0" w:color="auto"/>
              <w:right w:val="single" w:sz="4" w:space="0" w:color="auto"/>
            </w:tcBorders>
            <w:noWrap/>
            <w:vAlign w:val="center"/>
            <w:hideMark/>
          </w:tcPr>
          <w:p w14:paraId="2DC895C2" w14:textId="6A603111"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31.32</w:t>
            </w:r>
          </w:p>
        </w:tc>
        <w:tc>
          <w:tcPr>
            <w:tcW w:w="599" w:type="dxa"/>
            <w:tcBorders>
              <w:top w:val="nil"/>
              <w:left w:val="nil"/>
              <w:bottom w:val="single" w:sz="4" w:space="0" w:color="auto"/>
              <w:right w:val="single" w:sz="4" w:space="0" w:color="auto"/>
            </w:tcBorders>
            <w:noWrap/>
            <w:vAlign w:val="center"/>
            <w:hideMark/>
          </w:tcPr>
          <w:p w14:paraId="0326047A" w14:textId="56599A20"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912" w:type="dxa"/>
            <w:tcBorders>
              <w:top w:val="nil"/>
              <w:left w:val="nil"/>
              <w:bottom w:val="single" w:sz="4" w:space="0" w:color="auto"/>
              <w:right w:val="single" w:sz="4" w:space="0" w:color="auto"/>
            </w:tcBorders>
            <w:noWrap/>
            <w:vAlign w:val="center"/>
            <w:hideMark/>
          </w:tcPr>
          <w:p w14:paraId="64867D5B" w14:textId="6ACC0279"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61.93</w:t>
            </w:r>
          </w:p>
        </w:tc>
        <w:tc>
          <w:tcPr>
            <w:tcW w:w="825" w:type="dxa"/>
            <w:tcBorders>
              <w:top w:val="nil"/>
              <w:left w:val="nil"/>
              <w:bottom w:val="single" w:sz="4" w:space="0" w:color="auto"/>
              <w:right w:val="single" w:sz="4" w:space="0" w:color="auto"/>
            </w:tcBorders>
            <w:noWrap/>
            <w:vAlign w:val="center"/>
            <w:hideMark/>
          </w:tcPr>
          <w:p w14:paraId="1683FF61" w14:textId="096C4A33"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93.47</w:t>
            </w:r>
          </w:p>
        </w:tc>
        <w:tc>
          <w:tcPr>
            <w:tcW w:w="620" w:type="dxa"/>
            <w:tcBorders>
              <w:top w:val="nil"/>
              <w:left w:val="nil"/>
              <w:bottom w:val="single" w:sz="4" w:space="0" w:color="auto"/>
              <w:right w:val="single" w:sz="4" w:space="0" w:color="auto"/>
            </w:tcBorders>
            <w:noWrap/>
            <w:vAlign w:val="center"/>
            <w:hideMark/>
          </w:tcPr>
          <w:p w14:paraId="60E8E542" w14:textId="07091471"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1029" w:type="dxa"/>
            <w:tcBorders>
              <w:top w:val="nil"/>
              <w:left w:val="nil"/>
              <w:bottom w:val="single" w:sz="4" w:space="0" w:color="auto"/>
              <w:right w:val="single" w:sz="4" w:space="0" w:color="auto"/>
            </w:tcBorders>
            <w:noWrap/>
            <w:vAlign w:val="center"/>
            <w:hideMark/>
          </w:tcPr>
          <w:p w14:paraId="61AFF795" w14:textId="011D777C"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155.40</w:t>
            </w:r>
          </w:p>
        </w:tc>
        <w:tc>
          <w:tcPr>
            <w:tcW w:w="959" w:type="dxa"/>
            <w:tcBorders>
              <w:top w:val="nil"/>
              <w:left w:val="nil"/>
              <w:bottom w:val="single" w:sz="4" w:space="0" w:color="auto"/>
              <w:right w:val="single" w:sz="4" w:space="0" w:color="auto"/>
            </w:tcBorders>
            <w:noWrap/>
            <w:vAlign w:val="center"/>
            <w:hideMark/>
          </w:tcPr>
          <w:p w14:paraId="36B9EA78" w14:textId="05E9204F"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100.78</w:t>
            </w:r>
          </w:p>
        </w:tc>
        <w:tc>
          <w:tcPr>
            <w:tcW w:w="620" w:type="dxa"/>
            <w:tcBorders>
              <w:top w:val="nil"/>
              <w:left w:val="nil"/>
              <w:bottom w:val="single" w:sz="4" w:space="0" w:color="auto"/>
              <w:right w:val="single" w:sz="4" w:space="0" w:color="auto"/>
            </w:tcBorders>
            <w:noWrap/>
            <w:vAlign w:val="center"/>
            <w:hideMark/>
          </w:tcPr>
          <w:p w14:paraId="1564C12F" w14:textId="5B891AF7" w:rsidR="002E7B3E" w:rsidRPr="002E7B3E" w:rsidRDefault="002E7B3E" w:rsidP="002E7B3E">
            <w:pPr>
              <w:contextualSpacing/>
              <w:jc w:val="center"/>
              <w:rPr>
                <w:rFonts w:asciiTheme="majorHAnsi" w:hAnsiTheme="majorHAnsi"/>
                <w:color w:val="000000"/>
                <w:sz w:val="16"/>
                <w:szCs w:val="16"/>
              </w:rPr>
            </w:pPr>
          </w:p>
        </w:tc>
        <w:tc>
          <w:tcPr>
            <w:tcW w:w="1029" w:type="dxa"/>
            <w:tcBorders>
              <w:top w:val="nil"/>
              <w:left w:val="nil"/>
              <w:bottom w:val="single" w:sz="4" w:space="0" w:color="auto"/>
              <w:right w:val="single" w:sz="4" w:space="0" w:color="auto"/>
            </w:tcBorders>
            <w:noWrap/>
            <w:vAlign w:val="center"/>
            <w:hideMark/>
          </w:tcPr>
          <w:p w14:paraId="5553D568" w14:textId="5F66EB66"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256.18</w:t>
            </w:r>
          </w:p>
        </w:tc>
      </w:tr>
      <w:tr w:rsidR="002E7B3E" w:rsidRPr="006F29FC" w14:paraId="4ACB3107" w14:textId="77777777" w:rsidTr="002E7B3E">
        <w:trPr>
          <w:trHeight w:val="285"/>
          <w:tblHeader/>
        </w:trPr>
        <w:tc>
          <w:tcPr>
            <w:tcW w:w="424" w:type="dxa"/>
            <w:tcBorders>
              <w:top w:val="nil"/>
              <w:left w:val="single" w:sz="4" w:space="0" w:color="auto"/>
              <w:bottom w:val="single" w:sz="4" w:space="0" w:color="auto"/>
              <w:right w:val="single" w:sz="4" w:space="0" w:color="auto"/>
            </w:tcBorders>
            <w:noWrap/>
            <w:vAlign w:val="center"/>
            <w:hideMark/>
          </w:tcPr>
          <w:p w14:paraId="7A681C8B" w14:textId="1ECA7C28" w:rsidR="002E7B3E" w:rsidRPr="006F29FC" w:rsidRDefault="002E7B3E" w:rsidP="002E7B3E">
            <w:pPr>
              <w:contextualSpacing/>
              <w:jc w:val="center"/>
              <w:rPr>
                <w:rFonts w:asciiTheme="majorHAnsi" w:hAnsiTheme="majorHAnsi"/>
                <w:color w:val="000000"/>
                <w:sz w:val="16"/>
                <w:szCs w:val="16"/>
              </w:rPr>
            </w:pPr>
            <w:r>
              <w:rPr>
                <w:rFonts w:asciiTheme="majorHAnsi" w:hAnsiTheme="majorHAnsi"/>
                <w:color w:val="000000"/>
                <w:sz w:val="16"/>
                <w:szCs w:val="16"/>
              </w:rPr>
              <w:t>2</w:t>
            </w:r>
          </w:p>
        </w:tc>
        <w:tc>
          <w:tcPr>
            <w:tcW w:w="1638" w:type="dxa"/>
            <w:tcBorders>
              <w:top w:val="nil"/>
              <w:left w:val="nil"/>
              <w:bottom w:val="single" w:sz="4" w:space="0" w:color="auto"/>
              <w:right w:val="single" w:sz="4" w:space="0" w:color="auto"/>
            </w:tcBorders>
            <w:noWrap/>
            <w:vAlign w:val="center"/>
            <w:hideMark/>
          </w:tcPr>
          <w:p w14:paraId="071BFCBB" w14:textId="77777777" w:rsidR="002E7B3E" w:rsidRPr="006F29FC" w:rsidRDefault="002E7B3E" w:rsidP="002E7B3E">
            <w:pPr>
              <w:contextualSpacing/>
              <w:rPr>
                <w:rFonts w:asciiTheme="majorHAnsi" w:hAnsiTheme="majorHAnsi"/>
                <w:color w:val="000000"/>
                <w:sz w:val="16"/>
                <w:szCs w:val="16"/>
              </w:rPr>
            </w:pPr>
            <w:r w:rsidRPr="006F29FC">
              <w:rPr>
                <w:rFonts w:asciiTheme="majorHAnsi" w:hAnsiTheme="majorHAnsi"/>
                <w:color w:val="000000"/>
                <w:sz w:val="16"/>
                <w:szCs w:val="16"/>
              </w:rPr>
              <w:t>CC</w:t>
            </w:r>
          </w:p>
        </w:tc>
        <w:tc>
          <w:tcPr>
            <w:tcW w:w="825" w:type="dxa"/>
            <w:tcBorders>
              <w:top w:val="nil"/>
              <w:left w:val="nil"/>
              <w:bottom w:val="single" w:sz="4" w:space="0" w:color="auto"/>
              <w:right w:val="single" w:sz="4" w:space="0" w:color="auto"/>
            </w:tcBorders>
            <w:noWrap/>
            <w:vAlign w:val="center"/>
            <w:hideMark/>
          </w:tcPr>
          <w:p w14:paraId="57BB4BB4" w14:textId="5DDD1087"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211.89</w:t>
            </w:r>
          </w:p>
        </w:tc>
        <w:tc>
          <w:tcPr>
            <w:tcW w:w="822" w:type="dxa"/>
            <w:tcBorders>
              <w:top w:val="nil"/>
              <w:left w:val="nil"/>
              <w:bottom w:val="single" w:sz="4" w:space="0" w:color="auto"/>
              <w:right w:val="single" w:sz="4" w:space="0" w:color="auto"/>
            </w:tcBorders>
            <w:noWrap/>
            <w:vAlign w:val="center"/>
            <w:hideMark/>
          </w:tcPr>
          <w:p w14:paraId="475413F4" w14:textId="3A695749"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113.48</w:t>
            </w:r>
          </w:p>
        </w:tc>
        <w:tc>
          <w:tcPr>
            <w:tcW w:w="599" w:type="dxa"/>
            <w:tcBorders>
              <w:top w:val="nil"/>
              <w:left w:val="nil"/>
              <w:bottom w:val="single" w:sz="4" w:space="0" w:color="auto"/>
              <w:right w:val="single" w:sz="4" w:space="0" w:color="auto"/>
            </w:tcBorders>
            <w:noWrap/>
            <w:vAlign w:val="center"/>
            <w:hideMark/>
          </w:tcPr>
          <w:p w14:paraId="7F8E5021" w14:textId="05DF09C5"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912" w:type="dxa"/>
            <w:tcBorders>
              <w:top w:val="nil"/>
              <w:left w:val="nil"/>
              <w:bottom w:val="single" w:sz="4" w:space="0" w:color="auto"/>
              <w:right w:val="single" w:sz="4" w:space="0" w:color="auto"/>
            </w:tcBorders>
            <w:noWrap/>
            <w:vAlign w:val="center"/>
            <w:hideMark/>
          </w:tcPr>
          <w:p w14:paraId="11A4EFB0" w14:textId="3AEEBA0C"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325.38</w:t>
            </w:r>
          </w:p>
        </w:tc>
        <w:tc>
          <w:tcPr>
            <w:tcW w:w="825" w:type="dxa"/>
            <w:tcBorders>
              <w:top w:val="nil"/>
              <w:left w:val="nil"/>
              <w:bottom w:val="single" w:sz="4" w:space="0" w:color="auto"/>
              <w:right w:val="single" w:sz="4" w:space="0" w:color="auto"/>
            </w:tcBorders>
            <w:noWrap/>
            <w:vAlign w:val="center"/>
            <w:hideMark/>
          </w:tcPr>
          <w:p w14:paraId="7F8BE36A" w14:textId="66B00F7E"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171.91</w:t>
            </w:r>
          </w:p>
        </w:tc>
        <w:tc>
          <w:tcPr>
            <w:tcW w:w="620" w:type="dxa"/>
            <w:tcBorders>
              <w:top w:val="nil"/>
              <w:left w:val="nil"/>
              <w:bottom w:val="single" w:sz="4" w:space="0" w:color="auto"/>
              <w:right w:val="single" w:sz="4" w:space="0" w:color="auto"/>
            </w:tcBorders>
            <w:noWrap/>
            <w:vAlign w:val="center"/>
            <w:hideMark/>
          </w:tcPr>
          <w:p w14:paraId="34A0475B" w14:textId="78180A91"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0.20</w:t>
            </w:r>
          </w:p>
        </w:tc>
        <w:tc>
          <w:tcPr>
            <w:tcW w:w="1029" w:type="dxa"/>
            <w:tcBorders>
              <w:top w:val="nil"/>
              <w:left w:val="nil"/>
              <w:bottom w:val="single" w:sz="4" w:space="0" w:color="auto"/>
              <w:right w:val="single" w:sz="4" w:space="0" w:color="auto"/>
            </w:tcBorders>
            <w:noWrap/>
            <w:vAlign w:val="center"/>
            <w:hideMark/>
          </w:tcPr>
          <w:p w14:paraId="03DE2CA1" w14:textId="1C14D33C"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511.14</w:t>
            </w:r>
          </w:p>
        </w:tc>
        <w:tc>
          <w:tcPr>
            <w:tcW w:w="959" w:type="dxa"/>
            <w:tcBorders>
              <w:top w:val="nil"/>
              <w:left w:val="nil"/>
              <w:bottom w:val="single" w:sz="4" w:space="0" w:color="auto"/>
              <w:right w:val="single" w:sz="4" w:space="0" w:color="auto"/>
            </w:tcBorders>
            <w:noWrap/>
            <w:vAlign w:val="center"/>
            <w:hideMark/>
          </w:tcPr>
          <w:p w14:paraId="7D62C34C" w14:textId="02AA2F41"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650.97</w:t>
            </w:r>
          </w:p>
        </w:tc>
        <w:tc>
          <w:tcPr>
            <w:tcW w:w="620" w:type="dxa"/>
            <w:tcBorders>
              <w:top w:val="nil"/>
              <w:left w:val="nil"/>
              <w:bottom w:val="single" w:sz="4" w:space="0" w:color="auto"/>
              <w:right w:val="single" w:sz="4" w:space="0" w:color="auto"/>
            </w:tcBorders>
            <w:noWrap/>
            <w:vAlign w:val="center"/>
            <w:hideMark/>
          </w:tcPr>
          <w:p w14:paraId="50EB3E42" w14:textId="12E7E833"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1.28</w:t>
            </w:r>
          </w:p>
        </w:tc>
        <w:tc>
          <w:tcPr>
            <w:tcW w:w="1029" w:type="dxa"/>
            <w:tcBorders>
              <w:top w:val="nil"/>
              <w:left w:val="nil"/>
              <w:bottom w:val="single" w:sz="4" w:space="0" w:color="auto"/>
              <w:right w:val="single" w:sz="4" w:space="0" w:color="auto"/>
            </w:tcBorders>
            <w:noWrap/>
            <w:vAlign w:val="center"/>
            <w:hideMark/>
          </w:tcPr>
          <w:p w14:paraId="6BC0495C" w14:textId="1CF51701"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1,160.83</w:t>
            </w:r>
          </w:p>
        </w:tc>
      </w:tr>
      <w:tr w:rsidR="002E7B3E" w:rsidRPr="006F29FC" w14:paraId="1869CAF9" w14:textId="77777777" w:rsidTr="002E7B3E">
        <w:trPr>
          <w:trHeight w:val="285"/>
          <w:tblHeader/>
        </w:trPr>
        <w:tc>
          <w:tcPr>
            <w:tcW w:w="424" w:type="dxa"/>
            <w:tcBorders>
              <w:top w:val="nil"/>
              <w:left w:val="single" w:sz="4" w:space="0" w:color="auto"/>
              <w:bottom w:val="single" w:sz="4" w:space="0" w:color="auto"/>
              <w:right w:val="single" w:sz="4" w:space="0" w:color="auto"/>
            </w:tcBorders>
            <w:noWrap/>
            <w:vAlign w:val="center"/>
            <w:hideMark/>
          </w:tcPr>
          <w:p w14:paraId="7024B4E1" w14:textId="6A4610CC" w:rsidR="002E7B3E" w:rsidRPr="006F29FC" w:rsidRDefault="002E7B3E" w:rsidP="002E7B3E">
            <w:pPr>
              <w:contextualSpacing/>
              <w:jc w:val="center"/>
              <w:rPr>
                <w:rFonts w:asciiTheme="majorHAnsi" w:hAnsiTheme="majorHAnsi"/>
                <w:color w:val="000000"/>
                <w:sz w:val="16"/>
                <w:szCs w:val="16"/>
              </w:rPr>
            </w:pPr>
            <w:r>
              <w:rPr>
                <w:rFonts w:asciiTheme="majorHAnsi" w:hAnsiTheme="majorHAnsi"/>
                <w:color w:val="000000"/>
                <w:sz w:val="16"/>
                <w:szCs w:val="16"/>
              </w:rPr>
              <w:t>3</w:t>
            </w:r>
          </w:p>
        </w:tc>
        <w:tc>
          <w:tcPr>
            <w:tcW w:w="1638" w:type="dxa"/>
            <w:tcBorders>
              <w:top w:val="nil"/>
              <w:left w:val="nil"/>
              <w:bottom w:val="single" w:sz="4" w:space="0" w:color="auto"/>
              <w:right w:val="single" w:sz="4" w:space="0" w:color="auto"/>
            </w:tcBorders>
            <w:noWrap/>
            <w:vAlign w:val="center"/>
            <w:hideMark/>
          </w:tcPr>
          <w:p w14:paraId="4B3C05B0" w14:textId="77777777" w:rsidR="002E7B3E" w:rsidRPr="006F29FC" w:rsidRDefault="002E7B3E" w:rsidP="002E7B3E">
            <w:pPr>
              <w:contextualSpacing/>
              <w:rPr>
                <w:rFonts w:asciiTheme="majorHAnsi" w:hAnsiTheme="majorHAnsi"/>
                <w:color w:val="000000"/>
                <w:sz w:val="16"/>
                <w:szCs w:val="16"/>
              </w:rPr>
            </w:pPr>
            <w:r w:rsidRPr="006F29FC">
              <w:rPr>
                <w:rFonts w:asciiTheme="majorHAnsi" w:hAnsiTheme="majorHAnsi"/>
                <w:color w:val="000000"/>
                <w:sz w:val="16"/>
                <w:szCs w:val="16"/>
              </w:rPr>
              <w:t>Own Fund</w:t>
            </w:r>
          </w:p>
        </w:tc>
        <w:tc>
          <w:tcPr>
            <w:tcW w:w="825" w:type="dxa"/>
            <w:tcBorders>
              <w:top w:val="nil"/>
              <w:left w:val="nil"/>
              <w:bottom w:val="single" w:sz="4" w:space="0" w:color="auto"/>
              <w:right w:val="single" w:sz="4" w:space="0" w:color="auto"/>
            </w:tcBorders>
            <w:noWrap/>
            <w:vAlign w:val="center"/>
            <w:hideMark/>
          </w:tcPr>
          <w:p w14:paraId="58B304C8" w14:textId="2F35A53E"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147.74</w:t>
            </w:r>
          </w:p>
        </w:tc>
        <w:tc>
          <w:tcPr>
            <w:tcW w:w="822" w:type="dxa"/>
            <w:tcBorders>
              <w:top w:val="nil"/>
              <w:left w:val="nil"/>
              <w:bottom w:val="single" w:sz="4" w:space="0" w:color="auto"/>
              <w:right w:val="single" w:sz="4" w:space="0" w:color="auto"/>
            </w:tcBorders>
            <w:noWrap/>
            <w:vAlign w:val="center"/>
            <w:hideMark/>
          </w:tcPr>
          <w:p w14:paraId="66CB504F" w14:textId="01D7F4B0"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465.21</w:t>
            </w:r>
          </w:p>
        </w:tc>
        <w:tc>
          <w:tcPr>
            <w:tcW w:w="599" w:type="dxa"/>
            <w:tcBorders>
              <w:top w:val="nil"/>
              <w:left w:val="nil"/>
              <w:bottom w:val="single" w:sz="4" w:space="0" w:color="auto"/>
              <w:right w:val="single" w:sz="4" w:space="0" w:color="auto"/>
            </w:tcBorders>
            <w:noWrap/>
            <w:vAlign w:val="center"/>
            <w:hideMark/>
          </w:tcPr>
          <w:p w14:paraId="20D4D6DE" w14:textId="32911228"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0.03</w:t>
            </w:r>
          </w:p>
        </w:tc>
        <w:tc>
          <w:tcPr>
            <w:tcW w:w="912" w:type="dxa"/>
            <w:tcBorders>
              <w:top w:val="nil"/>
              <w:left w:val="nil"/>
              <w:bottom w:val="single" w:sz="4" w:space="0" w:color="auto"/>
              <w:right w:val="single" w:sz="4" w:space="0" w:color="auto"/>
            </w:tcBorders>
            <w:noWrap/>
            <w:vAlign w:val="center"/>
            <w:hideMark/>
          </w:tcPr>
          <w:p w14:paraId="2043D945" w14:textId="798AE44D"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612.92</w:t>
            </w:r>
          </w:p>
        </w:tc>
        <w:tc>
          <w:tcPr>
            <w:tcW w:w="825" w:type="dxa"/>
            <w:tcBorders>
              <w:top w:val="nil"/>
              <w:left w:val="nil"/>
              <w:bottom w:val="single" w:sz="4" w:space="0" w:color="auto"/>
              <w:right w:val="single" w:sz="4" w:space="0" w:color="auto"/>
            </w:tcBorders>
            <w:noWrap/>
            <w:vAlign w:val="center"/>
            <w:hideMark/>
          </w:tcPr>
          <w:p w14:paraId="65F2DEA4" w14:textId="2A81DC8B"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604.57</w:t>
            </w:r>
          </w:p>
        </w:tc>
        <w:tc>
          <w:tcPr>
            <w:tcW w:w="620" w:type="dxa"/>
            <w:tcBorders>
              <w:top w:val="nil"/>
              <w:left w:val="nil"/>
              <w:bottom w:val="single" w:sz="4" w:space="0" w:color="auto"/>
              <w:right w:val="single" w:sz="4" w:space="0" w:color="auto"/>
            </w:tcBorders>
            <w:noWrap/>
            <w:vAlign w:val="center"/>
            <w:hideMark/>
          </w:tcPr>
          <w:p w14:paraId="31542AB9" w14:textId="577D9E94"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0.16</w:t>
            </w:r>
          </w:p>
        </w:tc>
        <w:tc>
          <w:tcPr>
            <w:tcW w:w="1029" w:type="dxa"/>
            <w:tcBorders>
              <w:top w:val="nil"/>
              <w:left w:val="nil"/>
              <w:bottom w:val="single" w:sz="4" w:space="0" w:color="auto"/>
              <w:right w:val="single" w:sz="4" w:space="0" w:color="auto"/>
            </w:tcBorders>
            <w:noWrap/>
            <w:vAlign w:val="center"/>
            <w:hideMark/>
          </w:tcPr>
          <w:p w14:paraId="04F7B954" w14:textId="7EE61A2C"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1,217.33</w:t>
            </w:r>
          </w:p>
        </w:tc>
        <w:tc>
          <w:tcPr>
            <w:tcW w:w="959" w:type="dxa"/>
            <w:tcBorders>
              <w:top w:val="nil"/>
              <w:left w:val="nil"/>
              <w:bottom w:val="single" w:sz="4" w:space="0" w:color="auto"/>
              <w:right w:val="single" w:sz="4" w:space="0" w:color="auto"/>
            </w:tcBorders>
            <w:noWrap/>
            <w:vAlign w:val="center"/>
            <w:hideMark/>
          </w:tcPr>
          <w:p w14:paraId="2E8D6EE2" w14:textId="405A2ABE"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578.77</w:t>
            </w:r>
          </w:p>
        </w:tc>
        <w:tc>
          <w:tcPr>
            <w:tcW w:w="620" w:type="dxa"/>
            <w:tcBorders>
              <w:top w:val="nil"/>
              <w:left w:val="nil"/>
              <w:bottom w:val="single" w:sz="4" w:space="0" w:color="auto"/>
              <w:right w:val="single" w:sz="4" w:space="0" w:color="auto"/>
            </w:tcBorders>
            <w:noWrap/>
            <w:vAlign w:val="center"/>
            <w:hideMark/>
          </w:tcPr>
          <w:p w14:paraId="02E3A3C1" w14:textId="0A96C389"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1.66</w:t>
            </w:r>
          </w:p>
        </w:tc>
        <w:tc>
          <w:tcPr>
            <w:tcW w:w="1029" w:type="dxa"/>
            <w:tcBorders>
              <w:top w:val="nil"/>
              <w:left w:val="nil"/>
              <w:bottom w:val="single" w:sz="4" w:space="0" w:color="auto"/>
              <w:right w:val="single" w:sz="4" w:space="0" w:color="auto"/>
            </w:tcBorders>
            <w:noWrap/>
            <w:vAlign w:val="center"/>
            <w:hideMark/>
          </w:tcPr>
          <w:p w14:paraId="720DD9CF" w14:textId="023D95AC"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1,794.44</w:t>
            </w:r>
          </w:p>
        </w:tc>
      </w:tr>
      <w:tr w:rsidR="002E7B3E" w:rsidRPr="006F29FC" w14:paraId="31BBBEDF" w14:textId="77777777" w:rsidTr="002E7B3E">
        <w:trPr>
          <w:trHeight w:val="285"/>
          <w:tblHeader/>
        </w:trPr>
        <w:tc>
          <w:tcPr>
            <w:tcW w:w="424" w:type="dxa"/>
            <w:tcBorders>
              <w:top w:val="nil"/>
              <w:left w:val="single" w:sz="4" w:space="0" w:color="auto"/>
              <w:bottom w:val="single" w:sz="4" w:space="0" w:color="auto"/>
              <w:right w:val="single" w:sz="4" w:space="0" w:color="auto"/>
            </w:tcBorders>
            <w:noWrap/>
            <w:vAlign w:val="center"/>
            <w:hideMark/>
          </w:tcPr>
          <w:p w14:paraId="2D9C64BC" w14:textId="0766828C" w:rsidR="002E7B3E" w:rsidRPr="006F29FC" w:rsidRDefault="002E7B3E" w:rsidP="002E7B3E">
            <w:pPr>
              <w:contextualSpacing/>
              <w:jc w:val="center"/>
              <w:rPr>
                <w:rFonts w:asciiTheme="majorHAnsi" w:hAnsiTheme="majorHAnsi"/>
                <w:color w:val="000000"/>
                <w:sz w:val="16"/>
                <w:szCs w:val="16"/>
              </w:rPr>
            </w:pPr>
            <w:r>
              <w:rPr>
                <w:rFonts w:asciiTheme="majorHAnsi" w:hAnsiTheme="majorHAnsi"/>
                <w:color w:val="000000"/>
                <w:sz w:val="16"/>
                <w:szCs w:val="16"/>
              </w:rPr>
              <w:t>4</w:t>
            </w:r>
          </w:p>
        </w:tc>
        <w:tc>
          <w:tcPr>
            <w:tcW w:w="1638" w:type="dxa"/>
            <w:tcBorders>
              <w:top w:val="nil"/>
              <w:left w:val="nil"/>
              <w:bottom w:val="single" w:sz="4" w:space="0" w:color="auto"/>
              <w:right w:val="single" w:sz="4" w:space="0" w:color="auto"/>
            </w:tcBorders>
            <w:noWrap/>
            <w:vAlign w:val="center"/>
            <w:hideMark/>
          </w:tcPr>
          <w:p w14:paraId="63D15590" w14:textId="77777777" w:rsidR="002E7B3E" w:rsidRPr="006F29FC" w:rsidRDefault="002E7B3E" w:rsidP="002E7B3E">
            <w:pPr>
              <w:contextualSpacing/>
              <w:rPr>
                <w:rFonts w:asciiTheme="majorHAnsi" w:hAnsiTheme="majorHAnsi"/>
                <w:color w:val="000000"/>
                <w:sz w:val="16"/>
                <w:szCs w:val="16"/>
              </w:rPr>
            </w:pPr>
            <w:r w:rsidRPr="006F29FC">
              <w:rPr>
                <w:rFonts w:asciiTheme="majorHAnsi" w:hAnsiTheme="majorHAnsi"/>
                <w:color w:val="000000"/>
                <w:sz w:val="16"/>
                <w:szCs w:val="16"/>
              </w:rPr>
              <w:t>Meters-Own</w:t>
            </w:r>
          </w:p>
        </w:tc>
        <w:tc>
          <w:tcPr>
            <w:tcW w:w="825" w:type="dxa"/>
            <w:tcBorders>
              <w:top w:val="nil"/>
              <w:left w:val="nil"/>
              <w:bottom w:val="single" w:sz="4" w:space="0" w:color="auto"/>
              <w:right w:val="single" w:sz="4" w:space="0" w:color="auto"/>
            </w:tcBorders>
            <w:noWrap/>
            <w:vAlign w:val="center"/>
            <w:hideMark/>
          </w:tcPr>
          <w:p w14:paraId="70CC6A46" w14:textId="125742BA"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0.03</w:t>
            </w:r>
          </w:p>
        </w:tc>
        <w:tc>
          <w:tcPr>
            <w:tcW w:w="822" w:type="dxa"/>
            <w:tcBorders>
              <w:top w:val="nil"/>
              <w:left w:val="nil"/>
              <w:bottom w:val="single" w:sz="4" w:space="0" w:color="auto"/>
              <w:right w:val="single" w:sz="4" w:space="0" w:color="auto"/>
            </w:tcBorders>
            <w:noWrap/>
            <w:vAlign w:val="center"/>
            <w:hideMark/>
          </w:tcPr>
          <w:p w14:paraId="6D15EE05" w14:textId="0EC3D812"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34.39</w:t>
            </w:r>
          </w:p>
        </w:tc>
        <w:tc>
          <w:tcPr>
            <w:tcW w:w="599" w:type="dxa"/>
            <w:tcBorders>
              <w:top w:val="nil"/>
              <w:left w:val="nil"/>
              <w:bottom w:val="single" w:sz="4" w:space="0" w:color="auto"/>
              <w:right w:val="single" w:sz="4" w:space="0" w:color="auto"/>
            </w:tcBorders>
            <w:noWrap/>
            <w:vAlign w:val="center"/>
            <w:hideMark/>
          </w:tcPr>
          <w:p w14:paraId="7D5939E9" w14:textId="0E25DB37"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912" w:type="dxa"/>
            <w:tcBorders>
              <w:top w:val="nil"/>
              <w:left w:val="nil"/>
              <w:bottom w:val="single" w:sz="4" w:space="0" w:color="auto"/>
              <w:right w:val="single" w:sz="4" w:space="0" w:color="auto"/>
            </w:tcBorders>
            <w:noWrap/>
            <w:vAlign w:val="center"/>
            <w:hideMark/>
          </w:tcPr>
          <w:p w14:paraId="630FA8D6" w14:textId="030441DE"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34.42</w:t>
            </w:r>
          </w:p>
        </w:tc>
        <w:tc>
          <w:tcPr>
            <w:tcW w:w="825" w:type="dxa"/>
            <w:tcBorders>
              <w:top w:val="nil"/>
              <w:left w:val="nil"/>
              <w:bottom w:val="single" w:sz="4" w:space="0" w:color="auto"/>
              <w:right w:val="single" w:sz="4" w:space="0" w:color="auto"/>
            </w:tcBorders>
            <w:noWrap/>
            <w:vAlign w:val="center"/>
            <w:hideMark/>
          </w:tcPr>
          <w:p w14:paraId="6ACD0A0F" w14:textId="4DB80C02"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111.77</w:t>
            </w:r>
          </w:p>
        </w:tc>
        <w:tc>
          <w:tcPr>
            <w:tcW w:w="620" w:type="dxa"/>
            <w:tcBorders>
              <w:top w:val="nil"/>
              <w:left w:val="nil"/>
              <w:bottom w:val="single" w:sz="4" w:space="0" w:color="auto"/>
              <w:right w:val="single" w:sz="4" w:space="0" w:color="auto"/>
            </w:tcBorders>
            <w:noWrap/>
            <w:vAlign w:val="center"/>
            <w:hideMark/>
          </w:tcPr>
          <w:p w14:paraId="5707C600" w14:textId="3CC56808"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0.01</w:t>
            </w:r>
          </w:p>
        </w:tc>
        <w:tc>
          <w:tcPr>
            <w:tcW w:w="1029" w:type="dxa"/>
            <w:tcBorders>
              <w:top w:val="nil"/>
              <w:left w:val="nil"/>
              <w:bottom w:val="single" w:sz="4" w:space="0" w:color="auto"/>
              <w:right w:val="single" w:sz="4" w:space="0" w:color="auto"/>
            </w:tcBorders>
            <w:noWrap/>
            <w:vAlign w:val="center"/>
            <w:hideMark/>
          </w:tcPr>
          <w:p w14:paraId="6043E536" w14:textId="0E48FDCD"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146.18</w:t>
            </w:r>
          </w:p>
        </w:tc>
        <w:tc>
          <w:tcPr>
            <w:tcW w:w="959" w:type="dxa"/>
            <w:tcBorders>
              <w:top w:val="nil"/>
              <w:left w:val="nil"/>
              <w:bottom w:val="single" w:sz="4" w:space="0" w:color="auto"/>
              <w:right w:val="single" w:sz="4" w:space="0" w:color="auto"/>
            </w:tcBorders>
            <w:noWrap/>
            <w:vAlign w:val="center"/>
            <w:hideMark/>
          </w:tcPr>
          <w:p w14:paraId="27BD2215" w14:textId="47F3CB54"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134.36</w:t>
            </w:r>
          </w:p>
        </w:tc>
        <w:tc>
          <w:tcPr>
            <w:tcW w:w="620" w:type="dxa"/>
            <w:tcBorders>
              <w:top w:val="nil"/>
              <w:left w:val="nil"/>
              <w:bottom w:val="single" w:sz="4" w:space="0" w:color="auto"/>
              <w:right w:val="single" w:sz="4" w:space="0" w:color="auto"/>
            </w:tcBorders>
            <w:noWrap/>
            <w:vAlign w:val="center"/>
            <w:hideMark/>
          </w:tcPr>
          <w:p w14:paraId="1DD154D3" w14:textId="2CCB2A81"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1.41</w:t>
            </w:r>
          </w:p>
        </w:tc>
        <w:tc>
          <w:tcPr>
            <w:tcW w:w="1029" w:type="dxa"/>
            <w:tcBorders>
              <w:top w:val="nil"/>
              <w:left w:val="nil"/>
              <w:bottom w:val="single" w:sz="4" w:space="0" w:color="auto"/>
              <w:right w:val="single" w:sz="4" w:space="0" w:color="auto"/>
            </w:tcBorders>
            <w:noWrap/>
            <w:vAlign w:val="center"/>
            <w:hideMark/>
          </w:tcPr>
          <w:p w14:paraId="02AFEA4A" w14:textId="3A890E34"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279.13</w:t>
            </w:r>
          </w:p>
        </w:tc>
      </w:tr>
      <w:tr w:rsidR="002E7B3E" w:rsidRPr="006F29FC" w14:paraId="49232044" w14:textId="77777777" w:rsidTr="002E7B3E">
        <w:trPr>
          <w:trHeight w:val="285"/>
          <w:tblHeader/>
        </w:trPr>
        <w:tc>
          <w:tcPr>
            <w:tcW w:w="424" w:type="dxa"/>
            <w:tcBorders>
              <w:top w:val="nil"/>
              <w:left w:val="single" w:sz="4" w:space="0" w:color="auto"/>
              <w:bottom w:val="single" w:sz="4" w:space="0" w:color="auto"/>
              <w:right w:val="single" w:sz="4" w:space="0" w:color="auto"/>
            </w:tcBorders>
            <w:noWrap/>
            <w:vAlign w:val="center"/>
            <w:hideMark/>
          </w:tcPr>
          <w:p w14:paraId="0A964E61" w14:textId="71A89C86" w:rsidR="002E7B3E" w:rsidRPr="006F29FC" w:rsidRDefault="002E7B3E" w:rsidP="002E7B3E">
            <w:pPr>
              <w:contextualSpacing/>
              <w:jc w:val="center"/>
              <w:rPr>
                <w:rFonts w:asciiTheme="majorHAnsi" w:hAnsiTheme="majorHAnsi"/>
                <w:b/>
                <w:bCs/>
                <w:color w:val="000000"/>
                <w:sz w:val="16"/>
                <w:szCs w:val="16"/>
              </w:rPr>
            </w:pPr>
            <w:r>
              <w:rPr>
                <w:rFonts w:asciiTheme="majorHAnsi" w:hAnsiTheme="majorHAnsi"/>
                <w:b/>
                <w:bCs/>
                <w:color w:val="000000"/>
                <w:sz w:val="16"/>
                <w:szCs w:val="16"/>
              </w:rPr>
              <w:t>5</w:t>
            </w:r>
          </w:p>
        </w:tc>
        <w:tc>
          <w:tcPr>
            <w:tcW w:w="1638" w:type="dxa"/>
            <w:tcBorders>
              <w:top w:val="nil"/>
              <w:left w:val="nil"/>
              <w:bottom w:val="single" w:sz="4" w:space="0" w:color="auto"/>
              <w:right w:val="single" w:sz="4" w:space="0" w:color="auto"/>
            </w:tcBorders>
            <w:noWrap/>
            <w:vAlign w:val="bottom"/>
            <w:hideMark/>
          </w:tcPr>
          <w:p w14:paraId="43498FCB" w14:textId="77777777" w:rsidR="002E7B3E" w:rsidRPr="006F29FC" w:rsidRDefault="002E7B3E" w:rsidP="002E7B3E">
            <w:pPr>
              <w:contextualSpacing/>
              <w:rPr>
                <w:rFonts w:asciiTheme="majorHAnsi" w:hAnsiTheme="majorHAnsi"/>
                <w:b/>
                <w:bCs/>
                <w:color w:val="000000"/>
                <w:sz w:val="16"/>
                <w:szCs w:val="16"/>
              </w:rPr>
            </w:pPr>
            <w:r w:rsidRPr="006F29FC">
              <w:rPr>
                <w:rFonts w:asciiTheme="majorHAnsi" w:hAnsiTheme="majorHAnsi"/>
                <w:b/>
                <w:bCs/>
                <w:color w:val="000000"/>
                <w:sz w:val="16"/>
                <w:szCs w:val="16"/>
              </w:rPr>
              <w:t>Total TPWODL</w:t>
            </w:r>
          </w:p>
        </w:tc>
        <w:tc>
          <w:tcPr>
            <w:tcW w:w="825" w:type="dxa"/>
            <w:tcBorders>
              <w:top w:val="nil"/>
              <w:left w:val="nil"/>
              <w:bottom w:val="single" w:sz="4" w:space="0" w:color="auto"/>
              <w:right w:val="single" w:sz="4" w:space="0" w:color="auto"/>
            </w:tcBorders>
            <w:noWrap/>
            <w:vAlign w:val="center"/>
            <w:hideMark/>
          </w:tcPr>
          <w:p w14:paraId="781E2D31" w14:textId="184BB11C"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390.27</w:t>
            </w:r>
          </w:p>
        </w:tc>
        <w:tc>
          <w:tcPr>
            <w:tcW w:w="822" w:type="dxa"/>
            <w:tcBorders>
              <w:top w:val="nil"/>
              <w:left w:val="nil"/>
              <w:bottom w:val="single" w:sz="4" w:space="0" w:color="auto"/>
              <w:right w:val="single" w:sz="4" w:space="0" w:color="auto"/>
            </w:tcBorders>
            <w:noWrap/>
            <w:vAlign w:val="center"/>
            <w:hideMark/>
          </w:tcPr>
          <w:p w14:paraId="38B8B7D3" w14:textId="77A3CD7D"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644.41</w:t>
            </w:r>
          </w:p>
        </w:tc>
        <w:tc>
          <w:tcPr>
            <w:tcW w:w="599" w:type="dxa"/>
            <w:tcBorders>
              <w:top w:val="nil"/>
              <w:left w:val="nil"/>
              <w:bottom w:val="single" w:sz="4" w:space="0" w:color="auto"/>
              <w:right w:val="single" w:sz="4" w:space="0" w:color="auto"/>
            </w:tcBorders>
            <w:noWrap/>
            <w:vAlign w:val="center"/>
            <w:hideMark/>
          </w:tcPr>
          <w:p w14:paraId="2170D96B" w14:textId="7C22FFA0"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0.03</w:t>
            </w:r>
          </w:p>
        </w:tc>
        <w:tc>
          <w:tcPr>
            <w:tcW w:w="912" w:type="dxa"/>
            <w:tcBorders>
              <w:top w:val="nil"/>
              <w:left w:val="nil"/>
              <w:bottom w:val="single" w:sz="4" w:space="0" w:color="auto"/>
              <w:right w:val="single" w:sz="4" w:space="0" w:color="auto"/>
            </w:tcBorders>
            <w:noWrap/>
            <w:vAlign w:val="center"/>
            <w:hideMark/>
          </w:tcPr>
          <w:p w14:paraId="0151A774" w14:textId="00B2701A"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1,034.64</w:t>
            </w:r>
          </w:p>
        </w:tc>
        <w:tc>
          <w:tcPr>
            <w:tcW w:w="825" w:type="dxa"/>
            <w:tcBorders>
              <w:top w:val="nil"/>
              <w:left w:val="nil"/>
              <w:bottom w:val="single" w:sz="4" w:space="0" w:color="auto"/>
              <w:right w:val="single" w:sz="4" w:space="0" w:color="auto"/>
            </w:tcBorders>
            <w:noWrap/>
            <w:vAlign w:val="center"/>
            <w:hideMark/>
          </w:tcPr>
          <w:p w14:paraId="3491CEDB" w14:textId="3DA00DC8"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981.72</w:t>
            </w:r>
          </w:p>
        </w:tc>
        <w:tc>
          <w:tcPr>
            <w:tcW w:w="620" w:type="dxa"/>
            <w:tcBorders>
              <w:top w:val="nil"/>
              <w:left w:val="nil"/>
              <w:bottom w:val="single" w:sz="4" w:space="0" w:color="auto"/>
              <w:right w:val="single" w:sz="4" w:space="0" w:color="auto"/>
            </w:tcBorders>
            <w:noWrap/>
            <w:vAlign w:val="center"/>
            <w:hideMark/>
          </w:tcPr>
          <w:p w14:paraId="58B96680" w14:textId="135FA159"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0.37</w:t>
            </w:r>
          </w:p>
        </w:tc>
        <w:tc>
          <w:tcPr>
            <w:tcW w:w="1029" w:type="dxa"/>
            <w:tcBorders>
              <w:top w:val="nil"/>
              <w:left w:val="nil"/>
              <w:bottom w:val="single" w:sz="4" w:space="0" w:color="auto"/>
              <w:right w:val="single" w:sz="4" w:space="0" w:color="auto"/>
            </w:tcBorders>
            <w:noWrap/>
            <w:vAlign w:val="center"/>
            <w:hideMark/>
          </w:tcPr>
          <w:p w14:paraId="5B9E11A8" w14:textId="405C7FB3"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2,030.05</w:t>
            </w:r>
          </w:p>
        </w:tc>
        <w:tc>
          <w:tcPr>
            <w:tcW w:w="959" w:type="dxa"/>
            <w:tcBorders>
              <w:top w:val="nil"/>
              <w:left w:val="nil"/>
              <w:bottom w:val="single" w:sz="4" w:space="0" w:color="auto"/>
              <w:right w:val="single" w:sz="4" w:space="0" w:color="auto"/>
            </w:tcBorders>
            <w:noWrap/>
            <w:vAlign w:val="center"/>
            <w:hideMark/>
          </w:tcPr>
          <w:p w14:paraId="5A183165" w14:textId="6DBC1DC0"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1,464.88</w:t>
            </w:r>
          </w:p>
        </w:tc>
        <w:tc>
          <w:tcPr>
            <w:tcW w:w="620" w:type="dxa"/>
            <w:tcBorders>
              <w:top w:val="nil"/>
              <w:left w:val="nil"/>
              <w:bottom w:val="single" w:sz="4" w:space="0" w:color="auto"/>
              <w:right w:val="single" w:sz="4" w:space="0" w:color="auto"/>
            </w:tcBorders>
            <w:noWrap/>
            <w:vAlign w:val="center"/>
            <w:hideMark/>
          </w:tcPr>
          <w:p w14:paraId="6D2BE7F3" w14:textId="597E3AF9"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4.35</w:t>
            </w:r>
          </w:p>
        </w:tc>
        <w:tc>
          <w:tcPr>
            <w:tcW w:w="1029" w:type="dxa"/>
            <w:tcBorders>
              <w:top w:val="nil"/>
              <w:left w:val="nil"/>
              <w:bottom w:val="single" w:sz="4" w:space="0" w:color="auto"/>
              <w:right w:val="single" w:sz="4" w:space="0" w:color="auto"/>
            </w:tcBorders>
            <w:noWrap/>
            <w:vAlign w:val="center"/>
            <w:hideMark/>
          </w:tcPr>
          <w:p w14:paraId="486E4392" w14:textId="2B4F8C34"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3,490.58</w:t>
            </w:r>
          </w:p>
        </w:tc>
      </w:tr>
    </w:tbl>
    <w:p w14:paraId="03502267" w14:textId="2DE9C9D2" w:rsidR="0026616B" w:rsidRDefault="0026616B" w:rsidP="005C6D28">
      <w:pPr>
        <w:spacing w:after="160" w:line="360" w:lineRule="auto"/>
        <w:ind w:left="-851"/>
        <w:jc w:val="both"/>
        <w:rPr>
          <w:rFonts w:ascii="Cambria" w:hAnsi="Cambria"/>
        </w:rPr>
      </w:pPr>
    </w:p>
    <w:tbl>
      <w:tblPr>
        <w:tblW w:w="10259" w:type="dxa"/>
        <w:tblInd w:w="-851" w:type="dxa"/>
        <w:tblLayout w:type="fixed"/>
        <w:tblLook w:val="04A0" w:firstRow="1" w:lastRow="0" w:firstColumn="1" w:lastColumn="0" w:noHBand="0" w:noVBand="1"/>
      </w:tblPr>
      <w:tblGrid>
        <w:gridCol w:w="424"/>
        <w:gridCol w:w="1638"/>
        <w:gridCol w:w="916"/>
        <w:gridCol w:w="731"/>
        <w:gridCol w:w="599"/>
        <w:gridCol w:w="912"/>
        <w:gridCol w:w="825"/>
        <w:gridCol w:w="620"/>
        <w:gridCol w:w="1029"/>
        <w:gridCol w:w="670"/>
        <w:gridCol w:w="851"/>
        <w:gridCol w:w="1029"/>
        <w:gridCol w:w="15"/>
      </w:tblGrid>
      <w:tr w:rsidR="00B238BD" w:rsidRPr="006F29FC" w14:paraId="48A587AC" w14:textId="77777777" w:rsidTr="002E7B3E">
        <w:trPr>
          <w:gridAfter w:val="1"/>
          <w:wAfter w:w="15" w:type="dxa"/>
          <w:trHeight w:val="285"/>
          <w:tblHeader/>
        </w:trPr>
        <w:tc>
          <w:tcPr>
            <w:tcW w:w="2062" w:type="dxa"/>
            <w:gridSpan w:val="2"/>
            <w:tcBorders>
              <w:top w:val="nil"/>
              <w:left w:val="nil"/>
              <w:bottom w:val="single" w:sz="4" w:space="0" w:color="auto"/>
              <w:right w:val="nil"/>
            </w:tcBorders>
            <w:noWrap/>
            <w:vAlign w:val="bottom"/>
            <w:hideMark/>
          </w:tcPr>
          <w:p w14:paraId="755359E3" w14:textId="466AB2F2" w:rsidR="00B238BD" w:rsidRPr="006F29FC" w:rsidRDefault="00B238BD" w:rsidP="001F21DF">
            <w:pPr>
              <w:contextualSpacing/>
              <w:rPr>
                <w:rFonts w:asciiTheme="majorHAnsi" w:hAnsiTheme="majorHAnsi"/>
                <w:b/>
                <w:bCs/>
                <w:color w:val="000000"/>
                <w:sz w:val="16"/>
                <w:szCs w:val="16"/>
                <w:u w:val="single"/>
                <w:lang w:val="en-IN" w:eastAsia="en-IN"/>
              </w:rPr>
            </w:pPr>
            <w:r>
              <w:rPr>
                <w:rFonts w:asciiTheme="majorHAnsi" w:hAnsiTheme="majorHAnsi"/>
                <w:b/>
                <w:bCs/>
                <w:color w:val="000000"/>
                <w:sz w:val="16"/>
                <w:szCs w:val="16"/>
                <w:u w:val="single"/>
              </w:rPr>
              <w:t>Legacy</w:t>
            </w:r>
            <w:r w:rsidRPr="006F29FC">
              <w:rPr>
                <w:rFonts w:asciiTheme="majorHAnsi" w:hAnsiTheme="majorHAnsi"/>
                <w:b/>
                <w:bCs/>
                <w:color w:val="000000"/>
                <w:sz w:val="16"/>
                <w:szCs w:val="16"/>
                <w:u w:val="single"/>
              </w:rPr>
              <w:t xml:space="preserve"> Assets</w:t>
            </w:r>
          </w:p>
        </w:tc>
        <w:tc>
          <w:tcPr>
            <w:tcW w:w="916" w:type="dxa"/>
            <w:tcBorders>
              <w:top w:val="nil"/>
              <w:left w:val="nil"/>
              <w:bottom w:val="nil"/>
              <w:right w:val="nil"/>
            </w:tcBorders>
            <w:noWrap/>
            <w:vAlign w:val="bottom"/>
            <w:hideMark/>
          </w:tcPr>
          <w:p w14:paraId="19AC5B78" w14:textId="77777777" w:rsidR="00B238BD" w:rsidRPr="006F29FC" w:rsidRDefault="00B238BD" w:rsidP="001F21DF">
            <w:pPr>
              <w:contextualSpacing/>
              <w:rPr>
                <w:rFonts w:asciiTheme="majorHAnsi" w:hAnsiTheme="majorHAnsi"/>
                <w:b/>
                <w:bCs/>
                <w:color w:val="000000"/>
                <w:sz w:val="16"/>
                <w:szCs w:val="16"/>
                <w:u w:val="single"/>
              </w:rPr>
            </w:pPr>
          </w:p>
        </w:tc>
        <w:tc>
          <w:tcPr>
            <w:tcW w:w="731" w:type="dxa"/>
            <w:tcBorders>
              <w:top w:val="nil"/>
              <w:left w:val="nil"/>
              <w:bottom w:val="nil"/>
              <w:right w:val="nil"/>
            </w:tcBorders>
            <w:noWrap/>
            <w:vAlign w:val="bottom"/>
            <w:hideMark/>
          </w:tcPr>
          <w:p w14:paraId="043DC3C5" w14:textId="77777777" w:rsidR="00B238BD" w:rsidRPr="006F29FC" w:rsidRDefault="00B238BD" w:rsidP="001F21DF">
            <w:pPr>
              <w:contextualSpacing/>
              <w:rPr>
                <w:rFonts w:asciiTheme="majorHAnsi" w:hAnsiTheme="majorHAnsi"/>
                <w:sz w:val="16"/>
                <w:szCs w:val="16"/>
              </w:rPr>
            </w:pPr>
          </w:p>
        </w:tc>
        <w:tc>
          <w:tcPr>
            <w:tcW w:w="599" w:type="dxa"/>
            <w:tcBorders>
              <w:top w:val="nil"/>
              <w:left w:val="nil"/>
              <w:bottom w:val="nil"/>
              <w:right w:val="nil"/>
            </w:tcBorders>
            <w:noWrap/>
            <w:vAlign w:val="bottom"/>
            <w:hideMark/>
          </w:tcPr>
          <w:p w14:paraId="508C0062" w14:textId="77777777" w:rsidR="00B238BD" w:rsidRPr="006F29FC" w:rsidRDefault="00B238BD" w:rsidP="001F21DF">
            <w:pPr>
              <w:contextualSpacing/>
              <w:rPr>
                <w:rFonts w:asciiTheme="majorHAnsi" w:hAnsiTheme="majorHAnsi"/>
                <w:sz w:val="16"/>
                <w:szCs w:val="16"/>
              </w:rPr>
            </w:pPr>
          </w:p>
        </w:tc>
        <w:tc>
          <w:tcPr>
            <w:tcW w:w="912" w:type="dxa"/>
            <w:tcBorders>
              <w:top w:val="nil"/>
              <w:left w:val="nil"/>
              <w:bottom w:val="nil"/>
              <w:right w:val="nil"/>
            </w:tcBorders>
            <w:noWrap/>
            <w:vAlign w:val="bottom"/>
            <w:hideMark/>
          </w:tcPr>
          <w:p w14:paraId="25F782B3" w14:textId="77777777" w:rsidR="00B238BD" w:rsidRPr="006F29FC" w:rsidRDefault="00B238BD" w:rsidP="001F21DF">
            <w:pPr>
              <w:contextualSpacing/>
              <w:rPr>
                <w:rFonts w:asciiTheme="majorHAnsi" w:hAnsiTheme="majorHAnsi"/>
                <w:sz w:val="16"/>
                <w:szCs w:val="16"/>
              </w:rPr>
            </w:pPr>
          </w:p>
        </w:tc>
        <w:tc>
          <w:tcPr>
            <w:tcW w:w="825" w:type="dxa"/>
            <w:tcBorders>
              <w:top w:val="nil"/>
              <w:left w:val="nil"/>
              <w:bottom w:val="nil"/>
              <w:right w:val="nil"/>
            </w:tcBorders>
            <w:noWrap/>
            <w:vAlign w:val="bottom"/>
            <w:hideMark/>
          </w:tcPr>
          <w:p w14:paraId="235DD15D" w14:textId="77777777" w:rsidR="00B238BD" w:rsidRPr="006F29FC" w:rsidRDefault="00B238BD" w:rsidP="001F21DF">
            <w:pPr>
              <w:contextualSpacing/>
              <w:rPr>
                <w:rFonts w:asciiTheme="majorHAnsi" w:hAnsiTheme="majorHAnsi"/>
                <w:sz w:val="16"/>
                <w:szCs w:val="16"/>
              </w:rPr>
            </w:pPr>
          </w:p>
        </w:tc>
        <w:tc>
          <w:tcPr>
            <w:tcW w:w="620" w:type="dxa"/>
            <w:tcBorders>
              <w:top w:val="nil"/>
              <w:left w:val="nil"/>
              <w:bottom w:val="nil"/>
              <w:right w:val="nil"/>
            </w:tcBorders>
            <w:noWrap/>
            <w:vAlign w:val="bottom"/>
            <w:hideMark/>
          </w:tcPr>
          <w:p w14:paraId="6135A96F" w14:textId="77777777" w:rsidR="00B238BD" w:rsidRPr="006F29FC" w:rsidRDefault="00B238BD" w:rsidP="001F21DF">
            <w:pPr>
              <w:contextualSpacing/>
              <w:rPr>
                <w:rFonts w:asciiTheme="majorHAnsi" w:hAnsiTheme="majorHAnsi"/>
                <w:sz w:val="16"/>
                <w:szCs w:val="16"/>
              </w:rPr>
            </w:pPr>
          </w:p>
        </w:tc>
        <w:tc>
          <w:tcPr>
            <w:tcW w:w="1029" w:type="dxa"/>
            <w:tcBorders>
              <w:top w:val="nil"/>
              <w:left w:val="nil"/>
              <w:bottom w:val="nil"/>
              <w:right w:val="nil"/>
            </w:tcBorders>
            <w:noWrap/>
            <w:vAlign w:val="bottom"/>
            <w:hideMark/>
          </w:tcPr>
          <w:p w14:paraId="62B2008E" w14:textId="77777777" w:rsidR="00B238BD" w:rsidRPr="006F29FC" w:rsidRDefault="00B238BD" w:rsidP="001F21DF">
            <w:pPr>
              <w:contextualSpacing/>
              <w:rPr>
                <w:rFonts w:asciiTheme="majorHAnsi" w:hAnsiTheme="majorHAnsi"/>
                <w:sz w:val="16"/>
                <w:szCs w:val="16"/>
              </w:rPr>
            </w:pPr>
          </w:p>
        </w:tc>
        <w:tc>
          <w:tcPr>
            <w:tcW w:w="670" w:type="dxa"/>
            <w:tcBorders>
              <w:top w:val="nil"/>
              <w:left w:val="nil"/>
              <w:bottom w:val="nil"/>
              <w:right w:val="nil"/>
            </w:tcBorders>
            <w:noWrap/>
            <w:vAlign w:val="bottom"/>
            <w:hideMark/>
          </w:tcPr>
          <w:p w14:paraId="61CC43BE" w14:textId="77777777" w:rsidR="00B238BD" w:rsidRPr="006F29FC" w:rsidRDefault="00B238BD" w:rsidP="001F21DF">
            <w:pPr>
              <w:contextualSpacing/>
              <w:rPr>
                <w:rFonts w:asciiTheme="majorHAnsi" w:hAnsiTheme="majorHAnsi"/>
                <w:sz w:val="16"/>
                <w:szCs w:val="16"/>
              </w:rPr>
            </w:pPr>
          </w:p>
        </w:tc>
        <w:tc>
          <w:tcPr>
            <w:tcW w:w="851" w:type="dxa"/>
            <w:tcBorders>
              <w:top w:val="nil"/>
              <w:left w:val="nil"/>
              <w:bottom w:val="nil"/>
              <w:right w:val="nil"/>
            </w:tcBorders>
            <w:noWrap/>
            <w:vAlign w:val="bottom"/>
            <w:hideMark/>
          </w:tcPr>
          <w:p w14:paraId="744FA909" w14:textId="77777777" w:rsidR="00B238BD" w:rsidRPr="006F29FC" w:rsidRDefault="00B238BD" w:rsidP="001F21DF">
            <w:pPr>
              <w:contextualSpacing/>
              <w:rPr>
                <w:rFonts w:asciiTheme="majorHAnsi" w:hAnsiTheme="majorHAnsi"/>
                <w:sz w:val="16"/>
                <w:szCs w:val="16"/>
              </w:rPr>
            </w:pPr>
          </w:p>
        </w:tc>
        <w:tc>
          <w:tcPr>
            <w:tcW w:w="1029" w:type="dxa"/>
            <w:tcBorders>
              <w:top w:val="nil"/>
              <w:left w:val="nil"/>
              <w:bottom w:val="nil"/>
              <w:right w:val="nil"/>
            </w:tcBorders>
            <w:noWrap/>
            <w:vAlign w:val="bottom"/>
            <w:hideMark/>
          </w:tcPr>
          <w:p w14:paraId="2F14B662" w14:textId="77777777" w:rsidR="00B238BD" w:rsidRPr="006F29FC" w:rsidRDefault="00B238BD" w:rsidP="001F21DF">
            <w:pPr>
              <w:contextualSpacing/>
              <w:rPr>
                <w:rFonts w:asciiTheme="majorHAnsi" w:hAnsiTheme="majorHAnsi"/>
                <w:sz w:val="16"/>
                <w:szCs w:val="16"/>
              </w:rPr>
            </w:pPr>
          </w:p>
        </w:tc>
      </w:tr>
      <w:tr w:rsidR="00B238BD" w:rsidRPr="006F29FC" w14:paraId="26326FAB" w14:textId="77777777" w:rsidTr="002E7B3E">
        <w:trPr>
          <w:gridAfter w:val="1"/>
          <w:wAfter w:w="15" w:type="dxa"/>
          <w:trHeight w:val="570"/>
          <w:tblHeader/>
        </w:trPr>
        <w:tc>
          <w:tcPr>
            <w:tcW w:w="424" w:type="dxa"/>
            <w:tcBorders>
              <w:top w:val="nil"/>
              <w:left w:val="single" w:sz="4" w:space="0" w:color="auto"/>
              <w:bottom w:val="single" w:sz="4" w:space="0" w:color="auto"/>
              <w:right w:val="single" w:sz="4" w:space="0" w:color="auto"/>
            </w:tcBorders>
            <w:shd w:val="clear" w:color="000000" w:fill="D9D9D9"/>
            <w:noWrap/>
            <w:vAlign w:val="center"/>
            <w:hideMark/>
          </w:tcPr>
          <w:p w14:paraId="1152A28F" w14:textId="77777777" w:rsidR="00B238BD" w:rsidRPr="006F29FC" w:rsidRDefault="00B238BD" w:rsidP="001F21DF">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S. No.</w:t>
            </w:r>
          </w:p>
        </w:tc>
        <w:tc>
          <w:tcPr>
            <w:tcW w:w="1638" w:type="dxa"/>
            <w:tcBorders>
              <w:top w:val="nil"/>
              <w:left w:val="nil"/>
              <w:bottom w:val="single" w:sz="4" w:space="0" w:color="auto"/>
              <w:right w:val="single" w:sz="4" w:space="0" w:color="auto"/>
            </w:tcBorders>
            <w:shd w:val="clear" w:color="000000" w:fill="D9D9D9"/>
            <w:vAlign w:val="center"/>
            <w:hideMark/>
          </w:tcPr>
          <w:p w14:paraId="2A330FF5" w14:textId="77777777" w:rsidR="00B238BD" w:rsidRPr="006F29FC" w:rsidRDefault="00B238BD" w:rsidP="001F21DF">
            <w:pPr>
              <w:contextualSpacing/>
              <w:rPr>
                <w:rFonts w:asciiTheme="majorHAnsi" w:hAnsiTheme="majorHAnsi"/>
                <w:b/>
                <w:bCs/>
                <w:color w:val="000000"/>
                <w:sz w:val="16"/>
                <w:szCs w:val="16"/>
              </w:rPr>
            </w:pPr>
            <w:r w:rsidRPr="006F29FC">
              <w:rPr>
                <w:rFonts w:asciiTheme="majorHAnsi" w:hAnsiTheme="majorHAnsi"/>
                <w:b/>
                <w:bCs/>
                <w:color w:val="000000"/>
                <w:sz w:val="16"/>
                <w:szCs w:val="16"/>
              </w:rPr>
              <w:t>Asset Class Details (Rs. Cr.)</w:t>
            </w:r>
          </w:p>
        </w:tc>
        <w:tc>
          <w:tcPr>
            <w:tcW w:w="916" w:type="dxa"/>
            <w:tcBorders>
              <w:top w:val="single" w:sz="4" w:space="0" w:color="auto"/>
              <w:left w:val="nil"/>
              <w:bottom w:val="single" w:sz="4" w:space="0" w:color="auto"/>
              <w:right w:val="single" w:sz="4" w:space="0" w:color="auto"/>
            </w:tcBorders>
            <w:shd w:val="clear" w:color="000000" w:fill="D9D9D9"/>
            <w:vAlign w:val="center"/>
            <w:hideMark/>
          </w:tcPr>
          <w:p w14:paraId="03F7F2D7" w14:textId="77777777" w:rsidR="00B238BD" w:rsidRPr="006F29FC" w:rsidRDefault="00B238BD" w:rsidP="001F21DF">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GB as on 31.03.</w:t>
            </w:r>
          </w:p>
          <w:p w14:paraId="5A2BC47F" w14:textId="77777777" w:rsidR="00B238BD" w:rsidRPr="006F29FC" w:rsidRDefault="00B238BD" w:rsidP="001F21DF">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22</w:t>
            </w:r>
          </w:p>
        </w:tc>
        <w:tc>
          <w:tcPr>
            <w:tcW w:w="731" w:type="dxa"/>
            <w:tcBorders>
              <w:top w:val="single" w:sz="4" w:space="0" w:color="auto"/>
              <w:left w:val="nil"/>
              <w:bottom w:val="single" w:sz="4" w:space="0" w:color="auto"/>
              <w:right w:val="single" w:sz="4" w:space="0" w:color="auto"/>
            </w:tcBorders>
            <w:shd w:val="clear" w:color="000000" w:fill="D9D9D9"/>
            <w:vAlign w:val="center"/>
            <w:hideMark/>
          </w:tcPr>
          <w:p w14:paraId="5C1E2449" w14:textId="77777777" w:rsidR="00B238BD" w:rsidRPr="006F29FC" w:rsidRDefault="00B238BD" w:rsidP="001F21DF">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Add.</w:t>
            </w:r>
          </w:p>
        </w:tc>
        <w:tc>
          <w:tcPr>
            <w:tcW w:w="599" w:type="dxa"/>
            <w:tcBorders>
              <w:top w:val="single" w:sz="4" w:space="0" w:color="auto"/>
              <w:left w:val="nil"/>
              <w:bottom w:val="single" w:sz="4" w:space="0" w:color="auto"/>
              <w:right w:val="single" w:sz="4" w:space="0" w:color="auto"/>
            </w:tcBorders>
            <w:shd w:val="clear" w:color="000000" w:fill="D9D9D9"/>
            <w:vAlign w:val="center"/>
            <w:hideMark/>
          </w:tcPr>
          <w:p w14:paraId="0B62F0CB" w14:textId="77777777" w:rsidR="00B238BD" w:rsidRPr="006F29FC" w:rsidRDefault="00B238BD" w:rsidP="001F21DF">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Ret.</w:t>
            </w:r>
          </w:p>
        </w:tc>
        <w:tc>
          <w:tcPr>
            <w:tcW w:w="912" w:type="dxa"/>
            <w:tcBorders>
              <w:top w:val="single" w:sz="4" w:space="0" w:color="auto"/>
              <w:left w:val="nil"/>
              <w:bottom w:val="single" w:sz="4" w:space="0" w:color="auto"/>
              <w:right w:val="single" w:sz="4" w:space="0" w:color="auto"/>
            </w:tcBorders>
            <w:shd w:val="clear" w:color="000000" w:fill="D9D9D9"/>
            <w:vAlign w:val="center"/>
            <w:hideMark/>
          </w:tcPr>
          <w:p w14:paraId="6DBC6147" w14:textId="77777777" w:rsidR="00B238BD" w:rsidRPr="006F29FC" w:rsidRDefault="00B238BD" w:rsidP="001F21DF">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GB as on 31.03.</w:t>
            </w:r>
          </w:p>
          <w:p w14:paraId="6EECD035" w14:textId="77777777" w:rsidR="00B238BD" w:rsidRPr="006F29FC" w:rsidRDefault="00B238BD" w:rsidP="001F21DF">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23</w:t>
            </w:r>
          </w:p>
        </w:tc>
        <w:tc>
          <w:tcPr>
            <w:tcW w:w="825" w:type="dxa"/>
            <w:tcBorders>
              <w:top w:val="single" w:sz="4" w:space="0" w:color="auto"/>
              <w:left w:val="nil"/>
              <w:bottom w:val="single" w:sz="4" w:space="0" w:color="auto"/>
              <w:right w:val="single" w:sz="4" w:space="0" w:color="auto"/>
            </w:tcBorders>
            <w:shd w:val="clear" w:color="000000" w:fill="D9D9D9"/>
            <w:vAlign w:val="center"/>
            <w:hideMark/>
          </w:tcPr>
          <w:p w14:paraId="0DFC855B" w14:textId="77777777" w:rsidR="00B238BD" w:rsidRPr="006F29FC" w:rsidRDefault="00B238BD" w:rsidP="001F21DF">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Add.</w:t>
            </w:r>
          </w:p>
        </w:tc>
        <w:tc>
          <w:tcPr>
            <w:tcW w:w="620" w:type="dxa"/>
            <w:tcBorders>
              <w:top w:val="single" w:sz="4" w:space="0" w:color="auto"/>
              <w:left w:val="nil"/>
              <w:bottom w:val="single" w:sz="4" w:space="0" w:color="auto"/>
              <w:right w:val="single" w:sz="4" w:space="0" w:color="auto"/>
            </w:tcBorders>
            <w:shd w:val="clear" w:color="000000" w:fill="D9D9D9"/>
            <w:vAlign w:val="center"/>
            <w:hideMark/>
          </w:tcPr>
          <w:p w14:paraId="2B94B087" w14:textId="77777777" w:rsidR="00B238BD" w:rsidRPr="006F29FC" w:rsidRDefault="00B238BD" w:rsidP="001F21DF">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Ret.</w:t>
            </w:r>
          </w:p>
        </w:tc>
        <w:tc>
          <w:tcPr>
            <w:tcW w:w="1029" w:type="dxa"/>
            <w:tcBorders>
              <w:top w:val="single" w:sz="4" w:space="0" w:color="auto"/>
              <w:left w:val="nil"/>
              <w:bottom w:val="single" w:sz="4" w:space="0" w:color="auto"/>
              <w:right w:val="single" w:sz="4" w:space="0" w:color="auto"/>
            </w:tcBorders>
            <w:shd w:val="clear" w:color="000000" w:fill="D9D9D9"/>
            <w:vAlign w:val="center"/>
            <w:hideMark/>
          </w:tcPr>
          <w:p w14:paraId="0244F4ED" w14:textId="77777777" w:rsidR="00B238BD" w:rsidRPr="006F29FC" w:rsidRDefault="00B238BD" w:rsidP="001F21DF">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GB as on 31.03.</w:t>
            </w:r>
          </w:p>
          <w:p w14:paraId="2A74DF52" w14:textId="77777777" w:rsidR="00B238BD" w:rsidRPr="006F29FC" w:rsidRDefault="00B238BD" w:rsidP="001F21DF">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24</w:t>
            </w:r>
          </w:p>
        </w:tc>
        <w:tc>
          <w:tcPr>
            <w:tcW w:w="670" w:type="dxa"/>
            <w:tcBorders>
              <w:top w:val="single" w:sz="4" w:space="0" w:color="auto"/>
              <w:left w:val="nil"/>
              <w:bottom w:val="single" w:sz="4" w:space="0" w:color="auto"/>
              <w:right w:val="single" w:sz="4" w:space="0" w:color="auto"/>
            </w:tcBorders>
            <w:shd w:val="clear" w:color="000000" w:fill="D9D9D9"/>
            <w:vAlign w:val="center"/>
            <w:hideMark/>
          </w:tcPr>
          <w:p w14:paraId="60A8219C" w14:textId="77777777" w:rsidR="00B238BD" w:rsidRPr="006F29FC" w:rsidRDefault="00B238BD" w:rsidP="001F21DF">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Add.</w:t>
            </w:r>
          </w:p>
        </w:tc>
        <w:tc>
          <w:tcPr>
            <w:tcW w:w="851" w:type="dxa"/>
            <w:tcBorders>
              <w:top w:val="single" w:sz="4" w:space="0" w:color="auto"/>
              <w:left w:val="nil"/>
              <w:bottom w:val="single" w:sz="4" w:space="0" w:color="auto"/>
              <w:right w:val="single" w:sz="4" w:space="0" w:color="auto"/>
            </w:tcBorders>
            <w:shd w:val="clear" w:color="000000" w:fill="D9D9D9"/>
            <w:vAlign w:val="center"/>
            <w:hideMark/>
          </w:tcPr>
          <w:p w14:paraId="2D1E3FD4" w14:textId="77777777" w:rsidR="00B238BD" w:rsidRPr="006F29FC" w:rsidRDefault="00B238BD" w:rsidP="001F21DF">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Ret.</w:t>
            </w:r>
          </w:p>
        </w:tc>
        <w:tc>
          <w:tcPr>
            <w:tcW w:w="1029" w:type="dxa"/>
            <w:tcBorders>
              <w:top w:val="single" w:sz="4" w:space="0" w:color="auto"/>
              <w:left w:val="nil"/>
              <w:bottom w:val="single" w:sz="4" w:space="0" w:color="auto"/>
              <w:right w:val="single" w:sz="4" w:space="0" w:color="auto"/>
            </w:tcBorders>
            <w:shd w:val="clear" w:color="000000" w:fill="D9D9D9"/>
            <w:vAlign w:val="center"/>
            <w:hideMark/>
          </w:tcPr>
          <w:p w14:paraId="7C837FE7" w14:textId="77777777" w:rsidR="00B238BD" w:rsidRPr="006F29FC" w:rsidRDefault="00B238BD" w:rsidP="001F21DF">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GB as on 31.03.</w:t>
            </w:r>
          </w:p>
          <w:p w14:paraId="5BCEC397" w14:textId="77777777" w:rsidR="00B238BD" w:rsidRPr="006F29FC" w:rsidRDefault="00B238BD" w:rsidP="001F21DF">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25</w:t>
            </w:r>
          </w:p>
        </w:tc>
      </w:tr>
      <w:tr w:rsidR="002E7B3E" w:rsidRPr="006F29FC" w14:paraId="144F7C55" w14:textId="77777777" w:rsidTr="002E7B3E">
        <w:trPr>
          <w:gridAfter w:val="1"/>
          <w:wAfter w:w="15" w:type="dxa"/>
          <w:trHeight w:val="285"/>
        </w:trPr>
        <w:tc>
          <w:tcPr>
            <w:tcW w:w="424" w:type="dxa"/>
            <w:tcBorders>
              <w:top w:val="nil"/>
              <w:left w:val="single" w:sz="4" w:space="0" w:color="auto"/>
              <w:bottom w:val="single" w:sz="4" w:space="0" w:color="auto"/>
              <w:right w:val="single" w:sz="4" w:space="0" w:color="auto"/>
            </w:tcBorders>
            <w:noWrap/>
            <w:vAlign w:val="center"/>
            <w:hideMark/>
          </w:tcPr>
          <w:p w14:paraId="77F2B79A" w14:textId="77777777" w:rsidR="002E7B3E" w:rsidRPr="006F29FC" w:rsidRDefault="002E7B3E" w:rsidP="002E7B3E">
            <w:pPr>
              <w:contextualSpacing/>
              <w:jc w:val="center"/>
              <w:rPr>
                <w:rFonts w:asciiTheme="majorHAnsi" w:hAnsiTheme="majorHAnsi"/>
                <w:color w:val="000000"/>
                <w:sz w:val="16"/>
                <w:szCs w:val="16"/>
              </w:rPr>
            </w:pPr>
            <w:r w:rsidRPr="006F29FC">
              <w:rPr>
                <w:rFonts w:asciiTheme="majorHAnsi" w:hAnsiTheme="majorHAnsi"/>
                <w:color w:val="000000"/>
                <w:sz w:val="16"/>
                <w:szCs w:val="16"/>
              </w:rPr>
              <w:t>1</w:t>
            </w:r>
          </w:p>
        </w:tc>
        <w:tc>
          <w:tcPr>
            <w:tcW w:w="1638" w:type="dxa"/>
            <w:tcBorders>
              <w:top w:val="nil"/>
              <w:left w:val="nil"/>
              <w:bottom w:val="single" w:sz="4" w:space="0" w:color="auto"/>
              <w:right w:val="single" w:sz="4" w:space="0" w:color="auto"/>
            </w:tcBorders>
            <w:noWrap/>
            <w:vAlign w:val="center"/>
            <w:hideMark/>
          </w:tcPr>
          <w:p w14:paraId="357A8FE6" w14:textId="77777777" w:rsidR="002E7B3E" w:rsidRPr="006F29FC" w:rsidRDefault="002E7B3E" w:rsidP="002E7B3E">
            <w:pPr>
              <w:contextualSpacing/>
              <w:rPr>
                <w:rFonts w:asciiTheme="majorHAnsi" w:hAnsiTheme="majorHAnsi"/>
                <w:color w:val="000000"/>
                <w:sz w:val="16"/>
                <w:szCs w:val="16"/>
              </w:rPr>
            </w:pPr>
            <w:r w:rsidRPr="006F29FC">
              <w:rPr>
                <w:rFonts w:asciiTheme="majorHAnsi" w:hAnsiTheme="majorHAnsi"/>
                <w:color w:val="000000"/>
                <w:sz w:val="16"/>
                <w:szCs w:val="16"/>
              </w:rPr>
              <w:t>Buildings</w:t>
            </w:r>
          </w:p>
        </w:tc>
        <w:tc>
          <w:tcPr>
            <w:tcW w:w="916" w:type="dxa"/>
            <w:tcBorders>
              <w:top w:val="nil"/>
              <w:left w:val="nil"/>
              <w:bottom w:val="single" w:sz="4" w:space="0" w:color="auto"/>
              <w:right w:val="single" w:sz="4" w:space="0" w:color="auto"/>
            </w:tcBorders>
            <w:noWrap/>
            <w:vAlign w:val="center"/>
            <w:hideMark/>
          </w:tcPr>
          <w:p w14:paraId="39EF3542" w14:textId="12090DC7"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16.02</w:t>
            </w:r>
          </w:p>
        </w:tc>
        <w:tc>
          <w:tcPr>
            <w:tcW w:w="731" w:type="dxa"/>
            <w:tcBorders>
              <w:top w:val="nil"/>
              <w:left w:val="nil"/>
              <w:bottom w:val="single" w:sz="4" w:space="0" w:color="auto"/>
              <w:right w:val="single" w:sz="4" w:space="0" w:color="auto"/>
            </w:tcBorders>
            <w:noWrap/>
            <w:vAlign w:val="center"/>
            <w:hideMark/>
          </w:tcPr>
          <w:p w14:paraId="28DB027D" w14:textId="5259F0E5"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599" w:type="dxa"/>
            <w:tcBorders>
              <w:top w:val="nil"/>
              <w:left w:val="nil"/>
              <w:bottom w:val="single" w:sz="4" w:space="0" w:color="auto"/>
              <w:right w:val="single" w:sz="4" w:space="0" w:color="auto"/>
            </w:tcBorders>
            <w:noWrap/>
            <w:vAlign w:val="center"/>
            <w:hideMark/>
          </w:tcPr>
          <w:p w14:paraId="74FB4342" w14:textId="1C31CD04"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912" w:type="dxa"/>
            <w:tcBorders>
              <w:top w:val="nil"/>
              <w:left w:val="nil"/>
              <w:bottom w:val="single" w:sz="4" w:space="0" w:color="auto"/>
              <w:right w:val="single" w:sz="4" w:space="0" w:color="auto"/>
            </w:tcBorders>
            <w:noWrap/>
            <w:vAlign w:val="center"/>
            <w:hideMark/>
          </w:tcPr>
          <w:p w14:paraId="6650309D" w14:textId="45666E9D"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16.02</w:t>
            </w:r>
          </w:p>
        </w:tc>
        <w:tc>
          <w:tcPr>
            <w:tcW w:w="825" w:type="dxa"/>
            <w:tcBorders>
              <w:top w:val="nil"/>
              <w:left w:val="nil"/>
              <w:bottom w:val="single" w:sz="4" w:space="0" w:color="auto"/>
              <w:right w:val="single" w:sz="4" w:space="0" w:color="auto"/>
            </w:tcBorders>
            <w:noWrap/>
            <w:vAlign w:val="center"/>
            <w:hideMark/>
          </w:tcPr>
          <w:p w14:paraId="2D65D7C5" w14:textId="0A30F91B"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620" w:type="dxa"/>
            <w:tcBorders>
              <w:top w:val="nil"/>
              <w:left w:val="nil"/>
              <w:bottom w:val="single" w:sz="4" w:space="0" w:color="auto"/>
              <w:right w:val="single" w:sz="4" w:space="0" w:color="auto"/>
            </w:tcBorders>
            <w:noWrap/>
            <w:vAlign w:val="center"/>
            <w:hideMark/>
          </w:tcPr>
          <w:p w14:paraId="37136726" w14:textId="5BA1A842"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1029" w:type="dxa"/>
            <w:tcBorders>
              <w:top w:val="nil"/>
              <w:left w:val="nil"/>
              <w:bottom w:val="single" w:sz="4" w:space="0" w:color="auto"/>
              <w:right w:val="single" w:sz="4" w:space="0" w:color="auto"/>
            </w:tcBorders>
            <w:noWrap/>
            <w:vAlign w:val="center"/>
            <w:hideMark/>
          </w:tcPr>
          <w:p w14:paraId="7E68FAB0" w14:textId="798245C7"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16.02</w:t>
            </w:r>
          </w:p>
        </w:tc>
        <w:tc>
          <w:tcPr>
            <w:tcW w:w="670" w:type="dxa"/>
            <w:tcBorders>
              <w:top w:val="nil"/>
              <w:left w:val="nil"/>
              <w:bottom w:val="single" w:sz="4" w:space="0" w:color="auto"/>
              <w:right w:val="single" w:sz="4" w:space="0" w:color="auto"/>
            </w:tcBorders>
            <w:noWrap/>
            <w:vAlign w:val="center"/>
            <w:hideMark/>
          </w:tcPr>
          <w:p w14:paraId="1C6622A2" w14:textId="15BBE765" w:rsidR="002E7B3E" w:rsidRPr="002E7B3E" w:rsidRDefault="002E7B3E" w:rsidP="002E7B3E">
            <w:pPr>
              <w:contextualSpacing/>
              <w:jc w:val="center"/>
              <w:rPr>
                <w:rFonts w:asciiTheme="majorHAnsi" w:hAnsiTheme="majorHAnsi"/>
                <w:color w:val="000000"/>
                <w:sz w:val="16"/>
                <w:szCs w:val="16"/>
              </w:rPr>
            </w:pPr>
          </w:p>
        </w:tc>
        <w:tc>
          <w:tcPr>
            <w:tcW w:w="851" w:type="dxa"/>
            <w:tcBorders>
              <w:top w:val="nil"/>
              <w:left w:val="nil"/>
              <w:bottom w:val="single" w:sz="4" w:space="0" w:color="auto"/>
              <w:right w:val="single" w:sz="4" w:space="0" w:color="auto"/>
            </w:tcBorders>
            <w:noWrap/>
            <w:vAlign w:val="center"/>
            <w:hideMark/>
          </w:tcPr>
          <w:p w14:paraId="154B5B86" w14:textId="64A8CA28" w:rsidR="002E7B3E" w:rsidRPr="002E7B3E" w:rsidRDefault="002E7B3E" w:rsidP="002E7B3E">
            <w:pPr>
              <w:contextualSpacing/>
              <w:jc w:val="center"/>
              <w:rPr>
                <w:rFonts w:asciiTheme="majorHAnsi" w:hAnsiTheme="majorHAnsi"/>
                <w:color w:val="000000"/>
                <w:sz w:val="16"/>
                <w:szCs w:val="16"/>
              </w:rPr>
            </w:pPr>
          </w:p>
        </w:tc>
        <w:tc>
          <w:tcPr>
            <w:tcW w:w="1029" w:type="dxa"/>
            <w:tcBorders>
              <w:top w:val="nil"/>
              <w:left w:val="nil"/>
              <w:bottom w:val="single" w:sz="4" w:space="0" w:color="auto"/>
              <w:right w:val="single" w:sz="4" w:space="0" w:color="auto"/>
            </w:tcBorders>
            <w:noWrap/>
            <w:vAlign w:val="center"/>
            <w:hideMark/>
          </w:tcPr>
          <w:p w14:paraId="0702DFC7" w14:textId="1C079985"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16.02</w:t>
            </w:r>
          </w:p>
        </w:tc>
      </w:tr>
      <w:tr w:rsidR="002E7B3E" w:rsidRPr="006F29FC" w14:paraId="71198096" w14:textId="77777777" w:rsidTr="002E7B3E">
        <w:trPr>
          <w:gridAfter w:val="1"/>
          <w:wAfter w:w="15" w:type="dxa"/>
          <w:trHeight w:val="285"/>
        </w:trPr>
        <w:tc>
          <w:tcPr>
            <w:tcW w:w="424" w:type="dxa"/>
            <w:tcBorders>
              <w:top w:val="nil"/>
              <w:left w:val="single" w:sz="4" w:space="0" w:color="auto"/>
              <w:bottom w:val="single" w:sz="4" w:space="0" w:color="auto"/>
              <w:right w:val="single" w:sz="4" w:space="0" w:color="auto"/>
            </w:tcBorders>
            <w:noWrap/>
            <w:vAlign w:val="center"/>
            <w:hideMark/>
          </w:tcPr>
          <w:p w14:paraId="486194B5" w14:textId="77777777" w:rsidR="002E7B3E" w:rsidRPr="006F29FC" w:rsidRDefault="002E7B3E" w:rsidP="002E7B3E">
            <w:pPr>
              <w:contextualSpacing/>
              <w:jc w:val="center"/>
              <w:rPr>
                <w:rFonts w:asciiTheme="majorHAnsi" w:hAnsiTheme="majorHAnsi"/>
                <w:color w:val="000000"/>
                <w:sz w:val="16"/>
                <w:szCs w:val="16"/>
              </w:rPr>
            </w:pPr>
            <w:r w:rsidRPr="006F29FC">
              <w:rPr>
                <w:rFonts w:asciiTheme="majorHAnsi" w:hAnsiTheme="majorHAnsi"/>
                <w:color w:val="000000"/>
                <w:sz w:val="16"/>
                <w:szCs w:val="16"/>
              </w:rPr>
              <w:t>2</w:t>
            </w:r>
          </w:p>
        </w:tc>
        <w:tc>
          <w:tcPr>
            <w:tcW w:w="1638" w:type="dxa"/>
            <w:tcBorders>
              <w:top w:val="nil"/>
              <w:left w:val="nil"/>
              <w:bottom w:val="single" w:sz="4" w:space="0" w:color="auto"/>
              <w:right w:val="single" w:sz="4" w:space="0" w:color="auto"/>
            </w:tcBorders>
            <w:noWrap/>
            <w:vAlign w:val="center"/>
            <w:hideMark/>
          </w:tcPr>
          <w:p w14:paraId="6292B6B3" w14:textId="77777777" w:rsidR="002E7B3E" w:rsidRPr="006F29FC" w:rsidRDefault="002E7B3E" w:rsidP="002E7B3E">
            <w:pPr>
              <w:contextualSpacing/>
              <w:rPr>
                <w:rFonts w:asciiTheme="majorHAnsi" w:hAnsiTheme="majorHAnsi"/>
                <w:color w:val="000000"/>
                <w:sz w:val="16"/>
                <w:szCs w:val="16"/>
              </w:rPr>
            </w:pPr>
            <w:r w:rsidRPr="006F29FC">
              <w:rPr>
                <w:rFonts w:asciiTheme="majorHAnsi" w:hAnsiTheme="majorHAnsi"/>
                <w:color w:val="000000"/>
                <w:sz w:val="16"/>
                <w:szCs w:val="16"/>
              </w:rPr>
              <w:t>Lines, Cables &amp; Network Assets</w:t>
            </w:r>
          </w:p>
        </w:tc>
        <w:tc>
          <w:tcPr>
            <w:tcW w:w="916" w:type="dxa"/>
            <w:tcBorders>
              <w:top w:val="nil"/>
              <w:left w:val="nil"/>
              <w:bottom w:val="single" w:sz="4" w:space="0" w:color="auto"/>
              <w:right w:val="single" w:sz="4" w:space="0" w:color="auto"/>
            </w:tcBorders>
            <w:noWrap/>
            <w:vAlign w:val="center"/>
            <w:hideMark/>
          </w:tcPr>
          <w:p w14:paraId="3177CDCA" w14:textId="12174416"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1,937.33</w:t>
            </w:r>
          </w:p>
        </w:tc>
        <w:tc>
          <w:tcPr>
            <w:tcW w:w="731" w:type="dxa"/>
            <w:tcBorders>
              <w:top w:val="nil"/>
              <w:left w:val="nil"/>
              <w:bottom w:val="single" w:sz="4" w:space="0" w:color="auto"/>
              <w:right w:val="single" w:sz="4" w:space="0" w:color="auto"/>
            </w:tcBorders>
            <w:noWrap/>
            <w:vAlign w:val="center"/>
            <w:hideMark/>
          </w:tcPr>
          <w:p w14:paraId="5C1E9346" w14:textId="219BBA97" w:rsidR="002E7B3E" w:rsidRPr="002E7B3E" w:rsidRDefault="002E7B3E" w:rsidP="002E7B3E">
            <w:pPr>
              <w:contextualSpacing/>
              <w:jc w:val="center"/>
              <w:rPr>
                <w:rFonts w:asciiTheme="majorHAnsi" w:hAnsiTheme="majorHAnsi"/>
                <w:color w:val="000000"/>
                <w:sz w:val="16"/>
                <w:szCs w:val="16"/>
              </w:rPr>
            </w:pPr>
          </w:p>
        </w:tc>
        <w:tc>
          <w:tcPr>
            <w:tcW w:w="599" w:type="dxa"/>
            <w:tcBorders>
              <w:top w:val="nil"/>
              <w:left w:val="nil"/>
              <w:bottom w:val="single" w:sz="4" w:space="0" w:color="auto"/>
              <w:right w:val="single" w:sz="4" w:space="0" w:color="auto"/>
            </w:tcBorders>
            <w:noWrap/>
            <w:vAlign w:val="center"/>
            <w:hideMark/>
          </w:tcPr>
          <w:p w14:paraId="1C04DCEB" w14:textId="573D59B4"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1.91</w:t>
            </w:r>
          </w:p>
        </w:tc>
        <w:tc>
          <w:tcPr>
            <w:tcW w:w="912" w:type="dxa"/>
            <w:tcBorders>
              <w:top w:val="nil"/>
              <w:left w:val="nil"/>
              <w:bottom w:val="single" w:sz="4" w:space="0" w:color="auto"/>
              <w:right w:val="single" w:sz="4" w:space="0" w:color="auto"/>
            </w:tcBorders>
            <w:noWrap/>
            <w:vAlign w:val="center"/>
            <w:hideMark/>
          </w:tcPr>
          <w:p w14:paraId="019BD9D9" w14:textId="165707B9"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1,935.43</w:t>
            </w:r>
          </w:p>
        </w:tc>
        <w:tc>
          <w:tcPr>
            <w:tcW w:w="825" w:type="dxa"/>
            <w:tcBorders>
              <w:top w:val="nil"/>
              <w:left w:val="nil"/>
              <w:bottom w:val="single" w:sz="4" w:space="0" w:color="auto"/>
              <w:right w:val="single" w:sz="4" w:space="0" w:color="auto"/>
            </w:tcBorders>
            <w:noWrap/>
            <w:vAlign w:val="center"/>
            <w:hideMark/>
          </w:tcPr>
          <w:p w14:paraId="53010F54" w14:textId="7FE45DA2"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620" w:type="dxa"/>
            <w:tcBorders>
              <w:top w:val="nil"/>
              <w:left w:val="nil"/>
              <w:bottom w:val="single" w:sz="4" w:space="0" w:color="auto"/>
              <w:right w:val="single" w:sz="4" w:space="0" w:color="auto"/>
            </w:tcBorders>
            <w:noWrap/>
            <w:vAlign w:val="center"/>
            <w:hideMark/>
          </w:tcPr>
          <w:p w14:paraId="6AB5FDE1" w14:textId="679529C2"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2.54</w:t>
            </w:r>
          </w:p>
        </w:tc>
        <w:tc>
          <w:tcPr>
            <w:tcW w:w="1029" w:type="dxa"/>
            <w:tcBorders>
              <w:top w:val="nil"/>
              <w:left w:val="nil"/>
              <w:bottom w:val="single" w:sz="4" w:space="0" w:color="auto"/>
              <w:right w:val="single" w:sz="4" w:space="0" w:color="auto"/>
            </w:tcBorders>
            <w:noWrap/>
            <w:vAlign w:val="center"/>
            <w:hideMark/>
          </w:tcPr>
          <w:p w14:paraId="62D98969" w14:textId="42722066"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1,932.89</w:t>
            </w:r>
          </w:p>
        </w:tc>
        <w:tc>
          <w:tcPr>
            <w:tcW w:w="670" w:type="dxa"/>
            <w:tcBorders>
              <w:top w:val="nil"/>
              <w:left w:val="nil"/>
              <w:bottom w:val="single" w:sz="4" w:space="0" w:color="auto"/>
              <w:right w:val="single" w:sz="4" w:space="0" w:color="auto"/>
            </w:tcBorders>
            <w:noWrap/>
            <w:vAlign w:val="center"/>
            <w:hideMark/>
          </w:tcPr>
          <w:p w14:paraId="4E7977D5" w14:textId="2F51D2EE" w:rsidR="002E7B3E" w:rsidRPr="002E7B3E" w:rsidRDefault="002E7B3E" w:rsidP="002E7B3E">
            <w:pPr>
              <w:contextualSpacing/>
              <w:jc w:val="center"/>
              <w:rPr>
                <w:rFonts w:asciiTheme="majorHAnsi" w:hAnsiTheme="majorHAnsi"/>
                <w:color w:val="000000"/>
                <w:sz w:val="16"/>
                <w:szCs w:val="16"/>
              </w:rPr>
            </w:pPr>
          </w:p>
        </w:tc>
        <w:tc>
          <w:tcPr>
            <w:tcW w:w="851" w:type="dxa"/>
            <w:tcBorders>
              <w:top w:val="nil"/>
              <w:left w:val="nil"/>
              <w:bottom w:val="single" w:sz="4" w:space="0" w:color="auto"/>
              <w:right w:val="single" w:sz="4" w:space="0" w:color="auto"/>
            </w:tcBorders>
            <w:noWrap/>
            <w:vAlign w:val="center"/>
            <w:hideMark/>
          </w:tcPr>
          <w:p w14:paraId="24F6F56E" w14:textId="6AA12846"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19.90</w:t>
            </w:r>
          </w:p>
        </w:tc>
        <w:tc>
          <w:tcPr>
            <w:tcW w:w="1029" w:type="dxa"/>
            <w:tcBorders>
              <w:top w:val="nil"/>
              <w:left w:val="nil"/>
              <w:bottom w:val="single" w:sz="4" w:space="0" w:color="auto"/>
              <w:right w:val="single" w:sz="4" w:space="0" w:color="auto"/>
            </w:tcBorders>
            <w:noWrap/>
            <w:vAlign w:val="center"/>
            <w:hideMark/>
          </w:tcPr>
          <w:p w14:paraId="313248A4" w14:textId="7915777D"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1,912.99</w:t>
            </w:r>
          </w:p>
        </w:tc>
      </w:tr>
      <w:tr w:rsidR="002E7B3E" w:rsidRPr="006F29FC" w14:paraId="13DC0511" w14:textId="77777777" w:rsidTr="002E7B3E">
        <w:trPr>
          <w:gridAfter w:val="1"/>
          <w:wAfter w:w="15" w:type="dxa"/>
          <w:trHeight w:val="285"/>
        </w:trPr>
        <w:tc>
          <w:tcPr>
            <w:tcW w:w="424" w:type="dxa"/>
            <w:tcBorders>
              <w:top w:val="nil"/>
              <w:left w:val="single" w:sz="4" w:space="0" w:color="auto"/>
              <w:bottom w:val="single" w:sz="4" w:space="0" w:color="auto"/>
              <w:right w:val="single" w:sz="4" w:space="0" w:color="auto"/>
            </w:tcBorders>
            <w:noWrap/>
            <w:vAlign w:val="center"/>
            <w:hideMark/>
          </w:tcPr>
          <w:p w14:paraId="7A66DF7E" w14:textId="77777777" w:rsidR="002E7B3E" w:rsidRPr="006F29FC" w:rsidRDefault="002E7B3E" w:rsidP="002E7B3E">
            <w:pPr>
              <w:contextualSpacing/>
              <w:jc w:val="center"/>
              <w:rPr>
                <w:rFonts w:asciiTheme="majorHAnsi" w:hAnsiTheme="majorHAnsi"/>
                <w:color w:val="000000"/>
                <w:sz w:val="16"/>
                <w:szCs w:val="16"/>
              </w:rPr>
            </w:pPr>
            <w:r w:rsidRPr="006F29FC">
              <w:rPr>
                <w:rFonts w:asciiTheme="majorHAnsi" w:hAnsiTheme="majorHAnsi"/>
                <w:color w:val="000000"/>
                <w:sz w:val="16"/>
                <w:szCs w:val="16"/>
              </w:rPr>
              <w:t>3</w:t>
            </w:r>
          </w:p>
        </w:tc>
        <w:tc>
          <w:tcPr>
            <w:tcW w:w="1638" w:type="dxa"/>
            <w:tcBorders>
              <w:top w:val="nil"/>
              <w:left w:val="nil"/>
              <w:bottom w:val="single" w:sz="4" w:space="0" w:color="auto"/>
              <w:right w:val="single" w:sz="4" w:space="0" w:color="auto"/>
            </w:tcBorders>
            <w:noWrap/>
            <w:vAlign w:val="center"/>
            <w:hideMark/>
          </w:tcPr>
          <w:p w14:paraId="5798DF48" w14:textId="77777777" w:rsidR="002E7B3E" w:rsidRPr="006F29FC" w:rsidRDefault="002E7B3E" w:rsidP="002E7B3E">
            <w:pPr>
              <w:contextualSpacing/>
              <w:rPr>
                <w:rFonts w:asciiTheme="majorHAnsi" w:hAnsiTheme="majorHAnsi"/>
                <w:color w:val="000000"/>
                <w:sz w:val="16"/>
                <w:szCs w:val="16"/>
              </w:rPr>
            </w:pPr>
            <w:r w:rsidRPr="006F29FC">
              <w:rPr>
                <w:rFonts w:asciiTheme="majorHAnsi" w:hAnsiTheme="majorHAnsi"/>
                <w:color w:val="000000"/>
                <w:sz w:val="16"/>
                <w:szCs w:val="16"/>
              </w:rPr>
              <w:t>Meters</w:t>
            </w:r>
          </w:p>
        </w:tc>
        <w:tc>
          <w:tcPr>
            <w:tcW w:w="916" w:type="dxa"/>
            <w:tcBorders>
              <w:top w:val="nil"/>
              <w:left w:val="nil"/>
              <w:bottom w:val="single" w:sz="4" w:space="0" w:color="auto"/>
              <w:right w:val="single" w:sz="4" w:space="0" w:color="auto"/>
            </w:tcBorders>
            <w:noWrap/>
            <w:vAlign w:val="center"/>
            <w:hideMark/>
          </w:tcPr>
          <w:p w14:paraId="1EBAA666" w14:textId="5CC711F0"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731" w:type="dxa"/>
            <w:tcBorders>
              <w:top w:val="nil"/>
              <w:left w:val="nil"/>
              <w:bottom w:val="single" w:sz="4" w:space="0" w:color="auto"/>
              <w:right w:val="single" w:sz="4" w:space="0" w:color="auto"/>
            </w:tcBorders>
            <w:noWrap/>
            <w:vAlign w:val="center"/>
            <w:hideMark/>
          </w:tcPr>
          <w:p w14:paraId="798E5757" w14:textId="3DD953FA"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599" w:type="dxa"/>
            <w:tcBorders>
              <w:top w:val="nil"/>
              <w:left w:val="nil"/>
              <w:bottom w:val="single" w:sz="4" w:space="0" w:color="auto"/>
              <w:right w:val="single" w:sz="4" w:space="0" w:color="auto"/>
            </w:tcBorders>
            <w:noWrap/>
            <w:vAlign w:val="center"/>
            <w:hideMark/>
          </w:tcPr>
          <w:p w14:paraId="64B99EF6" w14:textId="62C0855E"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912" w:type="dxa"/>
            <w:tcBorders>
              <w:top w:val="nil"/>
              <w:left w:val="nil"/>
              <w:bottom w:val="single" w:sz="4" w:space="0" w:color="auto"/>
              <w:right w:val="single" w:sz="4" w:space="0" w:color="auto"/>
            </w:tcBorders>
            <w:noWrap/>
            <w:vAlign w:val="center"/>
            <w:hideMark/>
          </w:tcPr>
          <w:p w14:paraId="40143509" w14:textId="5C10C196"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825" w:type="dxa"/>
            <w:tcBorders>
              <w:top w:val="nil"/>
              <w:left w:val="nil"/>
              <w:bottom w:val="single" w:sz="4" w:space="0" w:color="auto"/>
              <w:right w:val="single" w:sz="4" w:space="0" w:color="auto"/>
            </w:tcBorders>
            <w:noWrap/>
            <w:vAlign w:val="center"/>
            <w:hideMark/>
          </w:tcPr>
          <w:p w14:paraId="624362CC" w14:textId="5E53214C"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620" w:type="dxa"/>
            <w:tcBorders>
              <w:top w:val="nil"/>
              <w:left w:val="nil"/>
              <w:bottom w:val="single" w:sz="4" w:space="0" w:color="auto"/>
              <w:right w:val="single" w:sz="4" w:space="0" w:color="auto"/>
            </w:tcBorders>
            <w:noWrap/>
            <w:vAlign w:val="center"/>
            <w:hideMark/>
          </w:tcPr>
          <w:p w14:paraId="4E3225B8" w14:textId="1AA7736D"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1029" w:type="dxa"/>
            <w:tcBorders>
              <w:top w:val="nil"/>
              <w:left w:val="nil"/>
              <w:bottom w:val="single" w:sz="4" w:space="0" w:color="auto"/>
              <w:right w:val="single" w:sz="4" w:space="0" w:color="auto"/>
            </w:tcBorders>
            <w:noWrap/>
            <w:vAlign w:val="center"/>
            <w:hideMark/>
          </w:tcPr>
          <w:p w14:paraId="74DDD61D" w14:textId="1E4F5AB5"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670" w:type="dxa"/>
            <w:tcBorders>
              <w:top w:val="nil"/>
              <w:left w:val="nil"/>
              <w:bottom w:val="single" w:sz="4" w:space="0" w:color="auto"/>
              <w:right w:val="single" w:sz="4" w:space="0" w:color="auto"/>
            </w:tcBorders>
            <w:noWrap/>
            <w:vAlign w:val="center"/>
            <w:hideMark/>
          </w:tcPr>
          <w:p w14:paraId="7D6C014E" w14:textId="655788E6" w:rsidR="002E7B3E" w:rsidRPr="002E7B3E" w:rsidRDefault="002E7B3E" w:rsidP="002E7B3E">
            <w:pPr>
              <w:contextualSpacing/>
              <w:jc w:val="center"/>
              <w:rPr>
                <w:rFonts w:asciiTheme="majorHAnsi" w:hAnsiTheme="majorHAnsi"/>
                <w:color w:val="000000"/>
                <w:sz w:val="16"/>
                <w:szCs w:val="16"/>
              </w:rPr>
            </w:pPr>
          </w:p>
        </w:tc>
        <w:tc>
          <w:tcPr>
            <w:tcW w:w="851" w:type="dxa"/>
            <w:tcBorders>
              <w:top w:val="nil"/>
              <w:left w:val="nil"/>
              <w:bottom w:val="single" w:sz="4" w:space="0" w:color="auto"/>
              <w:right w:val="single" w:sz="4" w:space="0" w:color="auto"/>
            </w:tcBorders>
            <w:noWrap/>
            <w:vAlign w:val="center"/>
            <w:hideMark/>
          </w:tcPr>
          <w:p w14:paraId="337B0765" w14:textId="6A2BD3C4" w:rsidR="002E7B3E" w:rsidRPr="002E7B3E" w:rsidRDefault="002E7B3E" w:rsidP="002E7B3E">
            <w:pPr>
              <w:contextualSpacing/>
              <w:jc w:val="center"/>
              <w:rPr>
                <w:rFonts w:asciiTheme="majorHAnsi" w:hAnsiTheme="majorHAnsi"/>
                <w:color w:val="000000"/>
                <w:sz w:val="16"/>
                <w:szCs w:val="16"/>
              </w:rPr>
            </w:pPr>
          </w:p>
        </w:tc>
        <w:tc>
          <w:tcPr>
            <w:tcW w:w="1029" w:type="dxa"/>
            <w:tcBorders>
              <w:top w:val="nil"/>
              <w:left w:val="nil"/>
              <w:bottom w:val="single" w:sz="4" w:space="0" w:color="auto"/>
              <w:right w:val="single" w:sz="4" w:space="0" w:color="auto"/>
            </w:tcBorders>
            <w:noWrap/>
            <w:vAlign w:val="center"/>
            <w:hideMark/>
          </w:tcPr>
          <w:p w14:paraId="11D7837D" w14:textId="663547B0"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r>
      <w:tr w:rsidR="002E7B3E" w:rsidRPr="006F29FC" w14:paraId="394BFAB6" w14:textId="77777777" w:rsidTr="002E7B3E">
        <w:trPr>
          <w:gridAfter w:val="1"/>
          <w:wAfter w:w="15" w:type="dxa"/>
          <w:trHeight w:val="285"/>
        </w:trPr>
        <w:tc>
          <w:tcPr>
            <w:tcW w:w="424" w:type="dxa"/>
            <w:tcBorders>
              <w:top w:val="nil"/>
              <w:left w:val="single" w:sz="4" w:space="0" w:color="auto"/>
              <w:bottom w:val="single" w:sz="4" w:space="0" w:color="auto"/>
              <w:right w:val="single" w:sz="4" w:space="0" w:color="auto"/>
            </w:tcBorders>
            <w:noWrap/>
            <w:vAlign w:val="center"/>
            <w:hideMark/>
          </w:tcPr>
          <w:p w14:paraId="7ABB088E" w14:textId="77777777" w:rsidR="002E7B3E" w:rsidRPr="006F29FC" w:rsidRDefault="002E7B3E" w:rsidP="002E7B3E">
            <w:pPr>
              <w:contextualSpacing/>
              <w:jc w:val="center"/>
              <w:rPr>
                <w:rFonts w:asciiTheme="majorHAnsi" w:hAnsiTheme="majorHAnsi"/>
                <w:color w:val="000000"/>
                <w:sz w:val="16"/>
                <w:szCs w:val="16"/>
              </w:rPr>
            </w:pPr>
            <w:r w:rsidRPr="006F29FC">
              <w:rPr>
                <w:rFonts w:asciiTheme="majorHAnsi" w:hAnsiTheme="majorHAnsi"/>
                <w:color w:val="000000"/>
                <w:sz w:val="16"/>
                <w:szCs w:val="16"/>
              </w:rPr>
              <w:t>4</w:t>
            </w:r>
          </w:p>
        </w:tc>
        <w:tc>
          <w:tcPr>
            <w:tcW w:w="1638" w:type="dxa"/>
            <w:tcBorders>
              <w:top w:val="nil"/>
              <w:left w:val="nil"/>
              <w:bottom w:val="single" w:sz="4" w:space="0" w:color="auto"/>
              <w:right w:val="single" w:sz="4" w:space="0" w:color="auto"/>
            </w:tcBorders>
            <w:noWrap/>
            <w:vAlign w:val="center"/>
            <w:hideMark/>
          </w:tcPr>
          <w:p w14:paraId="7444364E" w14:textId="77777777" w:rsidR="002E7B3E" w:rsidRPr="006F29FC" w:rsidRDefault="002E7B3E" w:rsidP="002E7B3E">
            <w:pPr>
              <w:contextualSpacing/>
              <w:rPr>
                <w:rFonts w:asciiTheme="majorHAnsi" w:hAnsiTheme="majorHAnsi"/>
                <w:color w:val="000000"/>
                <w:sz w:val="16"/>
                <w:szCs w:val="16"/>
              </w:rPr>
            </w:pPr>
            <w:r w:rsidRPr="006F29FC">
              <w:rPr>
                <w:rFonts w:asciiTheme="majorHAnsi" w:hAnsiTheme="majorHAnsi"/>
                <w:color w:val="000000"/>
                <w:sz w:val="16"/>
                <w:szCs w:val="16"/>
              </w:rPr>
              <w:t>Vehicles</w:t>
            </w:r>
          </w:p>
        </w:tc>
        <w:tc>
          <w:tcPr>
            <w:tcW w:w="916" w:type="dxa"/>
            <w:tcBorders>
              <w:top w:val="nil"/>
              <w:left w:val="nil"/>
              <w:bottom w:val="single" w:sz="4" w:space="0" w:color="auto"/>
              <w:right w:val="single" w:sz="4" w:space="0" w:color="auto"/>
            </w:tcBorders>
            <w:noWrap/>
            <w:vAlign w:val="center"/>
            <w:hideMark/>
          </w:tcPr>
          <w:p w14:paraId="77E43EF3" w14:textId="59E66F0A"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0.48</w:t>
            </w:r>
          </w:p>
        </w:tc>
        <w:tc>
          <w:tcPr>
            <w:tcW w:w="731" w:type="dxa"/>
            <w:tcBorders>
              <w:top w:val="nil"/>
              <w:left w:val="nil"/>
              <w:bottom w:val="single" w:sz="4" w:space="0" w:color="auto"/>
              <w:right w:val="single" w:sz="4" w:space="0" w:color="auto"/>
            </w:tcBorders>
            <w:noWrap/>
            <w:vAlign w:val="center"/>
            <w:hideMark/>
          </w:tcPr>
          <w:p w14:paraId="0A4FF0C8" w14:textId="1ABB697B"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599" w:type="dxa"/>
            <w:tcBorders>
              <w:top w:val="nil"/>
              <w:left w:val="nil"/>
              <w:bottom w:val="single" w:sz="4" w:space="0" w:color="auto"/>
              <w:right w:val="single" w:sz="4" w:space="0" w:color="auto"/>
            </w:tcBorders>
            <w:noWrap/>
            <w:vAlign w:val="center"/>
            <w:hideMark/>
          </w:tcPr>
          <w:p w14:paraId="37D4EFEA" w14:textId="46D36DA6"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0.20</w:t>
            </w:r>
          </w:p>
        </w:tc>
        <w:tc>
          <w:tcPr>
            <w:tcW w:w="912" w:type="dxa"/>
            <w:tcBorders>
              <w:top w:val="nil"/>
              <w:left w:val="nil"/>
              <w:bottom w:val="single" w:sz="4" w:space="0" w:color="auto"/>
              <w:right w:val="single" w:sz="4" w:space="0" w:color="auto"/>
            </w:tcBorders>
            <w:noWrap/>
            <w:vAlign w:val="center"/>
            <w:hideMark/>
          </w:tcPr>
          <w:p w14:paraId="7F04B3E1" w14:textId="1A6BE6A1"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0.28</w:t>
            </w:r>
          </w:p>
        </w:tc>
        <w:tc>
          <w:tcPr>
            <w:tcW w:w="825" w:type="dxa"/>
            <w:tcBorders>
              <w:top w:val="nil"/>
              <w:left w:val="nil"/>
              <w:bottom w:val="single" w:sz="4" w:space="0" w:color="auto"/>
              <w:right w:val="single" w:sz="4" w:space="0" w:color="auto"/>
            </w:tcBorders>
            <w:noWrap/>
            <w:vAlign w:val="center"/>
            <w:hideMark/>
          </w:tcPr>
          <w:p w14:paraId="7275B0B4" w14:textId="7344318D"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620" w:type="dxa"/>
            <w:tcBorders>
              <w:top w:val="nil"/>
              <w:left w:val="nil"/>
              <w:bottom w:val="single" w:sz="4" w:space="0" w:color="auto"/>
              <w:right w:val="single" w:sz="4" w:space="0" w:color="auto"/>
            </w:tcBorders>
            <w:noWrap/>
            <w:vAlign w:val="center"/>
            <w:hideMark/>
          </w:tcPr>
          <w:p w14:paraId="2808CDDF" w14:textId="6D6BB100"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1029" w:type="dxa"/>
            <w:tcBorders>
              <w:top w:val="nil"/>
              <w:left w:val="nil"/>
              <w:bottom w:val="single" w:sz="4" w:space="0" w:color="auto"/>
              <w:right w:val="single" w:sz="4" w:space="0" w:color="auto"/>
            </w:tcBorders>
            <w:noWrap/>
            <w:vAlign w:val="center"/>
            <w:hideMark/>
          </w:tcPr>
          <w:p w14:paraId="74CEADD0" w14:textId="5425D6F3"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0.28</w:t>
            </w:r>
          </w:p>
        </w:tc>
        <w:tc>
          <w:tcPr>
            <w:tcW w:w="670" w:type="dxa"/>
            <w:tcBorders>
              <w:top w:val="nil"/>
              <w:left w:val="nil"/>
              <w:bottom w:val="single" w:sz="4" w:space="0" w:color="auto"/>
              <w:right w:val="single" w:sz="4" w:space="0" w:color="auto"/>
            </w:tcBorders>
            <w:noWrap/>
            <w:vAlign w:val="center"/>
            <w:hideMark/>
          </w:tcPr>
          <w:p w14:paraId="37EF018B" w14:textId="4AB4008B" w:rsidR="002E7B3E" w:rsidRPr="002E7B3E" w:rsidRDefault="002E7B3E" w:rsidP="002E7B3E">
            <w:pPr>
              <w:contextualSpacing/>
              <w:jc w:val="center"/>
              <w:rPr>
                <w:rFonts w:asciiTheme="majorHAnsi" w:hAnsiTheme="majorHAnsi"/>
                <w:color w:val="000000"/>
                <w:sz w:val="16"/>
                <w:szCs w:val="16"/>
              </w:rPr>
            </w:pPr>
          </w:p>
        </w:tc>
        <w:tc>
          <w:tcPr>
            <w:tcW w:w="851" w:type="dxa"/>
            <w:tcBorders>
              <w:top w:val="nil"/>
              <w:left w:val="nil"/>
              <w:bottom w:val="single" w:sz="4" w:space="0" w:color="auto"/>
              <w:right w:val="single" w:sz="4" w:space="0" w:color="auto"/>
            </w:tcBorders>
            <w:noWrap/>
            <w:vAlign w:val="center"/>
            <w:hideMark/>
          </w:tcPr>
          <w:p w14:paraId="671B0A6F" w14:textId="7685AD48" w:rsidR="002E7B3E" w:rsidRPr="002E7B3E" w:rsidRDefault="002E7B3E" w:rsidP="002E7B3E">
            <w:pPr>
              <w:contextualSpacing/>
              <w:jc w:val="center"/>
              <w:rPr>
                <w:rFonts w:asciiTheme="majorHAnsi" w:hAnsiTheme="majorHAnsi"/>
                <w:color w:val="000000"/>
                <w:sz w:val="16"/>
                <w:szCs w:val="16"/>
              </w:rPr>
            </w:pPr>
          </w:p>
        </w:tc>
        <w:tc>
          <w:tcPr>
            <w:tcW w:w="1029" w:type="dxa"/>
            <w:tcBorders>
              <w:top w:val="nil"/>
              <w:left w:val="nil"/>
              <w:bottom w:val="single" w:sz="4" w:space="0" w:color="auto"/>
              <w:right w:val="single" w:sz="4" w:space="0" w:color="auto"/>
            </w:tcBorders>
            <w:noWrap/>
            <w:vAlign w:val="center"/>
            <w:hideMark/>
          </w:tcPr>
          <w:p w14:paraId="136C3578" w14:textId="4ED021ED"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0.28</w:t>
            </w:r>
          </w:p>
        </w:tc>
      </w:tr>
      <w:tr w:rsidR="002E7B3E" w:rsidRPr="006F29FC" w14:paraId="3CCD1C5C" w14:textId="77777777" w:rsidTr="002E7B3E">
        <w:trPr>
          <w:gridAfter w:val="1"/>
          <w:wAfter w:w="15" w:type="dxa"/>
          <w:trHeight w:val="285"/>
        </w:trPr>
        <w:tc>
          <w:tcPr>
            <w:tcW w:w="424" w:type="dxa"/>
            <w:tcBorders>
              <w:top w:val="nil"/>
              <w:left w:val="single" w:sz="4" w:space="0" w:color="auto"/>
              <w:bottom w:val="single" w:sz="4" w:space="0" w:color="auto"/>
              <w:right w:val="single" w:sz="4" w:space="0" w:color="auto"/>
            </w:tcBorders>
            <w:noWrap/>
            <w:vAlign w:val="center"/>
            <w:hideMark/>
          </w:tcPr>
          <w:p w14:paraId="32DDE1D9" w14:textId="77777777" w:rsidR="002E7B3E" w:rsidRPr="006F29FC" w:rsidRDefault="002E7B3E" w:rsidP="002E7B3E">
            <w:pPr>
              <w:contextualSpacing/>
              <w:jc w:val="center"/>
              <w:rPr>
                <w:rFonts w:asciiTheme="majorHAnsi" w:hAnsiTheme="majorHAnsi"/>
                <w:color w:val="000000"/>
                <w:sz w:val="16"/>
                <w:szCs w:val="16"/>
              </w:rPr>
            </w:pPr>
            <w:r w:rsidRPr="006F29FC">
              <w:rPr>
                <w:rFonts w:asciiTheme="majorHAnsi" w:hAnsiTheme="majorHAnsi"/>
                <w:color w:val="000000"/>
                <w:sz w:val="16"/>
                <w:szCs w:val="16"/>
              </w:rPr>
              <w:t>5</w:t>
            </w:r>
          </w:p>
        </w:tc>
        <w:tc>
          <w:tcPr>
            <w:tcW w:w="1638" w:type="dxa"/>
            <w:tcBorders>
              <w:top w:val="nil"/>
              <w:left w:val="nil"/>
              <w:bottom w:val="single" w:sz="4" w:space="0" w:color="auto"/>
              <w:right w:val="single" w:sz="4" w:space="0" w:color="auto"/>
            </w:tcBorders>
            <w:noWrap/>
            <w:vAlign w:val="center"/>
            <w:hideMark/>
          </w:tcPr>
          <w:p w14:paraId="052E117C" w14:textId="77777777" w:rsidR="002E7B3E" w:rsidRPr="006F29FC" w:rsidRDefault="002E7B3E" w:rsidP="002E7B3E">
            <w:pPr>
              <w:contextualSpacing/>
              <w:rPr>
                <w:rFonts w:asciiTheme="majorHAnsi" w:hAnsiTheme="majorHAnsi"/>
                <w:color w:val="000000"/>
                <w:sz w:val="16"/>
                <w:szCs w:val="16"/>
              </w:rPr>
            </w:pPr>
            <w:r w:rsidRPr="006F29FC">
              <w:rPr>
                <w:rFonts w:asciiTheme="majorHAnsi" w:hAnsiTheme="majorHAnsi"/>
                <w:color w:val="000000"/>
                <w:sz w:val="16"/>
                <w:szCs w:val="16"/>
              </w:rPr>
              <w:t>Furniture &amp; Fixtures</w:t>
            </w:r>
          </w:p>
        </w:tc>
        <w:tc>
          <w:tcPr>
            <w:tcW w:w="916" w:type="dxa"/>
            <w:tcBorders>
              <w:top w:val="nil"/>
              <w:left w:val="nil"/>
              <w:bottom w:val="single" w:sz="4" w:space="0" w:color="auto"/>
              <w:right w:val="single" w:sz="4" w:space="0" w:color="auto"/>
            </w:tcBorders>
            <w:noWrap/>
            <w:vAlign w:val="center"/>
            <w:hideMark/>
          </w:tcPr>
          <w:p w14:paraId="536178BE" w14:textId="55908135"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2.02</w:t>
            </w:r>
          </w:p>
        </w:tc>
        <w:tc>
          <w:tcPr>
            <w:tcW w:w="731" w:type="dxa"/>
            <w:tcBorders>
              <w:top w:val="nil"/>
              <w:left w:val="nil"/>
              <w:bottom w:val="single" w:sz="4" w:space="0" w:color="auto"/>
              <w:right w:val="single" w:sz="4" w:space="0" w:color="auto"/>
            </w:tcBorders>
            <w:noWrap/>
            <w:vAlign w:val="center"/>
            <w:hideMark/>
          </w:tcPr>
          <w:p w14:paraId="5D6201CA" w14:textId="2427B5C1"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599" w:type="dxa"/>
            <w:tcBorders>
              <w:top w:val="nil"/>
              <w:left w:val="nil"/>
              <w:bottom w:val="single" w:sz="4" w:space="0" w:color="auto"/>
              <w:right w:val="single" w:sz="4" w:space="0" w:color="auto"/>
            </w:tcBorders>
            <w:noWrap/>
            <w:vAlign w:val="center"/>
            <w:hideMark/>
          </w:tcPr>
          <w:p w14:paraId="13EB8A63" w14:textId="6A281ECB"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912" w:type="dxa"/>
            <w:tcBorders>
              <w:top w:val="nil"/>
              <w:left w:val="nil"/>
              <w:bottom w:val="single" w:sz="4" w:space="0" w:color="auto"/>
              <w:right w:val="single" w:sz="4" w:space="0" w:color="auto"/>
            </w:tcBorders>
            <w:noWrap/>
            <w:vAlign w:val="center"/>
            <w:hideMark/>
          </w:tcPr>
          <w:p w14:paraId="4E28AFF0" w14:textId="459B67A8"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2.02</w:t>
            </w:r>
          </w:p>
        </w:tc>
        <w:tc>
          <w:tcPr>
            <w:tcW w:w="825" w:type="dxa"/>
            <w:tcBorders>
              <w:top w:val="nil"/>
              <w:left w:val="nil"/>
              <w:bottom w:val="single" w:sz="4" w:space="0" w:color="auto"/>
              <w:right w:val="single" w:sz="4" w:space="0" w:color="auto"/>
            </w:tcBorders>
            <w:noWrap/>
            <w:vAlign w:val="center"/>
            <w:hideMark/>
          </w:tcPr>
          <w:p w14:paraId="09F257F7" w14:textId="5772CF5F"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620" w:type="dxa"/>
            <w:tcBorders>
              <w:top w:val="nil"/>
              <w:left w:val="nil"/>
              <w:bottom w:val="single" w:sz="4" w:space="0" w:color="auto"/>
              <w:right w:val="single" w:sz="4" w:space="0" w:color="auto"/>
            </w:tcBorders>
            <w:noWrap/>
            <w:vAlign w:val="center"/>
            <w:hideMark/>
          </w:tcPr>
          <w:p w14:paraId="3125670A" w14:textId="5A4EA3C6"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1029" w:type="dxa"/>
            <w:tcBorders>
              <w:top w:val="nil"/>
              <w:left w:val="nil"/>
              <w:bottom w:val="single" w:sz="4" w:space="0" w:color="auto"/>
              <w:right w:val="single" w:sz="4" w:space="0" w:color="auto"/>
            </w:tcBorders>
            <w:noWrap/>
            <w:vAlign w:val="center"/>
            <w:hideMark/>
          </w:tcPr>
          <w:p w14:paraId="02EEA8FA" w14:textId="5F1044F9"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2.02</w:t>
            </w:r>
          </w:p>
        </w:tc>
        <w:tc>
          <w:tcPr>
            <w:tcW w:w="670" w:type="dxa"/>
            <w:tcBorders>
              <w:top w:val="nil"/>
              <w:left w:val="nil"/>
              <w:bottom w:val="single" w:sz="4" w:space="0" w:color="auto"/>
              <w:right w:val="single" w:sz="4" w:space="0" w:color="auto"/>
            </w:tcBorders>
            <w:noWrap/>
            <w:vAlign w:val="center"/>
            <w:hideMark/>
          </w:tcPr>
          <w:p w14:paraId="18D53718" w14:textId="0E32FEF8" w:rsidR="002E7B3E" w:rsidRPr="002E7B3E" w:rsidRDefault="002E7B3E" w:rsidP="002E7B3E">
            <w:pPr>
              <w:contextualSpacing/>
              <w:jc w:val="center"/>
              <w:rPr>
                <w:rFonts w:asciiTheme="majorHAnsi" w:hAnsiTheme="majorHAnsi"/>
                <w:color w:val="000000"/>
                <w:sz w:val="16"/>
                <w:szCs w:val="16"/>
              </w:rPr>
            </w:pPr>
          </w:p>
        </w:tc>
        <w:tc>
          <w:tcPr>
            <w:tcW w:w="851" w:type="dxa"/>
            <w:tcBorders>
              <w:top w:val="nil"/>
              <w:left w:val="nil"/>
              <w:bottom w:val="single" w:sz="4" w:space="0" w:color="auto"/>
              <w:right w:val="single" w:sz="4" w:space="0" w:color="auto"/>
            </w:tcBorders>
            <w:noWrap/>
            <w:vAlign w:val="center"/>
            <w:hideMark/>
          </w:tcPr>
          <w:p w14:paraId="46AF5702" w14:textId="30838AE0"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1.11</w:t>
            </w:r>
          </w:p>
        </w:tc>
        <w:tc>
          <w:tcPr>
            <w:tcW w:w="1029" w:type="dxa"/>
            <w:tcBorders>
              <w:top w:val="nil"/>
              <w:left w:val="nil"/>
              <w:bottom w:val="single" w:sz="4" w:space="0" w:color="auto"/>
              <w:right w:val="single" w:sz="4" w:space="0" w:color="auto"/>
            </w:tcBorders>
            <w:noWrap/>
            <w:vAlign w:val="center"/>
            <w:hideMark/>
          </w:tcPr>
          <w:p w14:paraId="4FA9B68D" w14:textId="08BB2BA1"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0.91</w:t>
            </w:r>
          </w:p>
        </w:tc>
      </w:tr>
      <w:tr w:rsidR="002E7B3E" w:rsidRPr="006F29FC" w14:paraId="6E6B1A9E" w14:textId="77777777" w:rsidTr="002E7B3E">
        <w:trPr>
          <w:gridAfter w:val="1"/>
          <w:wAfter w:w="15" w:type="dxa"/>
          <w:trHeight w:val="285"/>
        </w:trPr>
        <w:tc>
          <w:tcPr>
            <w:tcW w:w="424" w:type="dxa"/>
            <w:tcBorders>
              <w:top w:val="nil"/>
              <w:left w:val="single" w:sz="4" w:space="0" w:color="auto"/>
              <w:bottom w:val="single" w:sz="4" w:space="0" w:color="auto"/>
              <w:right w:val="single" w:sz="4" w:space="0" w:color="auto"/>
            </w:tcBorders>
            <w:noWrap/>
            <w:vAlign w:val="center"/>
            <w:hideMark/>
          </w:tcPr>
          <w:p w14:paraId="23C5C6CC" w14:textId="77777777" w:rsidR="002E7B3E" w:rsidRPr="006F29FC" w:rsidRDefault="002E7B3E" w:rsidP="002E7B3E">
            <w:pPr>
              <w:contextualSpacing/>
              <w:jc w:val="center"/>
              <w:rPr>
                <w:rFonts w:asciiTheme="majorHAnsi" w:hAnsiTheme="majorHAnsi"/>
                <w:color w:val="000000"/>
                <w:sz w:val="16"/>
                <w:szCs w:val="16"/>
              </w:rPr>
            </w:pPr>
            <w:r w:rsidRPr="006F29FC">
              <w:rPr>
                <w:rFonts w:asciiTheme="majorHAnsi" w:hAnsiTheme="majorHAnsi"/>
                <w:color w:val="000000"/>
                <w:sz w:val="16"/>
                <w:szCs w:val="16"/>
              </w:rPr>
              <w:t>6</w:t>
            </w:r>
          </w:p>
        </w:tc>
        <w:tc>
          <w:tcPr>
            <w:tcW w:w="1638" w:type="dxa"/>
            <w:tcBorders>
              <w:top w:val="nil"/>
              <w:left w:val="nil"/>
              <w:bottom w:val="single" w:sz="4" w:space="0" w:color="auto"/>
              <w:right w:val="single" w:sz="4" w:space="0" w:color="auto"/>
            </w:tcBorders>
            <w:noWrap/>
            <w:vAlign w:val="center"/>
            <w:hideMark/>
          </w:tcPr>
          <w:p w14:paraId="75683D9F" w14:textId="77777777" w:rsidR="002E7B3E" w:rsidRPr="006F29FC" w:rsidRDefault="002E7B3E" w:rsidP="002E7B3E">
            <w:pPr>
              <w:contextualSpacing/>
              <w:rPr>
                <w:rFonts w:asciiTheme="majorHAnsi" w:hAnsiTheme="majorHAnsi"/>
                <w:color w:val="000000"/>
                <w:sz w:val="16"/>
                <w:szCs w:val="16"/>
              </w:rPr>
            </w:pPr>
            <w:r w:rsidRPr="006F29FC">
              <w:rPr>
                <w:rFonts w:asciiTheme="majorHAnsi" w:hAnsiTheme="majorHAnsi"/>
                <w:color w:val="000000"/>
                <w:sz w:val="16"/>
                <w:szCs w:val="16"/>
              </w:rPr>
              <w:t>Office Equipment</w:t>
            </w:r>
          </w:p>
        </w:tc>
        <w:tc>
          <w:tcPr>
            <w:tcW w:w="916" w:type="dxa"/>
            <w:tcBorders>
              <w:top w:val="nil"/>
              <w:left w:val="nil"/>
              <w:bottom w:val="single" w:sz="4" w:space="0" w:color="auto"/>
              <w:right w:val="single" w:sz="4" w:space="0" w:color="auto"/>
            </w:tcBorders>
            <w:noWrap/>
            <w:vAlign w:val="center"/>
            <w:hideMark/>
          </w:tcPr>
          <w:p w14:paraId="3B1101D6" w14:textId="103BC104"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1.95</w:t>
            </w:r>
          </w:p>
        </w:tc>
        <w:tc>
          <w:tcPr>
            <w:tcW w:w="731" w:type="dxa"/>
            <w:tcBorders>
              <w:top w:val="nil"/>
              <w:left w:val="nil"/>
              <w:bottom w:val="single" w:sz="4" w:space="0" w:color="auto"/>
              <w:right w:val="single" w:sz="4" w:space="0" w:color="auto"/>
            </w:tcBorders>
            <w:noWrap/>
            <w:vAlign w:val="center"/>
            <w:hideMark/>
          </w:tcPr>
          <w:p w14:paraId="16803900" w14:textId="423C1213"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599" w:type="dxa"/>
            <w:tcBorders>
              <w:top w:val="nil"/>
              <w:left w:val="nil"/>
              <w:bottom w:val="single" w:sz="4" w:space="0" w:color="auto"/>
              <w:right w:val="single" w:sz="4" w:space="0" w:color="auto"/>
            </w:tcBorders>
            <w:noWrap/>
            <w:vAlign w:val="center"/>
            <w:hideMark/>
          </w:tcPr>
          <w:p w14:paraId="501768B3" w14:textId="0D1632B1"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912" w:type="dxa"/>
            <w:tcBorders>
              <w:top w:val="nil"/>
              <w:left w:val="nil"/>
              <w:bottom w:val="single" w:sz="4" w:space="0" w:color="auto"/>
              <w:right w:val="single" w:sz="4" w:space="0" w:color="auto"/>
            </w:tcBorders>
            <w:noWrap/>
            <w:vAlign w:val="center"/>
            <w:hideMark/>
          </w:tcPr>
          <w:p w14:paraId="2D18819B" w14:textId="40409199"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1.95</w:t>
            </w:r>
          </w:p>
        </w:tc>
        <w:tc>
          <w:tcPr>
            <w:tcW w:w="825" w:type="dxa"/>
            <w:tcBorders>
              <w:top w:val="nil"/>
              <w:left w:val="nil"/>
              <w:bottom w:val="single" w:sz="4" w:space="0" w:color="auto"/>
              <w:right w:val="single" w:sz="4" w:space="0" w:color="auto"/>
            </w:tcBorders>
            <w:noWrap/>
            <w:vAlign w:val="center"/>
            <w:hideMark/>
          </w:tcPr>
          <w:p w14:paraId="2030E456" w14:textId="122BD301"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620" w:type="dxa"/>
            <w:tcBorders>
              <w:top w:val="nil"/>
              <w:left w:val="nil"/>
              <w:bottom w:val="single" w:sz="4" w:space="0" w:color="auto"/>
              <w:right w:val="single" w:sz="4" w:space="0" w:color="auto"/>
            </w:tcBorders>
            <w:noWrap/>
            <w:vAlign w:val="center"/>
            <w:hideMark/>
          </w:tcPr>
          <w:p w14:paraId="0EB48698" w14:textId="673FBB9B"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1029" w:type="dxa"/>
            <w:tcBorders>
              <w:top w:val="nil"/>
              <w:left w:val="nil"/>
              <w:bottom w:val="single" w:sz="4" w:space="0" w:color="auto"/>
              <w:right w:val="single" w:sz="4" w:space="0" w:color="auto"/>
            </w:tcBorders>
            <w:noWrap/>
            <w:vAlign w:val="center"/>
            <w:hideMark/>
          </w:tcPr>
          <w:p w14:paraId="3E9C3668" w14:textId="78EA902F"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1.95</w:t>
            </w:r>
          </w:p>
        </w:tc>
        <w:tc>
          <w:tcPr>
            <w:tcW w:w="670" w:type="dxa"/>
            <w:tcBorders>
              <w:top w:val="nil"/>
              <w:left w:val="nil"/>
              <w:bottom w:val="single" w:sz="4" w:space="0" w:color="auto"/>
              <w:right w:val="single" w:sz="4" w:space="0" w:color="auto"/>
            </w:tcBorders>
            <w:noWrap/>
            <w:vAlign w:val="center"/>
            <w:hideMark/>
          </w:tcPr>
          <w:p w14:paraId="09E00EAC" w14:textId="59AA55F5" w:rsidR="002E7B3E" w:rsidRPr="002E7B3E" w:rsidRDefault="002E7B3E" w:rsidP="002E7B3E">
            <w:pPr>
              <w:contextualSpacing/>
              <w:jc w:val="center"/>
              <w:rPr>
                <w:rFonts w:asciiTheme="majorHAnsi" w:hAnsiTheme="majorHAnsi"/>
                <w:color w:val="000000"/>
                <w:sz w:val="16"/>
                <w:szCs w:val="16"/>
              </w:rPr>
            </w:pPr>
          </w:p>
        </w:tc>
        <w:tc>
          <w:tcPr>
            <w:tcW w:w="851" w:type="dxa"/>
            <w:tcBorders>
              <w:top w:val="nil"/>
              <w:left w:val="nil"/>
              <w:bottom w:val="single" w:sz="4" w:space="0" w:color="auto"/>
              <w:right w:val="single" w:sz="4" w:space="0" w:color="auto"/>
            </w:tcBorders>
            <w:noWrap/>
            <w:vAlign w:val="center"/>
            <w:hideMark/>
          </w:tcPr>
          <w:p w14:paraId="739F9C9F" w14:textId="696B4461"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1.15</w:t>
            </w:r>
          </w:p>
        </w:tc>
        <w:tc>
          <w:tcPr>
            <w:tcW w:w="1029" w:type="dxa"/>
            <w:tcBorders>
              <w:top w:val="nil"/>
              <w:left w:val="nil"/>
              <w:bottom w:val="single" w:sz="4" w:space="0" w:color="auto"/>
              <w:right w:val="single" w:sz="4" w:space="0" w:color="auto"/>
            </w:tcBorders>
            <w:noWrap/>
            <w:vAlign w:val="center"/>
            <w:hideMark/>
          </w:tcPr>
          <w:p w14:paraId="4D486C2F" w14:textId="3CEC6935"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0.80</w:t>
            </w:r>
          </w:p>
        </w:tc>
      </w:tr>
      <w:tr w:rsidR="002E7B3E" w:rsidRPr="006F29FC" w14:paraId="59A92B9F" w14:textId="77777777" w:rsidTr="002E7B3E">
        <w:trPr>
          <w:gridAfter w:val="1"/>
          <w:wAfter w:w="15" w:type="dxa"/>
          <w:trHeight w:val="285"/>
        </w:trPr>
        <w:tc>
          <w:tcPr>
            <w:tcW w:w="424" w:type="dxa"/>
            <w:tcBorders>
              <w:top w:val="nil"/>
              <w:left w:val="single" w:sz="4" w:space="0" w:color="auto"/>
              <w:bottom w:val="single" w:sz="4" w:space="0" w:color="auto"/>
              <w:right w:val="single" w:sz="4" w:space="0" w:color="auto"/>
            </w:tcBorders>
            <w:noWrap/>
            <w:vAlign w:val="center"/>
            <w:hideMark/>
          </w:tcPr>
          <w:p w14:paraId="1DE90D8C" w14:textId="77777777" w:rsidR="002E7B3E" w:rsidRPr="006F29FC" w:rsidRDefault="002E7B3E" w:rsidP="002E7B3E">
            <w:pPr>
              <w:contextualSpacing/>
              <w:jc w:val="center"/>
              <w:rPr>
                <w:rFonts w:asciiTheme="majorHAnsi" w:hAnsiTheme="majorHAnsi"/>
                <w:color w:val="000000"/>
                <w:sz w:val="16"/>
                <w:szCs w:val="16"/>
              </w:rPr>
            </w:pPr>
            <w:r w:rsidRPr="006F29FC">
              <w:rPr>
                <w:rFonts w:asciiTheme="majorHAnsi" w:hAnsiTheme="majorHAnsi"/>
                <w:color w:val="000000"/>
                <w:sz w:val="16"/>
                <w:szCs w:val="16"/>
              </w:rPr>
              <w:t>7</w:t>
            </w:r>
          </w:p>
        </w:tc>
        <w:tc>
          <w:tcPr>
            <w:tcW w:w="1638" w:type="dxa"/>
            <w:tcBorders>
              <w:top w:val="nil"/>
              <w:left w:val="nil"/>
              <w:bottom w:val="single" w:sz="4" w:space="0" w:color="auto"/>
              <w:right w:val="single" w:sz="4" w:space="0" w:color="auto"/>
            </w:tcBorders>
            <w:noWrap/>
            <w:vAlign w:val="center"/>
            <w:hideMark/>
          </w:tcPr>
          <w:p w14:paraId="10B967F0" w14:textId="77777777" w:rsidR="002E7B3E" w:rsidRPr="006F29FC" w:rsidRDefault="002E7B3E" w:rsidP="002E7B3E">
            <w:pPr>
              <w:contextualSpacing/>
              <w:rPr>
                <w:rFonts w:asciiTheme="majorHAnsi" w:hAnsiTheme="majorHAnsi"/>
                <w:color w:val="000000"/>
                <w:sz w:val="16"/>
                <w:szCs w:val="16"/>
              </w:rPr>
            </w:pPr>
            <w:r w:rsidRPr="006F29FC">
              <w:rPr>
                <w:rFonts w:asciiTheme="majorHAnsi" w:hAnsiTheme="majorHAnsi"/>
                <w:color w:val="000000"/>
                <w:sz w:val="16"/>
                <w:szCs w:val="16"/>
              </w:rPr>
              <w:t>Computer &amp; IT Equipment</w:t>
            </w:r>
          </w:p>
        </w:tc>
        <w:tc>
          <w:tcPr>
            <w:tcW w:w="916" w:type="dxa"/>
            <w:tcBorders>
              <w:top w:val="nil"/>
              <w:left w:val="nil"/>
              <w:bottom w:val="single" w:sz="4" w:space="0" w:color="auto"/>
              <w:right w:val="single" w:sz="4" w:space="0" w:color="auto"/>
            </w:tcBorders>
            <w:noWrap/>
            <w:vAlign w:val="center"/>
            <w:hideMark/>
          </w:tcPr>
          <w:p w14:paraId="33D51EE1" w14:textId="3B59F79E"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5.50</w:t>
            </w:r>
          </w:p>
        </w:tc>
        <w:tc>
          <w:tcPr>
            <w:tcW w:w="731" w:type="dxa"/>
            <w:tcBorders>
              <w:top w:val="nil"/>
              <w:left w:val="nil"/>
              <w:bottom w:val="single" w:sz="4" w:space="0" w:color="auto"/>
              <w:right w:val="single" w:sz="4" w:space="0" w:color="auto"/>
            </w:tcBorders>
            <w:noWrap/>
            <w:vAlign w:val="center"/>
            <w:hideMark/>
          </w:tcPr>
          <w:p w14:paraId="120E7C87" w14:textId="32E9DE3F"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599" w:type="dxa"/>
            <w:tcBorders>
              <w:top w:val="nil"/>
              <w:left w:val="nil"/>
              <w:bottom w:val="single" w:sz="4" w:space="0" w:color="auto"/>
              <w:right w:val="single" w:sz="4" w:space="0" w:color="auto"/>
            </w:tcBorders>
            <w:noWrap/>
            <w:vAlign w:val="center"/>
            <w:hideMark/>
          </w:tcPr>
          <w:p w14:paraId="50CBF1E7" w14:textId="0230CA5F"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912" w:type="dxa"/>
            <w:tcBorders>
              <w:top w:val="nil"/>
              <w:left w:val="nil"/>
              <w:bottom w:val="single" w:sz="4" w:space="0" w:color="auto"/>
              <w:right w:val="single" w:sz="4" w:space="0" w:color="auto"/>
            </w:tcBorders>
            <w:noWrap/>
            <w:vAlign w:val="center"/>
            <w:hideMark/>
          </w:tcPr>
          <w:p w14:paraId="3B0C00DD" w14:textId="67C09EC1"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5.50</w:t>
            </w:r>
          </w:p>
        </w:tc>
        <w:tc>
          <w:tcPr>
            <w:tcW w:w="825" w:type="dxa"/>
            <w:tcBorders>
              <w:top w:val="nil"/>
              <w:left w:val="nil"/>
              <w:bottom w:val="single" w:sz="4" w:space="0" w:color="auto"/>
              <w:right w:val="single" w:sz="4" w:space="0" w:color="auto"/>
            </w:tcBorders>
            <w:noWrap/>
            <w:vAlign w:val="center"/>
            <w:hideMark/>
          </w:tcPr>
          <w:p w14:paraId="5689DEDF" w14:textId="3BEDC540"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620" w:type="dxa"/>
            <w:tcBorders>
              <w:top w:val="nil"/>
              <w:left w:val="nil"/>
              <w:bottom w:val="single" w:sz="4" w:space="0" w:color="auto"/>
              <w:right w:val="single" w:sz="4" w:space="0" w:color="auto"/>
            </w:tcBorders>
            <w:noWrap/>
            <w:vAlign w:val="center"/>
            <w:hideMark/>
          </w:tcPr>
          <w:p w14:paraId="023800E2" w14:textId="5843B35D"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1.09</w:t>
            </w:r>
          </w:p>
        </w:tc>
        <w:tc>
          <w:tcPr>
            <w:tcW w:w="1029" w:type="dxa"/>
            <w:tcBorders>
              <w:top w:val="nil"/>
              <w:left w:val="nil"/>
              <w:bottom w:val="single" w:sz="4" w:space="0" w:color="auto"/>
              <w:right w:val="single" w:sz="4" w:space="0" w:color="auto"/>
            </w:tcBorders>
            <w:noWrap/>
            <w:vAlign w:val="center"/>
            <w:hideMark/>
          </w:tcPr>
          <w:p w14:paraId="398698D9" w14:textId="471D8C98"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4.41</w:t>
            </w:r>
          </w:p>
        </w:tc>
        <w:tc>
          <w:tcPr>
            <w:tcW w:w="670" w:type="dxa"/>
            <w:tcBorders>
              <w:top w:val="nil"/>
              <w:left w:val="nil"/>
              <w:bottom w:val="single" w:sz="4" w:space="0" w:color="auto"/>
              <w:right w:val="single" w:sz="4" w:space="0" w:color="auto"/>
            </w:tcBorders>
            <w:noWrap/>
            <w:vAlign w:val="center"/>
            <w:hideMark/>
          </w:tcPr>
          <w:p w14:paraId="7BA27FE4" w14:textId="53A77497" w:rsidR="002E7B3E" w:rsidRPr="002E7B3E" w:rsidRDefault="002E7B3E" w:rsidP="002E7B3E">
            <w:pPr>
              <w:contextualSpacing/>
              <w:jc w:val="center"/>
              <w:rPr>
                <w:rFonts w:asciiTheme="majorHAnsi" w:hAnsiTheme="majorHAnsi"/>
                <w:color w:val="000000"/>
                <w:sz w:val="16"/>
                <w:szCs w:val="16"/>
              </w:rPr>
            </w:pPr>
          </w:p>
        </w:tc>
        <w:tc>
          <w:tcPr>
            <w:tcW w:w="851" w:type="dxa"/>
            <w:tcBorders>
              <w:top w:val="nil"/>
              <w:left w:val="nil"/>
              <w:bottom w:val="single" w:sz="4" w:space="0" w:color="auto"/>
              <w:right w:val="single" w:sz="4" w:space="0" w:color="auto"/>
            </w:tcBorders>
            <w:noWrap/>
            <w:vAlign w:val="center"/>
            <w:hideMark/>
          </w:tcPr>
          <w:p w14:paraId="2411547A" w14:textId="17C61302"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1.10</w:t>
            </w:r>
          </w:p>
        </w:tc>
        <w:tc>
          <w:tcPr>
            <w:tcW w:w="1029" w:type="dxa"/>
            <w:tcBorders>
              <w:top w:val="nil"/>
              <w:left w:val="nil"/>
              <w:bottom w:val="single" w:sz="4" w:space="0" w:color="auto"/>
              <w:right w:val="single" w:sz="4" w:space="0" w:color="auto"/>
            </w:tcBorders>
            <w:noWrap/>
            <w:vAlign w:val="center"/>
            <w:hideMark/>
          </w:tcPr>
          <w:p w14:paraId="47E28F88" w14:textId="73C3603F"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3.31</w:t>
            </w:r>
          </w:p>
        </w:tc>
      </w:tr>
      <w:tr w:rsidR="002E7B3E" w:rsidRPr="006F29FC" w14:paraId="0FCFED7D" w14:textId="77777777" w:rsidTr="002E7B3E">
        <w:trPr>
          <w:gridAfter w:val="1"/>
          <w:wAfter w:w="15" w:type="dxa"/>
          <w:trHeight w:val="285"/>
        </w:trPr>
        <w:tc>
          <w:tcPr>
            <w:tcW w:w="424" w:type="dxa"/>
            <w:tcBorders>
              <w:top w:val="nil"/>
              <w:left w:val="single" w:sz="4" w:space="0" w:color="auto"/>
              <w:bottom w:val="single" w:sz="4" w:space="0" w:color="auto"/>
              <w:right w:val="single" w:sz="4" w:space="0" w:color="auto"/>
            </w:tcBorders>
            <w:noWrap/>
            <w:vAlign w:val="center"/>
            <w:hideMark/>
          </w:tcPr>
          <w:p w14:paraId="49FB5D16" w14:textId="77777777" w:rsidR="002E7B3E" w:rsidRPr="006F29FC" w:rsidRDefault="002E7B3E" w:rsidP="002E7B3E">
            <w:pPr>
              <w:contextualSpacing/>
              <w:jc w:val="center"/>
              <w:rPr>
                <w:rFonts w:asciiTheme="majorHAnsi" w:hAnsiTheme="majorHAnsi"/>
                <w:color w:val="000000"/>
                <w:sz w:val="16"/>
                <w:szCs w:val="16"/>
              </w:rPr>
            </w:pPr>
            <w:r w:rsidRPr="006F29FC">
              <w:rPr>
                <w:rFonts w:asciiTheme="majorHAnsi" w:hAnsiTheme="majorHAnsi"/>
                <w:color w:val="000000"/>
                <w:sz w:val="16"/>
                <w:szCs w:val="16"/>
              </w:rPr>
              <w:t>8</w:t>
            </w:r>
          </w:p>
        </w:tc>
        <w:tc>
          <w:tcPr>
            <w:tcW w:w="1638" w:type="dxa"/>
            <w:tcBorders>
              <w:top w:val="nil"/>
              <w:left w:val="nil"/>
              <w:bottom w:val="single" w:sz="4" w:space="0" w:color="auto"/>
              <w:right w:val="single" w:sz="4" w:space="0" w:color="auto"/>
            </w:tcBorders>
            <w:noWrap/>
            <w:vAlign w:val="center"/>
            <w:hideMark/>
          </w:tcPr>
          <w:p w14:paraId="4B2EE52A" w14:textId="77777777" w:rsidR="002E7B3E" w:rsidRPr="006F29FC" w:rsidRDefault="002E7B3E" w:rsidP="002E7B3E">
            <w:pPr>
              <w:contextualSpacing/>
              <w:rPr>
                <w:rFonts w:asciiTheme="majorHAnsi" w:hAnsiTheme="majorHAnsi"/>
                <w:color w:val="000000"/>
                <w:sz w:val="16"/>
                <w:szCs w:val="16"/>
              </w:rPr>
            </w:pPr>
            <w:r w:rsidRPr="006F29FC">
              <w:rPr>
                <w:rFonts w:asciiTheme="majorHAnsi" w:hAnsiTheme="majorHAnsi"/>
                <w:color w:val="000000"/>
                <w:sz w:val="16"/>
                <w:szCs w:val="16"/>
              </w:rPr>
              <w:t>Software</w:t>
            </w:r>
          </w:p>
        </w:tc>
        <w:tc>
          <w:tcPr>
            <w:tcW w:w="916" w:type="dxa"/>
            <w:tcBorders>
              <w:top w:val="nil"/>
              <w:left w:val="nil"/>
              <w:bottom w:val="single" w:sz="4" w:space="0" w:color="auto"/>
              <w:right w:val="single" w:sz="4" w:space="0" w:color="auto"/>
            </w:tcBorders>
            <w:noWrap/>
            <w:vAlign w:val="center"/>
            <w:hideMark/>
          </w:tcPr>
          <w:p w14:paraId="611A63BB" w14:textId="056C9D56"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731" w:type="dxa"/>
            <w:tcBorders>
              <w:top w:val="nil"/>
              <w:left w:val="nil"/>
              <w:bottom w:val="single" w:sz="4" w:space="0" w:color="auto"/>
              <w:right w:val="single" w:sz="4" w:space="0" w:color="auto"/>
            </w:tcBorders>
            <w:noWrap/>
            <w:vAlign w:val="center"/>
            <w:hideMark/>
          </w:tcPr>
          <w:p w14:paraId="4C70F737" w14:textId="54610D98"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599" w:type="dxa"/>
            <w:tcBorders>
              <w:top w:val="nil"/>
              <w:left w:val="nil"/>
              <w:bottom w:val="single" w:sz="4" w:space="0" w:color="auto"/>
              <w:right w:val="single" w:sz="4" w:space="0" w:color="auto"/>
            </w:tcBorders>
            <w:noWrap/>
            <w:vAlign w:val="center"/>
            <w:hideMark/>
          </w:tcPr>
          <w:p w14:paraId="24C8E39B" w14:textId="5AE960AA"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912" w:type="dxa"/>
            <w:tcBorders>
              <w:top w:val="nil"/>
              <w:left w:val="nil"/>
              <w:bottom w:val="single" w:sz="4" w:space="0" w:color="auto"/>
              <w:right w:val="single" w:sz="4" w:space="0" w:color="auto"/>
            </w:tcBorders>
            <w:noWrap/>
            <w:vAlign w:val="center"/>
            <w:hideMark/>
          </w:tcPr>
          <w:p w14:paraId="49D076FE" w14:textId="7530A9BE"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825" w:type="dxa"/>
            <w:tcBorders>
              <w:top w:val="nil"/>
              <w:left w:val="nil"/>
              <w:bottom w:val="single" w:sz="4" w:space="0" w:color="auto"/>
              <w:right w:val="single" w:sz="4" w:space="0" w:color="auto"/>
            </w:tcBorders>
            <w:noWrap/>
            <w:vAlign w:val="center"/>
            <w:hideMark/>
          </w:tcPr>
          <w:p w14:paraId="5D71C544" w14:textId="27725044"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620" w:type="dxa"/>
            <w:tcBorders>
              <w:top w:val="nil"/>
              <w:left w:val="nil"/>
              <w:bottom w:val="single" w:sz="4" w:space="0" w:color="auto"/>
              <w:right w:val="single" w:sz="4" w:space="0" w:color="auto"/>
            </w:tcBorders>
            <w:noWrap/>
            <w:vAlign w:val="center"/>
            <w:hideMark/>
          </w:tcPr>
          <w:p w14:paraId="70A9971E" w14:textId="68C7DAF4"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1029" w:type="dxa"/>
            <w:tcBorders>
              <w:top w:val="nil"/>
              <w:left w:val="nil"/>
              <w:bottom w:val="single" w:sz="4" w:space="0" w:color="auto"/>
              <w:right w:val="single" w:sz="4" w:space="0" w:color="auto"/>
            </w:tcBorders>
            <w:noWrap/>
            <w:vAlign w:val="center"/>
            <w:hideMark/>
          </w:tcPr>
          <w:p w14:paraId="35175CCD" w14:textId="4DC111C5"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670" w:type="dxa"/>
            <w:tcBorders>
              <w:top w:val="nil"/>
              <w:left w:val="nil"/>
              <w:bottom w:val="single" w:sz="4" w:space="0" w:color="auto"/>
              <w:right w:val="single" w:sz="4" w:space="0" w:color="auto"/>
            </w:tcBorders>
            <w:noWrap/>
            <w:vAlign w:val="center"/>
            <w:hideMark/>
          </w:tcPr>
          <w:p w14:paraId="5C4FE489" w14:textId="02D398EC" w:rsidR="002E7B3E" w:rsidRPr="002E7B3E" w:rsidRDefault="002E7B3E" w:rsidP="002E7B3E">
            <w:pPr>
              <w:contextualSpacing/>
              <w:jc w:val="center"/>
              <w:rPr>
                <w:rFonts w:asciiTheme="majorHAnsi" w:hAnsiTheme="majorHAnsi"/>
                <w:color w:val="000000"/>
                <w:sz w:val="16"/>
                <w:szCs w:val="16"/>
              </w:rPr>
            </w:pPr>
          </w:p>
        </w:tc>
        <w:tc>
          <w:tcPr>
            <w:tcW w:w="851" w:type="dxa"/>
            <w:tcBorders>
              <w:top w:val="nil"/>
              <w:left w:val="nil"/>
              <w:bottom w:val="single" w:sz="4" w:space="0" w:color="auto"/>
              <w:right w:val="single" w:sz="4" w:space="0" w:color="auto"/>
            </w:tcBorders>
            <w:noWrap/>
            <w:vAlign w:val="center"/>
            <w:hideMark/>
          </w:tcPr>
          <w:p w14:paraId="7FFF4138" w14:textId="0A9E4DDC" w:rsidR="002E7B3E" w:rsidRPr="002E7B3E" w:rsidRDefault="002E7B3E" w:rsidP="002E7B3E">
            <w:pPr>
              <w:contextualSpacing/>
              <w:jc w:val="center"/>
              <w:rPr>
                <w:rFonts w:asciiTheme="majorHAnsi" w:hAnsiTheme="majorHAnsi"/>
                <w:color w:val="000000"/>
                <w:sz w:val="16"/>
                <w:szCs w:val="16"/>
              </w:rPr>
            </w:pPr>
          </w:p>
        </w:tc>
        <w:tc>
          <w:tcPr>
            <w:tcW w:w="1029" w:type="dxa"/>
            <w:tcBorders>
              <w:top w:val="nil"/>
              <w:left w:val="nil"/>
              <w:bottom w:val="single" w:sz="4" w:space="0" w:color="auto"/>
              <w:right w:val="single" w:sz="4" w:space="0" w:color="auto"/>
            </w:tcBorders>
            <w:noWrap/>
            <w:vAlign w:val="center"/>
            <w:hideMark/>
          </w:tcPr>
          <w:p w14:paraId="7E75FF4B" w14:textId="6A80A27C"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r>
      <w:tr w:rsidR="002E7B3E" w:rsidRPr="006F29FC" w14:paraId="53A648F8" w14:textId="77777777" w:rsidTr="002E7B3E">
        <w:trPr>
          <w:gridAfter w:val="1"/>
          <w:wAfter w:w="15" w:type="dxa"/>
          <w:trHeight w:val="285"/>
        </w:trPr>
        <w:tc>
          <w:tcPr>
            <w:tcW w:w="424" w:type="dxa"/>
            <w:tcBorders>
              <w:top w:val="nil"/>
              <w:left w:val="single" w:sz="4" w:space="0" w:color="auto"/>
              <w:bottom w:val="single" w:sz="4" w:space="0" w:color="auto"/>
              <w:right w:val="single" w:sz="4" w:space="0" w:color="auto"/>
            </w:tcBorders>
            <w:noWrap/>
            <w:vAlign w:val="center"/>
            <w:hideMark/>
          </w:tcPr>
          <w:p w14:paraId="36D69706" w14:textId="77777777" w:rsidR="002E7B3E" w:rsidRPr="006F29FC" w:rsidRDefault="002E7B3E" w:rsidP="002E7B3E">
            <w:pPr>
              <w:contextualSpacing/>
              <w:jc w:val="center"/>
              <w:rPr>
                <w:rFonts w:asciiTheme="majorHAnsi" w:hAnsiTheme="majorHAnsi"/>
                <w:b/>
                <w:bCs/>
                <w:color w:val="000000"/>
                <w:sz w:val="16"/>
                <w:szCs w:val="16"/>
              </w:rPr>
            </w:pPr>
            <w:r w:rsidRPr="006F29FC">
              <w:rPr>
                <w:rFonts w:asciiTheme="majorHAnsi" w:hAnsiTheme="majorHAnsi"/>
                <w:b/>
                <w:bCs/>
                <w:color w:val="000000"/>
                <w:sz w:val="16"/>
                <w:szCs w:val="16"/>
              </w:rPr>
              <w:t>9</w:t>
            </w:r>
          </w:p>
        </w:tc>
        <w:tc>
          <w:tcPr>
            <w:tcW w:w="1638" w:type="dxa"/>
            <w:tcBorders>
              <w:top w:val="nil"/>
              <w:left w:val="nil"/>
              <w:bottom w:val="single" w:sz="4" w:space="0" w:color="auto"/>
              <w:right w:val="single" w:sz="4" w:space="0" w:color="auto"/>
            </w:tcBorders>
            <w:noWrap/>
            <w:vAlign w:val="center"/>
            <w:hideMark/>
          </w:tcPr>
          <w:p w14:paraId="616C8703" w14:textId="77777777" w:rsidR="002E7B3E" w:rsidRPr="006F29FC" w:rsidRDefault="002E7B3E" w:rsidP="002E7B3E">
            <w:pPr>
              <w:contextualSpacing/>
              <w:rPr>
                <w:rFonts w:asciiTheme="majorHAnsi" w:hAnsiTheme="majorHAnsi"/>
                <w:b/>
                <w:bCs/>
                <w:color w:val="000000"/>
                <w:sz w:val="16"/>
                <w:szCs w:val="16"/>
              </w:rPr>
            </w:pPr>
            <w:r w:rsidRPr="006F29FC">
              <w:rPr>
                <w:rFonts w:asciiTheme="majorHAnsi" w:hAnsiTheme="majorHAnsi"/>
                <w:b/>
                <w:bCs/>
                <w:color w:val="000000"/>
                <w:sz w:val="16"/>
                <w:szCs w:val="16"/>
              </w:rPr>
              <w:t>Total</w:t>
            </w:r>
          </w:p>
        </w:tc>
        <w:tc>
          <w:tcPr>
            <w:tcW w:w="916" w:type="dxa"/>
            <w:tcBorders>
              <w:top w:val="nil"/>
              <w:left w:val="nil"/>
              <w:bottom w:val="single" w:sz="4" w:space="0" w:color="auto"/>
              <w:right w:val="single" w:sz="4" w:space="0" w:color="auto"/>
            </w:tcBorders>
            <w:noWrap/>
            <w:vAlign w:val="center"/>
            <w:hideMark/>
          </w:tcPr>
          <w:p w14:paraId="1B846305" w14:textId="1863D1A7"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1,963.31</w:t>
            </w:r>
          </w:p>
        </w:tc>
        <w:tc>
          <w:tcPr>
            <w:tcW w:w="731" w:type="dxa"/>
            <w:tcBorders>
              <w:top w:val="nil"/>
              <w:left w:val="nil"/>
              <w:bottom w:val="single" w:sz="4" w:space="0" w:color="auto"/>
              <w:right w:val="single" w:sz="4" w:space="0" w:color="auto"/>
            </w:tcBorders>
            <w:noWrap/>
            <w:vAlign w:val="center"/>
            <w:hideMark/>
          </w:tcPr>
          <w:p w14:paraId="40D783FE" w14:textId="5842C5C9"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w:t>
            </w:r>
          </w:p>
        </w:tc>
        <w:tc>
          <w:tcPr>
            <w:tcW w:w="599" w:type="dxa"/>
            <w:tcBorders>
              <w:top w:val="nil"/>
              <w:left w:val="nil"/>
              <w:bottom w:val="single" w:sz="4" w:space="0" w:color="auto"/>
              <w:right w:val="single" w:sz="4" w:space="0" w:color="auto"/>
            </w:tcBorders>
            <w:noWrap/>
            <w:vAlign w:val="center"/>
            <w:hideMark/>
          </w:tcPr>
          <w:p w14:paraId="26EF8490" w14:textId="6DC80AF8"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2.10</w:t>
            </w:r>
          </w:p>
        </w:tc>
        <w:tc>
          <w:tcPr>
            <w:tcW w:w="912" w:type="dxa"/>
            <w:tcBorders>
              <w:top w:val="nil"/>
              <w:left w:val="nil"/>
              <w:bottom w:val="single" w:sz="4" w:space="0" w:color="auto"/>
              <w:right w:val="single" w:sz="4" w:space="0" w:color="auto"/>
            </w:tcBorders>
            <w:noWrap/>
            <w:vAlign w:val="center"/>
            <w:hideMark/>
          </w:tcPr>
          <w:p w14:paraId="4DBD4142" w14:textId="45E292A6"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1,961.20</w:t>
            </w:r>
          </w:p>
        </w:tc>
        <w:tc>
          <w:tcPr>
            <w:tcW w:w="825" w:type="dxa"/>
            <w:tcBorders>
              <w:top w:val="nil"/>
              <w:left w:val="nil"/>
              <w:bottom w:val="single" w:sz="4" w:space="0" w:color="auto"/>
              <w:right w:val="single" w:sz="4" w:space="0" w:color="auto"/>
            </w:tcBorders>
            <w:noWrap/>
            <w:vAlign w:val="center"/>
            <w:hideMark/>
          </w:tcPr>
          <w:p w14:paraId="707D5C9C" w14:textId="2578E0F3"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w:t>
            </w:r>
          </w:p>
        </w:tc>
        <w:tc>
          <w:tcPr>
            <w:tcW w:w="620" w:type="dxa"/>
            <w:tcBorders>
              <w:top w:val="nil"/>
              <w:left w:val="nil"/>
              <w:bottom w:val="single" w:sz="4" w:space="0" w:color="auto"/>
              <w:right w:val="single" w:sz="4" w:space="0" w:color="auto"/>
            </w:tcBorders>
            <w:noWrap/>
            <w:vAlign w:val="center"/>
            <w:hideMark/>
          </w:tcPr>
          <w:p w14:paraId="1456D27F" w14:textId="12D021AC"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3.63</w:t>
            </w:r>
          </w:p>
        </w:tc>
        <w:tc>
          <w:tcPr>
            <w:tcW w:w="1029" w:type="dxa"/>
            <w:tcBorders>
              <w:top w:val="nil"/>
              <w:left w:val="nil"/>
              <w:bottom w:val="single" w:sz="4" w:space="0" w:color="auto"/>
              <w:right w:val="single" w:sz="4" w:space="0" w:color="auto"/>
            </w:tcBorders>
            <w:noWrap/>
            <w:vAlign w:val="center"/>
            <w:hideMark/>
          </w:tcPr>
          <w:p w14:paraId="61D6157F" w14:textId="3BD16290"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1,957.57</w:t>
            </w:r>
          </w:p>
        </w:tc>
        <w:tc>
          <w:tcPr>
            <w:tcW w:w="670" w:type="dxa"/>
            <w:tcBorders>
              <w:top w:val="nil"/>
              <w:left w:val="nil"/>
              <w:bottom w:val="single" w:sz="4" w:space="0" w:color="auto"/>
              <w:right w:val="single" w:sz="4" w:space="0" w:color="auto"/>
            </w:tcBorders>
            <w:noWrap/>
            <w:vAlign w:val="center"/>
            <w:hideMark/>
          </w:tcPr>
          <w:p w14:paraId="6D038E4A" w14:textId="3F4F1ED4"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w:t>
            </w:r>
          </w:p>
        </w:tc>
        <w:tc>
          <w:tcPr>
            <w:tcW w:w="851" w:type="dxa"/>
            <w:tcBorders>
              <w:top w:val="nil"/>
              <w:left w:val="nil"/>
              <w:bottom w:val="single" w:sz="4" w:space="0" w:color="auto"/>
              <w:right w:val="single" w:sz="4" w:space="0" w:color="auto"/>
            </w:tcBorders>
            <w:noWrap/>
            <w:vAlign w:val="center"/>
            <w:hideMark/>
          </w:tcPr>
          <w:p w14:paraId="3C768EF7" w14:textId="1B3DEA2C"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23.26</w:t>
            </w:r>
          </w:p>
        </w:tc>
        <w:tc>
          <w:tcPr>
            <w:tcW w:w="1029" w:type="dxa"/>
            <w:tcBorders>
              <w:top w:val="nil"/>
              <w:left w:val="nil"/>
              <w:bottom w:val="single" w:sz="4" w:space="0" w:color="auto"/>
              <w:right w:val="single" w:sz="4" w:space="0" w:color="auto"/>
            </w:tcBorders>
            <w:noWrap/>
            <w:vAlign w:val="center"/>
            <w:hideMark/>
          </w:tcPr>
          <w:p w14:paraId="2B576ABB" w14:textId="7E6D905A"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1,934.32</w:t>
            </w:r>
          </w:p>
        </w:tc>
      </w:tr>
      <w:tr w:rsidR="00B238BD" w:rsidRPr="006F29FC" w14:paraId="15559587" w14:textId="77777777" w:rsidTr="00C60189">
        <w:trPr>
          <w:trHeight w:val="285"/>
        </w:trPr>
        <w:tc>
          <w:tcPr>
            <w:tcW w:w="10259" w:type="dxa"/>
            <w:gridSpan w:val="13"/>
            <w:tcBorders>
              <w:top w:val="nil"/>
              <w:left w:val="single" w:sz="4" w:space="0" w:color="auto"/>
              <w:bottom w:val="single" w:sz="4" w:space="0" w:color="auto"/>
              <w:right w:val="single" w:sz="4" w:space="0" w:color="auto"/>
            </w:tcBorders>
            <w:noWrap/>
            <w:vAlign w:val="center"/>
            <w:hideMark/>
          </w:tcPr>
          <w:p w14:paraId="2D4A4569" w14:textId="112BB1C4" w:rsidR="00B238BD" w:rsidRPr="006F29FC" w:rsidRDefault="00B238BD" w:rsidP="001F21DF">
            <w:pPr>
              <w:contextualSpacing/>
              <w:rPr>
                <w:rFonts w:asciiTheme="majorHAnsi" w:hAnsiTheme="majorHAnsi"/>
                <w:color w:val="000000"/>
                <w:sz w:val="16"/>
                <w:szCs w:val="16"/>
              </w:rPr>
            </w:pPr>
            <w:r>
              <w:rPr>
                <w:rFonts w:asciiTheme="majorHAnsi" w:hAnsiTheme="majorHAnsi"/>
                <w:b/>
                <w:bCs/>
                <w:color w:val="000000"/>
                <w:sz w:val="16"/>
                <w:szCs w:val="16"/>
              </w:rPr>
              <w:t>Legacy</w:t>
            </w:r>
            <w:r w:rsidRPr="006F29FC">
              <w:rPr>
                <w:rFonts w:asciiTheme="majorHAnsi" w:hAnsiTheme="majorHAnsi"/>
                <w:b/>
                <w:bCs/>
                <w:color w:val="000000"/>
                <w:sz w:val="16"/>
                <w:szCs w:val="16"/>
              </w:rPr>
              <w:t xml:space="preserve"> Assets through Grants/ CC/ Meters/ Own funds</w:t>
            </w:r>
            <w:r w:rsidRPr="006F29FC">
              <w:rPr>
                <w:rFonts w:asciiTheme="majorHAnsi" w:hAnsiTheme="majorHAnsi"/>
                <w:color w:val="000000"/>
                <w:sz w:val="16"/>
                <w:szCs w:val="16"/>
              </w:rPr>
              <w:t> </w:t>
            </w:r>
          </w:p>
        </w:tc>
      </w:tr>
      <w:tr w:rsidR="002E7B3E" w:rsidRPr="006F29FC" w14:paraId="203AC368" w14:textId="77777777" w:rsidTr="002E7B3E">
        <w:trPr>
          <w:gridAfter w:val="1"/>
          <w:wAfter w:w="15" w:type="dxa"/>
          <w:trHeight w:val="285"/>
        </w:trPr>
        <w:tc>
          <w:tcPr>
            <w:tcW w:w="424" w:type="dxa"/>
            <w:tcBorders>
              <w:top w:val="nil"/>
              <w:left w:val="single" w:sz="4" w:space="0" w:color="auto"/>
              <w:bottom w:val="single" w:sz="4" w:space="0" w:color="auto"/>
              <w:right w:val="single" w:sz="4" w:space="0" w:color="auto"/>
            </w:tcBorders>
            <w:noWrap/>
            <w:vAlign w:val="center"/>
            <w:hideMark/>
          </w:tcPr>
          <w:p w14:paraId="0F56215B" w14:textId="77777777" w:rsidR="002E7B3E" w:rsidRPr="006F29FC" w:rsidRDefault="002E7B3E" w:rsidP="002E7B3E">
            <w:pPr>
              <w:contextualSpacing/>
              <w:jc w:val="center"/>
              <w:rPr>
                <w:rFonts w:asciiTheme="majorHAnsi" w:hAnsiTheme="majorHAnsi"/>
                <w:color w:val="000000"/>
                <w:sz w:val="16"/>
                <w:szCs w:val="16"/>
              </w:rPr>
            </w:pPr>
            <w:r>
              <w:rPr>
                <w:rFonts w:asciiTheme="majorHAnsi" w:hAnsiTheme="majorHAnsi"/>
                <w:color w:val="000000"/>
                <w:sz w:val="16"/>
                <w:szCs w:val="16"/>
              </w:rPr>
              <w:t>1</w:t>
            </w:r>
          </w:p>
        </w:tc>
        <w:tc>
          <w:tcPr>
            <w:tcW w:w="1638" w:type="dxa"/>
            <w:tcBorders>
              <w:top w:val="nil"/>
              <w:left w:val="nil"/>
              <w:bottom w:val="single" w:sz="4" w:space="0" w:color="auto"/>
              <w:right w:val="single" w:sz="4" w:space="0" w:color="auto"/>
            </w:tcBorders>
            <w:noWrap/>
            <w:vAlign w:val="center"/>
            <w:hideMark/>
          </w:tcPr>
          <w:p w14:paraId="764A5435" w14:textId="77777777" w:rsidR="002E7B3E" w:rsidRPr="006F29FC" w:rsidRDefault="002E7B3E" w:rsidP="002E7B3E">
            <w:pPr>
              <w:contextualSpacing/>
              <w:rPr>
                <w:rFonts w:asciiTheme="majorHAnsi" w:hAnsiTheme="majorHAnsi"/>
                <w:color w:val="000000"/>
                <w:sz w:val="16"/>
                <w:szCs w:val="16"/>
              </w:rPr>
            </w:pPr>
            <w:r w:rsidRPr="006F29FC">
              <w:rPr>
                <w:rFonts w:asciiTheme="majorHAnsi" w:hAnsiTheme="majorHAnsi"/>
                <w:color w:val="000000"/>
                <w:sz w:val="16"/>
                <w:szCs w:val="16"/>
              </w:rPr>
              <w:t>Grants</w:t>
            </w:r>
          </w:p>
        </w:tc>
        <w:tc>
          <w:tcPr>
            <w:tcW w:w="916" w:type="dxa"/>
            <w:tcBorders>
              <w:top w:val="nil"/>
              <w:left w:val="nil"/>
              <w:bottom w:val="single" w:sz="4" w:space="0" w:color="auto"/>
              <w:right w:val="single" w:sz="4" w:space="0" w:color="auto"/>
            </w:tcBorders>
            <w:noWrap/>
            <w:vAlign w:val="center"/>
            <w:hideMark/>
          </w:tcPr>
          <w:p w14:paraId="1C8D5F48" w14:textId="5A71BA80"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417.93</w:t>
            </w:r>
          </w:p>
        </w:tc>
        <w:tc>
          <w:tcPr>
            <w:tcW w:w="731" w:type="dxa"/>
            <w:tcBorders>
              <w:top w:val="nil"/>
              <w:left w:val="nil"/>
              <w:bottom w:val="single" w:sz="4" w:space="0" w:color="auto"/>
              <w:right w:val="single" w:sz="4" w:space="0" w:color="auto"/>
            </w:tcBorders>
            <w:noWrap/>
            <w:vAlign w:val="center"/>
            <w:hideMark/>
          </w:tcPr>
          <w:p w14:paraId="768D0187" w14:textId="77BD5F70"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599" w:type="dxa"/>
            <w:tcBorders>
              <w:top w:val="nil"/>
              <w:left w:val="nil"/>
              <w:bottom w:val="single" w:sz="4" w:space="0" w:color="auto"/>
              <w:right w:val="single" w:sz="4" w:space="0" w:color="auto"/>
            </w:tcBorders>
            <w:noWrap/>
            <w:vAlign w:val="center"/>
            <w:hideMark/>
          </w:tcPr>
          <w:p w14:paraId="1A8096F9" w14:textId="119ABD00"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912" w:type="dxa"/>
            <w:tcBorders>
              <w:top w:val="nil"/>
              <w:left w:val="nil"/>
              <w:bottom w:val="single" w:sz="4" w:space="0" w:color="auto"/>
              <w:right w:val="single" w:sz="4" w:space="0" w:color="auto"/>
            </w:tcBorders>
            <w:noWrap/>
            <w:vAlign w:val="center"/>
            <w:hideMark/>
          </w:tcPr>
          <w:p w14:paraId="522C9CE8" w14:textId="633EB289"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417.93</w:t>
            </w:r>
          </w:p>
        </w:tc>
        <w:tc>
          <w:tcPr>
            <w:tcW w:w="825" w:type="dxa"/>
            <w:tcBorders>
              <w:top w:val="nil"/>
              <w:left w:val="nil"/>
              <w:bottom w:val="single" w:sz="4" w:space="0" w:color="auto"/>
              <w:right w:val="single" w:sz="4" w:space="0" w:color="auto"/>
            </w:tcBorders>
            <w:noWrap/>
            <w:vAlign w:val="center"/>
            <w:hideMark/>
          </w:tcPr>
          <w:p w14:paraId="148C50F1" w14:textId="70A9D62F"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620" w:type="dxa"/>
            <w:tcBorders>
              <w:top w:val="nil"/>
              <w:left w:val="nil"/>
              <w:bottom w:val="single" w:sz="4" w:space="0" w:color="auto"/>
              <w:right w:val="single" w:sz="4" w:space="0" w:color="auto"/>
            </w:tcBorders>
            <w:noWrap/>
            <w:vAlign w:val="center"/>
            <w:hideMark/>
          </w:tcPr>
          <w:p w14:paraId="6609ED2A" w14:textId="6A11204D"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1029" w:type="dxa"/>
            <w:tcBorders>
              <w:top w:val="nil"/>
              <w:left w:val="nil"/>
              <w:bottom w:val="single" w:sz="4" w:space="0" w:color="auto"/>
              <w:right w:val="single" w:sz="4" w:space="0" w:color="auto"/>
            </w:tcBorders>
            <w:noWrap/>
            <w:vAlign w:val="center"/>
            <w:hideMark/>
          </w:tcPr>
          <w:p w14:paraId="25DC4644" w14:textId="60E290AB"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417.93</w:t>
            </w:r>
          </w:p>
        </w:tc>
        <w:tc>
          <w:tcPr>
            <w:tcW w:w="670" w:type="dxa"/>
            <w:tcBorders>
              <w:top w:val="nil"/>
              <w:left w:val="nil"/>
              <w:bottom w:val="single" w:sz="4" w:space="0" w:color="auto"/>
              <w:right w:val="single" w:sz="4" w:space="0" w:color="auto"/>
            </w:tcBorders>
            <w:noWrap/>
            <w:vAlign w:val="center"/>
            <w:hideMark/>
          </w:tcPr>
          <w:p w14:paraId="0E8068A9" w14:textId="6ED4DB1E" w:rsidR="002E7B3E" w:rsidRPr="002E7B3E" w:rsidRDefault="002E7B3E" w:rsidP="002E7B3E">
            <w:pPr>
              <w:contextualSpacing/>
              <w:jc w:val="center"/>
              <w:rPr>
                <w:rFonts w:asciiTheme="majorHAnsi" w:hAnsiTheme="majorHAnsi"/>
                <w:color w:val="000000"/>
                <w:sz w:val="16"/>
                <w:szCs w:val="16"/>
              </w:rPr>
            </w:pPr>
          </w:p>
        </w:tc>
        <w:tc>
          <w:tcPr>
            <w:tcW w:w="851" w:type="dxa"/>
            <w:tcBorders>
              <w:top w:val="nil"/>
              <w:left w:val="nil"/>
              <w:bottom w:val="single" w:sz="4" w:space="0" w:color="auto"/>
              <w:right w:val="single" w:sz="4" w:space="0" w:color="auto"/>
            </w:tcBorders>
            <w:noWrap/>
            <w:vAlign w:val="center"/>
            <w:hideMark/>
          </w:tcPr>
          <w:p w14:paraId="6F3BD995" w14:textId="76E6F66C" w:rsidR="002E7B3E" w:rsidRPr="002E7B3E" w:rsidRDefault="002E7B3E" w:rsidP="002E7B3E">
            <w:pPr>
              <w:contextualSpacing/>
              <w:jc w:val="center"/>
              <w:rPr>
                <w:rFonts w:asciiTheme="majorHAnsi" w:hAnsiTheme="majorHAnsi"/>
                <w:color w:val="000000"/>
                <w:sz w:val="16"/>
                <w:szCs w:val="16"/>
              </w:rPr>
            </w:pPr>
          </w:p>
        </w:tc>
        <w:tc>
          <w:tcPr>
            <w:tcW w:w="1029" w:type="dxa"/>
            <w:tcBorders>
              <w:top w:val="nil"/>
              <w:left w:val="nil"/>
              <w:bottom w:val="single" w:sz="4" w:space="0" w:color="auto"/>
              <w:right w:val="single" w:sz="4" w:space="0" w:color="auto"/>
            </w:tcBorders>
            <w:noWrap/>
            <w:vAlign w:val="center"/>
            <w:hideMark/>
          </w:tcPr>
          <w:p w14:paraId="66172030" w14:textId="2F25FBC9"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417.93</w:t>
            </w:r>
          </w:p>
        </w:tc>
      </w:tr>
      <w:tr w:rsidR="002E7B3E" w:rsidRPr="006F29FC" w14:paraId="7FAA11E6" w14:textId="77777777" w:rsidTr="002E7B3E">
        <w:trPr>
          <w:gridAfter w:val="1"/>
          <w:wAfter w:w="15" w:type="dxa"/>
          <w:trHeight w:val="285"/>
        </w:trPr>
        <w:tc>
          <w:tcPr>
            <w:tcW w:w="424" w:type="dxa"/>
            <w:tcBorders>
              <w:top w:val="nil"/>
              <w:left w:val="single" w:sz="4" w:space="0" w:color="auto"/>
              <w:bottom w:val="single" w:sz="4" w:space="0" w:color="auto"/>
              <w:right w:val="single" w:sz="4" w:space="0" w:color="auto"/>
            </w:tcBorders>
            <w:noWrap/>
            <w:vAlign w:val="center"/>
            <w:hideMark/>
          </w:tcPr>
          <w:p w14:paraId="09672AD3" w14:textId="77777777" w:rsidR="002E7B3E" w:rsidRPr="006F29FC" w:rsidRDefault="002E7B3E" w:rsidP="002E7B3E">
            <w:pPr>
              <w:contextualSpacing/>
              <w:jc w:val="center"/>
              <w:rPr>
                <w:rFonts w:asciiTheme="majorHAnsi" w:hAnsiTheme="majorHAnsi"/>
                <w:color w:val="000000"/>
                <w:sz w:val="16"/>
                <w:szCs w:val="16"/>
              </w:rPr>
            </w:pPr>
            <w:r>
              <w:rPr>
                <w:rFonts w:asciiTheme="majorHAnsi" w:hAnsiTheme="majorHAnsi"/>
                <w:color w:val="000000"/>
                <w:sz w:val="16"/>
                <w:szCs w:val="16"/>
              </w:rPr>
              <w:t>2</w:t>
            </w:r>
          </w:p>
        </w:tc>
        <w:tc>
          <w:tcPr>
            <w:tcW w:w="1638" w:type="dxa"/>
            <w:tcBorders>
              <w:top w:val="nil"/>
              <w:left w:val="nil"/>
              <w:bottom w:val="single" w:sz="4" w:space="0" w:color="auto"/>
              <w:right w:val="single" w:sz="4" w:space="0" w:color="auto"/>
            </w:tcBorders>
            <w:noWrap/>
            <w:vAlign w:val="center"/>
            <w:hideMark/>
          </w:tcPr>
          <w:p w14:paraId="55E2A36A" w14:textId="77777777" w:rsidR="002E7B3E" w:rsidRPr="006F29FC" w:rsidRDefault="002E7B3E" w:rsidP="002E7B3E">
            <w:pPr>
              <w:contextualSpacing/>
              <w:rPr>
                <w:rFonts w:asciiTheme="majorHAnsi" w:hAnsiTheme="majorHAnsi"/>
                <w:color w:val="000000"/>
                <w:sz w:val="16"/>
                <w:szCs w:val="16"/>
              </w:rPr>
            </w:pPr>
            <w:r w:rsidRPr="006F29FC">
              <w:rPr>
                <w:rFonts w:asciiTheme="majorHAnsi" w:hAnsiTheme="majorHAnsi"/>
                <w:color w:val="000000"/>
                <w:sz w:val="16"/>
                <w:szCs w:val="16"/>
              </w:rPr>
              <w:t>CC</w:t>
            </w:r>
          </w:p>
        </w:tc>
        <w:tc>
          <w:tcPr>
            <w:tcW w:w="916" w:type="dxa"/>
            <w:tcBorders>
              <w:top w:val="nil"/>
              <w:left w:val="nil"/>
              <w:bottom w:val="single" w:sz="4" w:space="0" w:color="auto"/>
              <w:right w:val="single" w:sz="4" w:space="0" w:color="auto"/>
            </w:tcBorders>
            <w:noWrap/>
            <w:vAlign w:val="center"/>
            <w:hideMark/>
          </w:tcPr>
          <w:p w14:paraId="72A3ED46" w14:textId="2CEC296B"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824.43</w:t>
            </w:r>
          </w:p>
        </w:tc>
        <w:tc>
          <w:tcPr>
            <w:tcW w:w="731" w:type="dxa"/>
            <w:tcBorders>
              <w:top w:val="nil"/>
              <w:left w:val="nil"/>
              <w:bottom w:val="single" w:sz="4" w:space="0" w:color="auto"/>
              <w:right w:val="single" w:sz="4" w:space="0" w:color="auto"/>
            </w:tcBorders>
            <w:noWrap/>
            <w:vAlign w:val="center"/>
            <w:hideMark/>
          </w:tcPr>
          <w:p w14:paraId="15D2997B" w14:textId="70C47240"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599" w:type="dxa"/>
            <w:tcBorders>
              <w:top w:val="nil"/>
              <w:left w:val="nil"/>
              <w:bottom w:val="single" w:sz="4" w:space="0" w:color="auto"/>
              <w:right w:val="single" w:sz="4" w:space="0" w:color="auto"/>
            </w:tcBorders>
            <w:noWrap/>
            <w:vAlign w:val="center"/>
            <w:hideMark/>
          </w:tcPr>
          <w:p w14:paraId="4B56D1AF" w14:textId="69C637AF"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1.91</w:t>
            </w:r>
          </w:p>
        </w:tc>
        <w:tc>
          <w:tcPr>
            <w:tcW w:w="912" w:type="dxa"/>
            <w:tcBorders>
              <w:top w:val="nil"/>
              <w:left w:val="nil"/>
              <w:bottom w:val="single" w:sz="4" w:space="0" w:color="auto"/>
              <w:right w:val="single" w:sz="4" w:space="0" w:color="auto"/>
            </w:tcBorders>
            <w:noWrap/>
            <w:vAlign w:val="center"/>
            <w:hideMark/>
          </w:tcPr>
          <w:p w14:paraId="5CB703C9" w14:textId="33A44FED"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822.53</w:t>
            </w:r>
          </w:p>
        </w:tc>
        <w:tc>
          <w:tcPr>
            <w:tcW w:w="825" w:type="dxa"/>
            <w:tcBorders>
              <w:top w:val="nil"/>
              <w:left w:val="nil"/>
              <w:bottom w:val="single" w:sz="4" w:space="0" w:color="auto"/>
              <w:right w:val="single" w:sz="4" w:space="0" w:color="auto"/>
            </w:tcBorders>
            <w:noWrap/>
            <w:vAlign w:val="center"/>
            <w:hideMark/>
          </w:tcPr>
          <w:p w14:paraId="74190E5B" w14:textId="75F3CCB3"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620" w:type="dxa"/>
            <w:tcBorders>
              <w:top w:val="nil"/>
              <w:left w:val="nil"/>
              <w:bottom w:val="single" w:sz="4" w:space="0" w:color="auto"/>
              <w:right w:val="single" w:sz="4" w:space="0" w:color="auto"/>
            </w:tcBorders>
            <w:noWrap/>
            <w:vAlign w:val="center"/>
            <w:hideMark/>
          </w:tcPr>
          <w:p w14:paraId="0048BF2F" w14:textId="2F45836D"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2.54</w:t>
            </w:r>
          </w:p>
        </w:tc>
        <w:tc>
          <w:tcPr>
            <w:tcW w:w="1029" w:type="dxa"/>
            <w:tcBorders>
              <w:top w:val="nil"/>
              <w:left w:val="nil"/>
              <w:bottom w:val="single" w:sz="4" w:space="0" w:color="auto"/>
              <w:right w:val="single" w:sz="4" w:space="0" w:color="auto"/>
            </w:tcBorders>
            <w:noWrap/>
            <w:vAlign w:val="center"/>
            <w:hideMark/>
          </w:tcPr>
          <w:p w14:paraId="01DB26F3" w14:textId="714DDE49"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819.99</w:t>
            </w:r>
          </w:p>
        </w:tc>
        <w:tc>
          <w:tcPr>
            <w:tcW w:w="670" w:type="dxa"/>
            <w:tcBorders>
              <w:top w:val="nil"/>
              <w:left w:val="nil"/>
              <w:bottom w:val="single" w:sz="4" w:space="0" w:color="auto"/>
              <w:right w:val="single" w:sz="4" w:space="0" w:color="auto"/>
            </w:tcBorders>
            <w:noWrap/>
            <w:vAlign w:val="center"/>
            <w:hideMark/>
          </w:tcPr>
          <w:p w14:paraId="4F71E695" w14:textId="53558E67" w:rsidR="002E7B3E" w:rsidRPr="002E7B3E" w:rsidRDefault="002E7B3E" w:rsidP="002E7B3E">
            <w:pPr>
              <w:contextualSpacing/>
              <w:jc w:val="center"/>
              <w:rPr>
                <w:rFonts w:asciiTheme="majorHAnsi" w:hAnsiTheme="majorHAnsi"/>
                <w:color w:val="000000"/>
                <w:sz w:val="16"/>
                <w:szCs w:val="16"/>
              </w:rPr>
            </w:pPr>
          </w:p>
        </w:tc>
        <w:tc>
          <w:tcPr>
            <w:tcW w:w="851" w:type="dxa"/>
            <w:tcBorders>
              <w:top w:val="nil"/>
              <w:left w:val="nil"/>
              <w:bottom w:val="single" w:sz="4" w:space="0" w:color="auto"/>
              <w:right w:val="single" w:sz="4" w:space="0" w:color="auto"/>
            </w:tcBorders>
            <w:noWrap/>
            <w:vAlign w:val="center"/>
            <w:hideMark/>
          </w:tcPr>
          <w:p w14:paraId="5FA7D415" w14:textId="34CD8F44"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18.37</w:t>
            </w:r>
          </w:p>
        </w:tc>
        <w:tc>
          <w:tcPr>
            <w:tcW w:w="1029" w:type="dxa"/>
            <w:tcBorders>
              <w:top w:val="nil"/>
              <w:left w:val="nil"/>
              <w:bottom w:val="single" w:sz="4" w:space="0" w:color="auto"/>
              <w:right w:val="single" w:sz="4" w:space="0" w:color="auto"/>
            </w:tcBorders>
            <w:noWrap/>
            <w:vAlign w:val="center"/>
            <w:hideMark/>
          </w:tcPr>
          <w:p w14:paraId="44800E1C" w14:textId="44BB68C6"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801.63</w:t>
            </w:r>
          </w:p>
        </w:tc>
      </w:tr>
      <w:tr w:rsidR="002E7B3E" w:rsidRPr="006F29FC" w14:paraId="2DB16357" w14:textId="77777777" w:rsidTr="002E7B3E">
        <w:trPr>
          <w:gridAfter w:val="1"/>
          <w:wAfter w:w="15" w:type="dxa"/>
          <w:trHeight w:val="285"/>
        </w:trPr>
        <w:tc>
          <w:tcPr>
            <w:tcW w:w="424" w:type="dxa"/>
            <w:tcBorders>
              <w:top w:val="nil"/>
              <w:left w:val="single" w:sz="4" w:space="0" w:color="auto"/>
              <w:bottom w:val="single" w:sz="4" w:space="0" w:color="auto"/>
              <w:right w:val="single" w:sz="4" w:space="0" w:color="auto"/>
            </w:tcBorders>
            <w:noWrap/>
            <w:vAlign w:val="center"/>
            <w:hideMark/>
          </w:tcPr>
          <w:p w14:paraId="3A7D9A91" w14:textId="77777777" w:rsidR="002E7B3E" w:rsidRPr="006F29FC" w:rsidRDefault="002E7B3E" w:rsidP="002E7B3E">
            <w:pPr>
              <w:contextualSpacing/>
              <w:jc w:val="center"/>
              <w:rPr>
                <w:rFonts w:asciiTheme="majorHAnsi" w:hAnsiTheme="majorHAnsi"/>
                <w:color w:val="000000"/>
                <w:sz w:val="16"/>
                <w:szCs w:val="16"/>
              </w:rPr>
            </w:pPr>
            <w:r>
              <w:rPr>
                <w:rFonts w:asciiTheme="majorHAnsi" w:hAnsiTheme="majorHAnsi"/>
                <w:color w:val="000000"/>
                <w:sz w:val="16"/>
                <w:szCs w:val="16"/>
              </w:rPr>
              <w:t>3</w:t>
            </w:r>
          </w:p>
        </w:tc>
        <w:tc>
          <w:tcPr>
            <w:tcW w:w="1638" w:type="dxa"/>
            <w:tcBorders>
              <w:top w:val="nil"/>
              <w:left w:val="nil"/>
              <w:bottom w:val="single" w:sz="4" w:space="0" w:color="auto"/>
              <w:right w:val="single" w:sz="4" w:space="0" w:color="auto"/>
            </w:tcBorders>
            <w:noWrap/>
            <w:vAlign w:val="center"/>
            <w:hideMark/>
          </w:tcPr>
          <w:p w14:paraId="7F9F89CF" w14:textId="77777777" w:rsidR="002E7B3E" w:rsidRPr="006F29FC" w:rsidRDefault="002E7B3E" w:rsidP="002E7B3E">
            <w:pPr>
              <w:contextualSpacing/>
              <w:rPr>
                <w:rFonts w:asciiTheme="majorHAnsi" w:hAnsiTheme="majorHAnsi"/>
                <w:color w:val="000000"/>
                <w:sz w:val="16"/>
                <w:szCs w:val="16"/>
              </w:rPr>
            </w:pPr>
            <w:r w:rsidRPr="006F29FC">
              <w:rPr>
                <w:rFonts w:asciiTheme="majorHAnsi" w:hAnsiTheme="majorHAnsi"/>
                <w:color w:val="000000"/>
                <w:sz w:val="16"/>
                <w:szCs w:val="16"/>
              </w:rPr>
              <w:t>Own Fund</w:t>
            </w:r>
          </w:p>
        </w:tc>
        <w:tc>
          <w:tcPr>
            <w:tcW w:w="916" w:type="dxa"/>
            <w:tcBorders>
              <w:top w:val="nil"/>
              <w:left w:val="nil"/>
              <w:bottom w:val="single" w:sz="4" w:space="0" w:color="auto"/>
              <w:right w:val="single" w:sz="4" w:space="0" w:color="auto"/>
            </w:tcBorders>
            <w:noWrap/>
            <w:vAlign w:val="center"/>
            <w:hideMark/>
          </w:tcPr>
          <w:p w14:paraId="2676C1F0" w14:textId="35C2BF2B"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720.94</w:t>
            </w:r>
          </w:p>
        </w:tc>
        <w:tc>
          <w:tcPr>
            <w:tcW w:w="731" w:type="dxa"/>
            <w:tcBorders>
              <w:top w:val="nil"/>
              <w:left w:val="nil"/>
              <w:bottom w:val="single" w:sz="4" w:space="0" w:color="auto"/>
              <w:right w:val="single" w:sz="4" w:space="0" w:color="auto"/>
            </w:tcBorders>
            <w:noWrap/>
            <w:vAlign w:val="center"/>
            <w:hideMark/>
          </w:tcPr>
          <w:p w14:paraId="34FAD1DB" w14:textId="0B2CA71F" w:rsidR="002E7B3E" w:rsidRPr="002E7B3E" w:rsidRDefault="002E7B3E" w:rsidP="002E7B3E">
            <w:pPr>
              <w:contextualSpacing/>
              <w:jc w:val="center"/>
              <w:rPr>
                <w:rFonts w:asciiTheme="majorHAnsi" w:hAnsiTheme="majorHAnsi"/>
                <w:color w:val="000000"/>
                <w:sz w:val="16"/>
                <w:szCs w:val="16"/>
              </w:rPr>
            </w:pPr>
          </w:p>
        </w:tc>
        <w:tc>
          <w:tcPr>
            <w:tcW w:w="599" w:type="dxa"/>
            <w:tcBorders>
              <w:top w:val="nil"/>
              <w:left w:val="nil"/>
              <w:bottom w:val="single" w:sz="4" w:space="0" w:color="auto"/>
              <w:right w:val="single" w:sz="4" w:space="0" w:color="auto"/>
            </w:tcBorders>
            <w:noWrap/>
            <w:vAlign w:val="center"/>
            <w:hideMark/>
          </w:tcPr>
          <w:p w14:paraId="155184D8" w14:textId="59CC1C3C"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0.20</w:t>
            </w:r>
          </w:p>
        </w:tc>
        <w:tc>
          <w:tcPr>
            <w:tcW w:w="912" w:type="dxa"/>
            <w:tcBorders>
              <w:top w:val="nil"/>
              <w:left w:val="nil"/>
              <w:bottom w:val="single" w:sz="4" w:space="0" w:color="auto"/>
              <w:right w:val="single" w:sz="4" w:space="0" w:color="auto"/>
            </w:tcBorders>
            <w:noWrap/>
            <w:vAlign w:val="center"/>
            <w:hideMark/>
          </w:tcPr>
          <w:p w14:paraId="7362147A" w14:textId="4A2DC4DF"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720.74</w:t>
            </w:r>
          </w:p>
        </w:tc>
        <w:tc>
          <w:tcPr>
            <w:tcW w:w="825" w:type="dxa"/>
            <w:tcBorders>
              <w:top w:val="nil"/>
              <w:left w:val="nil"/>
              <w:bottom w:val="single" w:sz="4" w:space="0" w:color="auto"/>
              <w:right w:val="single" w:sz="4" w:space="0" w:color="auto"/>
            </w:tcBorders>
            <w:noWrap/>
            <w:vAlign w:val="center"/>
            <w:hideMark/>
          </w:tcPr>
          <w:p w14:paraId="14B88D80" w14:textId="1E4C62A2"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w:t>
            </w:r>
          </w:p>
        </w:tc>
        <w:tc>
          <w:tcPr>
            <w:tcW w:w="620" w:type="dxa"/>
            <w:tcBorders>
              <w:top w:val="nil"/>
              <w:left w:val="nil"/>
              <w:bottom w:val="single" w:sz="4" w:space="0" w:color="auto"/>
              <w:right w:val="single" w:sz="4" w:space="0" w:color="auto"/>
            </w:tcBorders>
            <w:noWrap/>
            <w:vAlign w:val="center"/>
            <w:hideMark/>
          </w:tcPr>
          <w:p w14:paraId="071920AD" w14:textId="45CE1473"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1.09</w:t>
            </w:r>
          </w:p>
        </w:tc>
        <w:tc>
          <w:tcPr>
            <w:tcW w:w="1029" w:type="dxa"/>
            <w:tcBorders>
              <w:top w:val="nil"/>
              <w:left w:val="nil"/>
              <w:bottom w:val="single" w:sz="4" w:space="0" w:color="auto"/>
              <w:right w:val="single" w:sz="4" w:space="0" w:color="auto"/>
            </w:tcBorders>
            <w:noWrap/>
            <w:vAlign w:val="center"/>
            <w:hideMark/>
          </w:tcPr>
          <w:p w14:paraId="6A0730A9" w14:textId="49FBA881"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719.65</w:t>
            </w:r>
          </w:p>
        </w:tc>
        <w:tc>
          <w:tcPr>
            <w:tcW w:w="670" w:type="dxa"/>
            <w:tcBorders>
              <w:top w:val="nil"/>
              <w:left w:val="nil"/>
              <w:bottom w:val="single" w:sz="4" w:space="0" w:color="auto"/>
              <w:right w:val="single" w:sz="4" w:space="0" w:color="auto"/>
            </w:tcBorders>
            <w:noWrap/>
            <w:vAlign w:val="center"/>
            <w:hideMark/>
          </w:tcPr>
          <w:p w14:paraId="30E2BCDB" w14:textId="567C3534" w:rsidR="002E7B3E" w:rsidRPr="002E7B3E" w:rsidRDefault="002E7B3E" w:rsidP="002E7B3E">
            <w:pPr>
              <w:contextualSpacing/>
              <w:jc w:val="center"/>
              <w:rPr>
                <w:rFonts w:asciiTheme="majorHAnsi" w:hAnsiTheme="majorHAnsi"/>
                <w:color w:val="000000"/>
                <w:sz w:val="16"/>
                <w:szCs w:val="16"/>
              </w:rPr>
            </w:pPr>
          </w:p>
        </w:tc>
        <w:tc>
          <w:tcPr>
            <w:tcW w:w="851" w:type="dxa"/>
            <w:tcBorders>
              <w:top w:val="nil"/>
              <w:left w:val="nil"/>
              <w:bottom w:val="single" w:sz="4" w:space="0" w:color="auto"/>
              <w:right w:val="single" w:sz="4" w:space="0" w:color="auto"/>
            </w:tcBorders>
            <w:noWrap/>
            <w:vAlign w:val="center"/>
            <w:hideMark/>
          </w:tcPr>
          <w:p w14:paraId="0573E1E6" w14:textId="288A1E64"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4.89</w:t>
            </w:r>
          </w:p>
        </w:tc>
        <w:tc>
          <w:tcPr>
            <w:tcW w:w="1029" w:type="dxa"/>
            <w:tcBorders>
              <w:top w:val="nil"/>
              <w:left w:val="nil"/>
              <w:bottom w:val="single" w:sz="4" w:space="0" w:color="auto"/>
              <w:right w:val="single" w:sz="4" w:space="0" w:color="auto"/>
            </w:tcBorders>
            <w:noWrap/>
            <w:vAlign w:val="center"/>
            <w:hideMark/>
          </w:tcPr>
          <w:p w14:paraId="49ADDAD8" w14:textId="41B17024" w:rsidR="002E7B3E" w:rsidRPr="002E7B3E" w:rsidRDefault="002E7B3E" w:rsidP="002E7B3E">
            <w:pPr>
              <w:contextualSpacing/>
              <w:jc w:val="center"/>
              <w:rPr>
                <w:rFonts w:asciiTheme="majorHAnsi" w:hAnsiTheme="majorHAnsi"/>
                <w:color w:val="000000"/>
                <w:sz w:val="16"/>
                <w:szCs w:val="16"/>
              </w:rPr>
            </w:pPr>
            <w:r w:rsidRPr="002E7B3E">
              <w:rPr>
                <w:rFonts w:asciiTheme="majorHAnsi" w:hAnsiTheme="majorHAnsi" w:cs="Arial"/>
                <w:color w:val="000000"/>
                <w:sz w:val="16"/>
                <w:szCs w:val="16"/>
              </w:rPr>
              <w:t>714.76</w:t>
            </w:r>
          </w:p>
        </w:tc>
      </w:tr>
      <w:tr w:rsidR="002E7B3E" w:rsidRPr="006F29FC" w14:paraId="00009B0B" w14:textId="77777777" w:rsidTr="002E7B3E">
        <w:trPr>
          <w:gridAfter w:val="1"/>
          <w:wAfter w:w="15" w:type="dxa"/>
          <w:trHeight w:val="285"/>
        </w:trPr>
        <w:tc>
          <w:tcPr>
            <w:tcW w:w="424" w:type="dxa"/>
            <w:tcBorders>
              <w:top w:val="nil"/>
              <w:left w:val="single" w:sz="4" w:space="0" w:color="auto"/>
              <w:bottom w:val="single" w:sz="4" w:space="0" w:color="auto"/>
              <w:right w:val="single" w:sz="4" w:space="0" w:color="auto"/>
            </w:tcBorders>
            <w:noWrap/>
            <w:vAlign w:val="center"/>
            <w:hideMark/>
          </w:tcPr>
          <w:p w14:paraId="07925170" w14:textId="5A04FB03" w:rsidR="002E7B3E" w:rsidRPr="006F29FC" w:rsidRDefault="002E7B3E" w:rsidP="002E7B3E">
            <w:pPr>
              <w:contextualSpacing/>
              <w:jc w:val="center"/>
              <w:rPr>
                <w:rFonts w:asciiTheme="majorHAnsi" w:hAnsiTheme="majorHAnsi"/>
                <w:b/>
                <w:bCs/>
                <w:color w:val="000000"/>
                <w:sz w:val="16"/>
                <w:szCs w:val="16"/>
              </w:rPr>
            </w:pPr>
            <w:r>
              <w:rPr>
                <w:rFonts w:asciiTheme="majorHAnsi" w:hAnsiTheme="majorHAnsi"/>
                <w:b/>
                <w:bCs/>
                <w:color w:val="000000"/>
                <w:sz w:val="16"/>
                <w:szCs w:val="16"/>
              </w:rPr>
              <w:t>4</w:t>
            </w:r>
          </w:p>
        </w:tc>
        <w:tc>
          <w:tcPr>
            <w:tcW w:w="1638" w:type="dxa"/>
            <w:tcBorders>
              <w:top w:val="nil"/>
              <w:left w:val="nil"/>
              <w:bottom w:val="single" w:sz="4" w:space="0" w:color="auto"/>
              <w:right w:val="single" w:sz="4" w:space="0" w:color="auto"/>
            </w:tcBorders>
            <w:noWrap/>
            <w:vAlign w:val="bottom"/>
            <w:hideMark/>
          </w:tcPr>
          <w:p w14:paraId="134AE32C" w14:textId="77777777" w:rsidR="002E7B3E" w:rsidRPr="006F29FC" w:rsidRDefault="002E7B3E" w:rsidP="002E7B3E">
            <w:pPr>
              <w:contextualSpacing/>
              <w:rPr>
                <w:rFonts w:asciiTheme="majorHAnsi" w:hAnsiTheme="majorHAnsi"/>
                <w:b/>
                <w:bCs/>
                <w:color w:val="000000"/>
                <w:sz w:val="16"/>
                <w:szCs w:val="16"/>
              </w:rPr>
            </w:pPr>
            <w:r w:rsidRPr="006F29FC">
              <w:rPr>
                <w:rFonts w:asciiTheme="majorHAnsi" w:hAnsiTheme="majorHAnsi"/>
                <w:b/>
                <w:bCs/>
                <w:color w:val="000000"/>
                <w:sz w:val="16"/>
                <w:szCs w:val="16"/>
              </w:rPr>
              <w:t>Total TPWODL</w:t>
            </w:r>
          </w:p>
        </w:tc>
        <w:tc>
          <w:tcPr>
            <w:tcW w:w="916" w:type="dxa"/>
            <w:tcBorders>
              <w:top w:val="nil"/>
              <w:left w:val="nil"/>
              <w:bottom w:val="single" w:sz="4" w:space="0" w:color="auto"/>
              <w:right w:val="single" w:sz="4" w:space="0" w:color="auto"/>
            </w:tcBorders>
            <w:noWrap/>
            <w:vAlign w:val="center"/>
            <w:hideMark/>
          </w:tcPr>
          <w:p w14:paraId="3AF9CC47" w14:textId="4B97ECF0"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1,963.31</w:t>
            </w:r>
          </w:p>
        </w:tc>
        <w:tc>
          <w:tcPr>
            <w:tcW w:w="731" w:type="dxa"/>
            <w:tcBorders>
              <w:top w:val="nil"/>
              <w:left w:val="nil"/>
              <w:bottom w:val="single" w:sz="4" w:space="0" w:color="auto"/>
              <w:right w:val="single" w:sz="4" w:space="0" w:color="auto"/>
            </w:tcBorders>
            <w:noWrap/>
            <w:vAlign w:val="center"/>
            <w:hideMark/>
          </w:tcPr>
          <w:p w14:paraId="1C1E899A" w14:textId="52095A94"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w:t>
            </w:r>
          </w:p>
        </w:tc>
        <w:tc>
          <w:tcPr>
            <w:tcW w:w="599" w:type="dxa"/>
            <w:tcBorders>
              <w:top w:val="nil"/>
              <w:left w:val="nil"/>
              <w:bottom w:val="single" w:sz="4" w:space="0" w:color="auto"/>
              <w:right w:val="single" w:sz="4" w:space="0" w:color="auto"/>
            </w:tcBorders>
            <w:noWrap/>
            <w:vAlign w:val="center"/>
            <w:hideMark/>
          </w:tcPr>
          <w:p w14:paraId="5A918933" w14:textId="1F6F4F78"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2.10</w:t>
            </w:r>
          </w:p>
        </w:tc>
        <w:tc>
          <w:tcPr>
            <w:tcW w:w="912" w:type="dxa"/>
            <w:tcBorders>
              <w:top w:val="nil"/>
              <w:left w:val="nil"/>
              <w:bottom w:val="single" w:sz="4" w:space="0" w:color="auto"/>
              <w:right w:val="single" w:sz="4" w:space="0" w:color="auto"/>
            </w:tcBorders>
            <w:noWrap/>
            <w:vAlign w:val="center"/>
            <w:hideMark/>
          </w:tcPr>
          <w:p w14:paraId="1C494278" w14:textId="5003DCEB"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1,961.20</w:t>
            </w:r>
          </w:p>
        </w:tc>
        <w:tc>
          <w:tcPr>
            <w:tcW w:w="825" w:type="dxa"/>
            <w:tcBorders>
              <w:top w:val="nil"/>
              <w:left w:val="nil"/>
              <w:bottom w:val="single" w:sz="4" w:space="0" w:color="auto"/>
              <w:right w:val="single" w:sz="4" w:space="0" w:color="auto"/>
            </w:tcBorders>
            <w:noWrap/>
            <w:vAlign w:val="center"/>
            <w:hideMark/>
          </w:tcPr>
          <w:p w14:paraId="4187C05F" w14:textId="6E0657FA"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w:t>
            </w:r>
          </w:p>
        </w:tc>
        <w:tc>
          <w:tcPr>
            <w:tcW w:w="620" w:type="dxa"/>
            <w:tcBorders>
              <w:top w:val="nil"/>
              <w:left w:val="nil"/>
              <w:bottom w:val="single" w:sz="4" w:space="0" w:color="auto"/>
              <w:right w:val="single" w:sz="4" w:space="0" w:color="auto"/>
            </w:tcBorders>
            <w:noWrap/>
            <w:vAlign w:val="center"/>
            <w:hideMark/>
          </w:tcPr>
          <w:p w14:paraId="0FEBE0FE" w14:textId="729E94CE"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3.63</w:t>
            </w:r>
          </w:p>
        </w:tc>
        <w:tc>
          <w:tcPr>
            <w:tcW w:w="1029" w:type="dxa"/>
            <w:tcBorders>
              <w:top w:val="nil"/>
              <w:left w:val="nil"/>
              <w:bottom w:val="single" w:sz="4" w:space="0" w:color="auto"/>
              <w:right w:val="single" w:sz="4" w:space="0" w:color="auto"/>
            </w:tcBorders>
            <w:noWrap/>
            <w:vAlign w:val="center"/>
            <w:hideMark/>
          </w:tcPr>
          <w:p w14:paraId="67233A00" w14:textId="7A06F200"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1,957.57</w:t>
            </w:r>
          </w:p>
        </w:tc>
        <w:tc>
          <w:tcPr>
            <w:tcW w:w="670" w:type="dxa"/>
            <w:tcBorders>
              <w:top w:val="nil"/>
              <w:left w:val="nil"/>
              <w:bottom w:val="single" w:sz="4" w:space="0" w:color="auto"/>
              <w:right w:val="single" w:sz="4" w:space="0" w:color="auto"/>
            </w:tcBorders>
            <w:noWrap/>
            <w:vAlign w:val="center"/>
            <w:hideMark/>
          </w:tcPr>
          <w:p w14:paraId="4D750803" w14:textId="5B2DBBBD"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w:t>
            </w:r>
          </w:p>
        </w:tc>
        <w:tc>
          <w:tcPr>
            <w:tcW w:w="851" w:type="dxa"/>
            <w:tcBorders>
              <w:top w:val="nil"/>
              <w:left w:val="nil"/>
              <w:bottom w:val="single" w:sz="4" w:space="0" w:color="auto"/>
              <w:right w:val="single" w:sz="4" w:space="0" w:color="auto"/>
            </w:tcBorders>
            <w:noWrap/>
            <w:vAlign w:val="center"/>
            <w:hideMark/>
          </w:tcPr>
          <w:p w14:paraId="1DC13827" w14:textId="73E756EE"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23.26</w:t>
            </w:r>
          </w:p>
        </w:tc>
        <w:tc>
          <w:tcPr>
            <w:tcW w:w="1029" w:type="dxa"/>
            <w:tcBorders>
              <w:top w:val="nil"/>
              <w:left w:val="nil"/>
              <w:bottom w:val="single" w:sz="4" w:space="0" w:color="auto"/>
              <w:right w:val="single" w:sz="4" w:space="0" w:color="auto"/>
            </w:tcBorders>
            <w:noWrap/>
            <w:vAlign w:val="center"/>
            <w:hideMark/>
          </w:tcPr>
          <w:p w14:paraId="1893FA93" w14:textId="26EEF903" w:rsidR="002E7B3E" w:rsidRPr="002E7B3E" w:rsidRDefault="002E7B3E" w:rsidP="002E7B3E">
            <w:pPr>
              <w:contextualSpacing/>
              <w:jc w:val="center"/>
              <w:rPr>
                <w:rFonts w:asciiTheme="majorHAnsi" w:hAnsiTheme="majorHAnsi"/>
                <w:b/>
                <w:bCs/>
                <w:color w:val="000000"/>
                <w:sz w:val="16"/>
                <w:szCs w:val="16"/>
              </w:rPr>
            </w:pPr>
            <w:r w:rsidRPr="002E7B3E">
              <w:rPr>
                <w:rFonts w:asciiTheme="majorHAnsi" w:hAnsiTheme="majorHAnsi" w:cs="Arial"/>
                <w:b/>
                <w:bCs/>
                <w:color w:val="000000"/>
                <w:sz w:val="16"/>
                <w:szCs w:val="16"/>
              </w:rPr>
              <w:t>1,934.32</w:t>
            </w:r>
          </w:p>
        </w:tc>
      </w:tr>
    </w:tbl>
    <w:p w14:paraId="4DBA1581" w14:textId="77777777" w:rsidR="00915881" w:rsidRDefault="00915881" w:rsidP="00291FAE">
      <w:pPr>
        <w:pStyle w:val="ListParagraph"/>
        <w:spacing w:after="160" w:line="360" w:lineRule="auto"/>
        <w:ind w:left="284"/>
        <w:jc w:val="both"/>
        <w:rPr>
          <w:rFonts w:ascii="Cambria" w:hAnsi="Cambria"/>
          <w:b/>
          <w:bCs/>
          <w:u w:val="single"/>
        </w:rPr>
      </w:pPr>
    </w:p>
    <w:p w14:paraId="257B46A8" w14:textId="77777777" w:rsidR="00361EBF" w:rsidRDefault="00361EBF" w:rsidP="00291FAE">
      <w:pPr>
        <w:pStyle w:val="ListParagraph"/>
        <w:spacing w:after="160" w:line="360" w:lineRule="auto"/>
        <w:ind w:left="284"/>
        <w:jc w:val="both"/>
        <w:rPr>
          <w:rFonts w:ascii="Cambria" w:hAnsi="Cambria"/>
          <w:b/>
          <w:bCs/>
          <w:u w:val="single"/>
        </w:rPr>
      </w:pPr>
    </w:p>
    <w:p w14:paraId="451B7A8C" w14:textId="77777777" w:rsidR="00361EBF" w:rsidRDefault="00361EBF" w:rsidP="00291FAE">
      <w:pPr>
        <w:pStyle w:val="ListParagraph"/>
        <w:spacing w:after="160" w:line="360" w:lineRule="auto"/>
        <w:ind w:left="284"/>
        <w:jc w:val="both"/>
        <w:rPr>
          <w:rFonts w:ascii="Cambria" w:hAnsi="Cambria"/>
          <w:b/>
          <w:bCs/>
          <w:u w:val="single"/>
        </w:rPr>
      </w:pPr>
    </w:p>
    <w:p w14:paraId="10461368" w14:textId="77777777" w:rsidR="00361EBF" w:rsidRDefault="00361EBF" w:rsidP="00291FAE">
      <w:pPr>
        <w:pStyle w:val="ListParagraph"/>
        <w:spacing w:after="160" w:line="360" w:lineRule="auto"/>
        <w:ind w:left="284"/>
        <w:jc w:val="both"/>
        <w:rPr>
          <w:rFonts w:ascii="Cambria" w:hAnsi="Cambria"/>
          <w:b/>
          <w:bCs/>
          <w:u w:val="single"/>
        </w:rPr>
      </w:pPr>
    </w:p>
    <w:p w14:paraId="5733A62A" w14:textId="77777777" w:rsidR="00361EBF" w:rsidRDefault="00361EBF" w:rsidP="00291FAE">
      <w:pPr>
        <w:pStyle w:val="ListParagraph"/>
        <w:spacing w:after="160" w:line="360" w:lineRule="auto"/>
        <w:ind w:left="284"/>
        <w:jc w:val="both"/>
        <w:rPr>
          <w:rFonts w:ascii="Cambria" w:hAnsi="Cambria"/>
          <w:b/>
          <w:bCs/>
          <w:u w:val="single"/>
        </w:rPr>
      </w:pPr>
    </w:p>
    <w:p w14:paraId="3E0B3BD2" w14:textId="77777777" w:rsidR="00361EBF" w:rsidRDefault="00361EBF" w:rsidP="00291FAE">
      <w:pPr>
        <w:pStyle w:val="ListParagraph"/>
        <w:spacing w:after="160" w:line="360" w:lineRule="auto"/>
        <w:ind w:left="284"/>
        <w:jc w:val="both"/>
        <w:rPr>
          <w:rFonts w:ascii="Cambria" w:hAnsi="Cambria"/>
          <w:b/>
          <w:bCs/>
          <w:u w:val="single"/>
        </w:rPr>
      </w:pPr>
    </w:p>
    <w:p w14:paraId="42F9890C" w14:textId="5419E22A" w:rsidR="0026616B" w:rsidRPr="00361EBF" w:rsidRDefault="00361EBF" w:rsidP="00291FAE">
      <w:pPr>
        <w:pStyle w:val="ListParagraph"/>
        <w:spacing w:after="160" w:line="360" w:lineRule="auto"/>
        <w:ind w:left="284"/>
        <w:jc w:val="both"/>
        <w:rPr>
          <w:rFonts w:ascii="Cambria" w:hAnsi="Cambria"/>
          <w:b/>
          <w:bCs/>
          <w:sz w:val="24"/>
          <w:u w:val="single"/>
        </w:rPr>
      </w:pPr>
      <w:r w:rsidRPr="00361EBF">
        <w:rPr>
          <w:rFonts w:ascii="Cambria" w:hAnsi="Cambria"/>
          <w:b/>
          <w:bCs/>
          <w:sz w:val="24"/>
          <w:u w:val="single"/>
        </w:rPr>
        <w:t>D</w:t>
      </w:r>
      <w:r w:rsidR="0026616B" w:rsidRPr="00361EBF">
        <w:rPr>
          <w:rFonts w:ascii="Cambria" w:hAnsi="Cambria"/>
          <w:b/>
          <w:bCs/>
          <w:sz w:val="24"/>
          <w:u w:val="single"/>
        </w:rPr>
        <w:t>ecapitalized</w:t>
      </w:r>
      <w:r w:rsidRPr="00361EBF">
        <w:rPr>
          <w:rFonts w:ascii="Cambria" w:hAnsi="Cambria"/>
          <w:b/>
          <w:bCs/>
          <w:sz w:val="24"/>
          <w:u w:val="single"/>
        </w:rPr>
        <w:t xml:space="preserve"> Assets</w:t>
      </w:r>
      <w:r w:rsidR="0026616B" w:rsidRPr="00361EBF">
        <w:rPr>
          <w:rFonts w:ascii="Cambria" w:hAnsi="Cambria"/>
          <w:b/>
          <w:bCs/>
          <w:sz w:val="24"/>
          <w:u w:val="single"/>
        </w:rPr>
        <w:t xml:space="preserve"> details:</w:t>
      </w:r>
    </w:p>
    <w:p w14:paraId="7A0B61C1" w14:textId="77777777" w:rsidR="0026616B" w:rsidRPr="008F5AAF" w:rsidRDefault="0026616B" w:rsidP="005C6D28">
      <w:pPr>
        <w:pStyle w:val="ListParagraph"/>
        <w:spacing w:after="160" w:line="360" w:lineRule="auto"/>
        <w:ind w:left="0"/>
        <w:jc w:val="both"/>
        <w:rPr>
          <w:rFonts w:ascii="Cambria" w:hAnsi="Cambria"/>
        </w:rPr>
      </w:pPr>
      <w:r w:rsidRPr="002A3D7E">
        <w:rPr>
          <w:noProof/>
        </w:rPr>
        <w:drawing>
          <wp:inline distT="0" distB="0" distL="0" distR="0" wp14:anchorId="687E073C" wp14:editId="07E17D60">
            <wp:extent cx="5636260" cy="5194300"/>
            <wp:effectExtent l="0" t="0" r="2540" b="0"/>
            <wp:docPr id="15265668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36260" cy="5194300"/>
                    </a:xfrm>
                    <a:prstGeom prst="rect">
                      <a:avLst/>
                    </a:prstGeom>
                    <a:noFill/>
                    <a:ln>
                      <a:noFill/>
                    </a:ln>
                  </pic:spPr>
                </pic:pic>
              </a:graphicData>
            </a:graphic>
          </wp:inline>
        </w:drawing>
      </w:r>
    </w:p>
    <w:p w14:paraId="21B2257F" w14:textId="77777777" w:rsidR="0026616B" w:rsidRPr="008F5AAF" w:rsidRDefault="0026616B" w:rsidP="00291FAE">
      <w:pPr>
        <w:pStyle w:val="ListParagraph"/>
        <w:spacing w:after="160" w:line="360" w:lineRule="auto"/>
        <w:ind w:left="284"/>
        <w:jc w:val="both"/>
        <w:rPr>
          <w:rFonts w:ascii="Cambria" w:hAnsi="Cambria"/>
        </w:rPr>
      </w:pPr>
    </w:p>
    <w:p w14:paraId="4A5540B1" w14:textId="77777777" w:rsidR="0026616B" w:rsidRPr="00361EBF" w:rsidRDefault="0026616B" w:rsidP="00056389">
      <w:pPr>
        <w:pStyle w:val="ListParagraph"/>
        <w:numPr>
          <w:ilvl w:val="0"/>
          <w:numId w:val="82"/>
        </w:numPr>
        <w:spacing w:after="160" w:line="360" w:lineRule="auto"/>
        <w:ind w:left="284"/>
        <w:jc w:val="both"/>
        <w:rPr>
          <w:rFonts w:ascii="Cambria" w:hAnsi="Cambria"/>
          <w:sz w:val="24"/>
        </w:rPr>
      </w:pPr>
      <w:r w:rsidRPr="00361EBF">
        <w:rPr>
          <w:rFonts w:ascii="Cambria" w:eastAsia="Cambria" w:hAnsi="Cambria" w:cs="Cambria"/>
          <w:b/>
          <w:bCs/>
          <w:color w:val="000000" w:themeColor="text1"/>
          <w:sz w:val="24"/>
          <w:u w:val="single"/>
        </w:rPr>
        <w:t xml:space="preserve">Para No. 348 (c)- </w:t>
      </w:r>
      <w:r w:rsidRPr="00361EBF">
        <w:rPr>
          <w:rFonts w:ascii="Cambria" w:hAnsi="Cambria"/>
          <w:sz w:val="24"/>
        </w:rPr>
        <w:t>The norms for segregation of items/ assets covered under CAPEX &amp; R&amp;M need to be submitted to the Commission along with type and list of material/ assets being considered for R&amp;M.</w:t>
      </w:r>
    </w:p>
    <w:p w14:paraId="439FB20C" w14:textId="77777777" w:rsidR="0026616B" w:rsidRPr="00361EBF" w:rsidRDefault="0026616B" w:rsidP="00291FAE">
      <w:pPr>
        <w:pStyle w:val="ListParagraph"/>
        <w:spacing w:after="160" w:line="360" w:lineRule="auto"/>
        <w:ind w:left="284"/>
        <w:jc w:val="both"/>
        <w:rPr>
          <w:rFonts w:ascii="Cambria" w:hAnsi="Cambria"/>
          <w:sz w:val="24"/>
        </w:rPr>
      </w:pPr>
    </w:p>
    <w:p w14:paraId="607E57D7" w14:textId="77777777" w:rsidR="0026616B" w:rsidRPr="00361EBF" w:rsidRDefault="0026616B" w:rsidP="00291FAE">
      <w:pPr>
        <w:pStyle w:val="ListParagraph"/>
        <w:spacing w:after="160" w:line="360" w:lineRule="auto"/>
        <w:ind w:left="284"/>
        <w:jc w:val="both"/>
        <w:rPr>
          <w:rFonts w:ascii="Cambria" w:hAnsi="Cambria"/>
          <w:b/>
          <w:bCs/>
          <w:sz w:val="24"/>
          <w:u w:val="single"/>
        </w:rPr>
      </w:pPr>
      <w:r w:rsidRPr="00361EBF">
        <w:rPr>
          <w:rFonts w:ascii="Cambria" w:hAnsi="Cambria"/>
          <w:b/>
          <w:bCs/>
          <w:sz w:val="24"/>
          <w:u w:val="single"/>
        </w:rPr>
        <w:t>TPWODL’s Submission:</w:t>
      </w:r>
    </w:p>
    <w:p w14:paraId="69FCB901" w14:textId="5C65E175" w:rsidR="0026616B" w:rsidRPr="00361EBF" w:rsidRDefault="0026616B" w:rsidP="00291FAE">
      <w:pPr>
        <w:pStyle w:val="ListParagraph"/>
        <w:spacing w:after="160" w:line="360" w:lineRule="auto"/>
        <w:ind w:left="284"/>
        <w:jc w:val="both"/>
        <w:rPr>
          <w:rFonts w:ascii="Cambria" w:hAnsi="Cambria"/>
          <w:sz w:val="24"/>
          <w:lang w:val="en-IN"/>
        </w:rPr>
      </w:pPr>
      <w:r w:rsidRPr="00361EBF">
        <w:rPr>
          <w:rFonts w:ascii="Cambria" w:hAnsi="Cambria"/>
          <w:sz w:val="24"/>
        </w:rPr>
        <w:t xml:space="preserve">Capital Expenditure (CAPEX) refers to investments incurred for creation or augmentation of long-term assets that enhance the capacity, efficiency, safety, reliability of the distribution system, and are capitalized in the asset base for recovery through depreciation and return on equity over the asset’s useful life. It directly enhances consumer service by enhancing safety, reducing outages, improving voltage quality, enabling faster connections, and supporting demand growth. This expenditure is typically expected to provide benefits over a longer </w:t>
      </w:r>
      <w:r w:rsidR="00E153F3" w:rsidRPr="00361EBF">
        <w:rPr>
          <w:rFonts w:ascii="Cambria" w:hAnsi="Cambria"/>
          <w:sz w:val="24"/>
        </w:rPr>
        <w:t xml:space="preserve">period of time </w:t>
      </w:r>
      <w:r w:rsidR="00317F15" w:rsidRPr="00361EBF">
        <w:rPr>
          <w:rFonts w:ascii="Cambria" w:hAnsi="Cambria"/>
          <w:sz w:val="24"/>
        </w:rPr>
        <w:t>normally</w:t>
      </w:r>
      <w:r w:rsidR="00E153F3" w:rsidRPr="00361EBF">
        <w:rPr>
          <w:rFonts w:ascii="Cambria" w:hAnsi="Cambria"/>
          <w:sz w:val="24"/>
        </w:rPr>
        <w:t xml:space="preserve"> more than a </w:t>
      </w:r>
      <w:r w:rsidRPr="00361EBF">
        <w:rPr>
          <w:rFonts w:ascii="Cambria" w:hAnsi="Cambria"/>
          <w:sz w:val="24"/>
        </w:rPr>
        <w:t>year. In short, Capex is important for companies to grow and maintain the business by investing in new property, plant, equipment (PP&amp;E), products, and technology.</w:t>
      </w:r>
    </w:p>
    <w:p w14:paraId="1F525CC4" w14:textId="77777777" w:rsidR="0026616B" w:rsidRPr="00361EBF" w:rsidRDefault="0026616B" w:rsidP="00291FAE">
      <w:pPr>
        <w:pStyle w:val="ListParagraph"/>
        <w:spacing w:after="160" w:line="360" w:lineRule="auto"/>
        <w:ind w:left="284"/>
        <w:jc w:val="both"/>
        <w:rPr>
          <w:rFonts w:ascii="Cambria" w:hAnsi="Cambria"/>
          <w:sz w:val="24"/>
          <w:lang w:val="en-IN"/>
        </w:rPr>
      </w:pPr>
    </w:p>
    <w:p w14:paraId="35BD9948" w14:textId="680031BA" w:rsidR="0026616B" w:rsidRPr="00361EBF" w:rsidRDefault="0026616B" w:rsidP="00291FAE">
      <w:pPr>
        <w:pStyle w:val="ListParagraph"/>
        <w:spacing w:after="160" w:line="360" w:lineRule="auto"/>
        <w:ind w:left="284"/>
        <w:jc w:val="both"/>
        <w:rPr>
          <w:rFonts w:ascii="Cambria" w:hAnsi="Cambria"/>
          <w:sz w:val="24"/>
        </w:rPr>
      </w:pPr>
      <w:r w:rsidRPr="00361EBF">
        <w:rPr>
          <w:rFonts w:ascii="Cambria" w:hAnsi="Cambria"/>
          <w:sz w:val="24"/>
        </w:rPr>
        <w:t xml:space="preserve">Based on Licensee’s, CAPEX </w:t>
      </w:r>
      <w:r w:rsidR="00541C79" w:rsidRPr="00361EBF">
        <w:rPr>
          <w:rFonts w:ascii="Cambria" w:hAnsi="Cambria"/>
          <w:sz w:val="24"/>
        </w:rPr>
        <w:t>plans</w:t>
      </w:r>
      <w:r w:rsidRPr="00361EBF">
        <w:rPr>
          <w:rFonts w:ascii="Cambria" w:hAnsi="Cambria"/>
          <w:sz w:val="24"/>
        </w:rPr>
        <w:t xml:space="preserve"> the Hon’ble Commission conducts a prudence check and accords final approval. The schemes duly approved in the Commission’s final CAPEX Order become the baseline for implementation, wherein head-wise activities and approved schemes are mapped through Work Breakdown Structure (WBS). This ensures that budget allocation is strictly limited to Commission-approved schemes, and any modification or alteration thereafter requires prior approval.</w:t>
      </w:r>
    </w:p>
    <w:p w14:paraId="45AE1CF9" w14:textId="77777777" w:rsidR="0026616B" w:rsidRPr="00361EBF" w:rsidRDefault="0026616B" w:rsidP="00291FAE">
      <w:pPr>
        <w:pStyle w:val="ListParagraph"/>
        <w:spacing w:after="160" w:line="360" w:lineRule="auto"/>
        <w:ind w:left="284"/>
        <w:jc w:val="both"/>
        <w:rPr>
          <w:rFonts w:ascii="Cambria" w:hAnsi="Cambria"/>
          <w:sz w:val="24"/>
          <w:lang w:val="en-IN"/>
        </w:rPr>
      </w:pPr>
      <w:r w:rsidRPr="00361EBF">
        <w:rPr>
          <w:rFonts w:ascii="Cambria" w:hAnsi="Cambria"/>
          <w:sz w:val="24"/>
        </w:rPr>
        <w:t xml:space="preserve"> </w:t>
      </w:r>
    </w:p>
    <w:p w14:paraId="439A50AD" w14:textId="77777777" w:rsidR="0026616B" w:rsidRPr="00361EBF" w:rsidRDefault="0026616B" w:rsidP="00291FAE">
      <w:pPr>
        <w:pStyle w:val="ListParagraph"/>
        <w:spacing w:after="160" w:line="360" w:lineRule="auto"/>
        <w:ind w:left="284"/>
        <w:jc w:val="both"/>
        <w:rPr>
          <w:rFonts w:ascii="Cambria" w:hAnsi="Cambria"/>
          <w:sz w:val="24"/>
        </w:rPr>
      </w:pPr>
      <w:r w:rsidRPr="00361EBF">
        <w:rPr>
          <w:rFonts w:ascii="Cambria" w:hAnsi="Cambria"/>
          <w:sz w:val="24"/>
        </w:rPr>
        <w:t xml:space="preserve">In contrast, Operational Expenditure (OPEX) represents recurring expenses necessary for the day-to-day operation, maintenance, and administration of the system, including employee costs, rent, repairs, materials, office supplies, marketing, licensee fees and overheads, which are the part of the approved revenue requirement of the licensee. In summary Capex and </w:t>
      </w:r>
      <w:proofErr w:type="spellStart"/>
      <w:r w:rsidRPr="00361EBF">
        <w:rPr>
          <w:rFonts w:ascii="Cambria" w:hAnsi="Cambria"/>
          <w:sz w:val="24"/>
        </w:rPr>
        <w:t>Opex</w:t>
      </w:r>
      <w:proofErr w:type="spellEnd"/>
      <w:r w:rsidRPr="00361EBF">
        <w:rPr>
          <w:rFonts w:ascii="Cambria" w:hAnsi="Cambria"/>
          <w:sz w:val="24"/>
        </w:rPr>
        <w:t xml:space="preserve"> serve different but complementary roles: Capex is about investing in the future, and </w:t>
      </w:r>
      <w:proofErr w:type="spellStart"/>
      <w:r w:rsidRPr="00361EBF">
        <w:rPr>
          <w:rFonts w:ascii="Cambria" w:hAnsi="Cambria"/>
          <w:sz w:val="24"/>
        </w:rPr>
        <w:t>Opex</w:t>
      </w:r>
      <w:proofErr w:type="spellEnd"/>
      <w:r w:rsidRPr="00361EBF">
        <w:rPr>
          <w:rFonts w:ascii="Cambria" w:hAnsi="Cambria"/>
          <w:sz w:val="24"/>
        </w:rPr>
        <w:t xml:space="preserve"> is about managing the present.</w:t>
      </w:r>
    </w:p>
    <w:p w14:paraId="1215DCFC" w14:textId="77777777" w:rsidR="0026616B" w:rsidRPr="00361EBF" w:rsidRDefault="0026616B" w:rsidP="00291FAE">
      <w:pPr>
        <w:pStyle w:val="ListParagraph"/>
        <w:spacing w:after="160" w:line="360" w:lineRule="auto"/>
        <w:ind w:left="284"/>
        <w:jc w:val="both"/>
        <w:rPr>
          <w:rFonts w:ascii="Cambria" w:hAnsi="Cambria"/>
          <w:sz w:val="24"/>
        </w:rPr>
      </w:pPr>
    </w:p>
    <w:p w14:paraId="086E3E26" w14:textId="00B31785" w:rsidR="0026616B" w:rsidRPr="00361EBF" w:rsidRDefault="007A07BA" w:rsidP="00291FAE">
      <w:pPr>
        <w:pStyle w:val="ListParagraph"/>
        <w:spacing w:after="160" w:line="360" w:lineRule="auto"/>
        <w:ind w:left="284"/>
        <w:jc w:val="both"/>
        <w:rPr>
          <w:rFonts w:ascii="Cambria" w:hAnsi="Cambria"/>
          <w:sz w:val="24"/>
        </w:rPr>
      </w:pPr>
      <w:r w:rsidRPr="00361EBF">
        <w:rPr>
          <w:rFonts w:ascii="Cambria" w:hAnsi="Cambria"/>
          <w:sz w:val="24"/>
        </w:rPr>
        <w:t xml:space="preserve">Therefore, criteria for classification of expenditure to Capex or </w:t>
      </w:r>
      <w:proofErr w:type="spellStart"/>
      <w:r w:rsidRPr="00361EBF">
        <w:rPr>
          <w:rFonts w:ascii="Cambria" w:hAnsi="Cambria"/>
          <w:sz w:val="24"/>
        </w:rPr>
        <w:t>Opex</w:t>
      </w:r>
      <w:proofErr w:type="spellEnd"/>
      <w:r w:rsidRPr="00361EBF">
        <w:rPr>
          <w:rFonts w:ascii="Cambria" w:hAnsi="Cambria"/>
          <w:sz w:val="24"/>
        </w:rPr>
        <w:t xml:space="preserve"> shall be the periodicity in which economic benefits expected to be derived from such expenditure, if economic benefits expected to </w:t>
      </w:r>
      <w:r w:rsidR="00AD7DEC" w:rsidRPr="00361EBF">
        <w:rPr>
          <w:rFonts w:ascii="Cambria" w:hAnsi="Cambria"/>
          <w:sz w:val="24"/>
        </w:rPr>
        <w:t>occur in</w:t>
      </w:r>
      <w:r w:rsidRPr="00361EBF">
        <w:rPr>
          <w:rFonts w:ascii="Cambria" w:hAnsi="Cambria"/>
          <w:sz w:val="24"/>
        </w:rPr>
        <w:t xml:space="preserve"> less than 12 month</w:t>
      </w:r>
      <w:r w:rsidR="00AD7DEC" w:rsidRPr="00361EBF">
        <w:rPr>
          <w:rFonts w:ascii="Cambria" w:hAnsi="Cambria"/>
          <w:sz w:val="24"/>
        </w:rPr>
        <w:t>s</w:t>
      </w:r>
      <w:r w:rsidRPr="00361EBF">
        <w:rPr>
          <w:rFonts w:ascii="Cambria" w:hAnsi="Cambria"/>
          <w:sz w:val="24"/>
        </w:rPr>
        <w:t xml:space="preserve"> such expenditure shall be categorized to </w:t>
      </w:r>
      <w:proofErr w:type="spellStart"/>
      <w:r w:rsidRPr="00361EBF">
        <w:rPr>
          <w:rFonts w:ascii="Cambria" w:hAnsi="Cambria"/>
          <w:sz w:val="24"/>
        </w:rPr>
        <w:t>Opex</w:t>
      </w:r>
      <w:proofErr w:type="spellEnd"/>
      <w:r w:rsidRPr="00361EBF">
        <w:rPr>
          <w:rFonts w:ascii="Cambria" w:hAnsi="Cambria"/>
          <w:sz w:val="24"/>
        </w:rPr>
        <w:t xml:space="preserve"> expenditure otherwise Capex. </w:t>
      </w:r>
      <w:r w:rsidR="0026616B" w:rsidRPr="00361EBF">
        <w:rPr>
          <w:rFonts w:ascii="Cambria" w:hAnsi="Cambria"/>
          <w:sz w:val="24"/>
        </w:rPr>
        <w:t>In view of above, the same expenditure such as equipment, technology, apparatus etc. can be classified both under CAPEX and OPEX depending upon the nature and purpose of the work.</w:t>
      </w:r>
    </w:p>
    <w:p w14:paraId="0852EF55" w14:textId="77777777" w:rsidR="0026616B" w:rsidRPr="00361EBF" w:rsidRDefault="0026616B" w:rsidP="00291FAE">
      <w:pPr>
        <w:pStyle w:val="ListParagraph"/>
        <w:spacing w:after="160" w:line="360" w:lineRule="auto"/>
        <w:ind w:left="284"/>
        <w:jc w:val="both"/>
        <w:rPr>
          <w:rFonts w:ascii="Cambria" w:hAnsi="Cambria"/>
          <w:sz w:val="24"/>
        </w:rPr>
      </w:pPr>
    </w:p>
    <w:p w14:paraId="70B433D8" w14:textId="77777777" w:rsidR="0026616B" w:rsidRPr="00361EBF" w:rsidRDefault="0026616B" w:rsidP="00291FAE">
      <w:pPr>
        <w:pStyle w:val="ListParagraph"/>
        <w:spacing w:after="160" w:line="360" w:lineRule="auto"/>
        <w:ind w:left="284"/>
        <w:jc w:val="both"/>
        <w:rPr>
          <w:rFonts w:ascii="Cambria" w:hAnsi="Cambria"/>
          <w:sz w:val="24"/>
        </w:rPr>
      </w:pPr>
      <w:r w:rsidRPr="00361EBF">
        <w:rPr>
          <w:rFonts w:ascii="Cambria" w:hAnsi="Cambria"/>
          <w:sz w:val="24"/>
        </w:rPr>
        <w:t xml:space="preserve">Further, </w:t>
      </w:r>
      <w:proofErr w:type="spellStart"/>
      <w:r w:rsidRPr="00361EBF">
        <w:rPr>
          <w:rFonts w:ascii="Cambria" w:hAnsi="Cambria"/>
          <w:sz w:val="24"/>
        </w:rPr>
        <w:t>IndAS</w:t>
      </w:r>
      <w:proofErr w:type="spellEnd"/>
      <w:r w:rsidRPr="00361EBF">
        <w:rPr>
          <w:rFonts w:ascii="Cambria" w:hAnsi="Cambria"/>
          <w:sz w:val="24"/>
        </w:rPr>
        <w:t xml:space="preserve"> 16 plays a vital role in accounting for property, plant, and equipment and provides comprehensive guidelines for recognition, measurement, and disclosure, it ensures consistency, transparency, and comparability in financial reporting. As per </w:t>
      </w:r>
      <w:proofErr w:type="spellStart"/>
      <w:r w:rsidRPr="00361EBF">
        <w:rPr>
          <w:rFonts w:ascii="Cambria" w:hAnsi="Cambria"/>
          <w:sz w:val="24"/>
        </w:rPr>
        <w:t>IndAS</w:t>
      </w:r>
      <w:proofErr w:type="spellEnd"/>
      <w:r w:rsidRPr="00361EBF">
        <w:rPr>
          <w:rFonts w:ascii="Cambria" w:hAnsi="Cambria"/>
          <w:sz w:val="24"/>
        </w:rPr>
        <w:t xml:space="preserve"> 16, the cost of an item of property, plant and equipment shall be recognized as an asset if, and only if:</w:t>
      </w:r>
    </w:p>
    <w:p w14:paraId="5263BB6B" w14:textId="77777777" w:rsidR="006E0D59" w:rsidRPr="00361EBF" w:rsidRDefault="006E0D59" w:rsidP="00291FAE">
      <w:pPr>
        <w:pStyle w:val="ListParagraph"/>
        <w:spacing w:after="160" w:line="360" w:lineRule="auto"/>
        <w:ind w:left="284"/>
        <w:jc w:val="both"/>
        <w:rPr>
          <w:rFonts w:ascii="Cambria" w:hAnsi="Cambria"/>
          <w:sz w:val="24"/>
        </w:rPr>
      </w:pPr>
    </w:p>
    <w:p w14:paraId="4C35C680" w14:textId="77777777" w:rsidR="0026616B" w:rsidRPr="00361EBF" w:rsidRDefault="0026616B" w:rsidP="00056389">
      <w:pPr>
        <w:pStyle w:val="ListParagraph"/>
        <w:numPr>
          <w:ilvl w:val="0"/>
          <w:numId w:val="84"/>
        </w:numPr>
        <w:spacing w:after="160" w:line="360" w:lineRule="auto"/>
        <w:ind w:left="709"/>
        <w:jc w:val="both"/>
        <w:rPr>
          <w:rFonts w:ascii="Cambria" w:hAnsi="Cambria"/>
          <w:sz w:val="24"/>
        </w:rPr>
      </w:pPr>
      <w:r w:rsidRPr="00361EBF">
        <w:rPr>
          <w:rFonts w:ascii="Cambria" w:hAnsi="Cambria"/>
          <w:sz w:val="24"/>
        </w:rPr>
        <w:t>It is probable that future economic benefits associated with the item will flow to the entity; and</w:t>
      </w:r>
    </w:p>
    <w:p w14:paraId="460CFF08" w14:textId="77777777" w:rsidR="0026616B" w:rsidRPr="00361EBF" w:rsidRDefault="0026616B" w:rsidP="00056389">
      <w:pPr>
        <w:pStyle w:val="ListParagraph"/>
        <w:numPr>
          <w:ilvl w:val="0"/>
          <w:numId w:val="84"/>
        </w:numPr>
        <w:spacing w:after="160" w:line="360" w:lineRule="auto"/>
        <w:ind w:left="709"/>
        <w:jc w:val="both"/>
        <w:rPr>
          <w:rFonts w:ascii="Cambria" w:hAnsi="Cambria"/>
          <w:sz w:val="24"/>
        </w:rPr>
      </w:pPr>
      <w:r w:rsidRPr="00361EBF">
        <w:rPr>
          <w:rFonts w:ascii="Cambria" w:hAnsi="Cambria"/>
          <w:sz w:val="24"/>
        </w:rPr>
        <w:t xml:space="preserve">The cost of the item can be measured reliably. </w:t>
      </w:r>
    </w:p>
    <w:p w14:paraId="7BA0AA46" w14:textId="77777777" w:rsidR="0026616B" w:rsidRPr="00361EBF" w:rsidRDefault="0026616B" w:rsidP="006E0D59">
      <w:pPr>
        <w:pStyle w:val="ListParagraph"/>
        <w:spacing w:after="160" w:line="360" w:lineRule="auto"/>
        <w:ind w:left="709"/>
        <w:jc w:val="both"/>
        <w:rPr>
          <w:rFonts w:ascii="Cambria" w:hAnsi="Cambria"/>
          <w:sz w:val="24"/>
        </w:rPr>
      </w:pPr>
    </w:p>
    <w:p w14:paraId="5DB12D7F" w14:textId="77777777" w:rsidR="0026616B" w:rsidRPr="00361EBF" w:rsidRDefault="0026616B" w:rsidP="006E0D59">
      <w:pPr>
        <w:pStyle w:val="ListParagraph"/>
        <w:spacing w:after="160" w:line="360" w:lineRule="auto"/>
        <w:ind w:left="284"/>
        <w:jc w:val="both"/>
        <w:rPr>
          <w:rFonts w:ascii="Cambria" w:hAnsi="Cambria"/>
          <w:sz w:val="24"/>
        </w:rPr>
      </w:pPr>
      <w:r w:rsidRPr="00361EBF">
        <w:rPr>
          <w:rFonts w:ascii="Cambria" w:hAnsi="Cambria"/>
          <w:sz w:val="24"/>
        </w:rPr>
        <w:t>Items such as spare parts, stand-by equipment and servicing equipment are recognized in accordance with this Ind AS when they meet the definition of property, plant and equipment.</w:t>
      </w:r>
    </w:p>
    <w:p w14:paraId="712B5AE4" w14:textId="77777777" w:rsidR="0026616B" w:rsidRPr="00361EBF" w:rsidRDefault="0026616B" w:rsidP="006E0D59">
      <w:pPr>
        <w:pStyle w:val="ListParagraph"/>
        <w:spacing w:after="160" w:line="360" w:lineRule="auto"/>
        <w:ind w:left="709"/>
        <w:jc w:val="both"/>
        <w:rPr>
          <w:rFonts w:ascii="Cambria" w:hAnsi="Cambria"/>
          <w:sz w:val="24"/>
        </w:rPr>
      </w:pPr>
    </w:p>
    <w:p w14:paraId="274AE367" w14:textId="77777777" w:rsidR="0026616B" w:rsidRPr="00361EBF" w:rsidRDefault="0026616B" w:rsidP="006E0D59">
      <w:pPr>
        <w:pStyle w:val="ListParagraph"/>
        <w:spacing w:after="160" w:line="360" w:lineRule="auto"/>
        <w:ind w:left="284"/>
        <w:jc w:val="both"/>
        <w:rPr>
          <w:rFonts w:ascii="Cambria" w:hAnsi="Cambria"/>
          <w:sz w:val="24"/>
        </w:rPr>
      </w:pPr>
      <w:r w:rsidRPr="00361EBF">
        <w:rPr>
          <w:rFonts w:ascii="Cambria" w:hAnsi="Cambria"/>
          <w:sz w:val="24"/>
        </w:rPr>
        <w:t>Considering above, the indicative list of jobs at broader level falling under Capex are as under: -</w:t>
      </w:r>
    </w:p>
    <w:p w14:paraId="232428DD" w14:textId="77777777" w:rsidR="0026616B" w:rsidRPr="00361EBF" w:rsidRDefault="0026616B" w:rsidP="00056389">
      <w:pPr>
        <w:pStyle w:val="ListParagraph"/>
        <w:numPr>
          <w:ilvl w:val="1"/>
          <w:numId w:val="83"/>
        </w:numPr>
        <w:spacing w:after="160" w:line="360" w:lineRule="auto"/>
        <w:ind w:left="709"/>
        <w:jc w:val="both"/>
        <w:rPr>
          <w:rFonts w:ascii="Cambria" w:hAnsi="Cambria"/>
          <w:sz w:val="24"/>
        </w:rPr>
      </w:pPr>
      <w:r w:rsidRPr="00361EBF">
        <w:rPr>
          <w:rFonts w:ascii="Cambria" w:hAnsi="Cambria"/>
          <w:sz w:val="24"/>
        </w:rPr>
        <w:t>Commissioning of network required/augmentation or addition in network for releasing new electricity connections.</w:t>
      </w:r>
    </w:p>
    <w:p w14:paraId="3D406E24" w14:textId="77777777" w:rsidR="0026616B" w:rsidRPr="00361EBF" w:rsidRDefault="0026616B" w:rsidP="00056389">
      <w:pPr>
        <w:pStyle w:val="ListParagraph"/>
        <w:numPr>
          <w:ilvl w:val="1"/>
          <w:numId w:val="83"/>
        </w:numPr>
        <w:spacing w:after="160" w:line="360" w:lineRule="auto"/>
        <w:ind w:left="709"/>
        <w:jc w:val="both"/>
        <w:rPr>
          <w:rFonts w:ascii="Cambria" w:hAnsi="Cambria"/>
          <w:sz w:val="24"/>
        </w:rPr>
      </w:pPr>
      <w:r w:rsidRPr="00361EBF">
        <w:rPr>
          <w:rFonts w:ascii="Cambria" w:hAnsi="Cambria"/>
          <w:sz w:val="24"/>
        </w:rPr>
        <w:t>System strengthening by enhancing capacity of inter-alia, Sub-station, cables, and Circuit Breaker, to mitigate overloading or to provide redundancy or to improve voltage profile or reduce losses or enhance efficiency.</w:t>
      </w:r>
    </w:p>
    <w:p w14:paraId="6BCE3C55" w14:textId="77777777" w:rsidR="0026616B" w:rsidRPr="00361EBF" w:rsidRDefault="0026616B" w:rsidP="00056389">
      <w:pPr>
        <w:pStyle w:val="ListParagraph"/>
        <w:numPr>
          <w:ilvl w:val="1"/>
          <w:numId w:val="83"/>
        </w:numPr>
        <w:spacing w:after="160" w:line="360" w:lineRule="auto"/>
        <w:ind w:left="709"/>
        <w:jc w:val="both"/>
        <w:rPr>
          <w:rFonts w:ascii="Cambria" w:hAnsi="Cambria"/>
          <w:sz w:val="24"/>
        </w:rPr>
      </w:pPr>
      <w:r w:rsidRPr="00361EBF">
        <w:rPr>
          <w:rFonts w:ascii="Cambria" w:hAnsi="Cambria"/>
          <w:sz w:val="24"/>
        </w:rPr>
        <w:t xml:space="preserve">Safety improvement of the Distribution System. </w:t>
      </w:r>
    </w:p>
    <w:p w14:paraId="61ED803D" w14:textId="77777777" w:rsidR="0026616B" w:rsidRPr="00361EBF" w:rsidRDefault="0026616B" w:rsidP="00056389">
      <w:pPr>
        <w:pStyle w:val="ListParagraph"/>
        <w:numPr>
          <w:ilvl w:val="1"/>
          <w:numId w:val="83"/>
        </w:numPr>
        <w:spacing w:after="160" w:line="360" w:lineRule="auto"/>
        <w:ind w:left="709"/>
        <w:jc w:val="both"/>
        <w:rPr>
          <w:rFonts w:ascii="Cambria" w:hAnsi="Cambria"/>
          <w:sz w:val="24"/>
        </w:rPr>
      </w:pPr>
      <w:r w:rsidRPr="00361EBF">
        <w:rPr>
          <w:rFonts w:ascii="Cambria" w:hAnsi="Cambria"/>
          <w:sz w:val="24"/>
        </w:rPr>
        <w:t>Conversion of Overhead Wires to Underground Cables.</w:t>
      </w:r>
    </w:p>
    <w:p w14:paraId="6F5D8BA2" w14:textId="77777777" w:rsidR="0026616B" w:rsidRPr="00361EBF" w:rsidRDefault="0026616B" w:rsidP="00056389">
      <w:pPr>
        <w:pStyle w:val="ListParagraph"/>
        <w:numPr>
          <w:ilvl w:val="1"/>
          <w:numId w:val="83"/>
        </w:numPr>
        <w:spacing w:after="160" w:line="360" w:lineRule="auto"/>
        <w:ind w:left="709"/>
        <w:jc w:val="both"/>
        <w:rPr>
          <w:rFonts w:ascii="Cambria" w:hAnsi="Cambria"/>
          <w:sz w:val="24"/>
        </w:rPr>
      </w:pPr>
      <w:r w:rsidRPr="00361EBF">
        <w:rPr>
          <w:rFonts w:ascii="Cambria" w:hAnsi="Cambria"/>
          <w:sz w:val="24"/>
        </w:rPr>
        <w:t>Upgradation of distribution network in a particular area including ring main system.</w:t>
      </w:r>
    </w:p>
    <w:p w14:paraId="72C2C022" w14:textId="77777777" w:rsidR="0026616B" w:rsidRPr="00361EBF" w:rsidRDefault="0026616B" w:rsidP="00056389">
      <w:pPr>
        <w:pStyle w:val="ListParagraph"/>
        <w:numPr>
          <w:ilvl w:val="1"/>
          <w:numId w:val="83"/>
        </w:numPr>
        <w:spacing w:after="160" w:line="360" w:lineRule="auto"/>
        <w:ind w:left="709"/>
        <w:jc w:val="both"/>
        <w:rPr>
          <w:rFonts w:ascii="Cambria" w:hAnsi="Cambria"/>
          <w:sz w:val="24"/>
        </w:rPr>
      </w:pPr>
      <w:r w:rsidRPr="00361EBF">
        <w:rPr>
          <w:rFonts w:ascii="Cambria" w:hAnsi="Cambria"/>
          <w:sz w:val="24"/>
        </w:rPr>
        <w:t>Installation of Receiving Sub-station, distribution lines and transformers to cater to demand in a particular area.</w:t>
      </w:r>
    </w:p>
    <w:p w14:paraId="3451C2FA" w14:textId="77777777" w:rsidR="0026616B" w:rsidRPr="00361EBF" w:rsidRDefault="0026616B" w:rsidP="00056389">
      <w:pPr>
        <w:pStyle w:val="ListParagraph"/>
        <w:numPr>
          <w:ilvl w:val="1"/>
          <w:numId w:val="83"/>
        </w:numPr>
        <w:spacing w:after="160" w:line="360" w:lineRule="auto"/>
        <w:ind w:left="709"/>
        <w:jc w:val="both"/>
        <w:rPr>
          <w:rFonts w:ascii="Cambria" w:hAnsi="Cambria"/>
          <w:sz w:val="24"/>
        </w:rPr>
      </w:pPr>
      <w:r w:rsidRPr="00361EBF">
        <w:rPr>
          <w:rFonts w:ascii="Cambria" w:hAnsi="Cambria"/>
          <w:sz w:val="24"/>
        </w:rPr>
        <w:t>Capacity augmentation of distribution lines and transformers at existing Sub-stations or Receiving Stations.</w:t>
      </w:r>
    </w:p>
    <w:p w14:paraId="3FB1B694" w14:textId="77777777" w:rsidR="0026616B" w:rsidRPr="00361EBF" w:rsidRDefault="0026616B" w:rsidP="00056389">
      <w:pPr>
        <w:pStyle w:val="ListParagraph"/>
        <w:numPr>
          <w:ilvl w:val="1"/>
          <w:numId w:val="83"/>
        </w:numPr>
        <w:spacing w:after="160" w:line="360" w:lineRule="auto"/>
        <w:ind w:left="709"/>
        <w:jc w:val="both"/>
        <w:rPr>
          <w:rFonts w:ascii="Cambria" w:hAnsi="Cambria"/>
          <w:sz w:val="24"/>
        </w:rPr>
      </w:pPr>
      <w:r w:rsidRPr="00361EBF">
        <w:rPr>
          <w:rFonts w:ascii="Cambria" w:hAnsi="Cambria"/>
          <w:sz w:val="24"/>
        </w:rPr>
        <w:t>Improvement in quality of supply and reliability of distribution system.</w:t>
      </w:r>
    </w:p>
    <w:p w14:paraId="1FB629BA" w14:textId="3BAF647B" w:rsidR="0026616B" w:rsidRPr="00361EBF" w:rsidRDefault="0026616B" w:rsidP="00056389">
      <w:pPr>
        <w:pStyle w:val="ListParagraph"/>
        <w:numPr>
          <w:ilvl w:val="1"/>
          <w:numId w:val="83"/>
        </w:numPr>
        <w:spacing w:after="160" w:line="360" w:lineRule="auto"/>
        <w:ind w:left="709"/>
        <w:jc w:val="both"/>
        <w:rPr>
          <w:rFonts w:ascii="Cambria" w:hAnsi="Cambria"/>
          <w:sz w:val="24"/>
        </w:rPr>
      </w:pPr>
      <w:r w:rsidRPr="00361EBF">
        <w:rPr>
          <w:rFonts w:ascii="Cambria" w:hAnsi="Cambria"/>
          <w:sz w:val="24"/>
        </w:rPr>
        <w:t>Emergency Restoration System involving asset replaceme</w:t>
      </w:r>
      <w:r w:rsidR="00BA6FF9" w:rsidRPr="00361EBF">
        <w:rPr>
          <w:rFonts w:ascii="Cambria" w:hAnsi="Cambria"/>
          <w:sz w:val="24"/>
        </w:rPr>
        <w:t>nt</w:t>
      </w:r>
      <w:r w:rsidR="000C14A5" w:rsidRPr="00361EBF">
        <w:rPr>
          <w:rFonts w:ascii="Cambria" w:hAnsi="Cambria"/>
          <w:sz w:val="24"/>
        </w:rPr>
        <w:t>.</w:t>
      </w:r>
    </w:p>
    <w:p w14:paraId="2A6B95DF" w14:textId="77777777" w:rsidR="0026616B" w:rsidRPr="00361EBF" w:rsidRDefault="0026616B" w:rsidP="00056389">
      <w:pPr>
        <w:pStyle w:val="ListParagraph"/>
        <w:numPr>
          <w:ilvl w:val="1"/>
          <w:numId w:val="83"/>
        </w:numPr>
        <w:spacing w:after="160" w:line="360" w:lineRule="auto"/>
        <w:ind w:left="709"/>
        <w:jc w:val="both"/>
        <w:rPr>
          <w:rFonts w:ascii="Cambria" w:hAnsi="Cambria"/>
          <w:sz w:val="24"/>
        </w:rPr>
      </w:pPr>
      <w:r w:rsidRPr="00361EBF">
        <w:rPr>
          <w:rFonts w:ascii="Cambria" w:hAnsi="Cambria"/>
          <w:sz w:val="24"/>
        </w:rPr>
        <w:t>Installation or Upgradation of Supervisory Control and Data Acquisition (SCADA).</w:t>
      </w:r>
    </w:p>
    <w:p w14:paraId="7C61428E" w14:textId="77777777" w:rsidR="0026616B" w:rsidRPr="00361EBF" w:rsidRDefault="0026616B" w:rsidP="00056389">
      <w:pPr>
        <w:pStyle w:val="ListParagraph"/>
        <w:numPr>
          <w:ilvl w:val="1"/>
          <w:numId w:val="83"/>
        </w:numPr>
        <w:spacing w:after="160" w:line="360" w:lineRule="auto"/>
        <w:ind w:left="709"/>
        <w:jc w:val="both"/>
        <w:rPr>
          <w:rFonts w:ascii="Cambria" w:hAnsi="Cambria"/>
          <w:sz w:val="24"/>
        </w:rPr>
      </w:pPr>
      <w:r w:rsidRPr="00361EBF">
        <w:rPr>
          <w:rFonts w:ascii="Cambria" w:hAnsi="Cambria"/>
          <w:sz w:val="24"/>
        </w:rPr>
        <w:t>Installation or Upgradation of communication and/or control equipment.</w:t>
      </w:r>
    </w:p>
    <w:p w14:paraId="3A434AC8" w14:textId="77777777" w:rsidR="0026616B" w:rsidRPr="00361EBF" w:rsidRDefault="0026616B" w:rsidP="00056389">
      <w:pPr>
        <w:pStyle w:val="ListParagraph"/>
        <w:numPr>
          <w:ilvl w:val="1"/>
          <w:numId w:val="83"/>
        </w:numPr>
        <w:spacing w:after="160" w:line="360" w:lineRule="auto"/>
        <w:ind w:left="709"/>
        <w:jc w:val="both"/>
        <w:rPr>
          <w:rFonts w:ascii="Cambria" w:hAnsi="Cambria"/>
          <w:sz w:val="24"/>
        </w:rPr>
      </w:pPr>
      <w:r w:rsidRPr="00361EBF">
        <w:rPr>
          <w:rFonts w:ascii="Cambria" w:hAnsi="Cambria"/>
          <w:sz w:val="24"/>
        </w:rPr>
        <w:t>All metering schemes.</w:t>
      </w:r>
    </w:p>
    <w:p w14:paraId="4298A49C" w14:textId="77777777" w:rsidR="0026616B" w:rsidRPr="00361EBF" w:rsidRDefault="0026616B" w:rsidP="00056389">
      <w:pPr>
        <w:pStyle w:val="ListParagraph"/>
        <w:numPr>
          <w:ilvl w:val="1"/>
          <w:numId w:val="83"/>
        </w:numPr>
        <w:spacing w:after="160" w:line="360" w:lineRule="auto"/>
        <w:ind w:left="709"/>
        <w:jc w:val="both"/>
        <w:rPr>
          <w:rFonts w:ascii="Cambria" w:hAnsi="Cambria"/>
          <w:sz w:val="24"/>
        </w:rPr>
      </w:pPr>
      <w:r w:rsidRPr="00361EBF">
        <w:rPr>
          <w:rFonts w:ascii="Cambria" w:hAnsi="Cambria"/>
          <w:sz w:val="24"/>
        </w:rPr>
        <w:t>Obsolescence of assets and absence of support from Original Equipment Manufacturer.</w:t>
      </w:r>
    </w:p>
    <w:p w14:paraId="74EFD939" w14:textId="77777777" w:rsidR="0026616B" w:rsidRPr="00361EBF" w:rsidRDefault="0026616B" w:rsidP="00056389">
      <w:pPr>
        <w:pStyle w:val="ListParagraph"/>
        <w:numPr>
          <w:ilvl w:val="1"/>
          <w:numId w:val="83"/>
        </w:numPr>
        <w:spacing w:after="160" w:line="360" w:lineRule="auto"/>
        <w:ind w:left="709"/>
        <w:jc w:val="both"/>
        <w:rPr>
          <w:rFonts w:ascii="Cambria" w:hAnsi="Cambria"/>
          <w:sz w:val="24"/>
        </w:rPr>
      </w:pPr>
      <w:r w:rsidRPr="00361EBF">
        <w:rPr>
          <w:rFonts w:ascii="Cambria" w:hAnsi="Cambria"/>
          <w:sz w:val="24"/>
        </w:rPr>
        <w:t>Civil work such as office building, approach road, Modernization of PSS etc.</w:t>
      </w:r>
    </w:p>
    <w:p w14:paraId="306D56C5" w14:textId="77777777" w:rsidR="0026616B" w:rsidRPr="00361EBF" w:rsidRDefault="0026616B" w:rsidP="00056389">
      <w:pPr>
        <w:pStyle w:val="ListParagraph"/>
        <w:numPr>
          <w:ilvl w:val="1"/>
          <w:numId w:val="83"/>
        </w:numPr>
        <w:spacing w:after="160" w:line="360" w:lineRule="auto"/>
        <w:ind w:left="709"/>
        <w:jc w:val="both"/>
        <w:rPr>
          <w:rFonts w:ascii="Cambria" w:hAnsi="Cambria"/>
          <w:sz w:val="24"/>
        </w:rPr>
      </w:pPr>
      <w:r w:rsidRPr="00361EBF">
        <w:rPr>
          <w:rFonts w:ascii="Cambria" w:hAnsi="Cambria"/>
          <w:sz w:val="24"/>
        </w:rPr>
        <w:t>Energy conservation measures.</w:t>
      </w:r>
    </w:p>
    <w:p w14:paraId="6DA68F2B" w14:textId="77777777" w:rsidR="0026616B" w:rsidRPr="00361EBF" w:rsidRDefault="0026616B" w:rsidP="00056389">
      <w:pPr>
        <w:pStyle w:val="ListParagraph"/>
        <w:numPr>
          <w:ilvl w:val="1"/>
          <w:numId w:val="83"/>
        </w:numPr>
        <w:spacing w:after="160" w:line="360" w:lineRule="auto"/>
        <w:ind w:left="709"/>
        <w:jc w:val="both"/>
        <w:rPr>
          <w:rFonts w:ascii="Cambria" w:hAnsi="Cambria"/>
          <w:sz w:val="24"/>
        </w:rPr>
      </w:pPr>
      <w:r w:rsidRPr="00361EBF">
        <w:rPr>
          <w:rFonts w:ascii="Cambria" w:hAnsi="Cambria"/>
          <w:sz w:val="24"/>
        </w:rPr>
        <w:t>Replacement of network cable.</w:t>
      </w:r>
    </w:p>
    <w:p w14:paraId="29CF4907" w14:textId="77777777" w:rsidR="0026616B" w:rsidRPr="00361EBF" w:rsidRDefault="0026616B" w:rsidP="00056389">
      <w:pPr>
        <w:pStyle w:val="ListParagraph"/>
        <w:numPr>
          <w:ilvl w:val="1"/>
          <w:numId w:val="83"/>
        </w:numPr>
        <w:spacing w:after="160" w:line="360" w:lineRule="auto"/>
        <w:ind w:left="709"/>
        <w:jc w:val="both"/>
        <w:rPr>
          <w:rFonts w:ascii="Cambria" w:hAnsi="Cambria"/>
          <w:sz w:val="24"/>
        </w:rPr>
      </w:pPr>
      <w:r w:rsidRPr="00361EBF">
        <w:rPr>
          <w:rFonts w:ascii="Cambria" w:hAnsi="Cambria"/>
          <w:sz w:val="24"/>
        </w:rPr>
        <w:t>IT equipment’s and software related to Information Technology &amp; Operation Technology.</w:t>
      </w:r>
    </w:p>
    <w:p w14:paraId="1031544F" w14:textId="77777777" w:rsidR="0026616B" w:rsidRPr="00361EBF" w:rsidRDefault="0026616B" w:rsidP="00056389">
      <w:pPr>
        <w:pStyle w:val="ListParagraph"/>
        <w:numPr>
          <w:ilvl w:val="1"/>
          <w:numId w:val="83"/>
        </w:numPr>
        <w:spacing w:after="160" w:line="360" w:lineRule="auto"/>
        <w:ind w:left="709"/>
        <w:jc w:val="both"/>
        <w:rPr>
          <w:rFonts w:ascii="Cambria" w:hAnsi="Cambria"/>
          <w:sz w:val="24"/>
        </w:rPr>
      </w:pPr>
      <w:r w:rsidRPr="00361EBF">
        <w:rPr>
          <w:rFonts w:ascii="Cambria" w:hAnsi="Cambria"/>
          <w:sz w:val="24"/>
        </w:rPr>
        <w:t>Ready to use assets like Laptop, Desktop, Air Conditioners, MFD, Vehicle etc.</w:t>
      </w:r>
    </w:p>
    <w:p w14:paraId="4F7C081B" w14:textId="77777777" w:rsidR="0026616B" w:rsidRPr="00361EBF" w:rsidRDefault="0026616B" w:rsidP="006E0D59">
      <w:pPr>
        <w:pStyle w:val="ListParagraph"/>
        <w:spacing w:after="160" w:line="360" w:lineRule="auto"/>
        <w:ind w:left="709"/>
        <w:jc w:val="both"/>
        <w:rPr>
          <w:rFonts w:ascii="Cambria" w:hAnsi="Cambria"/>
          <w:sz w:val="24"/>
        </w:rPr>
      </w:pPr>
    </w:p>
    <w:p w14:paraId="644FD07E" w14:textId="77777777" w:rsidR="0026616B" w:rsidRPr="00361EBF" w:rsidRDefault="0026616B" w:rsidP="006E0D59">
      <w:pPr>
        <w:pStyle w:val="ListParagraph"/>
        <w:spacing w:after="160" w:line="360" w:lineRule="auto"/>
        <w:ind w:left="709"/>
        <w:jc w:val="both"/>
        <w:rPr>
          <w:rFonts w:ascii="Cambria" w:hAnsi="Cambria"/>
          <w:sz w:val="24"/>
        </w:rPr>
      </w:pPr>
      <w:r w:rsidRPr="00361EBF">
        <w:rPr>
          <w:rFonts w:ascii="Cambria" w:hAnsi="Cambria"/>
          <w:sz w:val="24"/>
        </w:rPr>
        <w:t xml:space="preserve">The Major activities being undertaken by the DISCOMs segregating between Capex &amp; </w:t>
      </w:r>
      <w:proofErr w:type="spellStart"/>
      <w:r w:rsidRPr="00361EBF">
        <w:rPr>
          <w:rFonts w:ascii="Cambria" w:hAnsi="Cambria"/>
          <w:sz w:val="24"/>
        </w:rPr>
        <w:t>Opex</w:t>
      </w:r>
      <w:proofErr w:type="spellEnd"/>
      <w:r w:rsidRPr="00361EBF">
        <w:rPr>
          <w:rFonts w:ascii="Cambria" w:hAnsi="Cambria"/>
          <w:sz w:val="24"/>
        </w:rPr>
        <w:t xml:space="preserve"> are tabulated as follows. This segregation is based upon premise as described in above paragraphs. </w:t>
      </w:r>
    </w:p>
    <w:p w14:paraId="64FE660F" w14:textId="77777777" w:rsidR="0026616B" w:rsidRPr="00361EBF" w:rsidRDefault="0026616B" w:rsidP="00291FAE">
      <w:pPr>
        <w:pStyle w:val="ListParagraph"/>
        <w:spacing w:after="160" w:line="360" w:lineRule="auto"/>
        <w:ind w:left="284"/>
        <w:jc w:val="both"/>
        <w:rPr>
          <w:rFonts w:ascii="Cambria" w:hAnsi="Cambria"/>
          <w:b/>
          <w:sz w:val="24"/>
          <w:u w:val="single"/>
        </w:rPr>
      </w:pPr>
      <w:r w:rsidRPr="00361EBF">
        <w:rPr>
          <w:rFonts w:ascii="Cambria" w:hAnsi="Cambria"/>
          <w:b/>
          <w:sz w:val="24"/>
          <w:u w:val="single"/>
        </w:rPr>
        <w:t xml:space="preserve">Segregation of Major activities into Capex and </w:t>
      </w:r>
      <w:proofErr w:type="spellStart"/>
      <w:r w:rsidRPr="00361EBF">
        <w:rPr>
          <w:rFonts w:ascii="Cambria" w:hAnsi="Cambria"/>
          <w:b/>
          <w:sz w:val="24"/>
          <w:u w:val="single"/>
        </w:rPr>
        <w:t>Opex</w:t>
      </w:r>
      <w:proofErr w:type="spellEnd"/>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791"/>
        <w:gridCol w:w="3724"/>
        <w:gridCol w:w="1793"/>
      </w:tblGrid>
      <w:tr w:rsidR="0026616B" w:rsidRPr="00BA7D3A" w14:paraId="33078354" w14:textId="77777777" w:rsidTr="001F21DF">
        <w:trPr>
          <w:trHeight w:val="297"/>
        </w:trPr>
        <w:tc>
          <w:tcPr>
            <w:tcW w:w="852" w:type="pct"/>
            <w:shd w:val="clear" w:color="000000" w:fill="FFF2CC"/>
            <w:vAlign w:val="center"/>
            <w:hideMark/>
          </w:tcPr>
          <w:p w14:paraId="0E9E4A0F" w14:textId="77777777" w:rsidR="0026616B" w:rsidRPr="00BA7D3A" w:rsidRDefault="0026616B" w:rsidP="00291FAE">
            <w:pPr>
              <w:ind w:left="284"/>
              <w:jc w:val="both"/>
              <w:rPr>
                <w:rFonts w:ascii="Cambria" w:hAnsi="Cambria" w:cstheme="minorHAnsi"/>
                <w:b/>
                <w:bCs/>
                <w:color w:val="000000"/>
                <w:sz w:val="22"/>
                <w:szCs w:val="22"/>
                <w:lang w:val="en-IN" w:eastAsia="en-IN"/>
              </w:rPr>
            </w:pPr>
            <w:r w:rsidRPr="00BA7D3A">
              <w:rPr>
                <w:rFonts w:ascii="Cambria" w:hAnsi="Cambria" w:cstheme="minorHAnsi"/>
                <w:b/>
                <w:bCs/>
                <w:color w:val="000000"/>
                <w:sz w:val="22"/>
                <w:szCs w:val="22"/>
                <w:lang w:eastAsia="en-IN"/>
              </w:rPr>
              <w:t>Asset</w:t>
            </w:r>
          </w:p>
        </w:tc>
        <w:tc>
          <w:tcPr>
            <w:tcW w:w="844" w:type="pct"/>
            <w:shd w:val="clear" w:color="000000" w:fill="FFF2CC"/>
            <w:noWrap/>
            <w:vAlign w:val="center"/>
            <w:hideMark/>
          </w:tcPr>
          <w:p w14:paraId="698BD78C" w14:textId="77777777" w:rsidR="0026616B" w:rsidRPr="00BA7D3A" w:rsidRDefault="0026616B" w:rsidP="00291FAE">
            <w:pPr>
              <w:ind w:left="284"/>
              <w:jc w:val="both"/>
              <w:rPr>
                <w:rFonts w:ascii="Cambria" w:hAnsi="Cambria" w:cstheme="minorHAnsi"/>
                <w:b/>
                <w:bCs/>
                <w:color w:val="000000"/>
                <w:sz w:val="22"/>
                <w:szCs w:val="22"/>
                <w:lang w:val="en-IN" w:eastAsia="en-IN"/>
              </w:rPr>
            </w:pPr>
            <w:r w:rsidRPr="00BA7D3A">
              <w:rPr>
                <w:rFonts w:ascii="Cambria" w:hAnsi="Cambria" w:cstheme="minorHAnsi"/>
                <w:b/>
                <w:bCs/>
                <w:color w:val="000000"/>
                <w:sz w:val="22"/>
                <w:szCs w:val="22"/>
                <w:lang w:eastAsia="en-IN"/>
              </w:rPr>
              <w:t>Budget Head</w:t>
            </w:r>
          </w:p>
        </w:tc>
        <w:tc>
          <w:tcPr>
            <w:tcW w:w="2395" w:type="pct"/>
            <w:shd w:val="clear" w:color="000000" w:fill="FFF2CC"/>
            <w:vAlign w:val="center"/>
            <w:hideMark/>
          </w:tcPr>
          <w:p w14:paraId="34D8F53E" w14:textId="77777777" w:rsidR="0026616B" w:rsidRPr="00BA7D3A" w:rsidRDefault="0026616B" w:rsidP="00291FAE">
            <w:pPr>
              <w:ind w:left="284"/>
              <w:jc w:val="both"/>
              <w:rPr>
                <w:rFonts w:ascii="Cambria" w:hAnsi="Cambria" w:cstheme="minorHAnsi"/>
                <w:b/>
                <w:bCs/>
                <w:color w:val="000000"/>
                <w:sz w:val="22"/>
                <w:szCs w:val="22"/>
                <w:lang w:val="en-IN" w:eastAsia="en-IN"/>
              </w:rPr>
            </w:pPr>
            <w:r w:rsidRPr="00BA7D3A">
              <w:rPr>
                <w:rFonts w:ascii="Cambria" w:hAnsi="Cambria" w:cstheme="minorHAnsi"/>
                <w:b/>
                <w:bCs/>
                <w:color w:val="000000"/>
                <w:sz w:val="22"/>
                <w:szCs w:val="22"/>
                <w:lang w:eastAsia="en-IN"/>
              </w:rPr>
              <w:t>Activity description</w:t>
            </w:r>
          </w:p>
        </w:tc>
        <w:tc>
          <w:tcPr>
            <w:tcW w:w="909" w:type="pct"/>
            <w:shd w:val="clear" w:color="000000" w:fill="FFF2CC"/>
            <w:noWrap/>
            <w:vAlign w:val="center"/>
            <w:hideMark/>
          </w:tcPr>
          <w:p w14:paraId="02452E22" w14:textId="77777777" w:rsidR="0026616B" w:rsidRPr="00BA7D3A" w:rsidRDefault="0026616B" w:rsidP="00291FAE">
            <w:pPr>
              <w:ind w:left="284"/>
              <w:jc w:val="both"/>
              <w:rPr>
                <w:rFonts w:ascii="Cambria" w:hAnsi="Cambria" w:cstheme="minorHAnsi"/>
                <w:b/>
                <w:bCs/>
                <w:color w:val="000000"/>
                <w:sz w:val="22"/>
                <w:szCs w:val="22"/>
                <w:lang w:val="en-IN" w:eastAsia="en-IN"/>
              </w:rPr>
            </w:pPr>
            <w:r w:rsidRPr="00BA7D3A">
              <w:rPr>
                <w:rFonts w:ascii="Cambria" w:hAnsi="Cambria" w:cstheme="minorHAnsi"/>
                <w:b/>
                <w:bCs/>
                <w:color w:val="000000"/>
                <w:sz w:val="22"/>
                <w:szCs w:val="22"/>
                <w:lang w:eastAsia="en-IN"/>
              </w:rPr>
              <w:t>Category</w:t>
            </w:r>
          </w:p>
        </w:tc>
      </w:tr>
      <w:tr w:rsidR="0026616B" w:rsidRPr="00BA7D3A" w14:paraId="4D403EA6" w14:textId="77777777" w:rsidTr="001F21DF">
        <w:trPr>
          <w:trHeight w:val="297"/>
        </w:trPr>
        <w:tc>
          <w:tcPr>
            <w:tcW w:w="852" w:type="pct"/>
            <w:vMerge w:val="restart"/>
            <w:vAlign w:val="center"/>
            <w:hideMark/>
          </w:tcPr>
          <w:p w14:paraId="4245F11A" w14:textId="77777777" w:rsidR="0026616B" w:rsidRPr="00BA7D3A" w:rsidRDefault="0026616B" w:rsidP="00291FAE">
            <w:pPr>
              <w:ind w:left="284"/>
              <w:jc w:val="both"/>
              <w:rPr>
                <w:rFonts w:ascii="Cambria" w:hAnsi="Cambria" w:cstheme="minorHAnsi"/>
                <w:b/>
                <w:bCs/>
                <w:color w:val="000000"/>
                <w:sz w:val="22"/>
                <w:szCs w:val="22"/>
                <w:lang w:val="en-IN" w:eastAsia="en-IN"/>
              </w:rPr>
            </w:pPr>
            <w:r w:rsidRPr="00BA7D3A">
              <w:rPr>
                <w:rFonts w:ascii="Cambria" w:hAnsi="Cambria" w:cstheme="minorHAnsi"/>
                <w:b/>
                <w:bCs/>
                <w:color w:val="000000"/>
                <w:sz w:val="22"/>
                <w:szCs w:val="22"/>
                <w:lang w:eastAsia="en-IN"/>
              </w:rPr>
              <w:t>Battery Bank</w:t>
            </w:r>
          </w:p>
        </w:tc>
        <w:tc>
          <w:tcPr>
            <w:tcW w:w="844" w:type="pct"/>
            <w:vMerge w:val="restart"/>
            <w:noWrap/>
            <w:vAlign w:val="center"/>
            <w:hideMark/>
          </w:tcPr>
          <w:p w14:paraId="103F5D2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Capital</w:t>
            </w:r>
          </w:p>
        </w:tc>
        <w:tc>
          <w:tcPr>
            <w:tcW w:w="2395" w:type="pct"/>
            <w:vAlign w:val="center"/>
            <w:hideMark/>
          </w:tcPr>
          <w:p w14:paraId="69E52117"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Complete Battery Bank Replacement</w:t>
            </w:r>
          </w:p>
        </w:tc>
        <w:tc>
          <w:tcPr>
            <w:tcW w:w="909" w:type="pct"/>
            <w:noWrap/>
            <w:vAlign w:val="center"/>
            <w:hideMark/>
          </w:tcPr>
          <w:p w14:paraId="16336898"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Enhancement</w:t>
            </w:r>
          </w:p>
        </w:tc>
      </w:tr>
      <w:tr w:rsidR="0026616B" w:rsidRPr="00BA7D3A" w14:paraId="543E4ED8" w14:textId="77777777" w:rsidTr="001F21DF">
        <w:trPr>
          <w:trHeight w:val="310"/>
        </w:trPr>
        <w:tc>
          <w:tcPr>
            <w:tcW w:w="852" w:type="pct"/>
            <w:vMerge/>
            <w:vAlign w:val="center"/>
            <w:hideMark/>
          </w:tcPr>
          <w:p w14:paraId="34B03F52"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6879FE89"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2B26AE21"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New Battery Bank Installation</w:t>
            </w:r>
          </w:p>
        </w:tc>
        <w:tc>
          <w:tcPr>
            <w:tcW w:w="909" w:type="pct"/>
            <w:noWrap/>
            <w:vAlign w:val="center"/>
            <w:hideMark/>
          </w:tcPr>
          <w:p w14:paraId="05F2F219"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Enhancement</w:t>
            </w:r>
          </w:p>
        </w:tc>
      </w:tr>
      <w:tr w:rsidR="0026616B" w:rsidRPr="00BA7D3A" w14:paraId="7AB5A94A" w14:textId="77777777" w:rsidTr="001F21DF">
        <w:trPr>
          <w:trHeight w:val="297"/>
        </w:trPr>
        <w:tc>
          <w:tcPr>
            <w:tcW w:w="852" w:type="pct"/>
            <w:vMerge/>
            <w:vAlign w:val="center"/>
            <w:hideMark/>
          </w:tcPr>
          <w:p w14:paraId="7563A349"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restart"/>
            <w:noWrap/>
            <w:vAlign w:val="center"/>
            <w:hideMark/>
          </w:tcPr>
          <w:p w14:paraId="0A7C1A2A"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Operational</w:t>
            </w:r>
          </w:p>
        </w:tc>
        <w:tc>
          <w:tcPr>
            <w:tcW w:w="2395" w:type="pct"/>
            <w:vAlign w:val="center"/>
            <w:hideMark/>
          </w:tcPr>
          <w:p w14:paraId="56046D70"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Replacement of Individual Battery Cell</w:t>
            </w:r>
          </w:p>
        </w:tc>
        <w:tc>
          <w:tcPr>
            <w:tcW w:w="909" w:type="pct"/>
            <w:noWrap/>
            <w:vAlign w:val="center"/>
            <w:hideMark/>
          </w:tcPr>
          <w:p w14:paraId="02E733AA"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Maintenance</w:t>
            </w:r>
          </w:p>
        </w:tc>
      </w:tr>
      <w:tr w:rsidR="0026616B" w:rsidRPr="00BA7D3A" w14:paraId="523636AA" w14:textId="77777777" w:rsidTr="001F21DF">
        <w:trPr>
          <w:trHeight w:val="297"/>
        </w:trPr>
        <w:tc>
          <w:tcPr>
            <w:tcW w:w="852" w:type="pct"/>
            <w:vMerge/>
            <w:vAlign w:val="center"/>
            <w:hideMark/>
          </w:tcPr>
          <w:p w14:paraId="262C865B"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152B0F07"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2FEC3B56"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Replacement of Mounting structure</w:t>
            </w:r>
          </w:p>
        </w:tc>
        <w:tc>
          <w:tcPr>
            <w:tcW w:w="909" w:type="pct"/>
            <w:noWrap/>
            <w:vAlign w:val="center"/>
            <w:hideMark/>
          </w:tcPr>
          <w:p w14:paraId="14AD2A23"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Maintenance</w:t>
            </w:r>
          </w:p>
        </w:tc>
      </w:tr>
      <w:tr w:rsidR="0026616B" w:rsidRPr="00BA7D3A" w14:paraId="075AE249" w14:textId="77777777" w:rsidTr="001F21DF">
        <w:trPr>
          <w:trHeight w:val="297"/>
        </w:trPr>
        <w:tc>
          <w:tcPr>
            <w:tcW w:w="852" w:type="pct"/>
            <w:vMerge/>
            <w:vAlign w:val="center"/>
            <w:hideMark/>
          </w:tcPr>
          <w:p w14:paraId="04DBE935"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038E5ABE"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073BDF41"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Terminal greasing / plate replacement</w:t>
            </w:r>
          </w:p>
        </w:tc>
        <w:tc>
          <w:tcPr>
            <w:tcW w:w="909" w:type="pct"/>
            <w:noWrap/>
            <w:vAlign w:val="center"/>
            <w:hideMark/>
          </w:tcPr>
          <w:p w14:paraId="1EF064E2"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1A1FAF24" w14:textId="77777777" w:rsidTr="001F21DF">
        <w:trPr>
          <w:trHeight w:val="310"/>
        </w:trPr>
        <w:tc>
          <w:tcPr>
            <w:tcW w:w="852" w:type="pct"/>
            <w:vMerge/>
            <w:vAlign w:val="center"/>
            <w:hideMark/>
          </w:tcPr>
          <w:p w14:paraId="44A7B621"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7102DEE3"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162D8E92"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Supply Cable replacement</w:t>
            </w:r>
          </w:p>
        </w:tc>
        <w:tc>
          <w:tcPr>
            <w:tcW w:w="909" w:type="pct"/>
            <w:noWrap/>
            <w:vAlign w:val="center"/>
            <w:hideMark/>
          </w:tcPr>
          <w:p w14:paraId="6CC3444A"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15255303" w14:textId="77777777" w:rsidTr="001F21DF">
        <w:trPr>
          <w:trHeight w:val="297"/>
        </w:trPr>
        <w:tc>
          <w:tcPr>
            <w:tcW w:w="852" w:type="pct"/>
            <w:vMerge w:val="restart"/>
            <w:vAlign w:val="center"/>
            <w:hideMark/>
          </w:tcPr>
          <w:p w14:paraId="4C8EAD0D" w14:textId="77777777" w:rsidR="0026616B" w:rsidRPr="00BA7D3A" w:rsidRDefault="0026616B" w:rsidP="00291FAE">
            <w:pPr>
              <w:ind w:left="284"/>
              <w:jc w:val="both"/>
              <w:rPr>
                <w:rFonts w:ascii="Cambria" w:hAnsi="Cambria" w:cstheme="minorHAnsi"/>
                <w:b/>
                <w:bCs/>
                <w:color w:val="000000"/>
                <w:sz w:val="22"/>
                <w:szCs w:val="22"/>
                <w:lang w:val="en-IN" w:eastAsia="en-IN"/>
              </w:rPr>
            </w:pPr>
            <w:r w:rsidRPr="00BA7D3A">
              <w:rPr>
                <w:rFonts w:ascii="Cambria" w:hAnsi="Cambria" w:cstheme="minorHAnsi"/>
                <w:b/>
                <w:bCs/>
                <w:color w:val="000000"/>
                <w:sz w:val="22"/>
                <w:szCs w:val="22"/>
                <w:lang w:eastAsia="en-IN"/>
              </w:rPr>
              <w:t>Battery Charger</w:t>
            </w:r>
          </w:p>
        </w:tc>
        <w:tc>
          <w:tcPr>
            <w:tcW w:w="844" w:type="pct"/>
            <w:vMerge w:val="restart"/>
            <w:noWrap/>
            <w:vAlign w:val="center"/>
            <w:hideMark/>
          </w:tcPr>
          <w:p w14:paraId="1891B5AD"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Capital</w:t>
            </w:r>
          </w:p>
        </w:tc>
        <w:tc>
          <w:tcPr>
            <w:tcW w:w="2395" w:type="pct"/>
            <w:vAlign w:val="center"/>
            <w:hideMark/>
          </w:tcPr>
          <w:p w14:paraId="28F35B2E"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Complete Battery Charger Replacement</w:t>
            </w:r>
          </w:p>
        </w:tc>
        <w:tc>
          <w:tcPr>
            <w:tcW w:w="909" w:type="pct"/>
            <w:noWrap/>
            <w:vAlign w:val="center"/>
            <w:hideMark/>
          </w:tcPr>
          <w:p w14:paraId="1AFDC96E"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Enhancement</w:t>
            </w:r>
          </w:p>
        </w:tc>
      </w:tr>
      <w:tr w:rsidR="0026616B" w:rsidRPr="00BA7D3A" w14:paraId="3A6A6285" w14:textId="77777777" w:rsidTr="001F21DF">
        <w:trPr>
          <w:trHeight w:val="297"/>
        </w:trPr>
        <w:tc>
          <w:tcPr>
            <w:tcW w:w="852" w:type="pct"/>
            <w:vMerge/>
            <w:vAlign w:val="center"/>
            <w:hideMark/>
          </w:tcPr>
          <w:p w14:paraId="53EE4998"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778A2C33"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0ACE948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New Battery Charger Installation</w:t>
            </w:r>
          </w:p>
        </w:tc>
        <w:tc>
          <w:tcPr>
            <w:tcW w:w="909" w:type="pct"/>
            <w:noWrap/>
            <w:vAlign w:val="center"/>
            <w:hideMark/>
          </w:tcPr>
          <w:p w14:paraId="32246CB0"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Enhancement</w:t>
            </w:r>
          </w:p>
        </w:tc>
      </w:tr>
      <w:tr w:rsidR="0026616B" w:rsidRPr="00BA7D3A" w14:paraId="0601F749" w14:textId="77777777" w:rsidTr="001F21DF">
        <w:trPr>
          <w:trHeight w:val="310"/>
        </w:trPr>
        <w:tc>
          <w:tcPr>
            <w:tcW w:w="852" w:type="pct"/>
            <w:vMerge/>
            <w:vAlign w:val="center"/>
            <w:hideMark/>
          </w:tcPr>
          <w:p w14:paraId="1E526634"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5A27A338"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3DAD7C60"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 xml:space="preserve">Introduction of Communication Module (MU 1000 </w:t>
            </w:r>
            <w:proofErr w:type="spellStart"/>
            <w:r w:rsidRPr="00BA7D3A">
              <w:rPr>
                <w:rFonts w:ascii="Cambria" w:hAnsi="Cambria" w:cstheme="minorHAnsi"/>
                <w:color w:val="000000"/>
                <w:sz w:val="22"/>
                <w:szCs w:val="22"/>
                <w:lang w:eastAsia="en-IN"/>
              </w:rPr>
              <w:t>etc</w:t>
            </w:r>
            <w:proofErr w:type="spellEnd"/>
            <w:r w:rsidRPr="00BA7D3A">
              <w:rPr>
                <w:rFonts w:ascii="Cambria" w:hAnsi="Cambria" w:cstheme="minorHAnsi"/>
                <w:color w:val="000000"/>
                <w:sz w:val="22"/>
                <w:szCs w:val="22"/>
                <w:lang w:eastAsia="en-IN"/>
              </w:rPr>
              <w:t>)</w:t>
            </w:r>
          </w:p>
        </w:tc>
        <w:tc>
          <w:tcPr>
            <w:tcW w:w="909" w:type="pct"/>
            <w:noWrap/>
            <w:vAlign w:val="center"/>
            <w:hideMark/>
          </w:tcPr>
          <w:p w14:paraId="4389515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Enhancement</w:t>
            </w:r>
          </w:p>
        </w:tc>
      </w:tr>
      <w:tr w:rsidR="0026616B" w:rsidRPr="00BA7D3A" w14:paraId="34B523E1" w14:textId="77777777" w:rsidTr="001F21DF">
        <w:trPr>
          <w:trHeight w:val="595"/>
        </w:trPr>
        <w:tc>
          <w:tcPr>
            <w:tcW w:w="852" w:type="pct"/>
            <w:vMerge/>
            <w:vAlign w:val="center"/>
            <w:hideMark/>
          </w:tcPr>
          <w:p w14:paraId="147850FD"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restart"/>
            <w:noWrap/>
            <w:vAlign w:val="center"/>
            <w:hideMark/>
          </w:tcPr>
          <w:p w14:paraId="66C7A67E"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Operational</w:t>
            </w:r>
          </w:p>
        </w:tc>
        <w:tc>
          <w:tcPr>
            <w:tcW w:w="2395" w:type="pct"/>
            <w:vAlign w:val="center"/>
            <w:hideMark/>
          </w:tcPr>
          <w:p w14:paraId="144B0C8A"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Replacement of internal Parts (contactor, MCBs, Controller Card PCBs, Relays, Meter)</w:t>
            </w:r>
          </w:p>
        </w:tc>
        <w:tc>
          <w:tcPr>
            <w:tcW w:w="909" w:type="pct"/>
            <w:noWrap/>
            <w:vAlign w:val="center"/>
            <w:hideMark/>
          </w:tcPr>
          <w:p w14:paraId="1E2CB8AA"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Maintenance</w:t>
            </w:r>
          </w:p>
        </w:tc>
      </w:tr>
      <w:tr w:rsidR="0026616B" w:rsidRPr="00BA7D3A" w14:paraId="0EF2C24A" w14:textId="77777777" w:rsidTr="001F21DF">
        <w:trPr>
          <w:trHeight w:val="297"/>
        </w:trPr>
        <w:tc>
          <w:tcPr>
            <w:tcW w:w="852" w:type="pct"/>
            <w:vMerge/>
            <w:vAlign w:val="center"/>
            <w:hideMark/>
          </w:tcPr>
          <w:p w14:paraId="242E4B94"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1F162244"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2F2D58B4"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Replacement of Power / Control Cable</w:t>
            </w:r>
          </w:p>
        </w:tc>
        <w:tc>
          <w:tcPr>
            <w:tcW w:w="909" w:type="pct"/>
            <w:noWrap/>
            <w:vAlign w:val="center"/>
            <w:hideMark/>
          </w:tcPr>
          <w:p w14:paraId="79B0CE99"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Maintenance</w:t>
            </w:r>
          </w:p>
        </w:tc>
      </w:tr>
      <w:tr w:rsidR="0026616B" w:rsidRPr="00BA7D3A" w14:paraId="76246F53" w14:textId="77777777" w:rsidTr="001F21DF">
        <w:trPr>
          <w:trHeight w:val="310"/>
        </w:trPr>
        <w:tc>
          <w:tcPr>
            <w:tcW w:w="852" w:type="pct"/>
            <w:vMerge/>
            <w:vAlign w:val="center"/>
            <w:hideMark/>
          </w:tcPr>
          <w:p w14:paraId="12144A5B"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2F7544C0"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40DB3C5D"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Replacement of Fuse / Indication Lamp</w:t>
            </w:r>
          </w:p>
        </w:tc>
        <w:tc>
          <w:tcPr>
            <w:tcW w:w="909" w:type="pct"/>
            <w:noWrap/>
            <w:vAlign w:val="center"/>
            <w:hideMark/>
          </w:tcPr>
          <w:p w14:paraId="35A7819F"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Maintenance</w:t>
            </w:r>
          </w:p>
        </w:tc>
      </w:tr>
      <w:tr w:rsidR="0026616B" w:rsidRPr="00BA7D3A" w14:paraId="651D4613" w14:textId="77777777" w:rsidTr="001F21DF">
        <w:trPr>
          <w:trHeight w:val="297"/>
        </w:trPr>
        <w:tc>
          <w:tcPr>
            <w:tcW w:w="852" w:type="pct"/>
            <w:vMerge w:val="restart"/>
            <w:vAlign w:val="center"/>
            <w:hideMark/>
          </w:tcPr>
          <w:p w14:paraId="6ECFB6B0" w14:textId="77777777" w:rsidR="0026616B" w:rsidRPr="00BA7D3A" w:rsidRDefault="0026616B" w:rsidP="00291FAE">
            <w:pPr>
              <w:ind w:left="284"/>
              <w:jc w:val="both"/>
              <w:rPr>
                <w:rFonts w:ascii="Cambria" w:hAnsi="Cambria" w:cstheme="minorHAnsi"/>
                <w:b/>
                <w:bCs/>
                <w:color w:val="000000"/>
                <w:sz w:val="22"/>
                <w:szCs w:val="22"/>
                <w:lang w:val="en-IN" w:eastAsia="en-IN"/>
              </w:rPr>
            </w:pPr>
            <w:r w:rsidRPr="00BA7D3A">
              <w:rPr>
                <w:rFonts w:ascii="Cambria" w:hAnsi="Cambria" w:cstheme="minorHAnsi"/>
                <w:b/>
                <w:bCs/>
                <w:color w:val="000000"/>
                <w:sz w:val="22"/>
                <w:szCs w:val="22"/>
                <w:lang w:eastAsia="en-IN"/>
              </w:rPr>
              <w:t>Capacitor Bank</w:t>
            </w:r>
          </w:p>
        </w:tc>
        <w:tc>
          <w:tcPr>
            <w:tcW w:w="844" w:type="pct"/>
            <w:vMerge w:val="restart"/>
            <w:noWrap/>
            <w:vAlign w:val="center"/>
            <w:hideMark/>
          </w:tcPr>
          <w:p w14:paraId="31A081BD"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Capital</w:t>
            </w:r>
          </w:p>
        </w:tc>
        <w:tc>
          <w:tcPr>
            <w:tcW w:w="2395" w:type="pct"/>
            <w:vAlign w:val="center"/>
            <w:hideMark/>
          </w:tcPr>
          <w:p w14:paraId="759DF69D"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 xml:space="preserve"> Complete Capacitor Bank replacement.</w:t>
            </w:r>
          </w:p>
        </w:tc>
        <w:tc>
          <w:tcPr>
            <w:tcW w:w="909" w:type="pct"/>
            <w:noWrap/>
            <w:vAlign w:val="center"/>
            <w:hideMark/>
          </w:tcPr>
          <w:p w14:paraId="480AE5C3"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Enhancement</w:t>
            </w:r>
          </w:p>
        </w:tc>
      </w:tr>
      <w:tr w:rsidR="0026616B" w:rsidRPr="00BA7D3A" w14:paraId="3233D917" w14:textId="77777777" w:rsidTr="001F21DF">
        <w:trPr>
          <w:trHeight w:val="297"/>
        </w:trPr>
        <w:tc>
          <w:tcPr>
            <w:tcW w:w="852" w:type="pct"/>
            <w:vMerge/>
            <w:vAlign w:val="center"/>
            <w:hideMark/>
          </w:tcPr>
          <w:p w14:paraId="2F1637BF"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026562FF"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0693847E"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New Capacitor Bank Installation</w:t>
            </w:r>
          </w:p>
        </w:tc>
        <w:tc>
          <w:tcPr>
            <w:tcW w:w="909" w:type="pct"/>
            <w:noWrap/>
            <w:vAlign w:val="center"/>
            <w:hideMark/>
          </w:tcPr>
          <w:p w14:paraId="644E7D90"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Enhancement</w:t>
            </w:r>
          </w:p>
        </w:tc>
      </w:tr>
      <w:tr w:rsidR="0026616B" w:rsidRPr="00BA7D3A" w14:paraId="1BBC3A4B" w14:textId="77777777" w:rsidTr="001F21DF">
        <w:trPr>
          <w:trHeight w:val="310"/>
        </w:trPr>
        <w:tc>
          <w:tcPr>
            <w:tcW w:w="852" w:type="pct"/>
            <w:vMerge/>
            <w:vAlign w:val="center"/>
            <w:hideMark/>
          </w:tcPr>
          <w:p w14:paraId="0A1C2578"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74D62576"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56681AE6"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Replacement of Series Reactor Bank</w:t>
            </w:r>
          </w:p>
        </w:tc>
        <w:tc>
          <w:tcPr>
            <w:tcW w:w="909" w:type="pct"/>
            <w:noWrap/>
            <w:vAlign w:val="center"/>
            <w:hideMark/>
          </w:tcPr>
          <w:p w14:paraId="72DCCD48"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Enhancement</w:t>
            </w:r>
          </w:p>
        </w:tc>
      </w:tr>
      <w:tr w:rsidR="0026616B" w:rsidRPr="00BA7D3A" w14:paraId="4591F03C" w14:textId="77777777" w:rsidTr="001F21DF">
        <w:trPr>
          <w:trHeight w:val="297"/>
        </w:trPr>
        <w:tc>
          <w:tcPr>
            <w:tcW w:w="852" w:type="pct"/>
            <w:vMerge/>
            <w:vAlign w:val="center"/>
            <w:hideMark/>
          </w:tcPr>
          <w:p w14:paraId="1F1521E5"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restart"/>
            <w:noWrap/>
            <w:vAlign w:val="center"/>
            <w:hideMark/>
          </w:tcPr>
          <w:p w14:paraId="08C20F1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Operational</w:t>
            </w:r>
          </w:p>
        </w:tc>
        <w:tc>
          <w:tcPr>
            <w:tcW w:w="2395" w:type="pct"/>
            <w:vAlign w:val="center"/>
            <w:hideMark/>
          </w:tcPr>
          <w:p w14:paraId="17C957A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Replacement of individual series reactor</w:t>
            </w:r>
          </w:p>
        </w:tc>
        <w:tc>
          <w:tcPr>
            <w:tcW w:w="909" w:type="pct"/>
            <w:noWrap/>
            <w:vAlign w:val="center"/>
            <w:hideMark/>
          </w:tcPr>
          <w:p w14:paraId="22342591"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73DDC6C7" w14:textId="77777777" w:rsidTr="001F21DF">
        <w:trPr>
          <w:trHeight w:val="297"/>
        </w:trPr>
        <w:tc>
          <w:tcPr>
            <w:tcW w:w="852" w:type="pct"/>
            <w:vMerge/>
            <w:vAlign w:val="center"/>
            <w:hideMark/>
          </w:tcPr>
          <w:p w14:paraId="0ABA0F5B"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1EEBDC92"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59797D97"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Replacement of individual Capacitor cell.</w:t>
            </w:r>
          </w:p>
        </w:tc>
        <w:tc>
          <w:tcPr>
            <w:tcW w:w="909" w:type="pct"/>
            <w:noWrap/>
            <w:vAlign w:val="center"/>
            <w:hideMark/>
          </w:tcPr>
          <w:p w14:paraId="24D3FEAC"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29796C70" w14:textId="77777777" w:rsidTr="001F21DF">
        <w:trPr>
          <w:trHeight w:val="297"/>
        </w:trPr>
        <w:tc>
          <w:tcPr>
            <w:tcW w:w="852" w:type="pct"/>
            <w:vMerge/>
            <w:vAlign w:val="center"/>
            <w:hideMark/>
          </w:tcPr>
          <w:p w14:paraId="1E1FA646"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3F3A8726"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435F8DBA"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 xml:space="preserve"> Replacement of mounting structure.</w:t>
            </w:r>
          </w:p>
        </w:tc>
        <w:tc>
          <w:tcPr>
            <w:tcW w:w="909" w:type="pct"/>
            <w:noWrap/>
            <w:vAlign w:val="center"/>
            <w:hideMark/>
          </w:tcPr>
          <w:p w14:paraId="43CCF901"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3B7B1218" w14:textId="77777777" w:rsidTr="001F21DF">
        <w:trPr>
          <w:trHeight w:val="297"/>
        </w:trPr>
        <w:tc>
          <w:tcPr>
            <w:tcW w:w="852" w:type="pct"/>
            <w:vMerge/>
            <w:vAlign w:val="center"/>
            <w:hideMark/>
          </w:tcPr>
          <w:p w14:paraId="3241CCB2"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2156917F"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11187DE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 xml:space="preserve"> Neutral CT replacement</w:t>
            </w:r>
          </w:p>
        </w:tc>
        <w:tc>
          <w:tcPr>
            <w:tcW w:w="909" w:type="pct"/>
            <w:noWrap/>
            <w:vAlign w:val="center"/>
            <w:hideMark/>
          </w:tcPr>
          <w:p w14:paraId="73A27BFA"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08BDE2D2" w14:textId="77777777" w:rsidTr="001F21DF">
        <w:trPr>
          <w:trHeight w:val="297"/>
        </w:trPr>
        <w:tc>
          <w:tcPr>
            <w:tcW w:w="852" w:type="pct"/>
            <w:vMerge/>
            <w:vAlign w:val="center"/>
            <w:hideMark/>
          </w:tcPr>
          <w:p w14:paraId="7B71E853"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5BEAAE8A"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5536BDAC"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NUB Relay replacement</w:t>
            </w:r>
          </w:p>
        </w:tc>
        <w:tc>
          <w:tcPr>
            <w:tcW w:w="909" w:type="pct"/>
            <w:noWrap/>
            <w:vAlign w:val="center"/>
            <w:hideMark/>
          </w:tcPr>
          <w:p w14:paraId="30174BA6"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5B955007" w14:textId="77777777" w:rsidTr="001F21DF">
        <w:trPr>
          <w:trHeight w:val="310"/>
        </w:trPr>
        <w:tc>
          <w:tcPr>
            <w:tcW w:w="852" w:type="pct"/>
            <w:vMerge/>
            <w:vAlign w:val="center"/>
            <w:hideMark/>
          </w:tcPr>
          <w:p w14:paraId="77B338A6"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31913882"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2B31A4FA"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PT Fuse replacement</w:t>
            </w:r>
          </w:p>
        </w:tc>
        <w:tc>
          <w:tcPr>
            <w:tcW w:w="909" w:type="pct"/>
            <w:noWrap/>
            <w:vAlign w:val="center"/>
            <w:hideMark/>
          </w:tcPr>
          <w:p w14:paraId="2A92C4D1"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504EAB1B" w14:textId="77777777" w:rsidTr="001F21DF">
        <w:trPr>
          <w:trHeight w:val="297"/>
        </w:trPr>
        <w:tc>
          <w:tcPr>
            <w:tcW w:w="852" w:type="pct"/>
            <w:vMerge w:val="restart"/>
            <w:vAlign w:val="center"/>
            <w:hideMark/>
          </w:tcPr>
          <w:p w14:paraId="0A2C0F09" w14:textId="77777777" w:rsidR="0026616B" w:rsidRPr="00BA7D3A" w:rsidRDefault="0026616B" w:rsidP="00291FAE">
            <w:pPr>
              <w:ind w:left="284"/>
              <w:jc w:val="both"/>
              <w:rPr>
                <w:rFonts w:ascii="Cambria" w:hAnsi="Cambria" w:cstheme="minorHAnsi"/>
                <w:b/>
                <w:bCs/>
                <w:color w:val="000000"/>
                <w:sz w:val="22"/>
                <w:szCs w:val="22"/>
                <w:lang w:val="en-IN" w:eastAsia="en-IN"/>
              </w:rPr>
            </w:pPr>
            <w:r w:rsidRPr="00BA7D3A">
              <w:rPr>
                <w:rFonts w:ascii="Cambria" w:hAnsi="Cambria" w:cstheme="minorHAnsi"/>
                <w:b/>
                <w:bCs/>
                <w:color w:val="000000"/>
                <w:sz w:val="22"/>
                <w:szCs w:val="22"/>
                <w:lang w:eastAsia="en-IN"/>
              </w:rPr>
              <w:t>Conductors</w:t>
            </w:r>
          </w:p>
        </w:tc>
        <w:tc>
          <w:tcPr>
            <w:tcW w:w="844" w:type="pct"/>
            <w:vMerge w:val="restart"/>
            <w:noWrap/>
            <w:vAlign w:val="center"/>
            <w:hideMark/>
          </w:tcPr>
          <w:p w14:paraId="574994B9"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Capital</w:t>
            </w:r>
          </w:p>
        </w:tc>
        <w:tc>
          <w:tcPr>
            <w:tcW w:w="2395" w:type="pct"/>
            <w:vAlign w:val="center"/>
            <w:hideMark/>
          </w:tcPr>
          <w:p w14:paraId="3CDB6FD9"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conductor (ME) - all phases in a span</w:t>
            </w:r>
          </w:p>
        </w:tc>
        <w:tc>
          <w:tcPr>
            <w:tcW w:w="909" w:type="pct"/>
            <w:noWrap/>
            <w:vAlign w:val="center"/>
            <w:hideMark/>
          </w:tcPr>
          <w:p w14:paraId="495EAE39"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639C6EB8" w14:textId="77777777" w:rsidTr="001F21DF">
        <w:trPr>
          <w:trHeight w:val="409"/>
        </w:trPr>
        <w:tc>
          <w:tcPr>
            <w:tcW w:w="852" w:type="pct"/>
            <w:vMerge/>
            <w:vAlign w:val="center"/>
            <w:hideMark/>
          </w:tcPr>
          <w:p w14:paraId="750701F3"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28E2AAA2"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1AB8DD4C"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conductor - all</w:t>
            </w:r>
          </w:p>
        </w:tc>
        <w:tc>
          <w:tcPr>
            <w:tcW w:w="909" w:type="pct"/>
            <w:vAlign w:val="center"/>
            <w:hideMark/>
          </w:tcPr>
          <w:p w14:paraId="410E7B49"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31993AC3" w14:textId="77777777" w:rsidTr="001F21DF">
        <w:trPr>
          <w:trHeight w:val="297"/>
        </w:trPr>
        <w:tc>
          <w:tcPr>
            <w:tcW w:w="852" w:type="pct"/>
            <w:vMerge/>
            <w:vAlign w:val="center"/>
            <w:hideMark/>
          </w:tcPr>
          <w:p w14:paraId="03506276"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3DDE05A2"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098AFD9C"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conductor with increased capability</w:t>
            </w:r>
          </w:p>
        </w:tc>
        <w:tc>
          <w:tcPr>
            <w:tcW w:w="909" w:type="pct"/>
            <w:noWrap/>
            <w:vAlign w:val="center"/>
            <w:hideMark/>
          </w:tcPr>
          <w:p w14:paraId="3430076A"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6D0A761D" w14:textId="77777777" w:rsidTr="001F21DF">
        <w:trPr>
          <w:trHeight w:val="297"/>
        </w:trPr>
        <w:tc>
          <w:tcPr>
            <w:tcW w:w="852" w:type="pct"/>
            <w:vMerge/>
            <w:vAlign w:val="center"/>
            <w:hideMark/>
          </w:tcPr>
          <w:p w14:paraId="5E7008BB"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0B0BC920"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5E2F8646"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Install MVLC on existing conductor - one or two phases in a span</w:t>
            </w:r>
          </w:p>
        </w:tc>
        <w:tc>
          <w:tcPr>
            <w:tcW w:w="909" w:type="pct"/>
            <w:vAlign w:val="center"/>
            <w:hideMark/>
          </w:tcPr>
          <w:p w14:paraId="603F075D"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78ACF082" w14:textId="77777777" w:rsidTr="001F21DF">
        <w:trPr>
          <w:trHeight w:val="297"/>
        </w:trPr>
        <w:tc>
          <w:tcPr>
            <w:tcW w:w="852" w:type="pct"/>
            <w:vMerge/>
            <w:vAlign w:val="center"/>
            <w:hideMark/>
          </w:tcPr>
          <w:p w14:paraId="456235FD"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63BE03B3"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0BA0CD3C"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Installation of Wedge connectors</w:t>
            </w:r>
          </w:p>
        </w:tc>
        <w:tc>
          <w:tcPr>
            <w:tcW w:w="909" w:type="pct"/>
            <w:vAlign w:val="center"/>
            <w:hideMark/>
          </w:tcPr>
          <w:p w14:paraId="32EE3D28"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11858036" w14:textId="77777777" w:rsidTr="001F21DF">
        <w:trPr>
          <w:trHeight w:val="297"/>
        </w:trPr>
        <w:tc>
          <w:tcPr>
            <w:tcW w:w="852" w:type="pct"/>
            <w:vMerge/>
            <w:vAlign w:val="center"/>
            <w:hideMark/>
          </w:tcPr>
          <w:p w14:paraId="1D93A849"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44ABB224"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09DDDCB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Install Vibration Dampers</w:t>
            </w:r>
          </w:p>
        </w:tc>
        <w:tc>
          <w:tcPr>
            <w:tcW w:w="909" w:type="pct"/>
            <w:noWrap/>
            <w:vAlign w:val="center"/>
            <w:hideMark/>
          </w:tcPr>
          <w:p w14:paraId="1F68C620"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7189B337" w14:textId="77777777" w:rsidTr="001F21DF">
        <w:trPr>
          <w:trHeight w:val="297"/>
        </w:trPr>
        <w:tc>
          <w:tcPr>
            <w:tcW w:w="852" w:type="pct"/>
            <w:vMerge/>
            <w:vAlign w:val="center"/>
            <w:hideMark/>
          </w:tcPr>
          <w:p w14:paraId="49944F24"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59ACE268"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587690D0"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Install Wedge Connectors</w:t>
            </w:r>
          </w:p>
        </w:tc>
        <w:tc>
          <w:tcPr>
            <w:tcW w:w="909" w:type="pct"/>
            <w:noWrap/>
            <w:vAlign w:val="center"/>
            <w:hideMark/>
          </w:tcPr>
          <w:p w14:paraId="579E5E04"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1C8820D0" w14:textId="77777777" w:rsidTr="001F21DF">
        <w:trPr>
          <w:trHeight w:val="297"/>
        </w:trPr>
        <w:tc>
          <w:tcPr>
            <w:tcW w:w="852" w:type="pct"/>
            <w:vMerge/>
            <w:vAlign w:val="center"/>
            <w:hideMark/>
          </w:tcPr>
          <w:p w14:paraId="4AAD372C"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722A65ED"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5F953838"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Install Spacers and/or Interphase Spacers</w:t>
            </w:r>
          </w:p>
        </w:tc>
        <w:tc>
          <w:tcPr>
            <w:tcW w:w="909" w:type="pct"/>
            <w:noWrap/>
            <w:vAlign w:val="center"/>
            <w:hideMark/>
          </w:tcPr>
          <w:p w14:paraId="7A9AB7BF"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2AEED6C6" w14:textId="77777777" w:rsidTr="001F21DF">
        <w:trPr>
          <w:trHeight w:val="297"/>
        </w:trPr>
        <w:tc>
          <w:tcPr>
            <w:tcW w:w="852" w:type="pct"/>
            <w:vMerge/>
            <w:vAlign w:val="center"/>
            <w:hideMark/>
          </w:tcPr>
          <w:p w14:paraId="2D5F79F2"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42D5FD19"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265B8D2A"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Install Spacer Dampers</w:t>
            </w:r>
          </w:p>
        </w:tc>
        <w:tc>
          <w:tcPr>
            <w:tcW w:w="909" w:type="pct"/>
            <w:noWrap/>
            <w:vAlign w:val="center"/>
            <w:hideMark/>
          </w:tcPr>
          <w:p w14:paraId="21433902"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79B8FC3A" w14:textId="77777777" w:rsidTr="001F21DF">
        <w:trPr>
          <w:trHeight w:val="310"/>
        </w:trPr>
        <w:tc>
          <w:tcPr>
            <w:tcW w:w="852" w:type="pct"/>
            <w:vMerge/>
            <w:vAlign w:val="center"/>
            <w:hideMark/>
          </w:tcPr>
          <w:p w14:paraId="27B223A0"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780D85B7"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39CFC07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Cables used in network extension including service cable</w:t>
            </w:r>
          </w:p>
        </w:tc>
        <w:tc>
          <w:tcPr>
            <w:tcW w:w="909" w:type="pct"/>
            <w:noWrap/>
            <w:vAlign w:val="center"/>
            <w:hideMark/>
          </w:tcPr>
          <w:p w14:paraId="72170F7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7BD5BADB" w14:textId="77777777" w:rsidTr="001F21DF">
        <w:trPr>
          <w:trHeight w:val="297"/>
        </w:trPr>
        <w:tc>
          <w:tcPr>
            <w:tcW w:w="852" w:type="pct"/>
            <w:vMerge/>
            <w:vAlign w:val="center"/>
            <w:hideMark/>
          </w:tcPr>
          <w:p w14:paraId="48B13FAC"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restart"/>
            <w:vAlign w:val="center"/>
            <w:hideMark/>
          </w:tcPr>
          <w:p w14:paraId="52E4740A"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Operational</w:t>
            </w:r>
          </w:p>
        </w:tc>
        <w:tc>
          <w:tcPr>
            <w:tcW w:w="2395" w:type="pct"/>
            <w:vAlign w:val="center"/>
            <w:hideMark/>
          </w:tcPr>
          <w:p w14:paraId="2144733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conductor - one or two phases in a span</w:t>
            </w:r>
          </w:p>
        </w:tc>
        <w:tc>
          <w:tcPr>
            <w:tcW w:w="909" w:type="pct"/>
            <w:vAlign w:val="center"/>
            <w:hideMark/>
          </w:tcPr>
          <w:p w14:paraId="5A048E58"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2CAF9512" w14:textId="77777777" w:rsidTr="001F21DF">
        <w:trPr>
          <w:trHeight w:val="297"/>
        </w:trPr>
        <w:tc>
          <w:tcPr>
            <w:tcW w:w="852" w:type="pct"/>
            <w:vMerge/>
            <w:vAlign w:val="center"/>
            <w:hideMark/>
          </w:tcPr>
          <w:p w14:paraId="516E4B2F"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0F472C02"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38700BB7"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Vibration Dampers</w:t>
            </w:r>
          </w:p>
        </w:tc>
        <w:tc>
          <w:tcPr>
            <w:tcW w:w="909" w:type="pct"/>
            <w:vAlign w:val="center"/>
            <w:hideMark/>
          </w:tcPr>
          <w:p w14:paraId="3D7E2DCB"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29A0BCC1" w14:textId="77777777" w:rsidTr="001F21DF">
        <w:trPr>
          <w:trHeight w:val="297"/>
        </w:trPr>
        <w:tc>
          <w:tcPr>
            <w:tcW w:w="852" w:type="pct"/>
            <w:vMerge/>
            <w:vAlign w:val="center"/>
            <w:hideMark/>
          </w:tcPr>
          <w:p w14:paraId="66F6A296"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1EC84689"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0446BAC8"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Spacers and/or Interphase Spacers</w:t>
            </w:r>
          </w:p>
        </w:tc>
        <w:tc>
          <w:tcPr>
            <w:tcW w:w="909" w:type="pct"/>
            <w:vAlign w:val="center"/>
            <w:hideMark/>
          </w:tcPr>
          <w:p w14:paraId="2878494C"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54CA90A7" w14:textId="77777777" w:rsidTr="001F21DF">
        <w:trPr>
          <w:trHeight w:val="310"/>
        </w:trPr>
        <w:tc>
          <w:tcPr>
            <w:tcW w:w="852" w:type="pct"/>
            <w:vMerge/>
            <w:vAlign w:val="center"/>
            <w:hideMark/>
          </w:tcPr>
          <w:p w14:paraId="16761148"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4A81B07A"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6C5C106F"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Investigations, testing, scoping</w:t>
            </w:r>
          </w:p>
        </w:tc>
        <w:tc>
          <w:tcPr>
            <w:tcW w:w="909" w:type="pct"/>
            <w:vAlign w:val="center"/>
            <w:hideMark/>
          </w:tcPr>
          <w:p w14:paraId="22EF638B"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44DC7556" w14:textId="77777777" w:rsidTr="001F21DF">
        <w:trPr>
          <w:trHeight w:val="297"/>
        </w:trPr>
        <w:tc>
          <w:tcPr>
            <w:tcW w:w="852" w:type="pct"/>
            <w:vMerge w:val="restart"/>
            <w:vAlign w:val="center"/>
            <w:hideMark/>
          </w:tcPr>
          <w:p w14:paraId="7A1C499B" w14:textId="77777777" w:rsidR="0026616B" w:rsidRPr="00BA7D3A" w:rsidRDefault="0026616B" w:rsidP="00291FAE">
            <w:pPr>
              <w:ind w:left="284"/>
              <w:jc w:val="both"/>
              <w:rPr>
                <w:rFonts w:ascii="Cambria" w:hAnsi="Cambria" w:cstheme="minorHAnsi"/>
                <w:b/>
                <w:bCs/>
                <w:color w:val="000000"/>
                <w:sz w:val="22"/>
                <w:szCs w:val="22"/>
                <w:lang w:val="en-IN" w:eastAsia="en-IN"/>
              </w:rPr>
            </w:pPr>
            <w:r w:rsidRPr="00BA7D3A">
              <w:rPr>
                <w:rFonts w:ascii="Cambria" w:hAnsi="Cambria" w:cstheme="minorHAnsi"/>
                <w:b/>
                <w:bCs/>
                <w:color w:val="000000"/>
                <w:sz w:val="22"/>
                <w:szCs w:val="22"/>
                <w:lang w:eastAsia="en-IN"/>
              </w:rPr>
              <w:t>Earthing</w:t>
            </w:r>
          </w:p>
        </w:tc>
        <w:tc>
          <w:tcPr>
            <w:tcW w:w="844" w:type="pct"/>
            <w:vMerge w:val="restart"/>
            <w:vAlign w:val="center"/>
            <w:hideMark/>
          </w:tcPr>
          <w:p w14:paraId="2A40B193"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Capital</w:t>
            </w:r>
          </w:p>
        </w:tc>
        <w:tc>
          <w:tcPr>
            <w:tcW w:w="2395" w:type="pct"/>
            <w:vAlign w:val="center"/>
            <w:hideMark/>
          </w:tcPr>
          <w:p w14:paraId="0EE92E6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Earthing</w:t>
            </w:r>
          </w:p>
        </w:tc>
        <w:tc>
          <w:tcPr>
            <w:tcW w:w="909" w:type="pct"/>
            <w:vAlign w:val="center"/>
            <w:hideMark/>
          </w:tcPr>
          <w:p w14:paraId="22A591F0"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2B757457" w14:textId="77777777" w:rsidTr="001F21DF">
        <w:trPr>
          <w:trHeight w:val="310"/>
        </w:trPr>
        <w:tc>
          <w:tcPr>
            <w:tcW w:w="852" w:type="pct"/>
            <w:vMerge/>
            <w:vAlign w:val="center"/>
            <w:hideMark/>
          </w:tcPr>
          <w:p w14:paraId="588E3337"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624FB00D"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2621D238"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New Earthing System for protection of network</w:t>
            </w:r>
          </w:p>
        </w:tc>
        <w:tc>
          <w:tcPr>
            <w:tcW w:w="909" w:type="pct"/>
            <w:noWrap/>
            <w:vAlign w:val="center"/>
            <w:hideMark/>
          </w:tcPr>
          <w:p w14:paraId="7A8A6C9B"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05D8FABD" w14:textId="77777777" w:rsidTr="001F21DF">
        <w:trPr>
          <w:trHeight w:val="310"/>
        </w:trPr>
        <w:tc>
          <w:tcPr>
            <w:tcW w:w="852" w:type="pct"/>
            <w:vMerge/>
            <w:vAlign w:val="center"/>
            <w:hideMark/>
          </w:tcPr>
          <w:p w14:paraId="53FCF529"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Align w:val="center"/>
            <w:hideMark/>
          </w:tcPr>
          <w:p w14:paraId="2A5611A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Operational</w:t>
            </w:r>
          </w:p>
        </w:tc>
        <w:tc>
          <w:tcPr>
            <w:tcW w:w="2395" w:type="pct"/>
            <w:vAlign w:val="center"/>
            <w:hideMark/>
          </w:tcPr>
          <w:p w14:paraId="42EFA20F"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Repair Earthing /Earthing Hardware</w:t>
            </w:r>
          </w:p>
        </w:tc>
        <w:tc>
          <w:tcPr>
            <w:tcW w:w="909" w:type="pct"/>
            <w:vAlign w:val="center"/>
            <w:hideMark/>
          </w:tcPr>
          <w:p w14:paraId="7E28FF59"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6C2B6E7D" w14:textId="77777777" w:rsidTr="001F21DF">
        <w:trPr>
          <w:trHeight w:val="297"/>
        </w:trPr>
        <w:tc>
          <w:tcPr>
            <w:tcW w:w="852" w:type="pct"/>
            <w:vMerge w:val="restart"/>
            <w:vAlign w:val="center"/>
            <w:hideMark/>
          </w:tcPr>
          <w:p w14:paraId="7017CC72" w14:textId="77777777" w:rsidR="0026616B" w:rsidRPr="00BA7D3A" w:rsidRDefault="0026616B" w:rsidP="00291FAE">
            <w:pPr>
              <w:ind w:left="284"/>
              <w:jc w:val="both"/>
              <w:rPr>
                <w:rFonts w:ascii="Cambria" w:hAnsi="Cambria" w:cstheme="minorHAnsi"/>
                <w:b/>
                <w:bCs/>
                <w:color w:val="000000"/>
                <w:sz w:val="22"/>
                <w:szCs w:val="22"/>
                <w:lang w:val="en-IN" w:eastAsia="en-IN"/>
              </w:rPr>
            </w:pPr>
            <w:r w:rsidRPr="00BA7D3A">
              <w:rPr>
                <w:rFonts w:ascii="Cambria" w:hAnsi="Cambria" w:cstheme="minorHAnsi"/>
                <w:b/>
                <w:bCs/>
                <w:color w:val="000000"/>
                <w:sz w:val="22"/>
                <w:szCs w:val="22"/>
                <w:lang w:eastAsia="en-IN"/>
              </w:rPr>
              <w:t>I/D Switchgear</w:t>
            </w:r>
          </w:p>
        </w:tc>
        <w:tc>
          <w:tcPr>
            <w:tcW w:w="844" w:type="pct"/>
            <w:vMerge w:val="restart"/>
            <w:noWrap/>
            <w:vAlign w:val="center"/>
            <w:hideMark/>
          </w:tcPr>
          <w:p w14:paraId="5C0B1C8F"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Capital</w:t>
            </w:r>
          </w:p>
        </w:tc>
        <w:tc>
          <w:tcPr>
            <w:tcW w:w="2395" w:type="pct"/>
            <w:vAlign w:val="center"/>
            <w:hideMark/>
          </w:tcPr>
          <w:p w14:paraId="31539090"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Replacement of ACDB / DCDB</w:t>
            </w:r>
          </w:p>
        </w:tc>
        <w:tc>
          <w:tcPr>
            <w:tcW w:w="909" w:type="pct"/>
            <w:noWrap/>
            <w:vAlign w:val="center"/>
            <w:hideMark/>
          </w:tcPr>
          <w:p w14:paraId="6DDDAC64"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06F48D06" w14:textId="77777777" w:rsidTr="001F21DF">
        <w:trPr>
          <w:trHeight w:val="297"/>
        </w:trPr>
        <w:tc>
          <w:tcPr>
            <w:tcW w:w="852" w:type="pct"/>
            <w:vMerge/>
            <w:vAlign w:val="center"/>
            <w:hideMark/>
          </w:tcPr>
          <w:p w14:paraId="593A9C7B"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38920A41"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55A024D9"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Replacement of Energy Meter /BCU</w:t>
            </w:r>
          </w:p>
        </w:tc>
        <w:tc>
          <w:tcPr>
            <w:tcW w:w="909" w:type="pct"/>
            <w:noWrap/>
            <w:vAlign w:val="center"/>
            <w:hideMark/>
          </w:tcPr>
          <w:p w14:paraId="7BB26C60"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67C77096" w14:textId="77777777" w:rsidTr="001F21DF">
        <w:trPr>
          <w:trHeight w:val="297"/>
        </w:trPr>
        <w:tc>
          <w:tcPr>
            <w:tcW w:w="852" w:type="pct"/>
            <w:vMerge/>
            <w:vAlign w:val="center"/>
            <w:hideMark/>
          </w:tcPr>
          <w:p w14:paraId="6ED2D341"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28FF47AC"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646D4A0E"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Replacement of CB in I/D Panel</w:t>
            </w:r>
          </w:p>
        </w:tc>
        <w:tc>
          <w:tcPr>
            <w:tcW w:w="909" w:type="pct"/>
            <w:noWrap/>
            <w:vAlign w:val="center"/>
            <w:hideMark/>
          </w:tcPr>
          <w:p w14:paraId="4FBEDA3F"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2058B9DC" w14:textId="77777777" w:rsidTr="001F21DF">
        <w:trPr>
          <w:trHeight w:val="297"/>
        </w:trPr>
        <w:tc>
          <w:tcPr>
            <w:tcW w:w="852" w:type="pct"/>
            <w:vMerge/>
            <w:vAlign w:val="center"/>
            <w:hideMark/>
          </w:tcPr>
          <w:p w14:paraId="69371231"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00C1CAA1"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25873A63"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Earthing trolley</w:t>
            </w:r>
          </w:p>
        </w:tc>
        <w:tc>
          <w:tcPr>
            <w:tcW w:w="909" w:type="pct"/>
            <w:noWrap/>
            <w:vAlign w:val="center"/>
            <w:hideMark/>
          </w:tcPr>
          <w:p w14:paraId="4FD7AEC6"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64CC60A8" w14:textId="77777777" w:rsidTr="001F21DF">
        <w:trPr>
          <w:trHeight w:val="297"/>
        </w:trPr>
        <w:tc>
          <w:tcPr>
            <w:tcW w:w="852" w:type="pct"/>
            <w:vMerge/>
            <w:vAlign w:val="center"/>
            <w:hideMark/>
          </w:tcPr>
          <w:p w14:paraId="06DEF981"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33166F67"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7EBC9C54"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Earthing Truck</w:t>
            </w:r>
          </w:p>
        </w:tc>
        <w:tc>
          <w:tcPr>
            <w:tcW w:w="909" w:type="pct"/>
            <w:noWrap/>
            <w:vAlign w:val="center"/>
            <w:hideMark/>
          </w:tcPr>
          <w:p w14:paraId="24C6418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3A174CBA" w14:textId="77777777" w:rsidTr="001F21DF">
        <w:trPr>
          <w:trHeight w:val="297"/>
        </w:trPr>
        <w:tc>
          <w:tcPr>
            <w:tcW w:w="852" w:type="pct"/>
            <w:vMerge/>
            <w:vAlign w:val="center"/>
            <w:hideMark/>
          </w:tcPr>
          <w:p w14:paraId="0FA508F7"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4955AFD7"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7747A936"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Replacement of CT / PT in Indoor Panel</w:t>
            </w:r>
          </w:p>
        </w:tc>
        <w:tc>
          <w:tcPr>
            <w:tcW w:w="909" w:type="pct"/>
            <w:noWrap/>
            <w:vAlign w:val="center"/>
            <w:hideMark/>
          </w:tcPr>
          <w:p w14:paraId="13338238"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789B26C7" w14:textId="77777777" w:rsidTr="001F21DF">
        <w:trPr>
          <w:trHeight w:val="310"/>
        </w:trPr>
        <w:tc>
          <w:tcPr>
            <w:tcW w:w="852" w:type="pct"/>
            <w:vMerge/>
            <w:vAlign w:val="center"/>
            <w:hideMark/>
          </w:tcPr>
          <w:p w14:paraId="2AE73FC2"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0485B432"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185E96EB"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Replacement of Cable trench cover</w:t>
            </w:r>
          </w:p>
        </w:tc>
        <w:tc>
          <w:tcPr>
            <w:tcW w:w="909" w:type="pct"/>
            <w:noWrap/>
            <w:vAlign w:val="center"/>
            <w:hideMark/>
          </w:tcPr>
          <w:p w14:paraId="7FD0640C"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1AC1D442" w14:textId="77777777" w:rsidTr="001F21DF">
        <w:trPr>
          <w:trHeight w:val="297"/>
        </w:trPr>
        <w:tc>
          <w:tcPr>
            <w:tcW w:w="852" w:type="pct"/>
            <w:vMerge/>
            <w:vAlign w:val="center"/>
            <w:hideMark/>
          </w:tcPr>
          <w:p w14:paraId="732B9B66"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restart"/>
            <w:noWrap/>
            <w:vAlign w:val="center"/>
            <w:hideMark/>
          </w:tcPr>
          <w:p w14:paraId="6AF582AD"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Operational</w:t>
            </w:r>
          </w:p>
        </w:tc>
        <w:tc>
          <w:tcPr>
            <w:tcW w:w="2395" w:type="pct"/>
            <w:vAlign w:val="center"/>
            <w:hideMark/>
          </w:tcPr>
          <w:p w14:paraId="67A312F8"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Provision of Rubber mat</w:t>
            </w:r>
          </w:p>
        </w:tc>
        <w:tc>
          <w:tcPr>
            <w:tcW w:w="909" w:type="pct"/>
            <w:noWrap/>
            <w:vAlign w:val="center"/>
            <w:hideMark/>
          </w:tcPr>
          <w:p w14:paraId="761B9220"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42CCCBF9" w14:textId="77777777" w:rsidTr="001F21DF">
        <w:trPr>
          <w:trHeight w:val="297"/>
        </w:trPr>
        <w:tc>
          <w:tcPr>
            <w:tcW w:w="852" w:type="pct"/>
            <w:vMerge/>
            <w:vAlign w:val="center"/>
            <w:hideMark/>
          </w:tcPr>
          <w:p w14:paraId="18F89A8E"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144E045E"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100A4844"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Indoor Lighting repair</w:t>
            </w:r>
          </w:p>
        </w:tc>
        <w:tc>
          <w:tcPr>
            <w:tcW w:w="909" w:type="pct"/>
            <w:noWrap/>
            <w:vAlign w:val="center"/>
            <w:hideMark/>
          </w:tcPr>
          <w:p w14:paraId="7583226E"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6D1E5DFA" w14:textId="77777777" w:rsidTr="001F21DF">
        <w:trPr>
          <w:trHeight w:val="297"/>
        </w:trPr>
        <w:tc>
          <w:tcPr>
            <w:tcW w:w="852" w:type="pct"/>
            <w:vMerge/>
            <w:vAlign w:val="center"/>
            <w:hideMark/>
          </w:tcPr>
          <w:p w14:paraId="45B9EC98"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08B65498"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55D808BC"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Relay in C&amp;R panel</w:t>
            </w:r>
          </w:p>
        </w:tc>
        <w:tc>
          <w:tcPr>
            <w:tcW w:w="909" w:type="pct"/>
            <w:noWrap/>
            <w:vAlign w:val="center"/>
            <w:hideMark/>
          </w:tcPr>
          <w:p w14:paraId="5BD3F301"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3813E3DA" w14:textId="77777777" w:rsidTr="001F21DF">
        <w:trPr>
          <w:trHeight w:val="297"/>
        </w:trPr>
        <w:tc>
          <w:tcPr>
            <w:tcW w:w="852" w:type="pct"/>
            <w:vMerge/>
            <w:vAlign w:val="center"/>
            <w:hideMark/>
          </w:tcPr>
          <w:p w14:paraId="4108403F"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7495979C"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29E63D00"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Replacement of Space heater &amp; thermostat</w:t>
            </w:r>
          </w:p>
        </w:tc>
        <w:tc>
          <w:tcPr>
            <w:tcW w:w="909" w:type="pct"/>
            <w:noWrap/>
            <w:vAlign w:val="center"/>
            <w:hideMark/>
          </w:tcPr>
          <w:p w14:paraId="00BEF043"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694431D9" w14:textId="77777777" w:rsidTr="001F21DF">
        <w:trPr>
          <w:trHeight w:val="310"/>
        </w:trPr>
        <w:tc>
          <w:tcPr>
            <w:tcW w:w="852" w:type="pct"/>
            <w:vMerge/>
            <w:vAlign w:val="center"/>
            <w:hideMark/>
          </w:tcPr>
          <w:p w14:paraId="6E18EDCC"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4D679AFA"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1AB14A01"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Repairing of Cable trench (civil)</w:t>
            </w:r>
          </w:p>
        </w:tc>
        <w:tc>
          <w:tcPr>
            <w:tcW w:w="909" w:type="pct"/>
            <w:noWrap/>
            <w:vAlign w:val="center"/>
            <w:hideMark/>
          </w:tcPr>
          <w:p w14:paraId="1E70D26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4DD368A0" w14:textId="77777777" w:rsidTr="001F21DF">
        <w:trPr>
          <w:trHeight w:val="297"/>
        </w:trPr>
        <w:tc>
          <w:tcPr>
            <w:tcW w:w="852" w:type="pct"/>
            <w:vMerge w:val="restart"/>
            <w:vAlign w:val="center"/>
            <w:hideMark/>
          </w:tcPr>
          <w:p w14:paraId="783944C5" w14:textId="77777777" w:rsidR="0026616B" w:rsidRPr="00BA7D3A" w:rsidRDefault="0026616B" w:rsidP="00291FAE">
            <w:pPr>
              <w:ind w:left="284"/>
              <w:jc w:val="both"/>
              <w:rPr>
                <w:rFonts w:ascii="Cambria" w:hAnsi="Cambria" w:cstheme="minorHAnsi"/>
                <w:b/>
                <w:bCs/>
                <w:color w:val="000000"/>
                <w:sz w:val="22"/>
                <w:szCs w:val="22"/>
                <w:lang w:val="en-IN" w:eastAsia="en-IN"/>
              </w:rPr>
            </w:pPr>
            <w:r w:rsidRPr="00BA7D3A">
              <w:rPr>
                <w:rFonts w:ascii="Cambria" w:hAnsi="Cambria" w:cstheme="minorHAnsi"/>
                <w:b/>
                <w:bCs/>
                <w:color w:val="000000"/>
                <w:sz w:val="22"/>
                <w:szCs w:val="22"/>
                <w:lang w:eastAsia="en-IN"/>
              </w:rPr>
              <w:t>Insulators</w:t>
            </w:r>
          </w:p>
        </w:tc>
        <w:tc>
          <w:tcPr>
            <w:tcW w:w="844" w:type="pct"/>
            <w:vMerge w:val="restart"/>
            <w:vAlign w:val="center"/>
            <w:hideMark/>
          </w:tcPr>
          <w:p w14:paraId="48102BD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Capital</w:t>
            </w:r>
          </w:p>
        </w:tc>
        <w:tc>
          <w:tcPr>
            <w:tcW w:w="2395" w:type="pct"/>
            <w:vAlign w:val="center"/>
            <w:hideMark/>
          </w:tcPr>
          <w:p w14:paraId="2F6E645E"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all strings on a structure increased capability</w:t>
            </w:r>
          </w:p>
        </w:tc>
        <w:tc>
          <w:tcPr>
            <w:tcW w:w="909" w:type="pct"/>
            <w:vAlign w:val="center"/>
            <w:hideMark/>
          </w:tcPr>
          <w:p w14:paraId="390D49C2"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790B07D8" w14:textId="77777777" w:rsidTr="001F21DF">
        <w:trPr>
          <w:trHeight w:val="297"/>
        </w:trPr>
        <w:tc>
          <w:tcPr>
            <w:tcW w:w="852" w:type="pct"/>
            <w:vMerge/>
            <w:vAlign w:val="center"/>
            <w:hideMark/>
          </w:tcPr>
          <w:p w14:paraId="42619119"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34085728"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3F0462A9"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all strings on a structure</w:t>
            </w:r>
          </w:p>
        </w:tc>
        <w:tc>
          <w:tcPr>
            <w:tcW w:w="909" w:type="pct"/>
            <w:noWrap/>
            <w:vAlign w:val="center"/>
            <w:hideMark/>
          </w:tcPr>
          <w:p w14:paraId="2649D206"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6C0CA39F" w14:textId="77777777" w:rsidTr="001F21DF">
        <w:trPr>
          <w:trHeight w:val="310"/>
        </w:trPr>
        <w:tc>
          <w:tcPr>
            <w:tcW w:w="852" w:type="pct"/>
            <w:vMerge/>
            <w:vAlign w:val="center"/>
            <w:hideMark/>
          </w:tcPr>
          <w:p w14:paraId="3738D73D"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1AA61D0C"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71B51FAF"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New asset</w:t>
            </w:r>
          </w:p>
        </w:tc>
        <w:tc>
          <w:tcPr>
            <w:tcW w:w="909" w:type="pct"/>
            <w:noWrap/>
            <w:vAlign w:val="center"/>
            <w:hideMark/>
          </w:tcPr>
          <w:p w14:paraId="4C8D83F8"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792FD9D1" w14:textId="77777777" w:rsidTr="001F21DF">
        <w:trPr>
          <w:trHeight w:val="297"/>
        </w:trPr>
        <w:tc>
          <w:tcPr>
            <w:tcW w:w="852" w:type="pct"/>
            <w:vMerge/>
            <w:vAlign w:val="center"/>
            <w:hideMark/>
          </w:tcPr>
          <w:p w14:paraId="3BEE057F"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restart"/>
            <w:noWrap/>
            <w:vAlign w:val="center"/>
            <w:hideMark/>
          </w:tcPr>
          <w:p w14:paraId="3555A0FE"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Operational</w:t>
            </w:r>
          </w:p>
        </w:tc>
        <w:tc>
          <w:tcPr>
            <w:tcW w:w="2395" w:type="pct"/>
            <w:vAlign w:val="center"/>
            <w:hideMark/>
          </w:tcPr>
          <w:p w14:paraId="310E1188"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less than all strings</w:t>
            </w:r>
          </w:p>
        </w:tc>
        <w:tc>
          <w:tcPr>
            <w:tcW w:w="909" w:type="pct"/>
            <w:vAlign w:val="center"/>
            <w:hideMark/>
          </w:tcPr>
          <w:p w14:paraId="03C35F68"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7317E41D" w14:textId="77777777" w:rsidTr="001F21DF">
        <w:trPr>
          <w:trHeight w:val="297"/>
        </w:trPr>
        <w:tc>
          <w:tcPr>
            <w:tcW w:w="852" w:type="pct"/>
            <w:vMerge/>
            <w:vAlign w:val="center"/>
            <w:hideMark/>
          </w:tcPr>
          <w:p w14:paraId="3BC41A3E"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6D2F84FA"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530D5D76"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discs</w:t>
            </w:r>
          </w:p>
        </w:tc>
        <w:tc>
          <w:tcPr>
            <w:tcW w:w="909" w:type="pct"/>
            <w:vAlign w:val="center"/>
            <w:hideMark/>
          </w:tcPr>
          <w:p w14:paraId="42C74E69"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1CB7C639" w14:textId="77777777" w:rsidTr="001F21DF">
        <w:trPr>
          <w:trHeight w:val="310"/>
        </w:trPr>
        <w:tc>
          <w:tcPr>
            <w:tcW w:w="852" w:type="pct"/>
            <w:vMerge/>
            <w:vAlign w:val="center"/>
            <w:hideMark/>
          </w:tcPr>
          <w:p w14:paraId="769721CC"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1EF8734A"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3C6BB22D"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or repair hardware</w:t>
            </w:r>
          </w:p>
        </w:tc>
        <w:tc>
          <w:tcPr>
            <w:tcW w:w="909" w:type="pct"/>
            <w:vAlign w:val="center"/>
            <w:hideMark/>
          </w:tcPr>
          <w:p w14:paraId="0A9F4F74"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57705A45" w14:textId="77777777" w:rsidTr="001F21DF">
        <w:trPr>
          <w:trHeight w:val="310"/>
        </w:trPr>
        <w:tc>
          <w:tcPr>
            <w:tcW w:w="852" w:type="pct"/>
            <w:vMerge w:val="restart"/>
            <w:vAlign w:val="center"/>
            <w:hideMark/>
          </w:tcPr>
          <w:p w14:paraId="513C2B35" w14:textId="77777777" w:rsidR="0026616B" w:rsidRPr="00BA7D3A" w:rsidRDefault="0026616B" w:rsidP="00291FAE">
            <w:pPr>
              <w:ind w:left="284"/>
              <w:jc w:val="both"/>
              <w:rPr>
                <w:rFonts w:ascii="Cambria" w:hAnsi="Cambria" w:cstheme="minorHAnsi"/>
                <w:b/>
                <w:bCs/>
                <w:color w:val="000000"/>
                <w:sz w:val="22"/>
                <w:szCs w:val="22"/>
                <w:lang w:val="en-IN" w:eastAsia="en-IN"/>
              </w:rPr>
            </w:pPr>
            <w:r w:rsidRPr="00BA7D3A">
              <w:rPr>
                <w:rFonts w:ascii="Cambria" w:hAnsi="Cambria" w:cstheme="minorHAnsi"/>
                <w:b/>
                <w:bCs/>
                <w:color w:val="000000"/>
                <w:sz w:val="22"/>
                <w:szCs w:val="22"/>
                <w:lang w:eastAsia="en-IN"/>
              </w:rPr>
              <w:t>Pole Foundations</w:t>
            </w:r>
          </w:p>
        </w:tc>
        <w:tc>
          <w:tcPr>
            <w:tcW w:w="844" w:type="pct"/>
            <w:noWrap/>
            <w:vAlign w:val="center"/>
            <w:hideMark/>
          </w:tcPr>
          <w:p w14:paraId="0C527A6E"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Capital</w:t>
            </w:r>
          </w:p>
        </w:tc>
        <w:tc>
          <w:tcPr>
            <w:tcW w:w="2395" w:type="pct"/>
            <w:vAlign w:val="center"/>
            <w:hideMark/>
          </w:tcPr>
          <w:p w14:paraId="532F9032"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plies or wailings</w:t>
            </w:r>
          </w:p>
        </w:tc>
        <w:tc>
          <w:tcPr>
            <w:tcW w:w="909" w:type="pct"/>
            <w:noWrap/>
            <w:vAlign w:val="center"/>
            <w:hideMark/>
          </w:tcPr>
          <w:p w14:paraId="62BBBDE1"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40D76D72" w14:textId="77777777" w:rsidTr="001F21DF">
        <w:trPr>
          <w:trHeight w:val="297"/>
        </w:trPr>
        <w:tc>
          <w:tcPr>
            <w:tcW w:w="852" w:type="pct"/>
            <w:vMerge/>
            <w:vAlign w:val="center"/>
            <w:hideMark/>
          </w:tcPr>
          <w:p w14:paraId="0C43FABC"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restart"/>
            <w:noWrap/>
            <w:vAlign w:val="center"/>
            <w:hideMark/>
          </w:tcPr>
          <w:p w14:paraId="26F6C6D4"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Operational</w:t>
            </w:r>
          </w:p>
        </w:tc>
        <w:tc>
          <w:tcPr>
            <w:tcW w:w="2395" w:type="pct"/>
            <w:vAlign w:val="center"/>
            <w:hideMark/>
          </w:tcPr>
          <w:p w14:paraId="64368642"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Repair plies or wailings</w:t>
            </w:r>
          </w:p>
        </w:tc>
        <w:tc>
          <w:tcPr>
            <w:tcW w:w="909" w:type="pct"/>
            <w:noWrap/>
            <w:vAlign w:val="center"/>
            <w:hideMark/>
          </w:tcPr>
          <w:p w14:paraId="1AC98A9D"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1AFDDF24" w14:textId="77777777" w:rsidTr="001F21DF">
        <w:trPr>
          <w:trHeight w:val="310"/>
        </w:trPr>
        <w:tc>
          <w:tcPr>
            <w:tcW w:w="852" w:type="pct"/>
            <w:vMerge/>
            <w:vAlign w:val="center"/>
            <w:hideMark/>
          </w:tcPr>
          <w:p w14:paraId="238E8209"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2D1F6205"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28002FFC"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Protection Works</w:t>
            </w:r>
          </w:p>
        </w:tc>
        <w:tc>
          <w:tcPr>
            <w:tcW w:w="909" w:type="pct"/>
            <w:noWrap/>
            <w:vAlign w:val="center"/>
            <w:hideMark/>
          </w:tcPr>
          <w:p w14:paraId="2A3DAC0B"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0FE528F5" w14:textId="77777777" w:rsidTr="001F21DF">
        <w:trPr>
          <w:trHeight w:val="310"/>
        </w:trPr>
        <w:tc>
          <w:tcPr>
            <w:tcW w:w="852" w:type="pct"/>
            <w:vMerge w:val="restart"/>
            <w:vAlign w:val="center"/>
            <w:hideMark/>
          </w:tcPr>
          <w:p w14:paraId="186623F3" w14:textId="77777777" w:rsidR="0026616B" w:rsidRPr="00BA7D3A" w:rsidRDefault="0026616B" w:rsidP="00291FAE">
            <w:pPr>
              <w:ind w:left="284"/>
              <w:jc w:val="both"/>
              <w:rPr>
                <w:rFonts w:ascii="Cambria" w:hAnsi="Cambria" w:cstheme="minorHAnsi"/>
                <w:b/>
                <w:bCs/>
                <w:color w:val="000000"/>
                <w:sz w:val="22"/>
                <w:szCs w:val="22"/>
                <w:lang w:val="en-IN" w:eastAsia="en-IN"/>
              </w:rPr>
            </w:pPr>
            <w:r w:rsidRPr="00BA7D3A">
              <w:rPr>
                <w:rFonts w:ascii="Cambria" w:hAnsi="Cambria" w:cstheme="minorHAnsi"/>
                <w:b/>
                <w:bCs/>
                <w:color w:val="000000"/>
                <w:sz w:val="22"/>
                <w:szCs w:val="22"/>
                <w:lang w:eastAsia="en-IN"/>
              </w:rPr>
              <w:t>Poles</w:t>
            </w:r>
          </w:p>
        </w:tc>
        <w:tc>
          <w:tcPr>
            <w:tcW w:w="844" w:type="pct"/>
            <w:vMerge w:val="restart"/>
            <w:noWrap/>
            <w:vAlign w:val="center"/>
            <w:hideMark/>
          </w:tcPr>
          <w:p w14:paraId="217DD9C7"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Capital</w:t>
            </w:r>
          </w:p>
        </w:tc>
        <w:tc>
          <w:tcPr>
            <w:tcW w:w="2395" w:type="pct"/>
            <w:vAlign w:val="center"/>
            <w:hideMark/>
          </w:tcPr>
          <w:p w14:paraId="7418591E"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Replacement of Pole</w:t>
            </w:r>
          </w:p>
        </w:tc>
        <w:tc>
          <w:tcPr>
            <w:tcW w:w="909" w:type="pct"/>
            <w:noWrap/>
            <w:vAlign w:val="center"/>
            <w:hideMark/>
          </w:tcPr>
          <w:p w14:paraId="651FCC1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60198E42" w14:textId="77777777" w:rsidTr="001F21DF">
        <w:trPr>
          <w:trHeight w:val="310"/>
        </w:trPr>
        <w:tc>
          <w:tcPr>
            <w:tcW w:w="852" w:type="pct"/>
            <w:vMerge/>
            <w:vAlign w:val="center"/>
            <w:hideMark/>
          </w:tcPr>
          <w:p w14:paraId="656104FC"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56092A69"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38ACE971"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Installation of Pole</w:t>
            </w:r>
          </w:p>
        </w:tc>
        <w:tc>
          <w:tcPr>
            <w:tcW w:w="909" w:type="pct"/>
            <w:noWrap/>
            <w:vAlign w:val="center"/>
            <w:hideMark/>
          </w:tcPr>
          <w:p w14:paraId="5C847216"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02090C51" w14:textId="77777777" w:rsidTr="001F21DF">
        <w:trPr>
          <w:trHeight w:val="310"/>
        </w:trPr>
        <w:tc>
          <w:tcPr>
            <w:tcW w:w="852" w:type="pct"/>
            <w:vMerge/>
            <w:vAlign w:val="center"/>
            <w:hideMark/>
          </w:tcPr>
          <w:p w14:paraId="4F7352C4"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noWrap/>
            <w:vAlign w:val="center"/>
            <w:hideMark/>
          </w:tcPr>
          <w:p w14:paraId="163B0C69"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Operational</w:t>
            </w:r>
          </w:p>
        </w:tc>
        <w:tc>
          <w:tcPr>
            <w:tcW w:w="2395" w:type="pct"/>
            <w:vAlign w:val="center"/>
            <w:hideMark/>
          </w:tcPr>
          <w:p w14:paraId="7257DE80"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cross arm</w:t>
            </w:r>
          </w:p>
        </w:tc>
        <w:tc>
          <w:tcPr>
            <w:tcW w:w="909" w:type="pct"/>
            <w:noWrap/>
            <w:vAlign w:val="center"/>
            <w:hideMark/>
          </w:tcPr>
          <w:p w14:paraId="2FFFC3D8"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4C25AD51" w14:textId="77777777" w:rsidTr="001F21DF">
        <w:trPr>
          <w:trHeight w:val="297"/>
        </w:trPr>
        <w:tc>
          <w:tcPr>
            <w:tcW w:w="852" w:type="pct"/>
            <w:vMerge w:val="restart"/>
            <w:vAlign w:val="center"/>
            <w:hideMark/>
          </w:tcPr>
          <w:p w14:paraId="302A208C" w14:textId="77777777" w:rsidR="0026616B" w:rsidRPr="00BA7D3A" w:rsidRDefault="0026616B" w:rsidP="00291FAE">
            <w:pPr>
              <w:ind w:left="284"/>
              <w:jc w:val="both"/>
              <w:rPr>
                <w:rFonts w:ascii="Cambria" w:hAnsi="Cambria" w:cstheme="minorHAnsi"/>
                <w:b/>
                <w:bCs/>
                <w:color w:val="000000"/>
                <w:sz w:val="22"/>
                <w:szCs w:val="22"/>
                <w:lang w:val="en-IN" w:eastAsia="en-IN"/>
              </w:rPr>
            </w:pPr>
            <w:r w:rsidRPr="00BA7D3A">
              <w:rPr>
                <w:rFonts w:ascii="Cambria" w:hAnsi="Cambria" w:cstheme="minorHAnsi"/>
                <w:b/>
                <w:bCs/>
                <w:color w:val="000000"/>
                <w:sz w:val="22"/>
                <w:szCs w:val="22"/>
                <w:lang w:eastAsia="en-IN"/>
              </w:rPr>
              <w:t>Power Transformer / Distribution Transformer</w:t>
            </w:r>
          </w:p>
        </w:tc>
        <w:tc>
          <w:tcPr>
            <w:tcW w:w="844" w:type="pct"/>
            <w:vMerge w:val="restart"/>
            <w:noWrap/>
            <w:vAlign w:val="center"/>
            <w:hideMark/>
          </w:tcPr>
          <w:p w14:paraId="5B2F5947"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Capital</w:t>
            </w:r>
          </w:p>
        </w:tc>
        <w:tc>
          <w:tcPr>
            <w:tcW w:w="2395" w:type="pct"/>
            <w:vAlign w:val="center"/>
            <w:hideMark/>
          </w:tcPr>
          <w:p w14:paraId="4280CF09"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Installation of New Power Transformer</w:t>
            </w:r>
          </w:p>
        </w:tc>
        <w:tc>
          <w:tcPr>
            <w:tcW w:w="909" w:type="pct"/>
            <w:noWrap/>
            <w:vAlign w:val="center"/>
            <w:hideMark/>
          </w:tcPr>
          <w:p w14:paraId="629368BB"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3F910663" w14:textId="77777777" w:rsidTr="001F21DF">
        <w:trPr>
          <w:trHeight w:val="297"/>
        </w:trPr>
        <w:tc>
          <w:tcPr>
            <w:tcW w:w="852" w:type="pct"/>
            <w:vMerge/>
            <w:vAlign w:val="center"/>
            <w:hideMark/>
          </w:tcPr>
          <w:p w14:paraId="5C76DF08"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5757113E"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423D6179"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Installation of TMU</w:t>
            </w:r>
          </w:p>
        </w:tc>
        <w:tc>
          <w:tcPr>
            <w:tcW w:w="909" w:type="pct"/>
            <w:noWrap/>
            <w:vAlign w:val="center"/>
            <w:hideMark/>
          </w:tcPr>
          <w:p w14:paraId="47D132A7"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52BDDE94" w14:textId="77777777" w:rsidTr="001F21DF">
        <w:trPr>
          <w:trHeight w:val="595"/>
        </w:trPr>
        <w:tc>
          <w:tcPr>
            <w:tcW w:w="852" w:type="pct"/>
            <w:vMerge/>
            <w:vAlign w:val="center"/>
            <w:hideMark/>
          </w:tcPr>
          <w:p w14:paraId="39AED603"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035506F6"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6FF8C4FC"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Reconditioning of Transformer crossing 80% of EOL to increase life.</w:t>
            </w:r>
          </w:p>
        </w:tc>
        <w:tc>
          <w:tcPr>
            <w:tcW w:w="909" w:type="pct"/>
            <w:noWrap/>
            <w:vAlign w:val="center"/>
            <w:hideMark/>
          </w:tcPr>
          <w:p w14:paraId="35A9EB8A"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764A6000" w14:textId="77777777" w:rsidTr="001F21DF">
        <w:trPr>
          <w:trHeight w:val="297"/>
        </w:trPr>
        <w:tc>
          <w:tcPr>
            <w:tcW w:w="852" w:type="pct"/>
            <w:vMerge/>
            <w:vAlign w:val="center"/>
            <w:hideMark/>
          </w:tcPr>
          <w:p w14:paraId="5910BE9D"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726D679F"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6A2D2FC0"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Core winding replacement (single or all three)</w:t>
            </w:r>
          </w:p>
        </w:tc>
        <w:tc>
          <w:tcPr>
            <w:tcW w:w="909" w:type="pct"/>
            <w:noWrap/>
            <w:vAlign w:val="center"/>
            <w:hideMark/>
          </w:tcPr>
          <w:p w14:paraId="628DD5A7"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0E72C18F" w14:textId="77777777" w:rsidTr="001F21DF">
        <w:trPr>
          <w:trHeight w:val="297"/>
        </w:trPr>
        <w:tc>
          <w:tcPr>
            <w:tcW w:w="852" w:type="pct"/>
            <w:vMerge/>
            <w:vAlign w:val="center"/>
            <w:hideMark/>
          </w:tcPr>
          <w:p w14:paraId="1E51D544"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446F4F85"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7D4A7588"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Retrofitting of Tap Changer (OEM support not available)</w:t>
            </w:r>
          </w:p>
        </w:tc>
        <w:tc>
          <w:tcPr>
            <w:tcW w:w="909" w:type="pct"/>
            <w:noWrap/>
            <w:vAlign w:val="center"/>
            <w:hideMark/>
          </w:tcPr>
          <w:p w14:paraId="2C8BE8E7"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63DC395C" w14:textId="77777777" w:rsidTr="001F21DF">
        <w:trPr>
          <w:trHeight w:val="297"/>
        </w:trPr>
        <w:tc>
          <w:tcPr>
            <w:tcW w:w="852" w:type="pct"/>
            <w:vMerge/>
            <w:vAlign w:val="center"/>
            <w:hideMark/>
          </w:tcPr>
          <w:p w14:paraId="6378440B"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17D74393"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38480F42"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Replacement of Transformer along with sub component</w:t>
            </w:r>
          </w:p>
        </w:tc>
        <w:tc>
          <w:tcPr>
            <w:tcW w:w="909" w:type="pct"/>
            <w:noWrap/>
            <w:vAlign w:val="center"/>
            <w:hideMark/>
          </w:tcPr>
          <w:p w14:paraId="3F7E1AF0"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6BBC4F6C" w14:textId="77777777" w:rsidTr="001F21DF">
        <w:trPr>
          <w:trHeight w:val="595"/>
        </w:trPr>
        <w:tc>
          <w:tcPr>
            <w:tcW w:w="852" w:type="pct"/>
            <w:vMerge/>
            <w:vAlign w:val="center"/>
            <w:hideMark/>
          </w:tcPr>
          <w:p w14:paraId="129165E7"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6EFEFC79"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47289894"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Replacement of conventional Marshaling Box with SCADA compatible Marshaling Box</w:t>
            </w:r>
          </w:p>
        </w:tc>
        <w:tc>
          <w:tcPr>
            <w:tcW w:w="909" w:type="pct"/>
            <w:noWrap/>
            <w:vAlign w:val="center"/>
            <w:hideMark/>
          </w:tcPr>
          <w:p w14:paraId="7B7251E2"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7D855302" w14:textId="77777777" w:rsidTr="001F21DF">
        <w:trPr>
          <w:trHeight w:val="297"/>
        </w:trPr>
        <w:tc>
          <w:tcPr>
            <w:tcW w:w="852" w:type="pct"/>
            <w:vMerge/>
            <w:vAlign w:val="center"/>
            <w:hideMark/>
          </w:tcPr>
          <w:p w14:paraId="323FDA0C"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569CC2EB"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56EE92ED"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Replacement of conservator</w:t>
            </w:r>
          </w:p>
        </w:tc>
        <w:tc>
          <w:tcPr>
            <w:tcW w:w="909" w:type="pct"/>
            <w:noWrap/>
            <w:vAlign w:val="center"/>
            <w:hideMark/>
          </w:tcPr>
          <w:p w14:paraId="19877AF9"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7E589028" w14:textId="77777777" w:rsidTr="001F21DF">
        <w:trPr>
          <w:trHeight w:val="310"/>
        </w:trPr>
        <w:tc>
          <w:tcPr>
            <w:tcW w:w="852" w:type="pct"/>
            <w:vMerge/>
            <w:vAlign w:val="center"/>
            <w:hideMark/>
          </w:tcPr>
          <w:p w14:paraId="7ECE6889"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4F8D56DD"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7C4A494D"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Cooling Fan Installation</w:t>
            </w:r>
          </w:p>
        </w:tc>
        <w:tc>
          <w:tcPr>
            <w:tcW w:w="909" w:type="pct"/>
            <w:noWrap/>
            <w:vAlign w:val="center"/>
            <w:hideMark/>
          </w:tcPr>
          <w:p w14:paraId="48EB1A30"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49CC9090" w14:textId="77777777" w:rsidTr="001F21DF">
        <w:trPr>
          <w:trHeight w:val="310"/>
        </w:trPr>
        <w:tc>
          <w:tcPr>
            <w:tcW w:w="852" w:type="pct"/>
            <w:vMerge/>
            <w:vAlign w:val="center"/>
            <w:hideMark/>
          </w:tcPr>
          <w:p w14:paraId="269F3DE0"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restart"/>
            <w:noWrap/>
            <w:vAlign w:val="center"/>
            <w:hideMark/>
          </w:tcPr>
          <w:p w14:paraId="46159138"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Operational</w:t>
            </w:r>
          </w:p>
        </w:tc>
        <w:tc>
          <w:tcPr>
            <w:tcW w:w="2395" w:type="pct"/>
            <w:vAlign w:val="center"/>
            <w:hideMark/>
          </w:tcPr>
          <w:p w14:paraId="4470D8D3"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Marshaling Box Replacement</w:t>
            </w:r>
          </w:p>
        </w:tc>
        <w:tc>
          <w:tcPr>
            <w:tcW w:w="909" w:type="pct"/>
            <w:noWrap/>
            <w:vAlign w:val="center"/>
            <w:hideMark/>
          </w:tcPr>
          <w:p w14:paraId="383AFB6F"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18495AF9" w14:textId="77777777" w:rsidTr="001F21DF">
        <w:trPr>
          <w:trHeight w:val="297"/>
        </w:trPr>
        <w:tc>
          <w:tcPr>
            <w:tcW w:w="852" w:type="pct"/>
            <w:vMerge/>
            <w:vAlign w:val="center"/>
            <w:hideMark/>
          </w:tcPr>
          <w:p w14:paraId="47D2C9D7"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7C961BA9"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25B02B71"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Mid Life Overhaul</w:t>
            </w:r>
          </w:p>
        </w:tc>
        <w:tc>
          <w:tcPr>
            <w:tcW w:w="909" w:type="pct"/>
            <w:noWrap/>
            <w:vAlign w:val="center"/>
            <w:hideMark/>
          </w:tcPr>
          <w:p w14:paraId="727F4A11"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2DDEB00A" w14:textId="77777777" w:rsidTr="001F21DF">
        <w:trPr>
          <w:trHeight w:val="297"/>
        </w:trPr>
        <w:tc>
          <w:tcPr>
            <w:tcW w:w="852" w:type="pct"/>
            <w:vMerge/>
            <w:vAlign w:val="center"/>
            <w:hideMark/>
          </w:tcPr>
          <w:p w14:paraId="5133D268"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4C1BB25A"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5D9606FA"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Bushing Replacement (HV/LV)</w:t>
            </w:r>
          </w:p>
        </w:tc>
        <w:tc>
          <w:tcPr>
            <w:tcW w:w="909" w:type="pct"/>
            <w:noWrap/>
            <w:vAlign w:val="center"/>
            <w:hideMark/>
          </w:tcPr>
          <w:p w14:paraId="5F968E51"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3E2C9708" w14:textId="77777777" w:rsidTr="001F21DF">
        <w:trPr>
          <w:trHeight w:val="297"/>
        </w:trPr>
        <w:tc>
          <w:tcPr>
            <w:tcW w:w="852" w:type="pct"/>
            <w:vMerge/>
            <w:vAlign w:val="center"/>
            <w:hideMark/>
          </w:tcPr>
          <w:p w14:paraId="531437B7"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49AA3747"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221789CB"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Complete Gasket replacement</w:t>
            </w:r>
          </w:p>
        </w:tc>
        <w:tc>
          <w:tcPr>
            <w:tcW w:w="909" w:type="pct"/>
            <w:noWrap/>
            <w:vAlign w:val="center"/>
            <w:hideMark/>
          </w:tcPr>
          <w:p w14:paraId="7C0DF2E8"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595E6ED3" w14:textId="77777777" w:rsidTr="001F21DF">
        <w:trPr>
          <w:trHeight w:val="297"/>
        </w:trPr>
        <w:tc>
          <w:tcPr>
            <w:tcW w:w="852" w:type="pct"/>
            <w:vMerge/>
            <w:vAlign w:val="center"/>
            <w:hideMark/>
          </w:tcPr>
          <w:p w14:paraId="4FAAE559"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6A2D6032"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69D04856"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Dehydration of Power Transformer Oil</w:t>
            </w:r>
          </w:p>
        </w:tc>
        <w:tc>
          <w:tcPr>
            <w:tcW w:w="909" w:type="pct"/>
            <w:noWrap/>
            <w:vAlign w:val="center"/>
            <w:hideMark/>
          </w:tcPr>
          <w:p w14:paraId="7673F3D7"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64C72D17" w14:textId="77777777" w:rsidTr="001F21DF">
        <w:trPr>
          <w:trHeight w:val="297"/>
        </w:trPr>
        <w:tc>
          <w:tcPr>
            <w:tcW w:w="852" w:type="pct"/>
            <w:vMerge/>
            <w:vAlign w:val="center"/>
            <w:hideMark/>
          </w:tcPr>
          <w:p w14:paraId="16CE67E7"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0774B4D4"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2349ED6D"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Partial Gasket Replacement</w:t>
            </w:r>
          </w:p>
        </w:tc>
        <w:tc>
          <w:tcPr>
            <w:tcW w:w="909" w:type="pct"/>
            <w:noWrap/>
            <w:vAlign w:val="center"/>
            <w:hideMark/>
          </w:tcPr>
          <w:p w14:paraId="66264237"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3AE0CE5D" w14:textId="77777777" w:rsidTr="001F21DF">
        <w:trPr>
          <w:trHeight w:val="297"/>
        </w:trPr>
        <w:tc>
          <w:tcPr>
            <w:tcW w:w="852" w:type="pct"/>
            <w:vMerge/>
            <w:vAlign w:val="center"/>
            <w:hideMark/>
          </w:tcPr>
          <w:p w14:paraId="4819C7E3"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201624F6"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0C94AE83"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 xml:space="preserve">Any other minor parts replacement (OTI/WTI/Contactors </w:t>
            </w:r>
            <w:proofErr w:type="spellStart"/>
            <w:r w:rsidRPr="00BA7D3A">
              <w:rPr>
                <w:rFonts w:ascii="Cambria" w:hAnsi="Cambria" w:cstheme="minorHAnsi"/>
                <w:color w:val="000000"/>
                <w:sz w:val="22"/>
                <w:szCs w:val="22"/>
                <w:lang w:eastAsia="en-IN"/>
              </w:rPr>
              <w:t>etc</w:t>
            </w:r>
            <w:proofErr w:type="spellEnd"/>
            <w:r w:rsidRPr="00BA7D3A">
              <w:rPr>
                <w:rFonts w:ascii="Cambria" w:hAnsi="Cambria" w:cstheme="minorHAnsi"/>
                <w:color w:val="000000"/>
                <w:sz w:val="22"/>
                <w:szCs w:val="22"/>
                <w:lang w:eastAsia="en-IN"/>
              </w:rPr>
              <w:t>)</w:t>
            </w:r>
          </w:p>
        </w:tc>
        <w:tc>
          <w:tcPr>
            <w:tcW w:w="909" w:type="pct"/>
            <w:noWrap/>
            <w:vAlign w:val="center"/>
            <w:hideMark/>
          </w:tcPr>
          <w:p w14:paraId="3EF7937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17E67E35" w14:textId="77777777" w:rsidTr="001F21DF">
        <w:trPr>
          <w:trHeight w:val="297"/>
        </w:trPr>
        <w:tc>
          <w:tcPr>
            <w:tcW w:w="852" w:type="pct"/>
            <w:vMerge/>
            <w:vAlign w:val="center"/>
            <w:hideMark/>
          </w:tcPr>
          <w:p w14:paraId="5D599DF9"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520E51A4"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0A5EE7E8"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Relay Replacement (</w:t>
            </w:r>
            <w:proofErr w:type="spellStart"/>
            <w:r w:rsidRPr="00BA7D3A">
              <w:rPr>
                <w:rFonts w:ascii="Cambria" w:hAnsi="Cambria" w:cstheme="minorHAnsi"/>
                <w:color w:val="000000"/>
                <w:sz w:val="22"/>
                <w:szCs w:val="22"/>
                <w:lang w:eastAsia="en-IN"/>
              </w:rPr>
              <w:t>Bucholz</w:t>
            </w:r>
            <w:proofErr w:type="spellEnd"/>
            <w:r w:rsidRPr="00BA7D3A">
              <w:rPr>
                <w:rFonts w:ascii="Cambria" w:hAnsi="Cambria" w:cstheme="minorHAnsi"/>
                <w:color w:val="000000"/>
                <w:sz w:val="22"/>
                <w:szCs w:val="22"/>
                <w:lang w:eastAsia="en-IN"/>
              </w:rPr>
              <w:t>/</w:t>
            </w:r>
            <w:proofErr w:type="spellStart"/>
            <w:r w:rsidRPr="00BA7D3A">
              <w:rPr>
                <w:rFonts w:ascii="Cambria" w:hAnsi="Cambria" w:cstheme="minorHAnsi"/>
                <w:color w:val="000000"/>
                <w:sz w:val="22"/>
                <w:szCs w:val="22"/>
                <w:lang w:eastAsia="en-IN"/>
              </w:rPr>
              <w:t>MoG</w:t>
            </w:r>
            <w:proofErr w:type="spellEnd"/>
            <w:r w:rsidRPr="00BA7D3A">
              <w:rPr>
                <w:rFonts w:ascii="Cambria" w:hAnsi="Cambria" w:cstheme="minorHAnsi"/>
                <w:color w:val="000000"/>
                <w:sz w:val="22"/>
                <w:szCs w:val="22"/>
                <w:lang w:eastAsia="en-IN"/>
              </w:rPr>
              <w:t>/OSR/PRV)</w:t>
            </w:r>
          </w:p>
        </w:tc>
        <w:tc>
          <w:tcPr>
            <w:tcW w:w="909" w:type="pct"/>
            <w:noWrap/>
            <w:vAlign w:val="center"/>
            <w:hideMark/>
          </w:tcPr>
          <w:p w14:paraId="75F37543"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210316AB" w14:textId="77777777" w:rsidTr="001F21DF">
        <w:trPr>
          <w:trHeight w:val="297"/>
        </w:trPr>
        <w:tc>
          <w:tcPr>
            <w:tcW w:w="852" w:type="pct"/>
            <w:vMerge/>
            <w:vAlign w:val="center"/>
            <w:hideMark/>
          </w:tcPr>
          <w:p w14:paraId="00847C44"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759FFB57"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157A331E"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Oil Topping</w:t>
            </w:r>
          </w:p>
        </w:tc>
        <w:tc>
          <w:tcPr>
            <w:tcW w:w="909" w:type="pct"/>
            <w:noWrap/>
            <w:vAlign w:val="center"/>
            <w:hideMark/>
          </w:tcPr>
          <w:p w14:paraId="0C07C451"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1FE7B92C" w14:textId="77777777" w:rsidTr="001F21DF">
        <w:trPr>
          <w:trHeight w:val="297"/>
        </w:trPr>
        <w:tc>
          <w:tcPr>
            <w:tcW w:w="852" w:type="pct"/>
            <w:vMerge/>
            <w:vAlign w:val="center"/>
            <w:hideMark/>
          </w:tcPr>
          <w:p w14:paraId="0E895D4A"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46CC9814"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31F319F3"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Breather / Silica Gel replacement</w:t>
            </w:r>
          </w:p>
        </w:tc>
        <w:tc>
          <w:tcPr>
            <w:tcW w:w="909" w:type="pct"/>
            <w:noWrap/>
            <w:vAlign w:val="center"/>
            <w:hideMark/>
          </w:tcPr>
          <w:p w14:paraId="56373B38"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6EE19E9F" w14:textId="77777777" w:rsidTr="001F21DF">
        <w:trPr>
          <w:trHeight w:val="297"/>
        </w:trPr>
        <w:tc>
          <w:tcPr>
            <w:tcW w:w="852" w:type="pct"/>
            <w:vMerge/>
            <w:vAlign w:val="center"/>
            <w:hideMark/>
          </w:tcPr>
          <w:p w14:paraId="17B7A10F"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7AAA6847"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766F75F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Minor Civil repairs (plinth/Firewall/Sock pit)</w:t>
            </w:r>
          </w:p>
        </w:tc>
        <w:tc>
          <w:tcPr>
            <w:tcW w:w="909" w:type="pct"/>
            <w:noWrap/>
            <w:vAlign w:val="center"/>
            <w:hideMark/>
          </w:tcPr>
          <w:p w14:paraId="2D0D361C"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18113427" w14:textId="77777777" w:rsidTr="001F21DF">
        <w:trPr>
          <w:trHeight w:val="297"/>
        </w:trPr>
        <w:tc>
          <w:tcPr>
            <w:tcW w:w="852" w:type="pct"/>
            <w:vMerge/>
            <w:vAlign w:val="center"/>
            <w:hideMark/>
          </w:tcPr>
          <w:p w14:paraId="608F1A6B"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6CF560FF"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1C97069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Cooling Fan Repair / Replacement</w:t>
            </w:r>
          </w:p>
        </w:tc>
        <w:tc>
          <w:tcPr>
            <w:tcW w:w="909" w:type="pct"/>
            <w:noWrap/>
            <w:vAlign w:val="center"/>
            <w:hideMark/>
          </w:tcPr>
          <w:p w14:paraId="68E443FD"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02C1520B" w14:textId="77777777" w:rsidTr="001F21DF">
        <w:trPr>
          <w:trHeight w:val="310"/>
        </w:trPr>
        <w:tc>
          <w:tcPr>
            <w:tcW w:w="852" w:type="pct"/>
            <w:vMerge/>
            <w:vAlign w:val="center"/>
            <w:hideMark/>
          </w:tcPr>
          <w:p w14:paraId="670A7D94"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18808690"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15B6F617"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Transformer Body Painting</w:t>
            </w:r>
          </w:p>
        </w:tc>
        <w:tc>
          <w:tcPr>
            <w:tcW w:w="909" w:type="pct"/>
            <w:noWrap/>
            <w:vAlign w:val="center"/>
            <w:hideMark/>
          </w:tcPr>
          <w:p w14:paraId="270B978A"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417B5D1A" w14:textId="77777777" w:rsidTr="001F21DF">
        <w:trPr>
          <w:trHeight w:val="297"/>
        </w:trPr>
        <w:tc>
          <w:tcPr>
            <w:tcW w:w="852" w:type="pct"/>
            <w:vMerge w:val="restart"/>
            <w:vAlign w:val="center"/>
            <w:hideMark/>
          </w:tcPr>
          <w:p w14:paraId="4D75195B" w14:textId="77777777" w:rsidR="0026616B" w:rsidRPr="00BA7D3A" w:rsidRDefault="0026616B" w:rsidP="00291FAE">
            <w:pPr>
              <w:ind w:left="284"/>
              <w:jc w:val="both"/>
              <w:rPr>
                <w:rFonts w:ascii="Cambria" w:hAnsi="Cambria" w:cstheme="minorHAnsi"/>
                <w:b/>
                <w:bCs/>
                <w:color w:val="000000"/>
                <w:sz w:val="22"/>
                <w:szCs w:val="22"/>
                <w:lang w:val="en-IN" w:eastAsia="en-IN"/>
              </w:rPr>
            </w:pPr>
            <w:r w:rsidRPr="00BA7D3A">
              <w:rPr>
                <w:rFonts w:ascii="Cambria" w:hAnsi="Cambria" w:cstheme="minorHAnsi"/>
                <w:b/>
                <w:bCs/>
                <w:color w:val="000000"/>
                <w:sz w:val="22"/>
                <w:szCs w:val="22"/>
                <w:lang w:val="en-IN" w:eastAsia="en-IN"/>
              </w:rPr>
              <w:t>Structure</w:t>
            </w:r>
          </w:p>
        </w:tc>
        <w:tc>
          <w:tcPr>
            <w:tcW w:w="844" w:type="pct"/>
            <w:vMerge w:val="restart"/>
            <w:noWrap/>
            <w:vAlign w:val="center"/>
            <w:hideMark/>
          </w:tcPr>
          <w:p w14:paraId="205A9C18"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Capital</w:t>
            </w:r>
          </w:p>
        </w:tc>
        <w:tc>
          <w:tcPr>
            <w:tcW w:w="2395" w:type="pct"/>
            <w:vAlign w:val="center"/>
            <w:hideMark/>
          </w:tcPr>
          <w:p w14:paraId="4F22FBA4"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mechanism box of very frequent operating CB</w:t>
            </w:r>
          </w:p>
        </w:tc>
        <w:tc>
          <w:tcPr>
            <w:tcW w:w="909" w:type="pct"/>
            <w:noWrap/>
            <w:vAlign w:val="center"/>
            <w:hideMark/>
          </w:tcPr>
          <w:p w14:paraId="0C1CA1E4"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3A3709F9" w14:textId="77777777" w:rsidTr="001F21DF">
        <w:trPr>
          <w:trHeight w:val="297"/>
        </w:trPr>
        <w:tc>
          <w:tcPr>
            <w:tcW w:w="852" w:type="pct"/>
            <w:vMerge/>
            <w:vAlign w:val="center"/>
            <w:hideMark/>
          </w:tcPr>
          <w:p w14:paraId="34AF8DE8"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4DE3C07E"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355C78FE"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contacts (&gt;20% rating increase)</w:t>
            </w:r>
          </w:p>
        </w:tc>
        <w:tc>
          <w:tcPr>
            <w:tcW w:w="909" w:type="pct"/>
            <w:noWrap/>
            <w:vAlign w:val="center"/>
            <w:hideMark/>
          </w:tcPr>
          <w:p w14:paraId="379A6C3C"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7509FFD8" w14:textId="77777777" w:rsidTr="001F21DF">
        <w:trPr>
          <w:trHeight w:val="297"/>
        </w:trPr>
        <w:tc>
          <w:tcPr>
            <w:tcW w:w="852" w:type="pct"/>
            <w:vMerge/>
            <w:vAlign w:val="center"/>
            <w:hideMark/>
          </w:tcPr>
          <w:p w14:paraId="6C865691"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78B3F2F5"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2A7C8BA1"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complete headgear with refurbished set</w:t>
            </w:r>
          </w:p>
        </w:tc>
        <w:tc>
          <w:tcPr>
            <w:tcW w:w="909" w:type="pct"/>
            <w:noWrap/>
            <w:vAlign w:val="center"/>
            <w:hideMark/>
          </w:tcPr>
          <w:p w14:paraId="07056540"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70274841" w14:textId="77777777" w:rsidTr="001F21DF">
        <w:trPr>
          <w:trHeight w:val="297"/>
        </w:trPr>
        <w:tc>
          <w:tcPr>
            <w:tcW w:w="852" w:type="pct"/>
            <w:vMerge/>
            <w:vAlign w:val="center"/>
            <w:hideMark/>
          </w:tcPr>
          <w:p w14:paraId="1BA8F922"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3C6A43FA"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53BE9141"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Replacement of CB in I/D Panel</w:t>
            </w:r>
          </w:p>
        </w:tc>
        <w:tc>
          <w:tcPr>
            <w:tcW w:w="909" w:type="pct"/>
            <w:noWrap/>
            <w:vAlign w:val="center"/>
            <w:hideMark/>
          </w:tcPr>
          <w:p w14:paraId="50D756BC"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4BCE6D77" w14:textId="77777777" w:rsidTr="001F21DF">
        <w:trPr>
          <w:trHeight w:val="297"/>
        </w:trPr>
        <w:tc>
          <w:tcPr>
            <w:tcW w:w="852" w:type="pct"/>
            <w:vMerge/>
            <w:vAlign w:val="center"/>
            <w:hideMark/>
          </w:tcPr>
          <w:p w14:paraId="2E0BDD46"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1834A36B"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366E034F"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Installation of New Breaker / CT/PT/Isolator/LA</w:t>
            </w:r>
          </w:p>
        </w:tc>
        <w:tc>
          <w:tcPr>
            <w:tcW w:w="909" w:type="pct"/>
            <w:noWrap/>
            <w:vAlign w:val="center"/>
            <w:hideMark/>
          </w:tcPr>
          <w:p w14:paraId="3581B37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20987B54" w14:textId="77777777" w:rsidTr="001F21DF">
        <w:trPr>
          <w:trHeight w:val="297"/>
        </w:trPr>
        <w:tc>
          <w:tcPr>
            <w:tcW w:w="852" w:type="pct"/>
            <w:vMerge/>
            <w:vAlign w:val="center"/>
            <w:hideMark/>
          </w:tcPr>
          <w:p w14:paraId="494A3F87"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4073FAF4"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3C6F4579"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all hardware in a bay</w:t>
            </w:r>
          </w:p>
        </w:tc>
        <w:tc>
          <w:tcPr>
            <w:tcW w:w="909" w:type="pct"/>
            <w:noWrap/>
            <w:vAlign w:val="center"/>
            <w:hideMark/>
          </w:tcPr>
          <w:p w14:paraId="13C8FCD7"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42932745" w14:textId="77777777" w:rsidTr="001F21DF">
        <w:trPr>
          <w:trHeight w:val="297"/>
        </w:trPr>
        <w:tc>
          <w:tcPr>
            <w:tcW w:w="852" w:type="pct"/>
            <w:vMerge/>
            <w:vAlign w:val="center"/>
            <w:hideMark/>
          </w:tcPr>
          <w:p w14:paraId="14C01A56"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28BF2066"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474AA3A6"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complete substation fence</w:t>
            </w:r>
          </w:p>
        </w:tc>
        <w:tc>
          <w:tcPr>
            <w:tcW w:w="909" w:type="pct"/>
            <w:noWrap/>
            <w:vAlign w:val="center"/>
            <w:hideMark/>
          </w:tcPr>
          <w:p w14:paraId="1574F2CC"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202E2842" w14:textId="77777777" w:rsidTr="001F21DF">
        <w:trPr>
          <w:trHeight w:val="297"/>
        </w:trPr>
        <w:tc>
          <w:tcPr>
            <w:tcW w:w="852" w:type="pct"/>
            <w:vMerge/>
            <w:vAlign w:val="center"/>
            <w:hideMark/>
          </w:tcPr>
          <w:p w14:paraId="22564D85"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63E8BDC8"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72C5930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Provide strip outside fence for step &amp; touch potential</w:t>
            </w:r>
          </w:p>
        </w:tc>
        <w:tc>
          <w:tcPr>
            <w:tcW w:w="909" w:type="pct"/>
            <w:noWrap/>
            <w:vAlign w:val="center"/>
            <w:hideMark/>
          </w:tcPr>
          <w:p w14:paraId="20A62034"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5CF9A52E" w14:textId="77777777" w:rsidTr="001F21DF">
        <w:trPr>
          <w:trHeight w:val="297"/>
        </w:trPr>
        <w:tc>
          <w:tcPr>
            <w:tcW w:w="852" w:type="pct"/>
            <w:vMerge/>
            <w:vAlign w:val="center"/>
            <w:hideMark/>
          </w:tcPr>
          <w:p w14:paraId="25CB3CC0"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00E66440"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21A09E34"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complete O/D junction Box</w:t>
            </w:r>
          </w:p>
        </w:tc>
        <w:tc>
          <w:tcPr>
            <w:tcW w:w="909" w:type="pct"/>
            <w:noWrap/>
            <w:vAlign w:val="center"/>
            <w:hideMark/>
          </w:tcPr>
          <w:p w14:paraId="29E1F826"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4E2EF839" w14:textId="77777777" w:rsidTr="001F21DF">
        <w:trPr>
          <w:trHeight w:val="297"/>
        </w:trPr>
        <w:tc>
          <w:tcPr>
            <w:tcW w:w="852" w:type="pct"/>
            <w:vMerge/>
            <w:vAlign w:val="center"/>
            <w:hideMark/>
          </w:tcPr>
          <w:p w14:paraId="7042AFF6"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49655538"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4F833210"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Replacement of Cable trench cover</w:t>
            </w:r>
          </w:p>
        </w:tc>
        <w:tc>
          <w:tcPr>
            <w:tcW w:w="909" w:type="pct"/>
            <w:noWrap/>
            <w:vAlign w:val="center"/>
            <w:hideMark/>
          </w:tcPr>
          <w:p w14:paraId="77247F27"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5EE04D40" w14:textId="77777777" w:rsidTr="001F21DF">
        <w:trPr>
          <w:trHeight w:val="297"/>
        </w:trPr>
        <w:tc>
          <w:tcPr>
            <w:tcW w:w="852" w:type="pct"/>
            <w:vMerge/>
            <w:vAlign w:val="center"/>
            <w:hideMark/>
          </w:tcPr>
          <w:p w14:paraId="7AF582B0"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37A38DED"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18889DD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Firewall Creation</w:t>
            </w:r>
          </w:p>
        </w:tc>
        <w:tc>
          <w:tcPr>
            <w:tcW w:w="909" w:type="pct"/>
            <w:noWrap/>
            <w:vAlign w:val="center"/>
            <w:hideMark/>
          </w:tcPr>
          <w:p w14:paraId="4C1BBAF6"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655AC418" w14:textId="77777777" w:rsidTr="001F21DF">
        <w:trPr>
          <w:trHeight w:val="310"/>
        </w:trPr>
        <w:tc>
          <w:tcPr>
            <w:tcW w:w="852" w:type="pct"/>
            <w:vMerge/>
            <w:vAlign w:val="center"/>
            <w:hideMark/>
          </w:tcPr>
          <w:p w14:paraId="5E0080F1"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545F7E95"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6E87FC9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Bay Extension</w:t>
            </w:r>
          </w:p>
        </w:tc>
        <w:tc>
          <w:tcPr>
            <w:tcW w:w="909" w:type="pct"/>
            <w:noWrap/>
            <w:vAlign w:val="center"/>
            <w:hideMark/>
          </w:tcPr>
          <w:p w14:paraId="71F1D3E4"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1A72812F" w14:textId="77777777" w:rsidTr="001F21DF">
        <w:trPr>
          <w:trHeight w:val="297"/>
        </w:trPr>
        <w:tc>
          <w:tcPr>
            <w:tcW w:w="852" w:type="pct"/>
            <w:vMerge/>
            <w:vAlign w:val="center"/>
            <w:hideMark/>
          </w:tcPr>
          <w:p w14:paraId="6621A6B5"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restart"/>
            <w:noWrap/>
            <w:vAlign w:val="center"/>
            <w:hideMark/>
          </w:tcPr>
          <w:p w14:paraId="34054D5D"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Operational</w:t>
            </w:r>
          </w:p>
        </w:tc>
        <w:tc>
          <w:tcPr>
            <w:tcW w:w="2395" w:type="pct"/>
            <w:vAlign w:val="center"/>
            <w:hideMark/>
          </w:tcPr>
          <w:p w14:paraId="4A75B9EF"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Replacement of one Pole</w:t>
            </w:r>
          </w:p>
        </w:tc>
        <w:tc>
          <w:tcPr>
            <w:tcW w:w="909" w:type="pct"/>
            <w:noWrap/>
            <w:vAlign w:val="center"/>
            <w:hideMark/>
          </w:tcPr>
          <w:p w14:paraId="216AD4CD"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3993E931" w14:textId="77777777" w:rsidTr="001F21DF">
        <w:trPr>
          <w:trHeight w:val="297"/>
        </w:trPr>
        <w:tc>
          <w:tcPr>
            <w:tcW w:w="852" w:type="pct"/>
            <w:vMerge/>
            <w:vAlign w:val="center"/>
            <w:hideMark/>
          </w:tcPr>
          <w:p w14:paraId="35D2B135"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6EE4FC84"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61B851FB"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Vacuum Bottle replacement</w:t>
            </w:r>
          </w:p>
        </w:tc>
        <w:tc>
          <w:tcPr>
            <w:tcW w:w="909" w:type="pct"/>
            <w:noWrap/>
            <w:vAlign w:val="center"/>
            <w:hideMark/>
          </w:tcPr>
          <w:p w14:paraId="772DF81A"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1B38D8BF" w14:textId="77777777" w:rsidTr="001F21DF">
        <w:trPr>
          <w:trHeight w:val="297"/>
        </w:trPr>
        <w:tc>
          <w:tcPr>
            <w:tcW w:w="852" w:type="pct"/>
            <w:vMerge/>
            <w:vAlign w:val="center"/>
            <w:hideMark/>
          </w:tcPr>
          <w:p w14:paraId="7A65DE6E"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311315CD"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44382C6B"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contacts (no rating change)</w:t>
            </w:r>
          </w:p>
        </w:tc>
        <w:tc>
          <w:tcPr>
            <w:tcW w:w="909" w:type="pct"/>
            <w:noWrap/>
            <w:vAlign w:val="center"/>
            <w:hideMark/>
          </w:tcPr>
          <w:p w14:paraId="3A0CE1A2"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37065816" w14:textId="77777777" w:rsidTr="001F21DF">
        <w:trPr>
          <w:trHeight w:val="297"/>
        </w:trPr>
        <w:tc>
          <w:tcPr>
            <w:tcW w:w="852" w:type="pct"/>
            <w:vMerge/>
            <w:vAlign w:val="center"/>
            <w:hideMark/>
          </w:tcPr>
          <w:p w14:paraId="6EDFE981"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1F0DFD11"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76B22ABF"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Refilling of SF6 Gas</w:t>
            </w:r>
          </w:p>
        </w:tc>
        <w:tc>
          <w:tcPr>
            <w:tcW w:w="909" w:type="pct"/>
            <w:noWrap/>
            <w:vAlign w:val="center"/>
            <w:hideMark/>
          </w:tcPr>
          <w:p w14:paraId="2C1EDCB8"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6A1C7BC3" w14:textId="77777777" w:rsidTr="001F21DF">
        <w:trPr>
          <w:trHeight w:val="297"/>
        </w:trPr>
        <w:tc>
          <w:tcPr>
            <w:tcW w:w="852" w:type="pct"/>
            <w:vMerge/>
            <w:vAlign w:val="center"/>
            <w:hideMark/>
          </w:tcPr>
          <w:p w14:paraId="096E0449"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5CA71226"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10702D66"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Closing Coil / Trip coil replacement</w:t>
            </w:r>
          </w:p>
        </w:tc>
        <w:tc>
          <w:tcPr>
            <w:tcW w:w="909" w:type="pct"/>
            <w:noWrap/>
            <w:vAlign w:val="center"/>
            <w:hideMark/>
          </w:tcPr>
          <w:p w14:paraId="3A8A639E"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7BB8FF90" w14:textId="77777777" w:rsidTr="001F21DF">
        <w:trPr>
          <w:trHeight w:val="297"/>
        </w:trPr>
        <w:tc>
          <w:tcPr>
            <w:tcW w:w="852" w:type="pct"/>
            <w:vMerge/>
            <w:vAlign w:val="center"/>
            <w:hideMark/>
          </w:tcPr>
          <w:p w14:paraId="61C4E019"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58D60D60"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26CC041A"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Repair / Replacement of Yard Lighting</w:t>
            </w:r>
          </w:p>
        </w:tc>
        <w:tc>
          <w:tcPr>
            <w:tcW w:w="909" w:type="pct"/>
            <w:noWrap/>
            <w:vAlign w:val="center"/>
            <w:hideMark/>
          </w:tcPr>
          <w:p w14:paraId="7BC62652"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7D201F85" w14:textId="77777777" w:rsidTr="001F21DF">
        <w:trPr>
          <w:trHeight w:val="297"/>
        </w:trPr>
        <w:tc>
          <w:tcPr>
            <w:tcW w:w="852" w:type="pct"/>
            <w:vMerge/>
            <w:vAlign w:val="center"/>
            <w:hideMark/>
          </w:tcPr>
          <w:p w14:paraId="0331272F"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0FB8F0E5"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44FE4B39"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single dropper</w:t>
            </w:r>
          </w:p>
        </w:tc>
        <w:tc>
          <w:tcPr>
            <w:tcW w:w="909" w:type="pct"/>
            <w:noWrap/>
            <w:vAlign w:val="center"/>
            <w:hideMark/>
          </w:tcPr>
          <w:p w14:paraId="6A98A5DE"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08E1C573" w14:textId="77777777" w:rsidTr="001F21DF">
        <w:trPr>
          <w:trHeight w:val="297"/>
        </w:trPr>
        <w:tc>
          <w:tcPr>
            <w:tcW w:w="852" w:type="pct"/>
            <w:vMerge/>
            <w:vAlign w:val="center"/>
            <w:hideMark/>
          </w:tcPr>
          <w:p w14:paraId="54662468"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6D8F839E"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35B93C6F"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switchyard entrance gate</w:t>
            </w:r>
          </w:p>
        </w:tc>
        <w:tc>
          <w:tcPr>
            <w:tcW w:w="909" w:type="pct"/>
            <w:noWrap/>
            <w:vAlign w:val="center"/>
            <w:hideMark/>
          </w:tcPr>
          <w:p w14:paraId="1E5047DE"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65CB33BA" w14:textId="77777777" w:rsidTr="001F21DF">
        <w:trPr>
          <w:trHeight w:val="297"/>
        </w:trPr>
        <w:tc>
          <w:tcPr>
            <w:tcW w:w="852" w:type="pct"/>
            <w:vMerge/>
            <w:vAlign w:val="center"/>
            <w:hideMark/>
          </w:tcPr>
          <w:p w14:paraId="58609049"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0B8C339D"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1CA4C183"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Repairing of Cable trench (civil)</w:t>
            </w:r>
          </w:p>
        </w:tc>
        <w:tc>
          <w:tcPr>
            <w:tcW w:w="909" w:type="pct"/>
            <w:noWrap/>
            <w:vAlign w:val="center"/>
            <w:hideMark/>
          </w:tcPr>
          <w:p w14:paraId="77A09042"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4E4C5185" w14:textId="77777777" w:rsidTr="001F21DF">
        <w:trPr>
          <w:trHeight w:val="297"/>
        </w:trPr>
        <w:tc>
          <w:tcPr>
            <w:tcW w:w="852" w:type="pct"/>
            <w:vMerge/>
            <w:vAlign w:val="center"/>
            <w:hideMark/>
          </w:tcPr>
          <w:p w14:paraId="3F8C5B3C"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0694DF86"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184FB92D"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Replacement of Gravel in Yard.</w:t>
            </w:r>
          </w:p>
        </w:tc>
        <w:tc>
          <w:tcPr>
            <w:tcW w:w="909" w:type="pct"/>
            <w:noWrap/>
            <w:vAlign w:val="center"/>
            <w:hideMark/>
          </w:tcPr>
          <w:p w14:paraId="457FAE3E"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157B1225" w14:textId="77777777" w:rsidTr="001F21DF">
        <w:trPr>
          <w:trHeight w:val="310"/>
        </w:trPr>
        <w:tc>
          <w:tcPr>
            <w:tcW w:w="852" w:type="pct"/>
            <w:vMerge/>
            <w:vAlign w:val="center"/>
            <w:hideMark/>
          </w:tcPr>
          <w:p w14:paraId="60E042B7"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166C59CC"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55BDAF7D"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Gantry structure painting</w:t>
            </w:r>
          </w:p>
        </w:tc>
        <w:tc>
          <w:tcPr>
            <w:tcW w:w="909" w:type="pct"/>
            <w:noWrap/>
            <w:vAlign w:val="center"/>
            <w:hideMark/>
          </w:tcPr>
          <w:p w14:paraId="69023A14"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04479B43" w14:textId="77777777" w:rsidTr="001F21DF">
        <w:trPr>
          <w:trHeight w:val="297"/>
        </w:trPr>
        <w:tc>
          <w:tcPr>
            <w:tcW w:w="852" w:type="pct"/>
            <w:vMerge w:val="restart"/>
            <w:vAlign w:val="center"/>
            <w:hideMark/>
          </w:tcPr>
          <w:p w14:paraId="2D73D91A" w14:textId="77777777" w:rsidR="0026616B" w:rsidRPr="00BA7D3A" w:rsidRDefault="0026616B" w:rsidP="00291FAE">
            <w:pPr>
              <w:ind w:left="284"/>
              <w:jc w:val="both"/>
              <w:rPr>
                <w:rFonts w:ascii="Cambria" w:hAnsi="Cambria" w:cstheme="minorHAnsi"/>
                <w:b/>
                <w:bCs/>
                <w:color w:val="000000"/>
                <w:sz w:val="22"/>
                <w:szCs w:val="22"/>
                <w:lang w:val="en-IN" w:eastAsia="en-IN"/>
              </w:rPr>
            </w:pPr>
            <w:r w:rsidRPr="00BA7D3A">
              <w:rPr>
                <w:rFonts w:ascii="Cambria" w:hAnsi="Cambria" w:cstheme="minorHAnsi"/>
                <w:b/>
                <w:bCs/>
                <w:color w:val="000000"/>
                <w:sz w:val="22"/>
                <w:szCs w:val="22"/>
                <w:lang w:eastAsia="en-IN"/>
              </w:rPr>
              <w:t>Tower Foundations</w:t>
            </w:r>
          </w:p>
        </w:tc>
        <w:tc>
          <w:tcPr>
            <w:tcW w:w="844" w:type="pct"/>
            <w:vMerge w:val="restart"/>
            <w:noWrap/>
            <w:vAlign w:val="center"/>
            <w:hideMark/>
          </w:tcPr>
          <w:p w14:paraId="505C951C"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Capital</w:t>
            </w:r>
          </w:p>
        </w:tc>
        <w:tc>
          <w:tcPr>
            <w:tcW w:w="2395" w:type="pct"/>
            <w:vAlign w:val="center"/>
            <w:hideMark/>
          </w:tcPr>
          <w:p w14:paraId="0AD124C6"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all stubs legs</w:t>
            </w:r>
          </w:p>
        </w:tc>
        <w:tc>
          <w:tcPr>
            <w:tcW w:w="909" w:type="pct"/>
            <w:noWrap/>
            <w:vAlign w:val="center"/>
            <w:hideMark/>
          </w:tcPr>
          <w:p w14:paraId="147C6BFE"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05C07E1D" w14:textId="77777777" w:rsidTr="001F21DF">
        <w:trPr>
          <w:trHeight w:val="310"/>
        </w:trPr>
        <w:tc>
          <w:tcPr>
            <w:tcW w:w="852" w:type="pct"/>
            <w:vMerge/>
            <w:vAlign w:val="center"/>
            <w:hideMark/>
          </w:tcPr>
          <w:p w14:paraId="4A1BFE5B"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2EF9B88F"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3D2A1513"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Re-strengthening of all Stubs Legs</w:t>
            </w:r>
          </w:p>
        </w:tc>
        <w:tc>
          <w:tcPr>
            <w:tcW w:w="909" w:type="pct"/>
            <w:noWrap/>
            <w:vAlign w:val="center"/>
            <w:hideMark/>
          </w:tcPr>
          <w:p w14:paraId="12774C8D"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2F7286F9" w14:textId="77777777" w:rsidTr="001F21DF">
        <w:trPr>
          <w:trHeight w:val="297"/>
        </w:trPr>
        <w:tc>
          <w:tcPr>
            <w:tcW w:w="852" w:type="pct"/>
            <w:vMerge/>
            <w:vAlign w:val="center"/>
            <w:hideMark/>
          </w:tcPr>
          <w:p w14:paraId="44B2DD8D"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restart"/>
            <w:noWrap/>
            <w:vAlign w:val="center"/>
            <w:hideMark/>
          </w:tcPr>
          <w:p w14:paraId="1CEA3AD9"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Operational</w:t>
            </w:r>
          </w:p>
        </w:tc>
        <w:tc>
          <w:tcPr>
            <w:tcW w:w="2395" w:type="pct"/>
            <w:vAlign w:val="center"/>
            <w:hideMark/>
          </w:tcPr>
          <w:p w14:paraId="60E05B64"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 xml:space="preserve">Stub Interface </w:t>
            </w:r>
          </w:p>
        </w:tc>
        <w:tc>
          <w:tcPr>
            <w:tcW w:w="909" w:type="pct"/>
            <w:noWrap/>
            <w:vAlign w:val="center"/>
            <w:hideMark/>
          </w:tcPr>
          <w:p w14:paraId="1A1EECE3"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2BBAA95B" w14:textId="77777777" w:rsidTr="001F21DF">
        <w:trPr>
          <w:trHeight w:val="297"/>
        </w:trPr>
        <w:tc>
          <w:tcPr>
            <w:tcW w:w="852" w:type="pct"/>
            <w:vMerge/>
            <w:vAlign w:val="center"/>
            <w:hideMark/>
          </w:tcPr>
          <w:p w14:paraId="57B0D55F"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35F69253"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4F585ACF"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Strengthening</w:t>
            </w:r>
          </w:p>
        </w:tc>
        <w:tc>
          <w:tcPr>
            <w:tcW w:w="909" w:type="pct"/>
            <w:noWrap/>
            <w:vAlign w:val="center"/>
            <w:hideMark/>
          </w:tcPr>
          <w:p w14:paraId="0BA09D2E"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79ACEB3E" w14:textId="77777777" w:rsidTr="001F21DF">
        <w:trPr>
          <w:trHeight w:val="297"/>
        </w:trPr>
        <w:tc>
          <w:tcPr>
            <w:tcW w:w="852" w:type="pct"/>
            <w:vMerge/>
            <w:vAlign w:val="center"/>
            <w:hideMark/>
          </w:tcPr>
          <w:p w14:paraId="32FFD204"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1B28A1A5"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00CE07A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Base Plate repairs/refurbishment</w:t>
            </w:r>
          </w:p>
        </w:tc>
        <w:tc>
          <w:tcPr>
            <w:tcW w:w="909" w:type="pct"/>
            <w:noWrap/>
            <w:vAlign w:val="center"/>
            <w:hideMark/>
          </w:tcPr>
          <w:p w14:paraId="7B07EA1A"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1D81FD7C" w14:textId="77777777" w:rsidTr="001F21DF">
        <w:trPr>
          <w:trHeight w:val="310"/>
        </w:trPr>
        <w:tc>
          <w:tcPr>
            <w:tcW w:w="852" w:type="pct"/>
            <w:vMerge/>
            <w:vAlign w:val="center"/>
            <w:hideMark/>
          </w:tcPr>
          <w:p w14:paraId="79C9A261"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476762FE"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644D7892"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Stubs repairs/refurbishment</w:t>
            </w:r>
          </w:p>
        </w:tc>
        <w:tc>
          <w:tcPr>
            <w:tcW w:w="909" w:type="pct"/>
            <w:noWrap/>
            <w:vAlign w:val="center"/>
            <w:hideMark/>
          </w:tcPr>
          <w:p w14:paraId="0B177220"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r w:rsidR="0026616B" w:rsidRPr="00BA7D3A" w14:paraId="0C22FC18" w14:textId="77777777" w:rsidTr="001F21DF">
        <w:trPr>
          <w:trHeight w:val="297"/>
        </w:trPr>
        <w:tc>
          <w:tcPr>
            <w:tcW w:w="852" w:type="pct"/>
            <w:vMerge w:val="restart"/>
            <w:vAlign w:val="center"/>
            <w:hideMark/>
          </w:tcPr>
          <w:p w14:paraId="1EE638F1" w14:textId="77777777" w:rsidR="0026616B" w:rsidRPr="00BA7D3A" w:rsidRDefault="0026616B" w:rsidP="00291FAE">
            <w:pPr>
              <w:ind w:left="284"/>
              <w:jc w:val="both"/>
              <w:rPr>
                <w:rFonts w:ascii="Cambria" w:hAnsi="Cambria" w:cstheme="minorHAnsi"/>
                <w:b/>
                <w:bCs/>
                <w:color w:val="000000"/>
                <w:sz w:val="22"/>
                <w:szCs w:val="22"/>
                <w:lang w:val="en-IN" w:eastAsia="en-IN"/>
              </w:rPr>
            </w:pPr>
            <w:r w:rsidRPr="00BA7D3A">
              <w:rPr>
                <w:rFonts w:ascii="Cambria" w:hAnsi="Cambria" w:cstheme="minorHAnsi"/>
                <w:b/>
                <w:bCs/>
                <w:color w:val="000000"/>
                <w:sz w:val="22"/>
                <w:szCs w:val="22"/>
                <w:lang w:val="en-IN" w:eastAsia="en-IN"/>
              </w:rPr>
              <w:t>Towers</w:t>
            </w:r>
          </w:p>
        </w:tc>
        <w:tc>
          <w:tcPr>
            <w:tcW w:w="844" w:type="pct"/>
            <w:vMerge w:val="restart"/>
            <w:vAlign w:val="center"/>
            <w:hideMark/>
          </w:tcPr>
          <w:p w14:paraId="0123468D"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Capital</w:t>
            </w:r>
          </w:p>
        </w:tc>
        <w:tc>
          <w:tcPr>
            <w:tcW w:w="2395" w:type="pct"/>
            <w:vAlign w:val="center"/>
            <w:hideMark/>
          </w:tcPr>
          <w:p w14:paraId="41565043"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Steelwork strengthening for increased life</w:t>
            </w:r>
          </w:p>
        </w:tc>
        <w:tc>
          <w:tcPr>
            <w:tcW w:w="909" w:type="pct"/>
            <w:vAlign w:val="center"/>
            <w:hideMark/>
          </w:tcPr>
          <w:p w14:paraId="2751E74B"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304C22DC" w14:textId="77777777" w:rsidTr="001F21DF">
        <w:trPr>
          <w:trHeight w:val="310"/>
        </w:trPr>
        <w:tc>
          <w:tcPr>
            <w:tcW w:w="852" w:type="pct"/>
            <w:vMerge/>
            <w:vAlign w:val="center"/>
            <w:hideMark/>
          </w:tcPr>
          <w:p w14:paraId="352DE203"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3C4456E5"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24C665CF"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New tower commissioning</w:t>
            </w:r>
          </w:p>
        </w:tc>
        <w:tc>
          <w:tcPr>
            <w:tcW w:w="909" w:type="pct"/>
            <w:vAlign w:val="center"/>
            <w:hideMark/>
          </w:tcPr>
          <w:p w14:paraId="6A3C8F23"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Enhancement</w:t>
            </w:r>
          </w:p>
        </w:tc>
      </w:tr>
      <w:tr w:rsidR="0026616B" w:rsidRPr="00BA7D3A" w14:paraId="48FE375E" w14:textId="77777777" w:rsidTr="001F21DF">
        <w:trPr>
          <w:trHeight w:val="297"/>
        </w:trPr>
        <w:tc>
          <w:tcPr>
            <w:tcW w:w="852" w:type="pct"/>
            <w:vMerge/>
            <w:vAlign w:val="center"/>
            <w:hideMark/>
          </w:tcPr>
          <w:p w14:paraId="73E21009"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restart"/>
            <w:noWrap/>
            <w:vAlign w:val="center"/>
            <w:hideMark/>
          </w:tcPr>
          <w:p w14:paraId="428E195D"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Operational</w:t>
            </w:r>
          </w:p>
        </w:tc>
        <w:tc>
          <w:tcPr>
            <w:tcW w:w="2395" w:type="pct"/>
            <w:vAlign w:val="center"/>
            <w:hideMark/>
          </w:tcPr>
          <w:p w14:paraId="606FD46F"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minor steelwork, strengthening</w:t>
            </w:r>
          </w:p>
        </w:tc>
        <w:tc>
          <w:tcPr>
            <w:tcW w:w="909" w:type="pct"/>
            <w:noWrap/>
            <w:vAlign w:val="center"/>
            <w:hideMark/>
          </w:tcPr>
          <w:p w14:paraId="3D358363"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Maintenance</w:t>
            </w:r>
          </w:p>
        </w:tc>
      </w:tr>
      <w:tr w:rsidR="0026616B" w:rsidRPr="00BA7D3A" w14:paraId="5882B2BB" w14:textId="77777777" w:rsidTr="001F21DF">
        <w:trPr>
          <w:trHeight w:val="297"/>
        </w:trPr>
        <w:tc>
          <w:tcPr>
            <w:tcW w:w="852" w:type="pct"/>
            <w:vMerge/>
            <w:vAlign w:val="center"/>
            <w:hideMark/>
          </w:tcPr>
          <w:p w14:paraId="5B9EF926"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7CC90523"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46D703DB"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Replace bolts, re-torqueing</w:t>
            </w:r>
          </w:p>
        </w:tc>
        <w:tc>
          <w:tcPr>
            <w:tcW w:w="909" w:type="pct"/>
            <w:noWrap/>
            <w:vAlign w:val="center"/>
            <w:hideMark/>
          </w:tcPr>
          <w:p w14:paraId="41BBB104"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Maintenance</w:t>
            </w:r>
          </w:p>
        </w:tc>
      </w:tr>
      <w:tr w:rsidR="0026616B" w:rsidRPr="00BA7D3A" w14:paraId="614BC05F" w14:textId="77777777" w:rsidTr="001F21DF">
        <w:trPr>
          <w:trHeight w:val="297"/>
        </w:trPr>
        <w:tc>
          <w:tcPr>
            <w:tcW w:w="852" w:type="pct"/>
            <w:vMerge/>
            <w:vAlign w:val="center"/>
            <w:hideMark/>
          </w:tcPr>
          <w:p w14:paraId="290F8654"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53A1088D"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63D1E05D"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Tower Painting - Touch up</w:t>
            </w:r>
          </w:p>
        </w:tc>
        <w:tc>
          <w:tcPr>
            <w:tcW w:w="909" w:type="pct"/>
            <w:noWrap/>
            <w:vAlign w:val="center"/>
            <w:hideMark/>
          </w:tcPr>
          <w:p w14:paraId="0599332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Maintenance</w:t>
            </w:r>
          </w:p>
        </w:tc>
      </w:tr>
      <w:tr w:rsidR="0026616B" w:rsidRPr="00BA7D3A" w14:paraId="59056C7C" w14:textId="77777777" w:rsidTr="001F21DF">
        <w:trPr>
          <w:trHeight w:val="297"/>
        </w:trPr>
        <w:tc>
          <w:tcPr>
            <w:tcW w:w="852" w:type="pct"/>
            <w:vMerge/>
            <w:vAlign w:val="center"/>
            <w:hideMark/>
          </w:tcPr>
          <w:p w14:paraId="321FE39D"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0C6BD57B"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1FE98230"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Tower Painting</w:t>
            </w:r>
          </w:p>
        </w:tc>
        <w:tc>
          <w:tcPr>
            <w:tcW w:w="909" w:type="pct"/>
            <w:noWrap/>
            <w:vAlign w:val="center"/>
            <w:hideMark/>
          </w:tcPr>
          <w:p w14:paraId="5C342F3F"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Maintenance</w:t>
            </w:r>
          </w:p>
        </w:tc>
      </w:tr>
      <w:tr w:rsidR="0026616B" w:rsidRPr="00BA7D3A" w14:paraId="5D45CEC4" w14:textId="77777777" w:rsidTr="001F21DF">
        <w:trPr>
          <w:trHeight w:val="297"/>
        </w:trPr>
        <w:tc>
          <w:tcPr>
            <w:tcW w:w="852" w:type="pct"/>
            <w:vMerge/>
            <w:vAlign w:val="center"/>
            <w:hideMark/>
          </w:tcPr>
          <w:p w14:paraId="401FC0C4"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1D32F260"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4689182E"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Tower Painting - Recoat</w:t>
            </w:r>
          </w:p>
        </w:tc>
        <w:tc>
          <w:tcPr>
            <w:tcW w:w="909" w:type="pct"/>
            <w:noWrap/>
            <w:vAlign w:val="center"/>
            <w:hideMark/>
          </w:tcPr>
          <w:p w14:paraId="1471653F"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Maintenance</w:t>
            </w:r>
          </w:p>
        </w:tc>
      </w:tr>
      <w:tr w:rsidR="0026616B" w:rsidRPr="00BA7D3A" w14:paraId="3EC1C856" w14:textId="77777777" w:rsidTr="001F21DF">
        <w:trPr>
          <w:trHeight w:val="297"/>
        </w:trPr>
        <w:tc>
          <w:tcPr>
            <w:tcW w:w="852" w:type="pct"/>
            <w:vMerge/>
            <w:vAlign w:val="center"/>
            <w:hideMark/>
          </w:tcPr>
          <w:p w14:paraId="5A1A2DD6"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395D5584"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4CA67C93"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Relocate</w:t>
            </w:r>
          </w:p>
        </w:tc>
        <w:tc>
          <w:tcPr>
            <w:tcW w:w="909" w:type="pct"/>
            <w:noWrap/>
            <w:vAlign w:val="center"/>
            <w:hideMark/>
          </w:tcPr>
          <w:p w14:paraId="2A05E227"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Maintenance</w:t>
            </w:r>
          </w:p>
        </w:tc>
      </w:tr>
      <w:tr w:rsidR="0026616B" w:rsidRPr="00BA7D3A" w14:paraId="18607C71" w14:textId="77777777" w:rsidTr="001F21DF">
        <w:trPr>
          <w:trHeight w:val="310"/>
        </w:trPr>
        <w:tc>
          <w:tcPr>
            <w:tcW w:w="852" w:type="pct"/>
            <w:vMerge/>
            <w:vAlign w:val="center"/>
            <w:hideMark/>
          </w:tcPr>
          <w:p w14:paraId="2B2F60BD" w14:textId="77777777" w:rsidR="0026616B" w:rsidRPr="00BA7D3A" w:rsidRDefault="0026616B" w:rsidP="00291FAE">
            <w:pPr>
              <w:ind w:left="284"/>
              <w:jc w:val="both"/>
              <w:rPr>
                <w:rFonts w:ascii="Cambria" w:hAnsi="Cambria" w:cstheme="minorHAnsi"/>
                <w:b/>
                <w:bCs/>
                <w:color w:val="000000"/>
                <w:sz w:val="22"/>
                <w:szCs w:val="22"/>
                <w:lang w:val="en-IN" w:eastAsia="en-IN"/>
              </w:rPr>
            </w:pPr>
          </w:p>
        </w:tc>
        <w:tc>
          <w:tcPr>
            <w:tcW w:w="844" w:type="pct"/>
            <w:vMerge/>
            <w:vAlign w:val="center"/>
            <w:hideMark/>
          </w:tcPr>
          <w:p w14:paraId="539EEFCD" w14:textId="77777777" w:rsidR="0026616B" w:rsidRPr="00BA7D3A" w:rsidRDefault="0026616B" w:rsidP="00291FAE">
            <w:pPr>
              <w:ind w:left="284"/>
              <w:jc w:val="both"/>
              <w:rPr>
                <w:rFonts w:ascii="Cambria" w:hAnsi="Cambria" w:cstheme="minorHAnsi"/>
                <w:color w:val="000000"/>
                <w:sz w:val="22"/>
                <w:szCs w:val="22"/>
                <w:lang w:val="en-IN" w:eastAsia="en-IN"/>
              </w:rPr>
            </w:pPr>
          </w:p>
        </w:tc>
        <w:tc>
          <w:tcPr>
            <w:tcW w:w="2395" w:type="pct"/>
            <w:vAlign w:val="center"/>
            <w:hideMark/>
          </w:tcPr>
          <w:p w14:paraId="13626DB5"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eastAsia="en-IN"/>
              </w:rPr>
              <w:t>Install Anti-climbs</w:t>
            </w:r>
          </w:p>
        </w:tc>
        <w:tc>
          <w:tcPr>
            <w:tcW w:w="909" w:type="pct"/>
            <w:noWrap/>
            <w:vAlign w:val="center"/>
            <w:hideMark/>
          </w:tcPr>
          <w:p w14:paraId="42177140" w14:textId="77777777" w:rsidR="0026616B" w:rsidRPr="00BA7D3A" w:rsidRDefault="0026616B" w:rsidP="00291FAE">
            <w:pPr>
              <w:ind w:left="284"/>
              <w:jc w:val="both"/>
              <w:rPr>
                <w:rFonts w:ascii="Cambria" w:hAnsi="Cambria" w:cstheme="minorHAnsi"/>
                <w:color w:val="000000"/>
                <w:sz w:val="22"/>
                <w:szCs w:val="22"/>
                <w:lang w:val="en-IN" w:eastAsia="en-IN"/>
              </w:rPr>
            </w:pPr>
            <w:r w:rsidRPr="00BA7D3A">
              <w:rPr>
                <w:rFonts w:ascii="Cambria" w:hAnsi="Cambria" w:cstheme="minorHAnsi"/>
                <w:color w:val="000000"/>
                <w:sz w:val="22"/>
                <w:szCs w:val="22"/>
                <w:lang w:val="en-IN" w:eastAsia="en-IN"/>
              </w:rPr>
              <w:t>Maintenance</w:t>
            </w:r>
          </w:p>
        </w:tc>
      </w:tr>
    </w:tbl>
    <w:p w14:paraId="4892CCDF" w14:textId="77777777" w:rsidR="0026616B" w:rsidRDefault="0026616B" w:rsidP="00291FAE">
      <w:pPr>
        <w:pStyle w:val="ListParagraph"/>
        <w:spacing w:after="160" w:line="360" w:lineRule="auto"/>
        <w:ind w:left="284"/>
        <w:jc w:val="both"/>
        <w:rPr>
          <w:rFonts w:ascii="Cambria" w:hAnsi="Cambria"/>
        </w:rPr>
      </w:pPr>
    </w:p>
    <w:p w14:paraId="56312BE0" w14:textId="77777777" w:rsidR="0026616B" w:rsidRPr="00361EBF" w:rsidRDefault="0026616B" w:rsidP="00056389">
      <w:pPr>
        <w:pStyle w:val="ListParagraph"/>
        <w:numPr>
          <w:ilvl w:val="0"/>
          <w:numId w:val="82"/>
        </w:numPr>
        <w:spacing w:after="160" w:line="360" w:lineRule="auto"/>
        <w:ind w:left="284"/>
        <w:jc w:val="both"/>
        <w:rPr>
          <w:rFonts w:ascii="Cambria" w:hAnsi="Cambria"/>
          <w:sz w:val="24"/>
        </w:rPr>
      </w:pPr>
      <w:r w:rsidRPr="00361EBF">
        <w:rPr>
          <w:rFonts w:ascii="Cambria" w:eastAsia="Cambria" w:hAnsi="Cambria" w:cs="Cambria"/>
          <w:b/>
          <w:bCs/>
          <w:color w:val="000000" w:themeColor="text1"/>
          <w:sz w:val="24"/>
          <w:u w:val="single"/>
        </w:rPr>
        <w:t xml:space="preserve">Para No. 348 (f)- </w:t>
      </w:r>
      <w:r w:rsidRPr="00361EBF">
        <w:rPr>
          <w:rFonts w:ascii="Cambria" w:hAnsi="Cambria"/>
          <w:sz w:val="24"/>
        </w:rPr>
        <w:t>The Commission observes that MBC expenses (under A&amp;G expenses) of the DICOMs are on rising trend on year on year basis. But the corresponding Billing Efficiency (BE) of all four DISCOMs are below 75% (even less than 65% in case of TPWODL) for the FY 2023-24, which is not satisfactory, even after operation for more than three to five years. The DISCOMs need to take necessary action to increase BE to 85% or more for the FY 2025-26.</w:t>
      </w:r>
    </w:p>
    <w:p w14:paraId="376D098A" w14:textId="77777777" w:rsidR="0026616B" w:rsidRPr="00361EBF" w:rsidRDefault="0026616B" w:rsidP="00291FAE">
      <w:pPr>
        <w:pStyle w:val="ListParagraph"/>
        <w:spacing w:after="160" w:line="360" w:lineRule="auto"/>
        <w:ind w:left="284"/>
        <w:jc w:val="both"/>
        <w:rPr>
          <w:rFonts w:ascii="Cambria" w:hAnsi="Cambria"/>
          <w:sz w:val="24"/>
        </w:rPr>
      </w:pPr>
    </w:p>
    <w:p w14:paraId="6D13D2D0" w14:textId="0CF65A6A" w:rsidR="0026616B" w:rsidRPr="00361EBF" w:rsidRDefault="0026616B" w:rsidP="00291FAE">
      <w:pPr>
        <w:pStyle w:val="ListParagraph"/>
        <w:spacing w:after="160" w:line="360" w:lineRule="auto"/>
        <w:ind w:left="284"/>
        <w:jc w:val="both"/>
        <w:rPr>
          <w:rFonts w:ascii="Cambria" w:hAnsi="Cambria"/>
          <w:b/>
          <w:bCs/>
          <w:sz w:val="24"/>
          <w:u w:val="single"/>
        </w:rPr>
      </w:pPr>
      <w:r w:rsidRPr="00361EBF">
        <w:rPr>
          <w:rFonts w:ascii="Cambria" w:hAnsi="Cambria"/>
          <w:b/>
          <w:bCs/>
          <w:sz w:val="24"/>
          <w:u w:val="single"/>
        </w:rPr>
        <w:t xml:space="preserve">TPWODL’s Submission: </w:t>
      </w:r>
      <w:r w:rsidRPr="00361EBF">
        <w:rPr>
          <w:rFonts w:ascii="Cambria" w:hAnsi="Cambria"/>
          <w:sz w:val="24"/>
          <w:lang w:val="en-IN"/>
        </w:rPr>
        <w:t xml:space="preserve">There is consistent reduction in LT AT&amp;C of TPWODL in last 3 Years. The LT AT&amp;C losses have been reduced from 50% to 28% in last three Years. </w:t>
      </w:r>
      <w:r w:rsidR="00EC5E0E" w:rsidRPr="00361EBF">
        <w:rPr>
          <w:rFonts w:ascii="Cambria" w:hAnsi="Cambria"/>
          <w:sz w:val="24"/>
          <w:lang w:val="en-IN"/>
        </w:rPr>
        <w:t>In FY 24-25 t</w:t>
      </w:r>
      <w:r w:rsidRPr="00361EBF">
        <w:rPr>
          <w:rFonts w:ascii="Cambria" w:hAnsi="Cambria"/>
          <w:sz w:val="24"/>
          <w:lang w:val="en-IN"/>
        </w:rPr>
        <w:t xml:space="preserve">he LT Losses </w:t>
      </w:r>
      <w:r w:rsidR="00EC5E0E" w:rsidRPr="00361EBF">
        <w:rPr>
          <w:rFonts w:ascii="Cambria" w:hAnsi="Cambria"/>
          <w:sz w:val="24"/>
          <w:lang w:val="en-IN"/>
        </w:rPr>
        <w:t>have</w:t>
      </w:r>
      <w:r w:rsidRPr="00361EBF">
        <w:rPr>
          <w:rFonts w:ascii="Cambria" w:hAnsi="Cambria"/>
          <w:sz w:val="24"/>
          <w:lang w:val="en-IN"/>
        </w:rPr>
        <w:t xml:space="preserve"> reduced by 8% </w:t>
      </w:r>
      <w:r w:rsidR="00470BC4" w:rsidRPr="00361EBF">
        <w:rPr>
          <w:rFonts w:ascii="Cambria" w:hAnsi="Cambria"/>
          <w:sz w:val="24"/>
          <w:lang w:val="en-IN"/>
        </w:rPr>
        <w:t xml:space="preserve">from 36% </w:t>
      </w:r>
      <w:r w:rsidRPr="00361EBF">
        <w:rPr>
          <w:rFonts w:ascii="Cambria" w:hAnsi="Cambria"/>
          <w:sz w:val="24"/>
          <w:lang w:val="en-IN"/>
        </w:rPr>
        <w:t>to 28. Such drastic reduction was possible only due to optimum utilisation of Technology, Process and Manpower Resources. The increase in MBC expenses is mainly due to increase in monthly consumer billing and collection, revision of minimum wages and recategorization of meter readers under skilled category etc.</w:t>
      </w:r>
    </w:p>
    <w:tbl>
      <w:tblPr>
        <w:tblW w:w="3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6"/>
        <w:gridCol w:w="2127"/>
      </w:tblGrid>
      <w:tr w:rsidR="0026616B" w:rsidRPr="00A921A5" w14:paraId="0E2E3448" w14:textId="77777777" w:rsidTr="00773505">
        <w:trPr>
          <w:trHeight w:val="211"/>
          <w:jc w:val="center"/>
        </w:trPr>
        <w:tc>
          <w:tcPr>
            <w:tcW w:w="1696" w:type="dxa"/>
            <w:shd w:val="clear" w:color="auto" w:fill="FCE4D6"/>
            <w:noWrap/>
            <w:tcMar>
              <w:top w:w="0" w:type="dxa"/>
              <w:left w:w="108" w:type="dxa"/>
              <w:bottom w:w="0" w:type="dxa"/>
              <w:right w:w="108" w:type="dxa"/>
            </w:tcMar>
            <w:vAlign w:val="center"/>
            <w:hideMark/>
          </w:tcPr>
          <w:p w14:paraId="2C8B740B" w14:textId="77777777" w:rsidR="0026616B" w:rsidRPr="00A921A5" w:rsidRDefault="0026616B" w:rsidP="00291FAE">
            <w:pPr>
              <w:pStyle w:val="ListParagraph"/>
              <w:spacing w:after="0" w:line="240" w:lineRule="atLeast"/>
              <w:ind w:left="284"/>
              <w:contextualSpacing w:val="0"/>
              <w:jc w:val="center"/>
              <w:rPr>
                <w:rFonts w:ascii="Cambria" w:hAnsi="Cambria"/>
                <w:b/>
                <w:bCs/>
                <w:lang w:val="en-IN"/>
              </w:rPr>
            </w:pPr>
            <w:r w:rsidRPr="00A921A5">
              <w:rPr>
                <w:rFonts w:ascii="Cambria" w:hAnsi="Cambria"/>
                <w:b/>
                <w:bCs/>
                <w:lang w:val="en-IN"/>
              </w:rPr>
              <w:t>FY</w:t>
            </w:r>
          </w:p>
        </w:tc>
        <w:tc>
          <w:tcPr>
            <w:tcW w:w="2127" w:type="dxa"/>
            <w:shd w:val="clear" w:color="auto" w:fill="FCE4D6"/>
            <w:noWrap/>
            <w:tcMar>
              <w:top w:w="0" w:type="dxa"/>
              <w:left w:w="108" w:type="dxa"/>
              <w:bottom w:w="0" w:type="dxa"/>
              <w:right w:w="108" w:type="dxa"/>
            </w:tcMar>
            <w:vAlign w:val="center"/>
            <w:hideMark/>
          </w:tcPr>
          <w:p w14:paraId="7CEF94D9" w14:textId="77777777" w:rsidR="0026616B" w:rsidRPr="00A921A5" w:rsidRDefault="0026616B" w:rsidP="00291FAE">
            <w:pPr>
              <w:pStyle w:val="ListParagraph"/>
              <w:spacing w:after="0" w:line="240" w:lineRule="atLeast"/>
              <w:ind w:left="284"/>
              <w:contextualSpacing w:val="0"/>
              <w:jc w:val="center"/>
              <w:rPr>
                <w:rFonts w:ascii="Cambria" w:hAnsi="Cambria"/>
                <w:b/>
                <w:bCs/>
                <w:lang w:val="en-IN"/>
              </w:rPr>
            </w:pPr>
            <w:r>
              <w:rPr>
                <w:rFonts w:ascii="Cambria" w:hAnsi="Cambria"/>
                <w:b/>
                <w:bCs/>
                <w:lang w:val="en-IN"/>
              </w:rPr>
              <w:t xml:space="preserve">LT - </w:t>
            </w:r>
            <w:r w:rsidRPr="00A921A5">
              <w:rPr>
                <w:rFonts w:ascii="Cambria" w:hAnsi="Cambria"/>
                <w:b/>
                <w:bCs/>
                <w:lang w:val="en-IN"/>
              </w:rPr>
              <w:t>AT&amp;C %</w:t>
            </w:r>
          </w:p>
        </w:tc>
      </w:tr>
      <w:tr w:rsidR="0026616B" w:rsidRPr="00A921A5" w14:paraId="2F88BC64" w14:textId="77777777" w:rsidTr="00773505">
        <w:trPr>
          <w:trHeight w:val="211"/>
          <w:jc w:val="center"/>
        </w:trPr>
        <w:tc>
          <w:tcPr>
            <w:tcW w:w="1696" w:type="dxa"/>
            <w:noWrap/>
            <w:tcMar>
              <w:top w:w="0" w:type="dxa"/>
              <w:left w:w="108" w:type="dxa"/>
              <w:bottom w:w="0" w:type="dxa"/>
              <w:right w:w="108" w:type="dxa"/>
            </w:tcMar>
            <w:vAlign w:val="center"/>
            <w:hideMark/>
          </w:tcPr>
          <w:p w14:paraId="1D9873EB" w14:textId="77777777" w:rsidR="0026616B" w:rsidRPr="00A921A5" w:rsidRDefault="0026616B" w:rsidP="00291FAE">
            <w:pPr>
              <w:pStyle w:val="ListParagraph"/>
              <w:spacing w:after="0" w:line="240" w:lineRule="atLeast"/>
              <w:ind w:left="284"/>
              <w:contextualSpacing w:val="0"/>
              <w:jc w:val="center"/>
              <w:rPr>
                <w:rFonts w:ascii="Cambria" w:hAnsi="Cambria"/>
                <w:lang w:val="en-IN"/>
              </w:rPr>
            </w:pPr>
            <w:r w:rsidRPr="00A921A5">
              <w:rPr>
                <w:rFonts w:ascii="Cambria" w:hAnsi="Cambria"/>
                <w:lang w:val="en-IN"/>
              </w:rPr>
              <w:t>FY 2021-22</w:t>
            </w:r>
          </w:p>
        </w:tc>
        <w:tc>
          <w:tcPr>
            <w:tcW w:w="2127" w:type="dxa"/>
            <w:noWrap/>
            <w:tcMar>
              <w:top w:w="0" w:type="dxa"/>
              <w:left w:w="108" w:type="dxa"/>
              <w:bottom w:w="0" w:type="dxa"/>
              <w:right w:w="108" w:type="dxa"/>
            </w:tcMar>
            <w:vAlign w:val="center"/>
            <w:hideMark/>
          </w:tcPr>
          <w:p w14:paraId="7CA3B5F7" w14:textId="77777777" w:rsidR="0026616B" w:rsidRPr="00A921A5" w:rsidRDefault="0026616B" w:rsidP="00291FAE">
            <w:pPr>
              <w:pStyle w:val="ListParagraph"/>
              <w:spacing w:after="0" w:line="240" w:lineRule="atLeast"/>
              <w:ind w:left="284"/>
              <w:contextualSpacing w:val="0"/>
              <w:jc w:val="center"/>
              <w:rPr>
                <w:rFonts w:ascii="Cambria" w:hAnsi="Cambria"/>
                <w:lang w:val="en-IN"/>
              </w:rPr>
            </w:pPr>
            <w:r w:rsidRPr="00A921A5">
              <w:rPr>
                <w:rFonts w:ascii="Cambria" w:hAnsi="Cambria"/>
                <w:lang w:val="en-IN"/>
              </w:rPr>
              <w:t>50%</w:t>
            </w:r>
          </w:p>
        </w:tc>
      </w:tr>
      <w:tr w:rsidR="0026616B" w:rsidRPr="00A921A5" w14:paraId="18FB7F0C" w14:textId="77777777" w:rsidTr="00773505">
        <w:trPr>
          <w:trHeight w:val="211"/>
          <w:jc w:val="center"/>
        </w:trPr>
        <w:tc>
          <w:tcPr>
            <w:tcW w:w="1696" w:type="dxa"/>
            <w:noWrap/>
            <w:tcMar>
              <w:top w:w="0" w:type="dxa"/>
              <w:left w:w="108" w:type="dxa"/>
              <w:bottom w:w="0" w:type="dxa"/>
              <w:right w:w="108" w:type="dxa"/>
            </w:tcMar>
            <w:vAlign w:val="center"/>
            <w:hideMark/>
          </w:tcPr>
          <w:p w14:paraId="2BB02551" w14:textId="77777777" w:rsidR="0026616B" w:rsidRPr="00A921A5" w:rsidRDefault="0026616B" w:rsidP="00291FAE">
            <w:pPr>
              <w:pStyle w:val="ListParagraph"/>
              <w:spacing w:after="0" w:line="240" w:lineRule="atLeast"/>
              <w:ind w:left="284"/>
              <w:contextualSpacing w:val="0"/>
              <w:jc w:val="center"/>
              <w:rPr>
                <w:rFonts w:ascii="Cambria" w:hAnsi="Cambria"/>
                <w:lang w:val="en-IN"/>
              </w:rPr>
            </w:pPr>
            <w:r w:rsidRPr="00A921A5">
              <w:rPr>
                <w:rFonts w:ascii="Cambria" w:hAnsi="Cambria"/>
                <w:lang w:val="en-IN"/>
              </w:rPr>
              <w:t>FY 2022-23</w:t>
            </w:r>
          </w:p>
        </w:tc>
        <w:tc>
          <w:tcPr>
            <w:tcW w:w="2127" w:type="dxa"/>
            <w:noWrap/>
            <w:tcMar>
              <w:top w:w="0" w:type="dxa"/>
              <w:left w:w="108" w:type="dxa"/>
              <w:bottom w:w="0" w:type="dxa"/>
              <w:right w:w="108" w:type="dxa"/>
            </w:tcMar>
            <w:vAlign w:val="center"/>
            <w:hideMark/>
          </w:tcPr>
          <w:p w14:paraId="1F9457DD" w14:textId="77777777" w:rsidR="0026616B" w:rsidRPr="00A921A5" w:rsidRDefault="0026616B" w:rsidP="00291FAE">
            <w:pPr>
              <w:pStyle w:val="ListParagraph"/>
              <w:spacing w:after="0" w:line="240" w:lineRule="atLeast"/>
              <w:ind w:left="284"/>
              <w:contextualSpacing w:val="0"/>
              <w:jc w:val="center"/>
              <w:rPr>
                <w:rFonts w:ascii="Cambria" w:hAnsi="Cambria"/>
                <w:lang w:val="en-IN"/>
              </w:rPr>
            </w:pPr>
            <w:r w:rsidRPr="00A921A5">
              <w:rPr>
                <w:rFonts w:ascii="Cambria" w:hAnsi="Cambria"/>
                <w:lang w:val="en-IN"/>
              </w:rPr>
              <w:t>39%</w:t>
            </w:r>
          </w:p>
        </w:tc>
      </w:tr>
      <w:tr w:rsidR="0026616B" w:rsidRPr="00A921A5" w14:paraId="2D8424E3" w14:textId="77777777" w:rsidTr="00773505">
        <w:trPr>
          <w:trHeight w:val="211"/>
          <w:jc w:val="center"/>
        </w:trPr>
        <w:tc>
          <w:tcPr>
            <w:tcW w:w="1696" w:type="dxa"/>
            <w:noWrap/>
            <w:tcMar>
              <w:top w:w="0" w:type="dxa"/>
              <w:left w:w="108" w:type="dxa"/>
              <w:bottom w:w="0" w:type="dxa"/>
              <w:right w:w="108" w:type="dxa"/>
            </w:tcMar>
            <w:vAlign w:val="center"/>
            <w:hideMark/>
          </w:tcPr>
          <w:p w14:paraId="0345A6F6" w14:textId="77777777" w:rsidR="0026616B" w:rsidRPr="00A921A5" w:rsidRDefault="0026616B" w:rsidP="00291FAE">
            <w:pPr>
              <w:pStyle w:val="ListParagraph"/>
              <w:spacing w:after="0" w:line="240" w:lineRule="atLeast"/>
              <w:ind w:left="284"/>
              <w:contextualSpacing w:val="0"/>
              <w:jc w:val="center"/>
              <w:rPr>
                <w:rFonts w:ascii="Cambria" w:hAnsi="Cambria"/>
                <w:lang w:val="en-IN"/>
              </w:rPr>
            </w:pPr>
            <w:r w:rsidRPr="00A921A5">
              <w:rPr>
                <w:rFonts w:ascii="Cambria" w:hAnsi="Cambria"/>
                <w:lang w:val="en-IN"/>
              </w:rPr>
              <w:t>FY 2023-24</w:t>
            </w:r>
          </w:p>
        </w:tc>
        <w:tc>
          <w:tcPr>
            <w:tcW w:w="2127" w:type="dxa"/>
            <w:noWrap/>
            <w:tcMar>
              <w:top w:w="0" w:type="dxa"/>
              <w:left w:w="108" w:type="dxa"/>
              <w:bottom w:w="0" w:type="dxa"/>
              <w:right w:w="108" w:type="dxa"/>
            </w:tcMar>
            <w:vAlign w:val="center"/>
            <w:hideMark/>
          </w:tcPr>
          <w:p w14:paraId="2222D64E" w14:textId="77777777" w:rsidR="0026616B" w:rsidRPr="00A921A5" w:rsidRDefault="0026616B" w:rsidP="00291FAE">
            <w:pPr>
              <w:pStyle w:val="ListParagraph"/>
              <w:spacing w:after="0" w:line="240" w:lineRule="atLeast"/>
              <w:ind w:left="284"/>
              <w:contextualSpacing w:val="0"/>
              <w:jc w:val="center"/>
              <w:rPr>
                <w:rFonts w:ascii="Cambria" w:hAnsi="Cambria"/>
                <w:lang w:val="en-IN"/>
              </w:rPr>
            </w:pPr>
            <w:r w:rsidRPr="00A921A5">
              <w:rPr>
                <w:rFonts w:ascii="Cambria" w:hAnsi="Cambria"/>
                <w:lang w:val="en-IN"/>
              </w:rPr>
              <w:t>36%</w:t>
            </w:r>
          </w:p>
        </w:tc>
      </w:tr>
      <w:tr w:rsidR="0026616B" w:rsidRPr="00A921A5" w14:paraId="58463969" w14:textId="77777777" w:rsidTr="00773505">
        <w:trPr>
          <w:trHeight w:val="211"/>
          <w:jc w:val="center"/>
        </w:trPr>
        <w:tc>
          <w:tcPr>
            <w:tcW w:w="1696" w:type="dxa"/>
            <w:noWrap/>
            <w:tcMar>
              <w:top w:w="0" w:type="dxa"/>
              <w:left w:w="108" w:type="dxa"/>
              <w:bottom w:w="0" w:type="dxa"/>
              <w:right w:w="108" w:type="dxa"/>
            </w:tcMar>
            <w:vAlign w:val="center"/>
            <w:hideMark/>
          </w:tcPr>
          <w:p w14:paraId="4187EBEF" w14:textId="77777777" w:rsidR="0026616B" w:rsidRPr="00A921A5" w:rsidRDefault="0026616B" w:rsidP="00291FAE">
            <w:pPr>
              <w:pStyle w:val="ListParagraph"/>
              <w:spacing w:after="0" w:line="240" w:lineRule="atLeast"/>
              <w:ind w:left="284"/>
              <w:contextualSpacing w:val="0"/>
              <w:jc w:val="center"/>
              <w:rPr>
                <w:rFonts w:ascii="Cambria" w:hAnsi="Cambria"/>
                <w:lang w:val="en-IN"/>
              </w:rPr>
            </w:pPr>
            <w:r w:rsidRPr="00A921A5">
              <w:rPr>
                <w:rFonts w:ascii="Cambria" w:hAnsi="Cambria"/>
                <w:lang w:val="en-IN"/>
              </w:rPr>
              <w:t>FY 2024-25</w:t>
            </w:r>
          </w:p>
        </w:tc>
        <w:tc>
          <w:tcPr>
            <w:tcW w:w="2127" w:type="dxa"/>
            <w:noWrap/>
            <w:tcMar>
              <w:top w:w="0" w:type="dxa"/>
              <w:left w:w="108" w:type="dxa"/>
              <w:bottom w:w="0" w:type="dxa"/>
              <w:right w:w="108" w:type="dxa"/>
            </w:tcMar>
            <w:vAlign w:val="center"/>
            <w:hideMark/>
          </w:tcPr>
          <w:p w14:paraId="16731701" w14:textId="77777777" w:rsidR="0026616B" w:rsidRPr="00A921A5" w:rsidRDefault="0026616B" w:rsidP="00291FAE">
            <w:pPr>
              <w:pStyle w:val="ListParagraph"/>
              <w:spacing w:after="0" w:line="240" w:lineRule="atLeast"/>
              <w:ind w:left="284"/>
              <w:contextualSpacing w:val="0"/>
              <w:jc w:val="center"/>
              <w:rPr>
                <w:rFonts w:ascii="Cambria" w:hAnsi="Cambria"/>
                <w:lang w:val="en-IN"/>
              </w:rPr>
            </w:pPr>
            <w:r w:rsidRPr="00A921A5">
              <w:rPr>
                <w:rFonts w:ascii="Cambria" w:hAnsi="Cambria"/>
                <w:lang w:val="en-IN"/>
              </w:rPr>
              <w:t>28%</w:t>
            </w:r>
          </w:p>
        </w:tc>
      </w:tr>
    </w:tbl>
    <w:p w14:paraId="191545E4" w14:textId="77777777" w:rsidR="0026616B" w:rsidRDefault="0026616B" w:rsidP="00291FAE">
      <w:pPr>
        <w:pStyle w:val="ListParagraph"/>
        <w:spacing w:after="160" w:line="360" w:lineRule="auto"/>
        <w:ind w:left="284"/>
        <w:jc w:val="both"/>
        <w:rPr>
          <w:rFonts w:ascii="Cambria" w:hAnsi="Cambria"/>
          <w:b/>
          <w:bCs/>
          <w:u w:val="single"/>
        </w:rPr>
      </w:pPr>
    </w:p>
    <w:p w14:paraId="60270003" w14:textId="77777777" w:rsidR="0026616B" w:rsidRPr="00773505" w:rsidRDefault="0026616B" w:rsidP="00056389">
      <w:pPr>
        <w:pStyle w:val="ListParagraph"/>
        <w:numPr>
          <w:ilvl w:val="0"/>
          <w:numId w:val="82"/>
        </w:numPr>
        <w:spacing w:after="160" w:line="360" w:lineRule="auto"/>
        <w:ind w:left="284"/>
        <w:jc w:val="both"/>
        <w:rPr>
          <w:rFonts w:ascii="Cambria" w:hAnsi="Cambria"/>
          <w:sz w:val="24"/>
        </w:rPr>
      </w:pPr>
      <w:r w:rsidRPr="00773505">
        <w:rPr>
          <w:rFonts w:ascii="Cambria" w:eastAsia="Cambria" w:hAnsi="Cambria" w:cs="Cambria"/>
          <w:b/>
          <w:bCs/>
          <w:color w:val="000000" w:themeColor="text1"/>
          <w:sz w:val="24"/>
          <w:u w:val="single"/>
        </w:rPr>
        <w:t xml:space="preserve">Para No. 348 (g)- </w:t>
      </w:r>
      <w:r w:rsidRPr="00773505">
        <w:rPr>
          <w:rFonts w:ascii="Cambria" w:hAnsi="Cambria"/>
          <w:sz w:val="24"/>
        </w:rPr>
        <w:t xml:space="preserve">Small value items including tools &amp; tackles such as discharge rods, neon testers, safety helmets, PPE kits, replacement of jumpers, clamps connectors etc. which are required for Maintenance of line network and substations in order to provide uninterrupted power supply to the consumers are to be met out of the R &amp; M expenditure allowed in this order. Further, repairs like white washing, minor modification, </w:t>
      </w:r>
      <w:proofErr w:type="spellStart"/>
      <w:r w:rsidRPr="00773505">
        <w:rPr>
          <w:rFonts w:ascii="Cambria" w:hAnsi="Cambria"/>
          <w:sz w:val="24"/>
        </w:rPr>
        <w:t>facelifting</w:t>
      </w:r>
      <w:proofErr w:type="spellEnd"/>
      <w:r w:rsidRPr="00773505">
        <w:rPr>
          <w:rFonts w:ascii="Cambria" w:hAnsi="Cambria"/>
          <w:sz w:val="24"/>
        </w:rPr>
        <w:t xml:space="preserve"> of office ambiance and repair for boundary wall of PSS &amp; offices etc. should be met out of R&amp;M expenditure. Such item/activity should not be considered/accounted as capital items and capitalized. However, the detailed list with the purchase value of such items/activity should be recorded in SAP system.</w:t>
      </w:r>
    </w:p>
    <w:p w14:paraId="5338582B" w14:textId="77777777" w:rsidR="0026616B" w:rsidRPr="00773505" w:rsidRDefault="0026616B" w:rsidP="00291FAE">
      <w:pPr>
        <w:pStyle w:val="ListParagraph"/>
        <w:spacing w:after="160" w:line="360" w:lineRule="auto"/>
        <w:ind w:left="284"/>
        <w:jc w:val="both"/>
        <w:rPr>
          <w:rFonts w:ascii="Cambria" w:hAnsi="Cambria"/>
          <w:sz w:val="24"/>
        </w:rPr>
      </w:pPr>
    </w:p>
    <w:p w14:paraId="044CB75D" w14:textId="7CBD760F" w:rsidR="00291C14" w:rsidRDefault="0026616B" w:rsidP="00291C14">
      <w:pPr>
        <w:pStyle w:val="ListParagraph"/>
        <w:spacing w:after="160" w:line="360" w:lineRule="auto"/>
        <w:ind w:left="284"/>
        <w:jc w:val="both"/>
        <w:rPr>
          <w:rFonts w:ascii="Cambria" w:hAnsi="Cambria"/>
          <w:sz w:val="24"/>
        </w:rPr>
      </w:pPr>
      <w:r w:rsidRPr="00773505">
        <w:rPr>
          <w:rFonts w:ascii="Cambria" w:hAnsi="Cambria"/>
          <w:b/>
          <w:bCs/>
          <w:sz w:val="24"/>
          <w:u w:val="single"/>
        </w:rPr>
        <w:t xml:space="preserve">TPWODL’s Submission: </w:t>
      </w:r>
      <w:r w:rsidRPr="00773505">
        <w:rPr>
          <w:rFonts w:ascii="Cambria" w:hAnsi="Cambria"/>
          <w:sz w:val="24"/>
        </w:rPr>
        <w:t>The detailed basis of booking an expenditure under R&amp;M and Capex has already been provided above (i.e. response to Sr no.5), which may kindly be referred to.</w:t>
      </w:r>
    </w:p>
    <w:p w14:paraId="0B671D35" w14:textId="77777777" w:rsidR="00291C14" w:rsidRDefault="00291C14" w:rsidP="00291C14">
      <w:pPr>
        <w:pStyle w:val="ListParagraph"/>
        <w:spacing w:after="160" w:line="360" w:lineRule="auto"/>
        <w:ind w:left="284"/>
        <w:jc w:val="both"/>
        <w:rPr>
          <w:rFonts w:ascii="Cambria" w:hAnsi="Cambria"/>
          <w:sz w:val="24"/>
        </w:rPr>
      </w:pPr>
    </w:p>
    <w:p w14:paraId="7141AAA9" w14:textId="3F99A49B" w:rsidR="0026616B" w:rsidRPr="00291C14" w:rsidRDefault="0026616B" w:rsidP="00291C14">
      <w:pPr>
        <w:pStyle w:val="ListParagraph"/>
        <w:numPr>
          <w:ilvl w:val="0"/>
          <w:numId w:val="82"/>
        </w:numPr>
        <w:spacing w:after="160" w:line="360" w:lineRule="auto"/>
        <w:ind w:left="284"/>
        <w:jc w:val="both"/>
        <w:rPr>
          <w:rFonts w:ascii="Cambria" w:hAnsi="Cambria"/>
          <w:b/>
          <w:bCs/>
          <w:sz w:val="24"/>
          <w:u w:val="single"/>
        </w:rPr>
      </w:pPr>
      <w:r w:rsidRPr="00291C14">
        <w:rPr>
          <w:rFonts w:ascii="Cambria" w:eastAsia="Cambria" w:hAnsi="Cambria" w:cs="Cambria"/>
          <w:b/>
          <w:bCs/>
          <w:color w:val="000000" w:themeColor="text1"/>
          <w:sz w:val="24"/>
          <w:u w:val="single"/>
        </w:rPr>
        <w:t xml:space="preserve">Para No. 348 (h)- </w:t>
      </w:r>
      <w:r w:rsidRPr="00291C14">
        <w:rPr>
          <w:rFonts w:ascii="Cambria" w:hAnsi="Cambria"/>
          <w:sz w:val="24"/>
        </w:rPr>
        <w:t>Three DISCOMs (TPCODL, TPWODL, TPSODL) have already completed more than 4 years of operation and one DISCOM (TPNODL) has completed more than 3 years of operation. It is observed that the metering of (a) PTRs &amp; DTRs (b) 33 kV &amp; 11 kV feeders are yet to be completed by most of the DISCOMs for which Energy Audit is not possible to assess the actual HT loss, LT loss of each section and to identify high loss area. DISCOMs are directed to complete installation of such meters on priority basis so that meters are in place for energy audit and target for completion of installation of these meters need to be furnished.</w:t>
      </w:r>
    </w:p>
    <w:p w14:paraId="7F3D1059" w14:textId="77777777" w:rsidR="0026616B" w:rsidRPr="00773505" w:rsidRDefault="0026616B" w:rsidP="00291FAE">
      <w:pPr>
        <w:pStyle w:val="ListParagraph"/>
        <w:spacing w:after="160" w:line="360" w:lineRule="auto"/>
        <w:ind w:left="284"/>
        <w:jc w:val="both"/>
        <w:rPr>
          <w:rFonts w:ascii="Cambria" w:hAnsi="Cambria"/>
          <w:sz w:val="24"/>
        </w:rPr>
      </w:pPr>
    </w:p>
    <w:p w14:paraId="55AEB97D" w14:textId="51615B2E" w:rsidR="0026616B" w:rsidRPr="00773505" w:rsidRDefault="0026616B" w:rsidP="0057412B">
      <w:pPr>
        <w:pStyle w:val="ListParagraph"/>
        <w:spacing w:after="160" w:line="360" w:lineRule="auto"/>
        <w:ind w:left="284"/>
        <w:jc w:val="both"/>
        <w:rPr>
          <w:rFonts w:ascii="Cambria" w:hAnsi="Cambria"/>
          <w:sz w:val="24"/>
          <w:lang w:val="en-IN"/>
        </w:rPr>
      </w:pPr>
      <w:r w:rsidRPr="00773505">
        <w:rPr>
          <w:rFonts w:ascii="Cambria" w:hAnsi="Cambria"/>
          <w:b/>
          <w:bCs/>
          <w:sz w:val="24"/>
          <w:u w:val="single"/>
        </w:rPr>
        <w:t xml:space="preserve">TPWODL’s Submission: </w:t>
      </w:r>
      <w:r w:rsidRPr="00773505">
        <w:rPr>
          <w:rFonts w:ascii="Cambria" w:hAnsi="Cambria"/>
          <w:sz w:val="24"/>
          <w:lang w:val="en-IN"/>
        </w:rPr>
        <w:t xml:space="preserve">The Licensee respectfully submits that the status </w:t>
      </w:r>
      <w:r w:rsidR="00923DBE" w:rsidRPr="00773505">
        <w:rPr>
          <w:rFonts w:ascii="Cambria" w:hAnsi="Cambria"/>
          <w:sz w:val="24"/>
          <w:lang w:val="en-IN"/>
        </w:rPr>
        <w:t xml:space="preserve">and estimated completion dated </w:t>
      </w:r>
      <w:r w:rsidRPr="00773505">
        <w:rPr>
          <w:rFonts w:ascii="Cambria" w:hAnsi="Cambria"/>
          <w:sz w:val="24"/>
          <w:lang w:val="en-IN"/>
        </w:rPr>
        <w:t xml:space="preserve">of metering has already been </w:t>
      </w:r>
      <w:r w:rsidR="005F56A3" w:rsidRPr="00773505">
        <w:rPr>
          <w:rFonts w:ascii="Cambria" w:hAnsi="Cambria"/>
          <w:sz w:val="24"/>
          <w:lang w:val="en-IN"/>
        </w:rPr>
        <w:t xml:space="preserve">submitted </w:t>
      </w:r>
      <w:r w:rsidRPr="00773505">
        <w:rPr>
          <w:rFonts w:ascii="Cambria" w:hAnsi="Cambria"/>
          <w:sz w:val="24"/>
          <w:lang w:val="en-IN"/>
        </w:rPr>
        <w:t xml:space="preserve">during the Annual Performance Review (APR) for FY 2024-25 held on </w:t>
      </w:r>
      <w:r w:rsidR="0057412B" w:rsidRPr="00773505">
        <w:rPr>
          <w:rFonts w:ascii="Cambria" w:hAnsi="Cambria"/>
          <w:sz w:val="24"/>
          <w:lang w:val="en-IN"/>
        </w:rPr>
        <w:t>2</w:t>
      </w:r>
      <w:r w:rsidR="0057412B" w:rsidRPr="00773505">
        <w:rPr>
          <w:rFonts w:ascii="Cambria" w:hAnsi="Cambria"/>
          <w:sz w:val="24"/>
          <w:vertAlign w:val="superscript"/>
          <w:lang w:val="en-IN"/>
        </w:rPr>
        <w:t>nd</w:t>
      </w:r>
      <w:r w:rsidR="0057412B" w:rsidRPr="00773505">
        <w:rPr>
          <w:rFonts w:ascii="Cambria" w:hAnsi="Cambria"/>
          <w:sz w:val="24"/>
          <w:lang w:val="en-IN"/>
        </w:rPr>
        <w:t xml:space="preserve"> </w:t>
      </w:r>
      <w:r w:rsidRPr="00773505">
        <w:rPr>
          <w:rFonts w:ascii="Cambria" w:hAnsi="Cambria"/>
          <w:sz w:val="24"/>
          <w:lang w:val="en-IN"/>
        </w:rPr>
        <w:t>August 2025.</w:t>
      </w:r>
      <w:r w:rsidR="00DB1F48" w:rsidRPr="00773505">
        <w:rPr>
          <w:rFonts w:ascii="Cambria" w:hAnsi="Cambria"/>
          <w:sz w:val="24"/>
          <w:lang w:val="en-IN"/>
        </w:rPr>
        <w:t xml:space="preserve"> </w:t>
      </w:r>
    </w:p>
    <w:p w14:paraId="2B0EC2E8" w14:textId="77777777" w:rsidR="0026616B" w:rsidRPr="00773505" w:rsidRDefault="0026616B" w:rsidP="00291FAE">
      <w:pPr>
        <w:pStyle w:val="ListParagraph"/>
        <w:spacing w:after="160" w:line="360" w:lineRule="auto"/>
        <w:ind w:left="284"/>
        <w:jc w:val="both"/>
        <w:rPr>
          <w:rFonts w:ascii="Cambria" w:hAnsi="Cambria"/>
          <w:sz w:val="24"/>
        </w:rPr>
      </w:pPr>
    </w:p>
    <w:p w14:paraId="70581798" w14:textId="77777777" w:rsidR="0026616B" w:rsidRPr="00773505" w:rsidRDefault="0026616B" w:rsidP="00056389">
      <w:pPr>
        <w:pStyle w:val="ListParagraph"/>
        <w:numPr>
          <w:ilvl w:val="0"/>
          <w:numId w:val="82"/>
        </w:numPr>
        <w:spacing w:after="160" w:line="360" w:lineRule="auto"/>
        <w:ind w:left="284"/>
        <w:jc w:val="both"/>
        <w:rPr>
          <w:rFonts w:ascii="Cambria" w:hAnsi="Cambria"/>
          <w:sz w:val="24"/>
        </w:rPr>
      </w:pPr>
      <w:r w:rsidRPr="00773505">
        <w:rPr>
          <w:rFonts w:ascii="Cambria" w:eastAsia="Cambria" w:hAnsi="Cambria" w:cs="Cambria"/>
          <w:b/>
          <w:bCs/>
          <w:color w:val="000000" w:themeColor="text1"/>
          <w:sz w:val="24"/>
          <w:u w:val="single"/>
        </w:rPr>
        <w:t>Para No. 348 (</w:t>
      </w:r>
      <w:proofErr w:type="spellStart"/>
      <w:r w:rsidRPr="00773505">
        <w:rPr>
          <w:rFonts w:ascii="Cambria" w:eastAsia="Cambria" w:hAnsi="Cambria" w:cs="Cambria"/>
          <w:b/>
          <w:bCs/>
          <w:color w:val="000000" w:themeColor="text1"/>
          <w:sz w:val="24"/>
          <w:u w:val="single"/>
        </w:rPr>
        <w:t>i</w:t>
      </w:r>
      <w:proofErr w:type="spellEnd"/>
      <w:r w:rsidRPr="00773505">
        <w:rPr>
          <w:rFonts w:ascii="Cambria" w:eastAsia="Cambria" w:hAnsi="Cambria" w:cs="Cambria"/>
          <w:b/>
          <w:bCs/>
          <w:color w:val="000000" w:themeColor="text1"/>
          <w:sz w:val="24"/>
          <w:u w:val="single"/>
        </w:rPr>
        <w:t xml:space="preserve">)- </w:t>
      </w:r>
      <w:r w:rsidRPr="00773505">
        <w:rPr>
          <w:rFonts w:ascii="Cambria" w:hAnsi="Cambria"/>
          <w:sz w:val="24"/>
        </w:rPr>
        <w:t>DISCOM need to plan for construction of all new PSS with indoor 33 kV &amp; 11 kV switchgear/indoor GIS and for conversion of important outdoor PSS in cyclone prone area to GIS.</w:t>
      </w:r>
    </w:p>
    <w:p w14:paraId="7E8E0FD6" w14:textId="77777777" w:rsidR="0026616B" w:rsidRPr="00773505" w:rsidRDefault="0026616B" w:rsidP="00291FAE">
      <w:pPr>
        <w:pStyle w:val="ListParagraph"/>
        <w:spacing w:after="160" w:line="360" w:lineRule="auto"/>
        <w:ind w:left="284"/>
        <w:jc w:val="both"/>
        <w:rPr>
          <w:rFonts w:ascii="Cambria" w:hAnsi="Cambria"/>
          <w:sz w:val="24"/>
        </w:rPr>
      </w:pPr>
    </w:p>
    <w:p w14:paraId="2B027B0E" w14:textId="77777777" w:rsidR="0026616B" w:rsidRPr="00773505" w:rsidRDefault="0026616B" w:rsidP="00291FAE">
      <w:pPr>
        <w:pStyle w:val="ListParagraph"/>
        <w:spacing w:after="160" w:line="360" w:lineRule="auto"/>
        <w:ind w:left="284"/>
        <w:jc w:val="both"/>
        <w:rPr>
          <w:rFonts w:ascii="Cambria" w:hAnsi="Cambria"/>
          <w:b/>
          <w:bCs/>
          <w:sz w:val="24"/>
          <w:u w:val="single"/>
        </w:rPr>
      </w:pPr>
      <w:r w:rsidRPr="00773505">
        <w:rPr>
          <w:rFonts w:ascii="Cambria" w:hAnsi="Cambria"/>
          <w:b/>
          <w:bCs/>
          <w:sz w:val="24"/>
          <w:u w:val="single"/>
        </w:rPr>
        <w:t xml:space="preserve">TPWODL’s Submission:  </w:t>
      </w:r>
    </w:p>
    <w:p w14:paraId="19379ABC" w14:textId="77777777" w:rsidR="0026616B" w:rsidRPr="00773505" w:rsidRDefault="0026616B" w:rsidP="00B4630C">
      <w:pPr>
        <w:pStyle w:val="ListParagraph"/>
        <w:spacing w:before="120" w:after="160" w:line="360" w:lineRule="auto"/>
        <w:ind w:left="284"/>
        <w:contextualSpacing w:val="0"/>
        <w:jc w:val="both"/>
        <w:rPr>
          <w:rFonts w:ascii="Cambria" w:hAnsi="Cambria"/>
          <w:sz w:val="24"/>
        </w:rPr>
      </w:pPr>
      <w:r w:rsidRPr="00773505">
        <w:rPr>
          <w:rFonts w:ascii="Cambria" w:hAnsi="Cambria"/>
          <w:sz w:val="24"/>
        </w:rPr>
        <w:t>In compliance with the directive, it is submitted that within the TPWODL license area, 15 GIS (Gas Insulated Substations) are presently in operation. Based on past experience and considering the geographical and operational conditions of the area, it is generally more practical to adopt Air Insulated Substations (AIS), except in densely populated urban or metropolitan locations where space constraints necessitate the use of GIS/indoor systems. However, several key factors make AIS systems more suitable for the TPWODL region:</w:t>
      </w:r>
    </w:p>
    <w:p w14:paraId="0537DF30" w14:textId="77777777" w:rsidR="0026616B" w:rsidRPr="00773505" w:rsidRDefault="0026616B" w:rsidP="00B4630C">
      <w:pPr>
        <w:pStyle w:val="ListParagraph"/>
        <w:numPr>
          <w:ilvl w:val="0"/>
          <w:numId w:val="85"/>
        </w:numPr>
        <w:spacing w:after="160" w:line="360" w:lineRule="auto"/>
        <w:ind w:left="709"/>
        <w:jc w:val="both"/>
        <w:rPr>
          <w:rFonts w:ascii="Cambria" w:hAnsi="Cambria"/>
          <w:sz w:val="24"/>
        </w:rPr>
      </w:pPr>
      <w:r w:rsidRPr="00773505">
        <w:rPr>
          <w:rFonts w:ascii="Cambria" w:hAnsi="Cambria"/>
          <w:sz w:val="24"/>
          <w:u w:val="single"/>
        </w:rPr>
        <w:t>Ease of maintenance</w:t>
      </w:r>
      <w:r w:rsidRPr="00773505">
        <w:rPr>
          <w:rFonts w:ascii="Cambria" w:hAnsi="Cambria"/>
          <w:sz w:val="24"/>
        </w:rPr>
        <w:t>: Indoor/GIS systems require highly skilled manpower, and maintenance or fault restoration activities are relatively complex as a result system restoration get delayed.</w:t>
      </w:r>
    </w:p>
    <w:p w14:paraId="4B79F374" w14:textId="77777777" w:rsidR="0026616B" w:rsidRPr="00773505" w:rsidRDefault="0026616B" w:rsidP="00B4630C">
      <w:pPr>
        <w:pStyle w:val="ListParagraph"/>
        <w:numPr>
          <w:ilvl w:val="0"/>
          <w:numId w:val="85"/>
        </w:numPr>
        <w:spacing w:after="160" w:line="360" w:lineRule="auto"/>
        <w:ind w:left="709"/>
        <w:jc w:val="both"/>
        <w:rPr>
          <w:rFonts w:ascii="Cambria" w:hAnsi="Cambria"/>
          <w:sz w:val="24"/>
        </w:rPr>
      </w:pPr>
      <w:r w:rsidRPr="00773505">
        <w:rPr>
          <w:rFonts w:ascii="Cambria" w:hAnsi="Cambria"/>
          <w:sz w:val="24"/>
          <w:u w:val="single"/>
        </w:rPr>
        <w:t>Restoration time</w:t>
      </w:r>
      <w:r w:rsidRPr="00773505">
        <w:rPr>
          <w:rFonts w:ascii="Cambria" w:hAnsi="Cambria"/>
          <w:sz w:val="24"/>
        </w:rPr>
        <w:t>: In case of any exigency, a bay in an outdoor (AIS) system can typically be restored within 2–3 days, whereas similar restoration in indoor systems may take several weeks.</w:t>
      </w:r>
    </w:p>
    <w:p w14:paraId="207D79C4" w14:textId="77777777" w:rsidR="0026616B" w:rsidRPr="00773505" w:rsidRDefault="0026616B" w:rsidP="00B4630C">
      <w:pPr>
        <w:pStyle w:val="ListParagraph"/>
        <w:numPr>
          <w:ilvl w:val="0"/>
          <w:numId w:val="85"/>
        </w:numPr>
        <w:spacing w:after="160" w:line="360" w:lineRule="auto"/>
        <w:ind w:left="709"/>
        <w:jc w:val="both"/>
        <w:rPr>
          <w:rFonts w:ascii="Cambria" w:hAnsi="Cambria"/>
          <w:sz w:val="24"/>
        </w:rPr>
      </w:pPr>
      <w:r w:rsidRPr="00773505">
        <w:rPr>
          <w:rFonts w:ascii="Cambria" w:hAnsi="Cambria"/>
          <w:sz w:val="24"/>
          <w:u w:val="single"/>
        </w:rPr>
        <w:t>Cost efficiency</w:t>
      </w:r>
      <w:r w:rsidRPr="00773505">
        <w:rPr>
          <w:rFonts w:ascii="Cambria" w:hAnsi="Cambria"/>
          <w:sz w:val="24"/>
        </w:rPr>
        <w:t>: The capital cost of GIS/indoor systems is significantly higher compared to outdoor AIS systems.</w:t>
      </w:r>
    </w:p>
    <w:p w14:paraId="08B518C4" w14:textId="77777777" w:rsidR="0026616B" w:rsidRPr="00773505" w:rsidRDefault="0026616B" w:rsidP="00B4630C">
      <w:pPr>
        <w:pStyle w:val="ListParagraph"/>
        <w:numPr>
          <w:ilvl w:val="0"/>
          <w:numId w:val="85"/>
        </w:numPr>
        <w:spacing w:after="160" w:line="360" w:lineRule="auto"/>
        <w:ind w:left="709"/>
        <w:jc w:val="both"/>
        <w:rPr>
          <w:rFonts w:ascii="Cambria" w:hAnsi="Cambria"/>
          <w:sz w:val="24"/>
        </w:rPr>
      </w:pPr>
      <w:r w:rsidRPr="00773505">
        <w:rPr>
          <w:rFonts w:ascii="Cambria" w:hAnsi="Cambria"/>
          <w:sz w:val="24"/>
          <w:u w:val="single"/>
        </w:rPr>
        <w:t>Vendor availability</w:t>
      </w:r>
      <w:r w:rsidRPr="00773505">
        <w:rPr>
          <w:rFonts w:ascii="Cambria" w:hAnsi="Cambria"/>
          <w:sz w:val="24"/>
        </w:rPr>
        <w:t xml:space="preserve">: Past procurement experience indicates limited vendor availability for GIS/indoor systems, often leading to procurement delays. Unreliable vendors sometimes emerge with lowest price bids and create future hindrance.  </w:t>
      </w:r>
    </w:p>
    <w:p w14:paraId="2683D266" w14:textId="77777777" w:rsidR="0026616B" w:rsidRPr="00773505" w:rsidRDefault="0026616B" w:rsidP="00D700B7">
      <w:pPr>
        <w:pStyle w:val="ListParagraph"/>
        <w:numPr>
          <w:ilvl w:val="0"/>
          <w:numId w:val="85"/>
        </w:numPr>
        <w:spacing w:before="120" w:after="160" w:line="360" w:lineRule="auto"/>
        <w:ind w:left="709" w:hanging="357"/>
        <w:contextualSpacing w:val="0"/>
        <w:jc w:val="both"/>
        <w:rPr>
          <w:rFonts w:ascii="Cambria" w:hAnsi="Cambria"/>
          <w:sz w:val="24"/>
        </w:rPr>
      </w:pPr>
      <w:r w:rsidRPr="00773505">
        <w:rPr>
          <w:rFonts w:ascii="Cambria" w:hAnsi="Cambria"/>
          <w:sz w:val="24"/>
          <w:u w:val="single"/>
        </w:rPr>
        <w:t>Land availability</w:t>
      </w:r>
      <w:r w:rsidRPr="00773505">
        <w:rPr>
          <w:rFonts w:ascii="Cambria" w:hAnsi="Cambria"/>
          <w:sz w:val="24"/>
        </w:rPr>
        <w:t>: Since adequate land is generally available within TPWODL’s operational area, outdoor AIS substations remain the preferred option for new constructions.</w:t>
      </w:r>
    </w:p>
    <w:p w14:paraId="5C17C03A" w14:textId="77777777" w:rsidR="0026616B" w:rsidRPr="00773505" w:rsidRDefault="0026616B" w:rsidP="00291FAE">
      <w:pPr>
        <w:pStyle w:val="ListParagraph"/>
        <w:spacing w:after="160" w:line="360" w:lineRule="auto"/>
        <w:ind w:left="284"/>
        <w:jc w:val="both"/>
        <w:rPr>
          <w:rFonts w:ascii="Cambria" w:hAnsi="Cambria"/>
          <w:sz w:val="24"/>
        </w:rPr>
      </w:pPr>
      <w:r w:rsidRPr="00773505">
        <w:rPr>
          <w:rFonts w:ascii="Cambria" w:hAnsi="Cambria"/>
          <w:sz w:val="24"/>
        </w:rPr>
        <w:t>Nonetheless, TPWODL shall continue to adopt GIS systems in future selectively in cyclone-prone and space-constrained areas to ensure reliability, resilience, and network modernization.</w:t>
      </w:r>
    </w:p>
    <w:p w14:paraId="163665E3" w14:textId="77777777" w:rsidR="0026616B" w:rsidRPr="00773505" w:rsidRDefault="0026616B" w:rsidP="00291FAE">
      <w:pPr>
        <w:pStyle w:val="ListParagraph"/>
        <w:spacing w:after="160" w:line="360" w:lineRule="auto"/>
        <w:ind w:left="284"/>
        <w:jc w:val="both"/>
        <w:rPr>
          <w:rFonts w:ascii="Cambria" w:hAnsi="Cambria"/>
          <w:b/>
          <w:bCs/>
          <w:sz w:val="24"/>
          <w:u w:val="single"/>
        </w:rPr>
      </w:pPr>
    </w:p>
    <w:p w14:paraId="3FEF6FC2" w14:textId="77777777" w:rsidR="0026616B" w:rsidRPr="00773505" w:rsidRDefault="0026616B" w:rsidP="00056389">
      <w:pPr>
        <w:pStyle w:val="ListParagraph"/>
        <w:numPr>
          <w:ilvl w:val="0"/>
          <w:numId w:val="82"/>
        </w:numPr>
        <w:spacing w:after="160" w:line="360" w:lineRule="auto"/>
        <w:ind w:left="284"/>
        <w:jc w:val="both"/>
        <w:rPr>
          <w:rFonts w:ascii="Cambria" w:hAnsi="Cambria"/>
          <w:sz w:val="24"/>
        </w:rPr>
      </w:pPr>
      <w:r w:rsidRPr="00773505">
        <w:rPr>
          <w:rFonts w:ascii="Cambria" w:eastAsia="Cambria" w:hAnsi="Cambria" w:cs="Cambria"/>
          <w:b/>
          <w:bCs/>
          <w:color w:val="000000" w:themeColor="text1"/>
          <w:sz w:val="24"/>
          <w:u w:val="single"/>
        </w:rPr>
        <w:t xml:space="preserve">Para No. 348 (j)- </w:t>
      </w:r>
      <w:r w:rsidRPr="00773505">
        <w:rPr>
          <w:rFonts w:ascii="Cambria" w:hAnsi="Cambria"/>
          <w:sz w:val="24"/>
        </w:rPr>
        <w:t>DISCOM is directed to intimate about the status of (a) replacement of porcelain insulators by polymer insulator in coastal areas, (b) conversion of overhead lines to underground cable system in urban areas &amp; cyclone prone area and (c) use of ABC in rural areas to avoid theft &amp; accidental death.</w:t>
      </w:r>
    </w:p>
    <w:p w14:paraId="07BCDEF1" w14:textId="77777777" w:rsidR="00F2503A" w:rsidRPr="00773505" w:rsidRDefault="00F2503A" w:rsidP="00291FAE">
      <w:pPr>
        <w:pStyle w:val="ListParagraph"/>
        <w:spacing w:after="160" w:line="360" w:lineRule="auto"/>
        <w:ind w:left="284"/>
        <w:jc w:val="both"/>
        <w:rPr>
          <w:rFonts w:ascii="Cambria" w:hAnsi="Cambria"/>
          <w:b/>
          <w:bCs/>
          <w:sz w:val="24"/>
          <w:u w:val="single"/>
        </w:rPr>
      </w:pPr>
    </w:p>
    <w:p w14:paraId="7D1E8325" w14:textId="68971992" w:rsidR="0026616B" w:rsidRPr="00773505" w:rsidRDefault="0026616B" w:rsidP="00291FAE">
      <w:pPr>
        <w:pStyle w:val="ListParagraph"/>
        <w:spacing w:after="160" w:line="360" w:lineRule="auto"/>
        <w:ind w:left="284"/>
        <w:jc w:val="both"/>
        <w:rPr>
          <w:rFonts w:ascii="Cambria" w:hAnsi="Cambria"/>
          <w:b/>
          <w:bCs/>
          <w:sz w:val="24"/>
          <w:u w:val="single"/>
        </w:rPr>
      </w:pPr>
      <w:r w:rsidRPr="00773505">
        <w:rPr>
          <w:rFonts w:ascii="Cambria" w:hAnsi="Cambria"/>
          <w:b/>
          <w:bCs/>
          <w:sz w:val="24"/>
          <w:u w:val="single"/>
        </w:rPr>
        <w:t>TPWODL’s Submission:</w:t>
      </w:r>
    </w:p>
    <w:p w14:paraId="169A12C3" w14:textId="77777777" w:rsidR="0026616B" w:rsidRPr="00773505" w:rsidRDefault="0026616B" w:rsidP="00291FAE">
      <w:pPr>
        <w:pStyle w:val="ListParagraph"/>
        <w:spacing w:after="160" w:line="360" w:lineRule="auto"/>
        <w:ind w:left="284"/>
        <w:jc w:val="both"/>
        <w:rPr>
          <w:rFonts w:ascii="Cambria" w:hAnsi="Cambria"/>
          <w:sz w:val="24"/>
        </w:rPr>
      </w:pPr>
      <w:r w:rsidRPr="00773505">
        <w:rPr>
          <w:rFonts w:ascii="Cambria" w:hAnsi="Cambria"/>
          <w:sz w:val="24"/>
        </w:rPr>
        <w:t>a) With regard to the replacement of porcelain insulators by polymer insulators in coastal areas, it is respectfully submitted that no coastal areas fall within the Licensee’s operational jurisdiction. However, recognizing the technical and operational advantages of polymer insulators over porcelain, the Licensee has undertaken significant initiatives toward their installation across the distribution network. The practice of installing polymer insulators has been standardized for all new installations in the Distribution Network. Further, the Licensee is progressively replacing existing porcelain insulators with polymer insulators in a phased manner. The details of replacement carried out at the 33 kV and 11 kV levels are presented in the table below for the kind perusal of the Hon’ble Commission.</w:t>
      </w:r>
    </w:p>
    <w:p w14:paraId="2FCE811B" w14:textId="77777777" w:rsidR="0026616B" w:rsidRDefault="0026616B" w:rsidP="00291FAE">
      <w:pPr>
        <w:pStyle w:val="ListParagraph"/>
        <w:spacing w:after="160" w:line="360" w:lineRule="auto"/>
        <w:ind w:left="284"/>
        <w:jc w:val="both"/>
        <w:rPr>
          <w:rFonts w:ascii="Cambria" w:hAnsi="Cambria"/>
          <w:b/>
          <w:bCs/>
          <w:u w:val="single"/>
        </w:rPr>
      </w:pPr>
    </w:p>
    <w:p w14:paraId="203BC07A" w14:textId="33E32F35" w:rsidR="0026616B" w:rsidRPr="00A215A1" w:rsidRDefault="0026616B" w:rsidP="00291FAE">
      <w:pPr>
        <w:pStyle w:val="ListParagraph"/>
        <w:spacing w:after="160" w:line="360" w:lineRule="auto"/>
        <w:ind w:left="284"/>
        <w:jc w:val="both"/>
        <w:rPr>
          <w:rFonts w:ascii="Cambria" w:hAnsi="Cambria"/>
          <w:b/>
          <w:bCs/>
          <w:u w:val="single"/>
        </w:rPr>
      </w:pPr>
      <w:r w:rsidRPr="00A215A1">
        <w:rPr>
          <w:rFonts w:ascii="Cambria" w:hAnsi="Cambria"/>
          <w:b/>
          <w:bCs/>
          <w:u w:val="single"/>
        </w:rPr>
        <w:t>Division wise replacement of insulator at 11kV leve</w:t>
      </w:r>
      <w:r w:rsidR="00773505">
        <w:rPr>
          <w:rFonts w:ascii="Cambria" w:hAnsi="Cambria"/>
          <w:b/>
          <w:bCs/>
          <w:u w:val="single"/>
        </w:rPr>
        <w:t xml:space="preserve">l </w:t>
      </w:r>
      <w:r w:rsidRPr="00A215A1">
        <w:rPr>
          <w:rFonts w:ascii="Cambria" w:hAnsi="Cambria"/>
          <w:b/>
          <w:bCs/>
          <w:u w:val="single"/>
        </w:rPr>
        <w:t>:</w:t>
      </w:r>
    </w:p>
    <w:tbl>
      <w:tblPr>
        <w:tblW w:w="7083" w:type="dxa"/>
        <w:jc w:val="center"/>
        <w:tblLook w:val="04A0" w:firstRow="1" w:lastRow="0" w:firstColumn="1" w:lastColumn="0" w:noHBand="0" w:noVBand="1"/>
      </w:tblPr>
      <w:tblGrid>
        <w:gridCol w:w="1840"/>
        <w:gridCol w:w="2975"/>
        <w:gridCol w:w="2268"/>
      </w:tblGrid>
      <w:tr w:rsidR="0026616B" w:rsidRPr="00B217E5" w14:paraId="73F69C84" w14:textId="77777777" w:rsidTr="001F21DF">
        <w:trPr>
          <w:trHeight w:val="520"/>
          <w:tblHeader/>
          <w:jc w:val="center"/>
        </w:trPr>
        <w:tc>
          <w:tcPr>
            <w:tcW w:w="1840" w:type="dxa"/>
            <w:tcBorders>
              <w:top w:val="single" w:sz="4" w:space="0" w:color="auto"/>
              <w:left w:val="single" w:sz="4" w:space="0" w:color="auto"/>
              <w:bottom w:val="single" w:sz="4" w:space="0" w:color="auto"/>
              <w:right w:val="single" w:sz="4" w:space="0" w:color="auto"/>
            </w:tcBorders>
            <w:noWrap/>
            <w:vAlign w:val="center"/>
            <w:hideMark/>
          </w:tcPr>
          <w:p w14:paraId="2F53CFBA" w14:textId="77777777" w:rsidR="0026616B" w:rsidRPr="00C54696" w:rsidRDefault="0026616B" w:rsidP="00291FAE">
            <w:pPr>
              <w:spacing w:line="240" w:lineRule="atLeast"/>
              <w:ind w:left="284"/>
              <w:jc w:val="center"/>
              <w:rPr>
                <w:rFonts w:ascii="Cambria" w:hAnsi="Cambria" w:cs="Arial"/>
                <w:b/>
                <w:bCs/>
                <w:sz w:val="22"/>
                <w:szCs w:val="22"/>
                <w:lang w:val="en-IN"/>
              </w:rPr>
            </w:pPr>
            <w:r w:rsidRPr="00C54696">
              <w:rPr>
                <w:rFonts w:ascii="Cambria" w:hAnsi="Cambria" w:cs="Arial"/>
                <w:b/>
                <w:bCs/>
                <w:sz w:val="22"/>
                <w:szCs w:val="22"/>
              </w:rPr>
              <w:t>FY</w:t>
            </w:r>
          </w:p>
        </w:tc>
        <w:tc>
          <w:tcPr>
            <w:tcW w:w="2975" w:type="dxa"/>
            <w:tcBorders>
              <w:top w:val="single" w:sz="4" w:space="0" w:color="auto"/>
              <w:left w:val="nil"/>
              <w:bottom w:val="single" w:sz="4" w:space="0" w:color="auto"/>
              <w:right w:val="single" w:sz="4" w:space="0" w:color="auto"/>
            </w:tcBorders>
            <w:noWrap/>
            <w:vAlign w:val="center"/>
            <w:hideMark/>
          </w:tcPr>
          <w:p w14:paraId="3D54F062" w14:textId="77777777" w:rsidR="0026616B" w:rsidRPr="00C54696" w:rsidRDefault="0026616B" w:rsidP="00291FAE">
            <w:pPr>
              <w:spacing w:line="240" w:lineRule="atLeast"/>
              <w:ind w:left="284"/>
              <w:jc w:val="center"/>
              <w:rPr>
                <w:rFonts w:ascii="Cambria" w:hAnsi="Cambria" w:cs="Arial"/>
                <w:b/>
                <w:bCs/>
                <w:sz w:val="22"/>
                <w:szCs w:val="22"/>
              </w:rPr>
            </w:pPr>
            <w:r w:rsidRPr="00C54696">
              <w:rPr>
                <w:rFonts w:ascii="Cambria" w:hAnsi="Cambria" w:cs="Arial"/>
                <w:b/>
                <w:bCs/>
                <w:sz w:val="22"/>
                <w:szCs w:val="22"/>
              </w:rPr>
              <w:t>Division</w:t>
            </w:r>
          </w:p>
        </w:tc>
        <w:tc>
          <w:tcPr>
            <w:tcW w:w="2268" w:type="dxa"/>
            <w:tcBorders>
              <w:top w:val="single" w:sz="4" w:space="0" w:color="auto"/>
              <w:left w:val="nil"/>
              <w:bottom w:val="single" w:sz="4" w:space="0" w:color="auto"/>
              <w:right w:val="single" w:sz="4" w:space="0" w:color="auto"/>
            </w:tcBorders>
            <w:vAlign w:val="center"/>
            <w:hideMark/>
          </w:tcPr>
          <w:p w14:paraId="7E96A2F5" w14:textId="77777777" w:rsidR="0026616B" w:rsidRPr="00C54696" w:rsidRDefault="0026616B" w:rsidP="00291FAE">
            <w:pPr>
              <w:spacing w:line="240" w:lineRule="atLeast"/>
              <w:ind w:left="284"/>
              <w:jc w:val="center"/>
              <w:rPr>
                <w:rFonts w:ascii="Cambria" w:hAnsi="Cambria" w:cs="Arial"/>
                <w:b/>
                <w:bCs/>
                <w:sz w:val="22"/>
                <w:szCs w:val="22"/>
              </w:rPr>
            </w:pPr>
            <w:r w:rsidRPr="00C54696">
              <w:rPr>
                <w:rFonts w:ascii="Cambria" w:hAnsi="Cambria" w:cs="Arial"/>
                <w:b/>
                <w:bCs/>
                <w:sz w:val="22"/>
                <w:szCs w:val="22"/>
              </w:rPr>
              <w:t xml:space="preserve">11kv polymer </w:t>
            </w:r>
            <w:bookmarkStart w:id="139" w:name="_Hlk213087723"/>
            <w:r w:rsidRPr="00C54696">
              <w:rPr>
                <w:rFonts w:ascii="Cambria" w:hAnsi="Cambria" w:cs="Arial"/>
                <w:b/>
                <w:bCs/>
                <w:sz w:val="22"/>
                <w:szCs w:val="22"/>
              </w:rPr>
              <w:t>insulator</w:t>
            </w:r>
            <w:bookmarkEnd w:id="139"/>
            <w:r w:rsidRPr="00C54696">
              <w:rPr>
                <w:rFonts w:ascii="Cambria" w:hAnsi="Cambria" w:cs="Arial"/>
                <w:b/>
                <w:bCs/>
                <w:sz w:val="22"/>
                <w:szCs w:val="22"/>
              </w:rPr>
              <w:t xml:space="preserve"> Qty</w:t>
            </w:r>
          </w:p>
        </w:tc>
      </w:tr>
      <w:tr w:rsidR="0026616B" w:rsidRPr="00B217E5" w14:paraId="17EB40FC" w14:textId="77777777" w:rsidTr="001F21DF">
        <w:trPr>
          <w:trHeight w:val="290"/>
          <w:jc w:val="center"/>
        </w:trPr>
        <w:tc>
          <w:tcPr>
            <w:tcW w:w="1840" w:type="dxa"/>
            <w:vMerge w:val="restart"/>
            <w:tcBorders>
              <w:top w:val="nil"/>
              <w:left w:val="single" w:sz="4" w:space="0" w:color="auto"/>
              <w:bottom w:val="single" w:sz="4" w:space="0" w:color="auto"/>
              <w:right w:val="single" w:sz="4" w:space="0" w:color="auto"/>
            </w:tcBorders>
            <w:noWrap/>
            <w:vAlign w:val="center"/>
            <w:hideMark/>
          </w:tcPr>
          <w:p w14:paraId="56DF7C8C" w14:textId="77777777" w:rsidR="0026616B" w:rsidRPr="00B217E5" w:rsidRDefault="0026616B" w:rsidP="00291FAE">
            <w:pPr>
              <w:spacing w:line="240" w:lineRule="atLeast"/>
              <w:ind w:left="284"/>
              <w:jc w:val="center"/>
              <w:rPr>
                <w:rFonts w:ascii="Cambria" w:hAnsi="Cambria" w:cs="Arial"/>
                <w:sz w:val="22"/>
                <w:szCs w:val="22"/>
              </w:rPr>
            </w:pPr>
            <w:r w:rsidRPr="00B217E5">
              <w:rPr>
                <w:rFonts w:ascii="Cambria" w:hAnsi="Cambria" w:cs="Arial"/>
                <w:sz w:val="22"/>
                <w:szCs w:val="22"/>
              </w:rPr>
              <w:t>FY-22-23</w:t>
            </w:r>
          </w:p>
        </w:tc>
        <w:tc>
          <w:tcPr>
            <w:tcW w:w="2975" w:type="dxa"/>
            <w:tcBorders>
              <w:top w:val="nil"/>
              <w:left w:val="nil"/>
              <w:bottom w:val="single" w:sz="4" w:space="0" w:color="auto"/>
              <w:right w:val="single" w:sz="4" w:space="0" w:color="auto"/>
            </w:tcBorders>
            <w:noWrap/>
            <w:vAlign w:val="center"/>
            <w:hideMark/>
          </w:tcPr>
          <w:p w14:paraId="56B9E5CB"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BED-BARGARH</w:t>
            </w:r>
          </w:p>
        </w:tc>
        <w:tc>
          <w:tcPr>
            <w:tcW w:w="2268" w:type="dxa"/>
            <w:tcBorders>
              <w:top w:val="nil"/>
              <w:left w:val="nil"/>
              <w:bottom w:val="single" w:sz="4" w:space="0" w:color="auto"/>
              <w:right w:val="single" w:sz="4" w:space="0" w:color="auto"/>
            </w:tcBorders>
            <w:noWrap/>
            <w:vAlign w:val="center"/>
            <w:hideMark/>
          </w:tcPr>
          <w:p w14:paraId="34B17BE8"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1069</w:t>
            </w:r>
          </w:p>
        </w:tc>
      </w:tr>
      <w:tr w:rsidR="0026616B" w:rsidRPr="00B217E5" w14:paraId="3D0D743B"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3728C4E3"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3215FAED"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BED-BOLANGIR</w:t>
            </w:r>
          </w:p>
        </w:tc>
        <w:tc>
          <w:tcPr>
            <w:tcW w:w="2268" w:type="dxa"/>
            <w:tcBorders>
              <w:top w:val="nil"/>
              <w:left w:val="nil"/>
              <w:bottom w:val="single" w:sz="4" w:space="0" w:color="auto"/>
              <w:right w:val="single" w:sz="4" w:space="0" w:color="auto"/>
            </w:tcBorders>
            <w:noWrap/>
            <w:vAlign w:val="center"/>
            <w:hideMark/>
          </w:tcPr>
          <w:p w14:paraId="1048345C"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90</w:t>
            </w:r>
          </w:p>
        </w:tc>
      </w:tr>
      <w:tr w:rsidR="0026616B" w:rsidRPr="00B217E5" w14:paraId="281601AD"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4830C7DC"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12702741"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BED-BRAJRAJNAGAR</w:t>
            </w:r>
          </w:p>
        </w:tc>
        <w:tc>
          <w:tcPr>
            <w:tcW w:w="2268" w:type="dxa"/>
            <w:tcBorders>
              <w:top w:val="nil"/>
              <w:left w:val="nil"/>
              <w:bottom w:val="single" w:sz="4" w:space="0" w:color="auto"/>
              <w:right w:val="single" w:sz="4" w:space="0" w:color="auto"/>
            </w:tcBorders>
            <w:noWrap/>
            <w:vAlign w:val="center"/>
            <w:hideMark/>
          </w:tcPr>
          <w:p w14:paraId="739EA467"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321</w:t>
            </w:r>
          </w:p>
        </w:tc>
      </w:tr>
      <w:tr w:rsidR="0026616B" w:rsidRPr="00B217E5" w14:paraId="3818AD1E"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6F4AFFDE"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2B46E66E"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BWED-BARGARH</w:t>
            </w:r>
          </w:p>
        </w:tc>
        <w:tc>
          <w:tcPr>
            <w:tcW w:w="2268" w:type="dxa"/>
            <w:tcBorders>
              <w:top w:val="nil"/>
              <w:left w:val="nil"/>
              <w:bottom w:val="single" w:sz="4" w:space="0" w:color="auto"/>
              <w:right w:val="single" w:sz="4" w:space="0" w:color="auto"/>
            </w:tcBorders>
            <w:noWrap/>
            <w:vAlign w:val="center"/>
            <w:hideMark/>
          </w:tcPr>
          <w:p w14:paraId="5A02CA53"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341</w:t>
            </w:r>
          </w:p>
        </w:tc>
      </w:tr>
      <w:tr w:rsidR="0026616B" w:rsidRPr="00B217E5" w14:paraId="0BD8899A"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25B61F02"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56D051AA"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DED-</w:t>
            </w:r>
            <w:proofErr w:type="spellStart"/>
            <w:r w:rsidRPr="00B217E5">
              <w:rPr>
                <w:rFonts w:ascii="Cambria" w:hAnsi="Cambria" w:cs="Calibri"/>
                <w:color w:val="000000"/>
                <w:sz w:val="22"/>
                <w:szCs w:val="22"/>
              </w:rPr>
              <w:t>Deogarh</w:t>
            </w:r>
            <w:proofErr w:type="spellEnd"/>
          </w:p>
        </w:tc>
        <w:tc>
          <w:tcPr>
            <w:tcW w:w="2268" w:type="dxa"/>
            <w:tcBorders>
              <w:top w:val="nil"/>
              <w:left w:val="nil"/>
              <w:bottom w:val="single" w:sz="4" w:space="0" w:color="auto"/>
              <w:right w:val="single" w:sz="4" w:space="0" w:color="auto"/>
            </w:tcBorders>
            <w:noWrap/>
            <w:vAlign w:val="center"/>
            <w:hideMark/>
          </w:tcPr>
          <w:p w14:paraId="10D9BA9B"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368</w:t>
            </w:r>
          </w:p>
        </w:tc>
      </w:tr>
      <w:tr w:rsidR="0026616B" w:rsidRPr="00B217E5" w14:paraId="016CB623"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0D23A2C1"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2B27765E"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JED-Jharsuguda</w:t>
            </w:r>
          </w:p>
        </w:tc>
        <w:tc>
          <w:tcPr>
            <w:tcW w:w="2268" w:type="dxa"/>
            <w:tcBorders>
              <w:top w:val="nil"/>
              <w:left w:val="nil"/>
              <w:bottom w:val="single" w:sz="4" w:space="0" w:color="auto"/>
              <w:right w:val="single" w:sz="4" w:space="0" w:color="auto"/>
            </w:tcBorders>
            <w:noWrap/>
            <w:vAlign w:val="center"/>
            <w:hideMark/>
          </w:tcPr>
          <w:p w14:paraId="23F4CD17"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666</w:t>
            </w:r>
          </w:p>
        </w:tc>
      </w:tr>
      <w:tr w:rsidR="0026616B" w:rsidRPr="00B217E5" w14:paraId="4A271D90"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42941AD5"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46D6271C"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KEED-KALAHANDI</w:t>
            </w:r>
          </w:p>
        </w:tc>
        <w:tc>
          <w:tcPr>
            <w:tcW w:w="2268" w:type="dxa"/>
            <w:tcBorders>
              <w:top w:val="nil"/>
              <w:left w:val="nil"/>
              <w:bottom w:val="single" w:sz="4" w:space="0" w:color="auto"/>
              <w:right w:val="single" w:sz="4" w:space="0" w:color="auto"/>
            </w:tcBorders>
            <w:noWrap/>
            <w:vAlign w:val="center"/>
            <w:hideMark/>
          </w:tcPr>
          <w:p w14:paraId="20A73849"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1122</w:t>
            </w:r>
          </w:p>
        </w:tc>
      </w:tr>
      <w:tr w:rsidR="0026616B" w:rsidRPr="00B217E5" w14:paraId="5A648831"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59A5FD5F"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4FF5FA1B"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KWED-KALAHANDI</w:t>
            </w:r>
          </w:p>
        </w:tc>
        <w:tc>
          <w:tcPr>
            <w:tcW w:w="2268" w:type="dxa"/>
            <w:tcBorders>
              <w:top w:val="nil"/>
              <w:left w:val="nil"/>
              <w:bottom w:val="single" w:sz="4" w:space="0" w:color="auto"/>
              <w:right w:val="single" w:sz="4" w:space="0" w:color="auto"/>
            </w:tcBorders>
            <w:noWrap/>
            <w:vAlign w:val="center"/>
            <w:hideMark/>
          </w:tcPr>
          <w:p w14:paraId="2A88BA6C"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1448</w:t>
            </w:r>
          </w:p>
        </w:tc>
      </w:tr>
      <w:tr w:rsidR="0026616B" w:rsidRPr="00B217E5" w14:paraId="14678D3A"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5DC99A2A"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1A2C1959"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NED-NUAPADA</w:t>
            </w:r>
          </w:p>
        </w:tc>
        <w:tc>
          <w:tcPr>
            <w:tcW w:w="2268" w:type="dxa"/>
            <w:tcBorders>
              <w:top w:val="nil"/>
              <w:left w:val="nil"/>
              <w:bottom w:val="single" w:sz="4" w:space="0" w:color="auto"/>
              <w:right w:val="single" w:sz="4" w:space="0" w:color="auto"/>
            </w:tcBorders>
            <w:noWrap/>
            <w:vAlign w:val="center"/>
            <w:hideMark/>
          </w:tcPr>
          <w:p w14:paraId="28D527E0"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430</w:t>
            </w:r>
          </w:p>
        </w:tc>
      </w:tr>
      <w:tr w:rsidR="0026616B" w:rsidRPr="00B217E5" w14:paraId="65511E52"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63A19D2B"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4A17762D"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RED-RAJGANGPUR</w:t>
            </w:r>
          </w:p>
        </w:tc>
        <w:tc>
          <w:tcPr>
            <w:tcW w:w="2268" w:type="dxa"/>
            <w:tcBorders>
              <w:top w:val="nil"/>
              <w:left w:val="nil"/>
              <w:bottom w:val="single" w:sz="4" w:space="0" w:color="auto"/>
              <w:right w:val="single" w:sz="4" w:space="0" w:color="auto"/>
            </w:tcBorders>
            <w:noWrap/>
            <w:vAlign w:val="center"/>
            <w:hideMark/>
          </w:tcPr>
          <w:p w14:paraId="011D8A59"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1344</w:t>
            </w:r>
          </w:p>
        </w:tc>
      </w:tr>
      <w:tr w:rsidR="0026616B" w:rsidRPr="00B217E5" w14:paraId="089CF64B"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74050D26"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00D65C8D"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RED-ROURKELA</w:t>
            </w:r>
          </w:p>
        </w:tc>
        <w:tc>
          <w:tcPr>
            <w:tcW w:w="2268" w:type="dxa"/>
            <w:tcBorders>
              <w:top w:val="nil"/>
              <w:left w:val="nil"/>
              <w:bottom w:val="single" w:sz="4" w:space="0" w:color="auto"/>
              <w:right w:val="single" w:sz="4" w:space="0" w:color="auto"/>
            </w:tcBorders>
            <w:noWrap/>
            <w:vAlign w:val="center"/>
            <w:hideMark/>
          </w:tcPr>
          <w:p w14:paraId="3AA93682"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1093</w:t>
            </w:r>
          </w:p>
        </w:tc>
      </w:tr>
      <w:tr w:rsidR="0026616B" w:rsidRPr="00B217E5" w14:paraId="6682B277"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08A14AC1"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2EBD87BC"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RSED-ROURKELA SADAR</w:t>
            </w:r>
          </w:p>
        </w:tc>
        <w:tc>
          <w:tcPr>
            <w:tcW w:w="2268" w:type="dxa"/>
            <w:tcBorders>
              <w:top w:val="nil"/>
              <w:left w:val="nil"/>
              <w:bottom w:val="single" w:sz="4" w:space="0" w:color="auto"/>
              <w:right w:val="single" w:sz="4" w:space="0" w:color="auto"/>
            </w:tcBorders>
            <w:noWrap/>
            <w:vAlign w:val="center"/>
            <w:hideMark/>
          </w:tcPr>
          <w:p w14:paraId="380D04EC"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1159</w:t>
            </w:r>
          </w:p>
        </w:tc>
      </w:tr>
      <w:tr w:rsidR="0026616B" w:rsidRPr="00B217E5" w14:paraId="49B7ECA8"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3F056C2D"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4E13D83B"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SED-Sambalpur</w:t>
            </w:r>
          </w:p>
        </w:tc>
        <w:tc>
          <w:tcPr>
            <w:tcW w:w="2268" w:type="dxa"/>
            <w:tcBorders>
              <w:top w:val="nil"/>
              <w:left w:val="nil"/>
              <w:bottom w:val="single" w:sz="4" w:space="0" w:color="auto"/>
              <w:right w:val="single" w:sz="4" w:space="0" w:color="auto"/>
            </w:tcBorders>
            <w:noWrap/>
            <w:vAlign w:val="center"/>
            <w:hideMark/>
          </w:tcPr>
          <w:p w14:paraId="6A5B4020"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648</w:t>
            </w:r>
          </w:p>
        </w:tc>
      </w:tr>
      <w:tr w:rsidR="0026616B" w:rsidRPr="00B217E5" w14:paraId="5B7A4946"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2FFECB7D"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5CD147CF"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SED-SONEPUR</w:t>
            </w:r>
          </w:p>
        </w:tc>
        <w:tc>
          <w:tcPr>
            <w:tcW w:w="2268" w:type="dxa"/>
            <w:tcBorders>
              <w:top w:val="nil"/>
              <w:left w:val="nil"/>
              <w:bottom w:val="single" w:sz="4" w:space="0" w:color="auto"/>
              <w:right w:val="single" w:sz="4" w:space="0" w:color="auto"/>
            </w:tcBorders>
            <w:noWrap/>
            <w:vAlign w:val="center"/>
            <w:hideMark/>
          </w:tcPr>
          <w:p w14:paraId="63BCC263"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35</w:t>
            </w:r>
          </w:p>
        </w:tc>
      </w:tr>
      <w:tr w:rsidR="0026616B" w:rsidRPr="00B217E5" w14:paraId="468688CD"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7D59DF30"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7BD42FB1"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SED-SUNDERGARH</w:t>
            </w:r>
          </w:p>
        </w:tc>
        <w:tc>
          <w:tcPr>
            <w:tcW w:w="2268" w:type="dxa"/>
            <w:tcBorders>
              <w:top w:val="nil"/>
              <w:left w:val="nil"/>
              <w:bottom w:val="single" w:sz="4" w:space="0" w:color="auto"/>
              <w:right w:val="single" w:sz="4" w:space="0" w:color="auto"/>
            </w:tcBorders>
            <w:noWrap/>
            <w:vAlign w:val="center"/>
            <w:hideMark/>
          </w:tcPr>
          <w:p w14:paraId="163691DD"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1172</w:t>
            </w:r>
          </w:p>
        </w:tc>
      </w:tr>
      <w:tr w:rsidR="0026616B" w:rsidRPr="00B217E5" w14:paraId="4B32FC58"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323AFF2F"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1C5C7855"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SEED-SAMBALPUR(E)</w:t>
            </w:r>
          </w:p>
        </w:tc>
        <w:tc>
          <w:tcPr>
            <w:tcW w:w="2268" w:type="dxa"/>
            <w:tcBorders>
              <w:top w:val="nil"/>
              <w:left w:val="nil"/>
              <w:bottom w:val="single" w:sz="4" w:space="0" w:color="auto"/>
              <w:right w:val="single" w:sz="4" w:space="0" w:color="auto"/>
            </w:tcBorders>
            <w:noWrap/>
            <w:vAlign w:val="center"/>
            <w:hideMark/>
          </w:tcPr>
          <w:p w14:paraId="22810895"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649</w:t>
            </w:r>
          </w:p>
        </w:tc>
      </w:tr>
      <w:tr w:rsidR="0026616B" w:rsidRPr="00B217E5" w14:paraId="33032DD8"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7E0788FE"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021F6DFD"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TED-TITILAGARH</w:t>
            </w:r>
          </w:p>
        </w:tc>
        <w:tc>
          <w:tcPr>
            <w:tcW w:w="2268" w:type="dxa"/>
            <w:tcBorders>
              <w:top w:val="nil"/>
              <w:left w:val="nil"/>
              <w:bottom w:val="single" w:sz="4" w:space="0" w:color="auto"/>
              <w:right w:val="single" w:sz="4" w:space="0" w:color="auto"/>
            </w:tcBorders>
            <w:noWrap/>
            <w:vAlign w:val="center"/>
            <w:hideMark/>
          </w:tcPr>
          <w:p w14:paraId="0ACB442D"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72</w:t>
            </w:r>
          </w:p>
        </w:tc>
      </w:tr>
      <w:tr w:rsidR="0026616B" w:rsidRPr="00B217E5" w14:paraId="6D1B8AE6" w14:textId="77777777" w:rsidTr="001F21DF">
        <w:trPr>
          <w:trHeight w:val="290"/>
          <w:jc w:val="center"/>
        </w:trPr>
        <w:tc>
          <w:tcPr>
            <w:tcW w:w="1840" w:type="dxa"/>
            <w:vMerge w:val="restart"/>
            <w:tcBorders>
              <w:top w:val="nil"/>
              <w:left w:val="single" w:sz="4" w:space="0" w:color="auto"/>
              <w:bottom w:val="single" w:sz="4" w:space="0" w:color="auto"/>
              <w:right w:val="single" w:sz="4" w:space="0" w:color="auto"/>
            </w:tcBorders>
            <w:noWrap/>
            <w:vAlign w:val="center"/>
            <w:hideMark/>
          </w:tcPr>
          <w:p w14:paraId="1C028A7C" w14:textId="77777777" w:rsidR="0026616B" w:rsidRPr="00B217E5" w:rsidRDefault="0026616B" w:rsidP="00291FAE">
            <w:pPr>
              <w:spacing w:line="240" w:lineRule="atLeast"/>
              <w:ind w:left="284"/>
              <w:jc w:val="center"/>
              <w:rPr>
                <w:rFonts w:ascii="Cambria" w:hAnsi="Cambria" w:cs="Arial"/>
                <w:sz w:val="22"/>
                <w:szCs w:val="22"/>
              </w:rPr>
            </w:pPr>
            <w:r w:rsidRPr="00B217E5">
              <w:rPr>
                <w:rFonts w:ascii="Cambria" w:hAnsi="Cambria" w:cs="Arial"/>
                <w:sz w:val="22"/>
                <w:szCs w:val="22"/>
              </w:rPr>
              <w:t>FY-23-24</w:t>
            </w:r>
          </w:p>
        </w:tc>
        <w:tc>
          <w:tcPr>
            <w:tcW w:w="2975" w:type="dxa"/>
            <w:tcBorders>
              <w:top w:val="nil"/>
              <w:left w:val="nil"/>
              <w:bottom w:val="single" w:sz="4" w:space="0" w:color="auto"/>
              <w:right w:val="single" w:sz="4" w:space="0" w:color="auto"/>
            </w:tcBorders>
            <w:noWrap/>
            <w:vAlign w:val="center"/>
            <w:hideMark/>
          </w:tcPr>
          <w:p w14:paraId="2887652B"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BED-BARGARH</w:t>
            </w:r>
          </w:p>
        </w:tc>
        <w:tc>
          <w:tcPr>
            <w:tcW w:w="2268" w:type="dxa"/>
            <w:tcBorders>
              <w:top w:val="nil"/>
              <w:left w:val="nil"/>
              <w:bottom w:val="single" w:sz="4" w:space="0" w:color="auto"/>
              <w:right w:val="single" w:sz="4" w:space="0" w:color="auto"/>
            </w:tcBorders>
            <w:noWrap/>
            <w:vAlign w:val="center"/>
            <w:hideMark/>
          </w:tcPr>
          <w:p w14:paraId="6D40E199"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1858</w:t>
            </w:r>
          </w:p>
        </w:tc>
      </w:tr>
      <w:tr w:rsidR="0026616B" w:rsidRPr="00B217E5" w14:paraId="16D8366F"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54AC99C2"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7C937938"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BED-BOLANGIR</w:t>
            </w:r>
          </w:p>
        </w:tc>
        <w:tc>
          <w:tcPr>
            <w:tcW w:w="2268" w:type="dxa"/>
            <w:tcBorders>
              <w:top w:val="nil"/>
              <w:left w:val="nil"/>
              <w:bottom w:val="single" w:sz="4" w:space="0" w:color="auto"/>
              <w:right w:val="single" w:sz="4" w:space="0" w:color="auto"/>
            </w:tcBorders>
            <w:noWrap/>
            <w:vAlign w:val="center"/>
            <w:hideMark/>
          </w:tcPr>
          <w:p w14:paraId="409E6011"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704</w:t>
            </w:r>
          </w:p>
        </w:tc>
      </w:tr>
      <w:tr w:rsidR="0026616B" w:rsidRPr="00B217E5" w14:paraId="0AE4F716"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7FACF405"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291A70C2"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BED-BRAJRAJNAGAR</w:t>
            </w:r>
          </w:p>
        </w:tc>
        <w:tc>
          <w:tcPr>
            <w:tcW w:w="2268" w:type="dxa"/>
            <w:tcBorders>
              <w:top w:val="nil"/>
              <w:left w:val="nil"/>
              <w:bottom w:val="single" w:sz="4" w:space="0" w:color="auto"/>
              <w:right w:val="single" w:sz="4" w:space="0" w:color="auto"/>
            </w:tcBorders>
            <w:noWrap/>
            <w:vAlign w:val="center"/>
            <w:hideMark/>
          </w:tcPr>
          <w:p w14:paraId="76648F93"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573</w:t>
            </w:r>
          </w:p>
        </w:tc>
      </w:tr>
      <w:tr w:rsidR="0026616B" w:rsidRPr="00B217E5" w14:paraId="1771B9E7"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0CE7C410"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32594EB7"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BWED-BARGARH</w:t>
            </w:r>
          </w:p>
        </w:tc>
        <w:tc>
          <w:tcPr>
            <w:tcW w:w="2268" w:type="dxa"/>
            <w:tcBorders>
              <w:top w:val="nil"/>
              <w:left w:val="nil"/>
              <w:bottom w:val="single" w:sz="4" w:space="0" w:color="auto"/>
              <w:right w:val="single" w:sz="4" w:space="0" w:color="auto"/>
            </w:tcBorders>
            <w:noWrap/>
            <w:vAlign w:val="center"/>
            <w:hideMark/>
          </w:tcPr>
          <w:p w14:paraId="272D7F19"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895</w:t>
            </w:r>
          </w:p>
        </w:tc>
      </w:tr>
      <w:tr w:rsidR="0026616B" w:rsidRPr="00B217E5" w14:paraId="675402DE"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00F581E7"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65852A1F"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DED-</w:t>
            </w:r>
            <w:proofErr w:type="spellStart"/>
            <w:r w:rsidRPr="00B217E5">
              <w:rPr>
                <w:rFonts w:ascii="Cambria" w:hAnsi="Cambria" w:cs="Calibri"/>
                <w:color w:val="000000"/>
                <w:sz w:val="22"/>
                <w:szCs w:val="22"/>
              </w:rPr>
              <w:t>Deogarh</w:t>
            </w:r>
            <w:proofErr w:type="spellEnd"/>
          </w:p>
        </w:tc>
        <w:tc>
          <w:tcPr>
            <w:tcW w:w="2268" w:type="dxa"/>
            <w:tcBorders>
              <w:top w:val="nil"/>
              <w:left w:val="nil"/>
              <w:bottom w:val="single" w:sz="4" w:space="0" w:color="auto"/>
              <w:right w:val="single" w:sz="4" w:space="0" w:color="auto"/>
            </w:tcBorders>
            <w:noWrap/>
            <w:vAlign w:val="center"/>
            <w:hideMark/>
          </w:tcPr>
          <w:p w14:paraId="40ADD1BC"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685</w:t>
            </w:r>
          </w:p>
        </w:tc>
      </w:tr>
      <w:tr w:rsidR="0026616B" w:rsidRPr="00B217E5" w14:paraId="70818EE9"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1CFEFC3B"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7D1F2764"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JED-Jharsuguda</w:t>
            </w:r>
          </w:p>
        </w:tc>
        <w:tc>
          <w:tcPr>
            <w:tcW w:w="2268" w:type="dxa"/>
            <w:tcBorders>
              <w:top w:val="nil"/>
              <w:left w:val="nil"/>
              <w:bottom w:val="single" w:sz="4" w:space="0" w:color="auto"/>
              <w:right w:val="single" w:sz="4" w:space="0" w:color="auto"/>
            </w:tcBorders>
            <w:noWrap/>
            <w:vAlign w:val="center"/>
            <w:hideMark/>
          </w:tcPr>
          <w:p w14:paraId="2F371DDE"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1474</w:t>
            </w:r>
          </w:p>
        </w:tc>
      </w:tr>
      <w:tr w:rsidR="0026616B" w:rsidRPr="00B217E5" w14:paraId="692A3980"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35546280"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0153AB09"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KEED-KALAHANDI</w:t>
            </w:r>
          </w:p>
        </w:tc>
        <w:tc>
          <w:tcPr>
            <w:tcW w:w="2268" w:type="dxa"/>
            <w:tcBorders>
              <w:top w:val="nil"/>
              <w:left w:val="nil"/>
              <w:bottom w:val="single" w:sz="4" w:space="0" w:color="auto"/>
              <w:right w:val="single" w:sz="4" w:space="0" w:color="auto"/>
            </w:tcBorders>
            <w:noWrap/>
            <w:vAlign w:val="center"/>
            <w:hideMark/>
          </w:tcPr>
          <w:p w14:paraId="01D52648"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1160</w:t>
            </w:r>
          </w:p>
        </w:tc>
      </w:tr>
      <w:tr w:rsidR="0026616B" w:rsidRPr="00B217E5" w14:paraId="6472F45E"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13ECC253"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7CE794B5"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KWED-KALAHANDI</w:t>
            </w:r>
          </w:p>
        </w:tc>
        <w:tc>
          <w:tcPr>
            <w:tcW w:w="2268" w:type="dxa"/>
            <w:tcBorders>
              <w:top w:val="nil"/>
              <w:left w:val="nil"/>
              <w:bottom w:val="single" w:sz="4" w:space="0" w:color="auto"/>
              <w:right w:val="single" w:sz="4" w:space="0" w:color="auto"/>
            </w:tcBorders>
            <w:noWrap/>
            <w:vAlign w:val="center"/>
            <w:hideMark/>
          </w:tcPr>
          <w:p w14:paraId="5B40EA8C"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1284</w:t>
            </w:r>
          </w:p>
        </w:tc>
      </w:tr>
      <w:tr w:rsidR="0026616B" w:rsidRPr="00B217E5" w14:paraId="0F24C1F6"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2915AF7D"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3FFA131F"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NED-NUAPADA</w:t>
            </w:r>
          </w:p>
        </w:tc>
        <w:tc>
          <w:tcPr>
            <w:tcW w:w="2268" w:type="dxa"/>
            <w:tcBorders>
              <w:top w:val="nil"/>
              <w:left w:val="nil"/>
              <w:bottom w:val="single" w:sz="4" w:space="0" w:color="auto"/>
              <w:right w:val="single" w:sz="4" w:space="0" w:color="auto"/>
            </w:tcBorders>
            <w:noWrap/>
            <w:vAlign w:val="center"/>
            <w:hideMark/>
          </w:tcPr>
          <w:p w14:paraId="77BC5563"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1970</w:t>
            </w:r>
          </w:p>
        </w:tc>
      </w:tr>
      <w:tr w:rsidR="0026616B" w:rsidRPr="00B217E5" w14:paraId="03A59B25"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1031ABC0"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5C968CC3"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RED-RAJGANGPUR</w:t>
            </w:r>
          </w:p>
        </w:tc>
        <w:tc>
          <w:tcPr>
            <w:tcW w:w="2268" w:type="dxa"/>
            <w:tcBorders>
              <w:top w:val="nil"/>
              <w:left w:val="nil"/>
              <w:bottom w:val="single" w:sz="4" w:space="0" w:color="auto"/>
              <w:right w:val="single" w:sz="4" w:space="0" w:color="auto"/>
            </w:tcBorders>
            <w:noWrap/>
            <w:vAlign w:val="center"/>
            <w:hideMark/>
          </w:tcPr>
          <w:p w14:paraId="16A2EE88"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3518</w:t>
            </w:r>
          </w:p>
        </w:tc>
      </w:tr>
      <w:tr w:rsidR="0026616B" w:rsidRPr="00B217E5" w14:paraId="50F24548"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033D95B7"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6CA53497"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RED-ROURKELA</w:t>
            </w:r>
          </w:p>
        </w:tc>
        <w:tc>
          <w:tcPr>
            <w:tcW w:w="2268" w:type="dxa"/>
            <w:tcBorders>
              <w:top w:val="nil"/>
              <w:left w:val="nil"/>
              <w:bottom w:val="single" w:sz="4" w:space="0" w:color="auto"/>
              <w:right w:val="single" w:sz="4" w:space="0" w:color="auto"/>
            </w:tcBorders>
            <w:noWrap/>
            <w:vAlign w:val="center"/>
            <w:hideMark/>
          </w:tcPr>
          <w:p w14:paraId="18DF7E05"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2343</w:t>
            </w:r>
          </w:p>
        </w:tc>
      </w:tr>
      <w:tr w:rsidR="0026616B" w:rsidRPr="00B217E5" w14:paraId="268BBCD7"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7958AF39"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5A471644"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RSED-ROURKELA SADAR</w:t>
            </w:r>
          </w:p>
        </w:tc>
        <w:tc>
          <w:tcPr>
            <w:tcW w:w="2268" w:type="dxa"/>
            <w:tcBorders>
              <w:top w:val="nil"/>
              <w:left w:val="nil"/>
              <w:bottom w:val="single" w:sz="4" w:space="0" w:color="auto"/>
              <w:right w:val="single" w:sz="4" w:space="0" w:color="auto"/>
            </w:tcBorders>
            <w:noWrap/>
            <w:vAlign w:val="center"/>
            <w:hideMark/>
          </w:tcPr>
          <w:p w14:paraId="742E1294"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1549</w:t>
            </w:r>
          </w:p>
        </w:tc>
      </w:tr>
      <w:tr w:rsidR="0026616B" w:rsidRPr="00B217E5" w14:paraId="3940F727"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59D84E5C"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5A42F97C"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SED-Sambalpur</w:t>
            </w:r>
          </w:p>
        </w:tc>
        <w:tc>
          <w:tcPr>
            <w:tcW w:w="2268" w:type="dxa"/>
            <w:tcBorders>
              <w:top w:val="nil"/>
              <w:left w:val="nil"/>
              <w:bottom w:val="single" w:sz="4" w:space="0" w:color="auto"/>
              <w:right w:val="single" w:sz="4" w:space="0" w:color="auto"/>
            </w:tcBorders>
            <w:noWrap/>
            <w:vAlign w:val="center"/>
            <w:hideMark/>
          </w:tcPr>
          <w:p w14:paraId="5669F09F"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460</w:t>
            </w:r>
          </w:p>
        </w:tc>
      </w:tr>
      <w:tr w:rsidR="0026616B" w:rsidRPr="00B217E5" w14:paraId="3BF11041"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0C566285"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690E4980"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SED-SONEPUR</w:t>
            </w:r>
          </w:p>
        </w:tc>
        <w:tc>
          <w:tcPr>
            <w:tcW w:w="2268" w:type="dxa"/>
            <w:tcBorders>
              <w:top w:val="nil"/>
              <w:left w:val="nil"/>
              <w:bottom w:val="single" w:sz="4" w:space="0" w:color="auto"/>
              <w:right w:val="single" w:sz="4" w:space="0" w:color="auto"/>
            </w:tcBorders>
            <w:noWrap/>
            <w:vAlign w:val="center"/>
            <w:hideMark/>
          </w:tcPr>
          <w:p w14:paraId="6426B4C0"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719</w:t>
            </w:r>
          </w:p>
        </w:tc>
      </w:tr>
      <w:tr w:rsidR="0026616B" w:rsidRPr="00B217E5" w14:paraId="4F182B56"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2A0953AC"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42DBC0F4"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SED-SUNDERGARH</w:t>
            </w:r>
          </w:p>
        </w:tc>
        <w:tc>
          <w:tcPr>
            <w:tcW w:w="2268" w:type="dxa"/>
            <w:tcBorders>
              <w:top w:val="nil"/>
              <w:left w:val="nil"/>
              <w:bottom w:val="single" w:sz="4" w:space="0" w:color="auto"/>
              <w:right w:val="single" w:sz="4" w:space="0" w:color="auto"/>
            </w:tcBorders>
            <w:noWrap/>
            <w:vAlign w:val="center"/>
            <w:hideMark/>
          </w:tcPr>
          <w:p w14:paraId="038637D2"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2503</w:t>
            </w:r>
          </w:p>
        </w:tc>
      </w:tr>
      <w:tr w:rsidR="0026616B" w:rsidRPr="00B217E5" w14:paraId="197DE1F7"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6D4356FC"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4B6CEC18"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SEED-SAMBALPUR(E)</w:t>
            </w:r>
          </w:p>
        </w:tc>
        <w:tc>
          <w:tcPr>
            <w:tcW w:w="2268" w:type="dxa"/>
            <w:tcBorders>
              <w:top w:val="nil"/>
              <w:left w:val="nil"/>
              <w:bottom w:val="single" w:sz="4" w:space="0" w:color="auto"/>
              <w:right w:val="single" w:sz="4" w:space="0" w:color="auto"/>
            </w:tcBorders>
            <w:noWrap/>
            <w:vAlign w:val="center"/>
            <w:hideMark/>
          </w:tcPr>
          <w:p w14:paraId="2CAA39F3"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809</w:t>
            </w:r>
          </w:p>
        </w:tc>
      </w:tr>
      <w:tr w:rsidR="0026616B" w:rsidRPr="00B217E5" w14:paraId="2203CD2C"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0D528D89"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330C7B37"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TED-TITILAGARH</w:t>
            </w:r>
          </w:p>
        </w:tc>
        <w:tc>
          <w:tcPr>
            <w:tcW w:w="2268" w:type="dxa"/>
            <w:tcBorders>
              <w:top w:val="nil"/>
              <w:left w:val="nil"/>
              <w:bottom w:val="single" w:sz="4" w:space="0" w:color="auto"/>
              <w:right w:val="single" w:sz="4" w:space="0" w:color="auto"/>
            </w:tcBorders>
            <w:noWrap/>
            <w:vAlign w:val="center"/>
            <w:hideMark/>
          </w:tcPr>
          <w:p w14:paraId="00DFBA89"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1439</w:t>
            </w:r>
          </w:p>
        </w:tc>
      </w:tr>
      <w:tr w:rsidR="0026616B" w:rsidRPr="00B217E5" w14:paraId="34FADF05" w14:textId="77777777" w:rsidTr="001F21DF">
        <w:trPr>
          <w:trHeight w:val="290"/>
          <w:jc w:val="center"/>
        </w:trPr>
        <w:tc>
          <w:tcPr>
            <w:tcW w:w="1840" w:type="dxa"/>
            <w:vMerge w:val="restart"/>
            <w:tcBorders>
              <w:top w:val="nil"/>
              <w:left w:val="single" w:sz="4" w:space="0" w:color="auto"/>
              <w:bottom w:val="single" w:sz="4" w:space="0" w:color="auto"/>
              <w:right w:val="single" w:sz="4" w:space="0" w:color="auto"/>
            </w:tcBorders>
            <w:noWrap/>
            <w:vAlign w:val="center"/>
            <w:hideMark/>
          </w:tcPr>
          <w:p w14:paraId="06E2DBB1" w14:textId="77777777" w:rsidR="0026616B" w:rsidRPr="00B217E5" w:rsidRDefault="0026616B" w:rsidP="00291FAE">
            <w:pPr>
              <w:spacing w:line="240" w:lineRule="atLeast"/>
              <w:ind w:left="284"/>
              <w:jc w:val="center"/>
              <w:rPr>
                <w:rFonts w:ascii="Cambria" w:hAnsi="Cambria" w:cs="Arial"/>
                <w:sz w:val="22"/>
                <w:szCs w:val="22"/>
              </w:rPr>
            </w:pPr>
            <w:r w:rsidRPr="00B217E5">
              <w:rPr>
                <w:rFonts w:ascii="Cambria" w:hAnsi="Cambria" w:cs="Arial"/>
                <w:sz w:val="22"/>
                <w:szCs w:val="22"/>
              </w:rPr>
              <w:t>FY-24-25</w:t>
            </w:r>
          </w:p>
        </w:tc>
        <w:tc>
          <w:tcPr>
            <w:tcW w:w="2975" w:type="dxa"/>
            <w:tcBorders>
              <w:top w:val="nil"/>
              <w:left w:val="nil"/>
              <w:bottom w:val="single" w:sz="4" w:space="0" w:color="auto"/>
              <w:right w:val="single" w:sz="4" w:space="0" w:color="auto"/>
            </w:tcBorders>
            <w:noWrap/>
            <w:vAlign w:val="center"/>
            <w:hideMark/>
          </w:tcPr>
          <w:p w14:paraId="4812D7F3"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BED-BARGARH</w:t>
            </w:r>
          </w:p>
        </w:tc>
        <w:tc>
          <w:tcPr>
            <w:tcW w:w="2268" w:type="dxa"/>
            <w:tcBorders>
              <w:top w:val="nil"/>
              <w:left w:val="nil"/>
              <w:bottom w:val="single" w:sz="4" w:space="0" w:color="auto"/>
              <w:right w:val="single" w:sz="4" w:space="0" w:color="auto"/>
            </w:tcBorders>
            <w:noWrap/>
            <w:vAlign w:val="center"/>
            <w:hideMark/>
          </w:tcPr>
          <w:p w14:paraId="15F361C7"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785</w:t>
            </w:r>
          </w:p>
        </w:tc>
      </w:tr>
      <w:tr w:rsidR="0026616B" w:rsidRPr="00B217E5" w14:paraId="3B67BEA4"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174A807C"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202FDB55"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BED-BOLANGIR</w:t>
            </w:r>
          </w:p>
        </w:tc>
        <w:tc>
          <w:tcPr>
            <w:tcW w:w="2268" w:type="dxa"/>
            <w:tcBorders>
              <w:top w:val="nil"/>
              <w:left w:val="nil"/>
              <w:bottom w:val="single" w:sz="4" w:space="0" w:color="auto"/>
              <w:right w:val="single" w:sz="4" w:space="0" w:color="auto"/>
            </w:tcBorders>
            <w:noWrap/>
            <w:vAlign w:val="center"/>
            <w:hideMark/>
          </w:tcPr>
          <w:p w14:paraId="66FE0DE4"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290</w:t>
            </w:r>
          </w:p>
        </w:tc>
      </w:tr>
      <w:tr w:rsidR="0026616B" w:rsidRPr="00B217E5" w14:paraId="4660E41A"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1609791D"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047817B8"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BWED-BARGARH</w:t>
            </w:r>
          </w:p>
        </w:tc>
        <w:tc>
          <w:tcPr>
            <w:tcW w:w="2268" w:type="dxa"/>
            <w:tcBorders>
              <w:top w:val="nil"/>
              <w:left w:val="nil"/>
              <w:bottom w:val="single" w:sz="4" w:space="0" w:color="auto"/>
              <w:right w:val="single" w:sz="4" w:space="0" w:color="auto"/>
            </w:tcBorders>
            <w:noWrap/>
            <w:vAlign w:val="center"/>
            <w:hideMark/>
          </w:tcPr>
          <w:p w14:paraId="0E329A94"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1084</w:t>
            </w:r>
          </w:p>
        </w:tc>
      </w:tr>
      <w:tr w:rsidR="0026616B" w:rsidRPr="00B217E5" w14:paraId="347C0057"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0E1B861A"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50F43FF4"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DED-</w:t>
            </w:r>
            <w:proofErr w:type="spellStart"/>
            <w:r w:rsidRPr="00B217E5">
              <w:rPr>
                <w:rFonts w:ascii="Cambria" w:hAnsi="Cambria" w:cs="Calibri"/>
                <w:color w:val="000000"/>
                <w:sz w:val="22"/>
                <w:szCs w:val="22"/>
              </w:rPr>
              <w:t>Deogarh</w:t>
            </w:r>
            <w:proofErr w:type="spellEnd"/>
          </w:p>
        </w:tc>
        <w:tc>
          <w:tcPr>
            <w:tcW w:w="2268" w:type="dxa"/>
            <w:tcBorders>
              <w:top w:val="nil"/>
              <w:left w:val="nil"/>
              <w:bottom w:val="single" w:sz="4" w:space="0" w:color="auto"/>
              <w:right w:val="single" w:sz="4" w:space="0" w:color="auto"/>
            </w:tcBorders>
            <w:noWrap/>
            <w:vAlign w:val="center"/>
            <w:hideMark/>
          </w:tcPr>
          <w:p w14:paraId="4546496F"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400</w:t>
            </w:r>
          </w:p>
        </w:tc>
      </w:tr>
      <w:tr w:rsidR="0026616B" w:rsidRPr="00B217E5" w14:paraId="3F5FE6EE"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1425DB5B"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0B5CEC0E"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JED-Jharsuguda</w:t>
            </w:r>
          </w:p>
        </w:tc>
        <w:tc>
          <w:tcPr>
            <w:tcW w:w="2268" w:type="dxa"/>
            <w:tcBorders>
              <w:top w:val="nil"/>
              <w:left w:val="nil"/>
              <w:bottom w:val="single" w:sz="4" w:space="0" w:color="auto"/>
              <w:right w:val="single" w:sz="4" w:space="0" w:color="auto"/>
            </w:tcBorders>
            <w:noWrap/>
            <w:vAlign w:val="center"/>
            <w:hideMark/>
          </w:tcPr>
          <w:p w14:paraId="06D89F32"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995</w:t>
            </w:r>
          </w:p>
        </w:tc>
      </w:tr>
      <w:tr w:rsidR="0026616B" w:rsidRPr="00B217E5" w14:paraId="029F1011"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5D2B00EA"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55CF03A6"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KEED-KALAHANDI</w:t>
            </w:r>
          </w:p>
        </w:tc>
        <w:tc>
          <w:tcPr>
            <w:tcW w:w="2268" w:type="dxa"/>
            <w:tcBorders>
              <w:top w:val="nil"/>
              <w:left w:val="nil"/>
              <w:bottom w:val="single" w:sz="4" w:space="0" w:color="auto"/>
              <w:right w:val="single" w:sz="4" w:space="0" w:color="auto"/>
            </w:tcBorders>
            <w:noWrap/>
            <w:vAlign w:val="center"/>
            <w:hideMark/>
          </w:tcPr>
          <w:p w14:paraId="01CBCDB3"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455</w:t>
            </w:r>
          </w:p>
        </w:tc>
      </w:tr>
      <w:tr w:rsidR="0026616B" w:rsidRPr="00B217E5" w14:paraId="75F5C666"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2B380CF5"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2055E6FF"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KWED-KALAHANDI</w:t>
            </w:r>
          </w:p>
        </w:tc>
        <w:tc>
          <w:tcPr>
            <w:tcW w:w="2268" w:type="dxa"/>
            <w:tcBorders>
              <w:top w:val="nil"/>
              <w:left w:val="nil"/>
              <w:bottom w:val="single" w:sz="4" w:space="0" w:color="auto"/>
              <w:right w:val="single" w:sz="4" w:space="0" w:color="auto"/>
            </w:tcBorders>
            <w:noWrap/>
            <w:vAlign w:val="center"/>
            <w:hideMark/>
          </w:tcPr>
          <w:p w14:paraId="1A8B883A"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130</w:t>
            </w:r>
          </w:p>
        </w:tc>
      </w:tr>
      <w:tr w:rsidR="0026616B" w:rsidRPr="00B217E5" w14:paraId="2B4A84AF"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70C93322"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71BB97C2"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NED-NUAPADA</w:t>
            </w:r>
          </w:p>
        </w:tc>
        <w:tc>
          <w:tcPr>
            <w:tcW w:w="2268" w:type="dxa"/>
            <w:tcBorders>
              <w:top w:val="nil"/>
              <w:left w:val="nil"/>
              <w:bottom w:val="single" w:sz="4" w:space="0" w:color="auto"/>
              <w:right w:val="single" w:sz="4" w:space="0" w:color="auto"/>
            </w:tcBorders>
            <w:noWrap/>
            <w:vAlign w:val="center"/>
            <w:hideMark/>
          </w:tcPr>
          <w:p w14:paraId="44B9E9C8"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1660</w:t>
            </w:r>
          </w:p>
        </w:tc>
      </w:tr>
      <w:tr w:rsidR="0026616B" w:rsidRPr="00B217E5" w14:paraId="14280754"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64D0FE0C"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40AEEF58"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RED-RAJGANGPUR</w:t>
            </w:r>
          </w:p>
        </w:tc>
        <w:tc>
          <w:tcPr>
            <w:tcW w:w="2268" w:type="dxa"/>
            <w:tcBorders>
              <w:top w:val="nil"/>
              <w:left w:val="nil"/>
              <w:bottom w:val="single" w:sz="4" w:space="0" w:color="auto"/>
              <w:right w:val="single" w:sz="4" w:space="0" w:color="auto"/>
            </w:tcBorders>
            <w:noWrap/>
            <w:vAlign w:val="center"/>
            <w:hideMark/>
          </w:tcPr>
          <w:p w14:paraId="1220ECC5"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150</w:t>
            </w:r>
          </w:p>
        </w:tc>
      </w:tr>
      <w:tr w:rsidR="0026616B" w:rsidRPr="00B217E5" w14:paraId="28B80FB7"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5EADD91C"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4E6EFED5"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RED-ROURKELA</w:t>
            </w:r>
          </w:p>
        </w:tc>
        <w:tc>
          <w:tcPr>
            <w:tcW w:w="2268" w:type="dxa"/>
            <w:tcBorders>
              <w:top w:val="nil"/>
              <w:left w:val="nil"/>
              <w:bottom w:val="single" w:sz="4" w:space="0" w:color="auto"/>
              <w:right w:val="single" w:sz="4" w:space="0" w:color="auto"/>
            </w:tcBorders>
            <w:noWrap/>
            <w:vAlign w:val="center"/>
            <w:hideMark/>
          </w:tcPr>
          <w:p w14:paraId="13330E4B"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140</w:t>
            </w:r>
          </w:p>
        </w:tc>
      </w:tr>
      <w:tr w:rsidR="0026616B" w:rsidRPr="00B217E5" w14:paraId="104B2F04"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383FA95C"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7D510C01"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RSED-ROURKELA SADAR</w:t>
            </w:r>
          </w:p>
        </w:tc>
        <w:tc>
          <w:tcPr>
            <w:tcW w:w="2268" w:type="dxa"/>
            <w:tcBorders>
              <w:top w:val="nil"/>
              <w:left w:val="nil"/>
              <w:bottom w:val="single" w:sz="4" w:space="0" w:color="auto"/>
              <w:right w:val="single" w:sz="4" w:space="0" w:color="auto"/>
            </w:tcBorders>
            <w:noWrap/>
            <w:vAlign w:val="center"/>
            <w:hideMark/>
          </w:tcPr>
          <w:p w14:paraId="29467D8C"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270</w:t>
            </w:r>
          </w:p>
        </w:tc>
      </w:tr>
      <w:tr w:rsidR="0026616B" w:rsidRPr="00B217E5" w14:paraId="784FCE82"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2F57670C"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471912D9"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SED-Sambalpur</w:t>
            </w:r>
          </w:p>
        </w:tc>
        <w:tc>
          <w:tcPr>
            <w:tcW w:w="2268" w:type="dxa"/>
            <w:tcBorders>
              <w:top w:val="nil"/>
              <w:left w:val="nil"/>
              <w:bottom w:val="single" w:sz="4" w:space="0" w:color="auto"/>
              <w:right w:val="single" w:sz="4" w:space="0" w:color="auto"/>
            </w:tcBorders>
            <w:noWrap/>
            <w:vAlign w:val="center"/>
            <w:hideMark/>
          </w:tcPr>
          <w:p w14:paraId="27F4E05B"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262</w:t>
            </w:r>
          </w:p>
        </w:tc>
      </w:tr>
      <w:tr w:rsidR="0026616B" w:rsidRPr="00B217E5" w14:paraId="7F137D67"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28B24E0F"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5B69609A"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SED-SONEPUR</w:t>
            </w:r>
          </w:p>
        </w:tc>
        <w:tc>
          <w:tcPr>
            <w:tcW w:w="2268" w:type="dxa"/>
            <w:tcBorders>
              <w:top w:val="nil"/>
              <w:left w:val="nil"/>
              <w:bottom w:val="single" w:sz="4" w:space="0" w:color="auto"/>
              <w:right w:val="single" w:sz="4" w:space="0" w:color="auto"/>
            </w:tcBorders>
            <w:noWrap/>
            <w:vAlign w:val="center"/>
            <w:hideMark/>
          </w:tcPr>
          <w:p w14:paraId="74ABD4E6"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12</w:t>
            </w:r>
          </w:p>
        </w:tc>
      </w:tr>
      <w:tr w:rsidR="0026616B" w:rsidRPr="00B217E5" w14:paraId="42ACA24B"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29BED061"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184CEBBD"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SEED-SAMBALPUR(E)</w:t>
            </w:r>
          </w:p>
        </w:tc>
        <w:tc>
          <w:tcPr>
            <w:tcW w:w="2268" w:type="dxa"/>
            <w:tcBorders>
              <w:top w:val="nil"/>
              <w:left w:val="nil"/>
              <w:bottom w:val="single" w:sz="4" w:space="0" w:color="auto"/>
              <w:right w:val="single" w:sz="4" w:space="0" w:color="auto"/>
            </w:tcBorders>
            <w:noWrap/>
            <w:vAlign w:val="center"/>
            <w:hideMark/>
          </w:tcPr>
          <w:p w14:paraId="59FC649C"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50</w:t>
            </w:r>
          </w:p>
        </w:tc>
      </w:tr>
      <w:tr w:rsidR="0026616B" w:rsidRPr="00B217E5" w14:paraId="2C4C55EF"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73DAE71E"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2FE15BDE"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TED-TITILAGARH</w:t>
            </w:r>
          </w:p>
        </w:tc>
        <w:tc>
          <w:tcPr>
            <w:tcW w:w="2268" w:type="dxa"/>
            <w:tcBorders>
              <w:top w:val="nil"/>
              <w:left w:val="nil"/>
              <w:bottom w:val="single" w:sz="4" w:space="0" w:color="auto"/>
              <w:right w:val="single" w:sz="4" w:space="0" w:color="auto"/>
            </w:tcBorders>
            <w:noWrap/>
            <w:vAlign w:val="center"/>
            <w:hideMark/>
          </w:tcPr>
          <w:p w14:paraId="738E11C3"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864</w:t>
            </w:r>
          </w:p>
        </w:tc>
      </w:tr>
      <w:tr w:rsidR="0026616B" w:rsidRPr="00B217E5" w14:paraId="458D2A58" w14:textId="77777777" w:rsidTr="001F21DF">
        <w:trPr>
          <w:trHeight w:val="290"/>
          <w:jc w:val="center"/>
        </w:trPr>
        <w:tc>
          <w:tcPr>
            <w:tcW w:w="1840" w:type="dxa"/>
            <w:vMerge w:val="restart"/>
            <w:tcBorders>
              <w:top w:val="nil"/>
              <w:left w:val="single" w:sz="4" w:space="0" w:color="auto"/>
              <w:bottom w:val="single" w:sz="4" w:space="0" w:color="auto"/>
              <w:right w:val="single" w:sz="4" w:space="0" w:color="auto"/>
            </w:tcBorders>
            <w:vAlign w:val="center"/>
            <w:hideMark/>
          </w:tcPr>
          <w:p w14:paraId="0789817A" w14:textId="169202A3" w:rsidR="0026616B" w:rsidRPr="00B217E5" w:rsidRDefault="0026616B" w:rsidP="00291FAE">
            <w:pPr>
              <w:spacing w:line="240" w:lineRule="atLeast"/>
              <w:ind w:left="284"/>
              <w:jc w:val="center"/>
              <w:rPr>
                <w:rFonts w:ascii="Cambria" w:hAnsi="Cambria" w:cs="Arial"/>
                <w:sz w:val="22"/>
                <w:szCs w:val="22"/>
              </w:rPr>
            </w:pPr>
            <w:r w:rsidRPr="00B217E5">
              <w:rPr>
                <w:rFonts w:ascii="Cambria" w:hAnsi="Cambria" w:cs="Arial"/>
                <w:sz w:val="22"/>
                <w:szCs w:val="22"/>
              </w:rPr>
              <w:t xml:space="preserve">FY-25-26 (Till </w:t>
            </w:r>
            <w:r w:rsidR="009A0C98">
              <w:rPr>
                <w:rFonts w:ascii="Cambria" w:hAnsi="Cambria" w:cs="Arial"/>
                <w:sz w:val="22"/>
                <w:szCs w:val="22"/>
              </w:rPr>
              <w:t>Sep 25</w:t>
            </w:r>
            <w:r w:rsidRPr="00B217E5">
              <w:rPr>
                <w:rFonts w:ascii="Cambria" w:hAnsi="Cambria" w:cs="Arial"/>
                <w:sz w:val="22"/>
                <w:szCs w:val="22"/>
              </w:rPr>
              <w:t>)</w:t>
            </w:r>
          </w:p>
        </w:tc>
        <w:tc>
          <w:tcPr>
            <w:tcW w:w="2975" w:type="dxa"/>
            <w:tcBorders>
              <w:top w:val="nil"/>
              <w:left w:val="nil"/>
              <w:bottom w:val="single" w:sz="4" w:space="0" w:color="auto"/>
              <w:right w:val="single" w:sz="4" w:space="0" w:color="auto"/>
            </w:tcBorders>
            <w:noWrap/>
            <w:vAlign w:val="center"/>
            <w:hideMark/>
          </w:tcPr>
          <w:p w14:paraId="4138DC05"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BED-BARGARH</w:t>
            </w:r>
          </w:p>
        </w:tc>
        <w:tc>
          <w:tcPr>
            <w:tcW w:w="2268" w:type="dxa"/>
            <w:tcBorders>
              <w:top w:val="nil"/>
              <w:left w:val="nil"/>
              <w:bottom w:val="single" w:sz="4" w:space="0" w:color="auto"/>
              <w:right w:val="single" w:sz="4" w:space="0" w:color="auto"/>
            </w:tcBorders>
            <w:noWrap/>
            <w:vAlign w:val="center"/>
            <w:hideMark/>
          </w:tcPr>
          <w:p w14:paraId="3D5D7638"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40</w:t>
            </w:r>
          </w:p>
        </w:tc>
      </w:tr>
      <w:tr w:rsidR="0026616B" w:rsidRPr="00B217E5" w14:paraId="18FE3AE3"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539E504D"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7B7B8E1C"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BED-BRAJRAJNAGAR</w:t>
            </w:r>
          </w:p>
        </w:tc>
        <w:tc>
          <w:tcPr>
            <w:tcW w:w="2268" w:type="dxa"/>
            <w:tcBorders>
              <w:top w:val="nil"/>
              <w:left w:val="nil"/>
              <w:bottom w:val="single" w:sz="4" w:space="0" w:color="auto"/>
              <w:right w:val="single" w:sz="4" w:space="0" w:color="auto"/>
            </w:tcBorders>
            <w:noWrap/>
            <w:vAlign w:val="center"/>
            <w:hideMark/>
          </w:tcPr>
          <w:p w14:paraId="4E07B6D7"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50</w:t>
            </w:r>
          </w:p>
        </w:tc>
      </w:tr>
      <w:tr w:rsidR="0026616B" w:rsidRPr="00B217E5" w14:paraId="3C218504"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6C25D5B4"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02843FEC"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BWED-BARGARH</w:t>
            </w:r>
          </w:p>
        </w:tc>
        <w:tc>
          <w:tcPr>
            <w:tcW w:w="2268" w:type="dxa"/>
            <w:tcBorders>
              <w:top w:val="nil"/>
              <w:left w:val="nil"/>
              <w:bottom w:val="single" w:sz="4" w:space="0" w:color="auto"/>
              <w:right w:val="single" w:sz="4" w:space="0" w:color="auto"/>
            </w:tcBorders>
            <w:noWrap/>
            <w:vAlign w:val="center"/>
            <w:hideMark/>
          </w:tcPr>
          <w:p w14:paraId="2694F902"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130</w:t>
            </w:r>
          </w:p>
        </w:tc>
      </w:tr>
      <w:tr w:rsidR="0026616B" w:rsidRPr="00B217E5" w14:paraId="39657B21"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6CF8B946"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1CE8B5EE"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DED-</w:t>
            </w:r>
            <w:proofErr w:type="spellStart"/>
            <w:r w:rsidRPr="00B217E5">
              <w:rPr>
                <w:rFonts w:ascii="Cambria" w:hAnsi="Cambria" w:cs="Calibri"/>
                <w:color w:val="000000"/>
                <w:sz w:val="22"/>
                <w:szCs w:val="22"/>
              </w:rPr>
              <w:t>Deogarh</w:t>
            </w:r>
            <w:proofErr w:type="spellEnd"/>
          </w:p>
        </w:tc>
        <w:tc>
          <w:tcPr>
            <w:tcW w:w="2268" w:type="dxa"/>
            <w:tcBorders>
              <w:top w:val="nil"/>
              <w:left w:val="nil"/>
              <w:bottom w:val="single" w:sz="4" w:space="0" w:color="auto"/>
              <w:right w:val="single" w:sz="4" w:space="0" w:color="auto"/>
            </w:tcBorders>
            <w:noWrap/>
            <w:vAlign w:val="center"/>
            <w:hideMark/>
          </w:tcPr>
          <w:p w14:paraId="26983CE9"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145</w:t>
            </w:r>
          </w:p>
        </w:tc>
      </w:tr>
      <w:tr w:rsidR="0026616B" w:rsidRPr="00B217E5" w14:paraId="65D163C4"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05317B95"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565EA765"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JED-Jharsuguda</w:t>
            </w:r>
          </w:p>
        </w:tc>
        <w:tc>
          <w:tcPr>
            <w:tcW w:w="2268" w:type="dxa"/>
            <w:tcBorders>
              <w:top w:val="nil"/>
              <w:left w:val="nil"/>
              <w:bottom w:val="single" w:sz="4" w:space="0" w:color="auto"/>
              <w:right w:val="single" w:sz="4" w:space="0" w:color="auto"/>
            </w:tcBorders>
            <w:noWrap/>
            <w:vAlign w:val="center"/>
            <w:hideMark/>
          </w:tcPr>
          <w:p w14:paraId="0848A43D"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320</w:t>
            </w:r>
          </w:p>
        </w:tc>
      </w:tr>
      <w:tr w:rsidR="0026616B" w:rsidRPr="00B217E5" w14:paraId="58836E07"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2CED4B78"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2674F856"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KWED-KALAHANDI</w:t>
            </w:r>
          </w:p>
        </w:tc>
        <w:tc>
          <w:tcPr>
            <w:tcW w:w="2268" w:type="dxa"/>
            <w:tcBorders>
              <w:top w:val="nil"/>
              <w:left w:val="nil"/>
              <w:bottom w:val="single" w:sz="4" w:space="0" w:color="auto"/>
              <w:right w:val="single" w:sz="4" w:space="0" w:color="auto"/>
            </w:tcBorders>
            <w:noWrap/>
            <w:vAlign w:val="center"/>
            <w:hideMark/>
          </w:tcPr>
          <w:p w14:paraId="7067C87E"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130</w:t>
            </w:r>
          </w:p>
        </w:tc>
      </w:tr>
      <w:tr w:rsidR="0026616B" w:rsidRPr="00B217E5" w14:paraId="5ABA5D91"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4520DDE1"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18ECEAB1"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NED-NUAPADA</w:t>
            </w:r>
          </w:p>
        </w:tc>
        <w:tc>
          <w:tcPr>
            <w:tcW w:w="2268" w:type="dxa"/>
            <w:tcBorders>
              <w:top w:val="nil"/>
              <w:left w:val="nil"/>
              <w:bottom w:val="single" w:sz="4" w:space="0" w:color="auto"/>
              <w:right w:val="single" w:sz="4" w:space="0" w:color="auto"/>
            </w:tcBorders>
            <w:noWrap/>
            <w:vAlign w:val="center"/>
            <w:hideMark/>
          </w:tcPr>
          <w:p w14:paraId="53F435A2"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196</w:t>
            </w:r>
          </w:p>
        </w:tc>
      </w:tr>
      <w:tr w:rsidR="0026616B" w:rsidRPr="00B217E5" w14:paraId="69DE01E8"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3AA47C16"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53392DDC"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RED-RAJGANGPUR</w:t>
            </w:r>
          </w:p>
        </w:tc>
        <w:tc>
          <w:tcPr>
            <w:tcW w:w="2268" w:type="dxa"/>
            <w:tcBorders>
              <w:top w:val="nil"/>
              <w:left w:val="nil"/>
              <w:bottom w:val="single" w:sz="4" w:space="0" w:color="auto"/>
              <w:right w:val="single" w:sz="4" w:space="0" w:color="auto"/>
            </w:tcBorders>
            <w:noWrap/>
            <w:vAlign w:val="center"/>
            <w:hideMark/>
          </w:tcPr>
          <w:p w14:paraId="53A130E7"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381</w:t>
            </w:r>
          </w:p>
        </w:tc>
      </w:tr>
      <w:tr w:rsidR="0026616B" w:rsidRPr="00B217E5" w14:paraId="69432DDC"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04FC0205"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52E61A09"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RED-ROURKELA</w:t>
            </w:r>
          </w:p>
        </w:tc>
        <w:tc>
          <w:tcPr>
            <w:tcW w:w="2268" w:type="dxa"/>
            <w:tcBorders>
              <w:top w:val="nil"/>
              <w:left w:val="nil"/>
              <w:bottom w:val="single" w:sz="4" w:space="0" w:color="auto"/>
              <w:right w:val="single" w:sz="4" w:space="0" w:color="auto"/>
            </w:tcBorders>
            <w:noWrap/>
            <w:vAlign w:val="center"/>
            <w:hideMark/>
          </w:tcPr>
          <w:p w14:paraId="6081A927"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58</w:t>
            </w:r>
          </w:p>
        </w:tc>
      </w:tr>
      <w:tr w:rsidR="0026616B" w:rsidRPr="00B217E5" w14:paraId="053C7CE1"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514331F4"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19E04019"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SED-SUNDERGARH</w:t>
            </w:r>
          </w:p>
        </w:tc>
        <w:tc>
          <w:tcPr>
            <w:tcW w:w="2268" w:type="dxa"/>
            <w:tcBorders>
              <w:top w:val="nil"/>
              <w:left w:val="nil"/>
              <w:bottom w:val="single" w:sz="4" w:space="0" w:color="auto"/>
              <w:right w:val="single" w:sz="4" w:space="0" w:color="auto"/>
            </w:tcBorders>
            <w:noWrap/>
            <w:vAlign w:val="center"/>
            <w:hideMark/>
          </w:tcPr>
          <w:p w14:paraId="4B07CC7C"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60</w:t>
            </w:r>
          </w:p>
        </w:tc>
      </w:tr>
      <w:tr w:rsidR="0026616B" w:rsidRPr="00B217E5" w14:paraId="010B74C4" w14:textId="77777777" w:rsidTr="001F21DF">
        <w:trPr>
          <w:trHeight w:val="290"/>
          <w:jc w:val="center"/>
        </w:trPr>
        <w:tc>
          <w:tcPr>
            <w:tcW w:w="1840" w:type="dxa"/>
            <w:vMerge/>
            <w:tcBorders>
              <w:top w:val="nil"/>
              <w:left w:val="single" w:sz="4" w:space="0" w:color="auto"/>
              <w:bottom w:val="single" w:sz="4" w:space="0" w:color="auto"/>
              <w:right w:val="single" w:sz="4" w:space="0" w:color="auto"/>
            </w:tcBorders>
            <w:vAlign w:val="center"/>
            <w:hideMark/>
          </w:tcPr>
          <w:p w14:paraId="7C8F7051" w14:textId="77777777" w:rsidR="0026616B" w:rsidRPr="00B217E5" w:rsidRDefault="0026616B" w:rsidP="00291FAE">
            <w:pPr>
              <w:spacing w:line="240" w:lineRule="atLeast"/>
              <w:ind w:left="284"/>
              <w:rPr>
                <w:rFonts w:ascii="Cambria" w:hAnsi="Cambria" w:cs="Arial"/>
                <w:sz w:val="22"/>
                <w:szCs w:val="22"/>
              </w:rPr>
            </w:pPr>
          </w:p>
        </w:tc>
        <w:tc>
          <w:tcPr>
            <w:tcW w:w="2975" w:type="dxa"/>
            <w:tcBorders>
              <w:top w:val="nil"/>
              <w:left w:val="nil"/>
              <w:bottom w:val="single" w:sz="4" w:space="0" w:color="auto"/>
              <w:right w:val="single" w:sz="4" w:space="0" w:color="auto"/>
            </w:tcBorders>
            <w:noWrap/>
            <w:vAlign w:val="center"/>
            <w:hideMark/>
          </w:tcPr>
          <w:p w14:paraId="25D4D68D"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TED-TITILAGARH</w:t>
            </w:r>
          </w:p>
        </w:tc>
        <w:tc>
          <w:tcPr>
            <w:tcW w:w="2268" w:type="dxa"/>
            <w:tcBorders>
              <w:top w:val="nil"/>
              <w:left w:val="nil"/>
              <w:bottom w:val="single" w:sz="4" w:space="0" w:color="auto"/>
              <w:right w:val="single" w:sz="4" w:space="0" w:color="auto"/>
            </w:tcBorders>
            <w:noWrap/>
            <w:vAlign w:val="center"/>
            <w:hideMark/>
          </w:tcPr>
          <w:p w14:paraId="7137B443"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65</w:t>
            </w:r>
          </w:p>
        </w:tc>
      </w:tr>
      <w:tr w:rsidR="0026616B" w:rsidRPr="00B217E5" w14:paraId="589EDC6D" w14:textId="77777777" w:rsidTr="001F21DF">
        <w:trPr>
          <w:trHeight w:val="290"/>
          <w:jc w:val="center"/>
        </w:trPr>
        <w:tc>
          <w:tcPr>
            <w:tcW w:w="4815" w:type="dxa"/>
            <w:gridSpan w:val="2"/>
            <w:tcBorders>
              <w:top w:val="single" w:sz="4" w:space="0" w:color="auto"/>
              <w:left w:val="single" w:sz="4" w:space="0" w:color="auto"/>
              <w:bottom w:val="single" w:sz="4" w:space="0" w:color="auto"/>
              <w:right w:val="single" w:sz="4" w:space="0" w:color="auto"/>
            </w:tcBorders>
            <w:vAlign w:val="bottom"/>
            <w:hideMark/>
          </w:tcPr>
          <w:p w14:paraId="2F8B3196" w14:textId="77777777" w:rsidR="0026616B" w:rsidRPr="00B217E5" w:rsidRDefault="0026616B" w:rsidP="00291FAE">
            <w:pPr>
              <w:spacing w:line="240" w:lineRule="atLeast"/>
              <w:ind w:left="284"/>
              <w:jc w:val="center"/>
              <w:rPr>
                <w:rFonts w:ascii="Cambria" w:hAnsi="Cambria" w:cs="Calibri"/>
                <w:color w:val="000000"/>
                <w:sz w:val="22"/>
                <w:szCs w:val="22"/>
              </w:rPr>
            </w:pPr>
            <w:r w:rsidRPr="00B217E5">
              <w:rPr>
                <w:rFonts w:ascii="Cambria" w:hAnsi="Cambria" w:cs="Calibri"/>
                <w:color w:val="000000"/>
                <w:sz w:val="22"/>
                <w:szCs w:val="22"/>
              </w:rPr>
              <w:t xml:space="preserve">Total </w:t>
            </w:r>
          </w:p>
        </w:tc>
        <w:tc>
          <w:tcPr>
            <w:tcW w:w="2268" w:type="dxa"/>
            <w:tcBorders>
              <w:top w:val="nil"/>
              <w:left w:val="nil"/>
              <w:bottom w:val="single" w:sz="4" w:space="0" w:color="auto"/>
              <w:right w:val="single" w:sz="4" w:space="0" w:color="auto"/>
            </w:tcBorders>
            <w:noWrap/>
            <w:vAlign w:val="center"/>
            <w:hideMark/>
          </w:tcPr>
          <w:p w14:paraId="09FA0BAF" w14:textId="77777777" w:rsidR="0026616B" w:rsidRPr="00B217E5" w:rsidRDefault="0026616B" w:rsidP="00291FAE">
            <w:pPr>
              <w:spacing w:line="240" w:lineRule="atLeast"/>
              <w:ind w:left="284"/>
              <w:jc w:val="center"/>
              <w:rPr>
                <w:rFonts w:ascii="Cambria" w:hAnsi="Cambria" w:cs="Calibri"/>
                <w:b/>
                <w:bCs/>
                <w:color w:val="000000"/>
                <w:sz w:val="22"/>
                <w:szCs w:val="22"/>
              </w:rPr>
            </w:pPr>
            <w:r w:rsidRPr="00B217E5">
              <w:rPr>
                <w:rFonts w:ascii="Cambria" w:hAnsi="Cambria" w:cs="Calibri"/>
                <w:b/>
                <w:bCs/>
                <w:color w:val="000000"/>
                <w:sz w:val="22"/>
                <w:szCs w:val="22"/>
              </w:rPr>
              <w:t>45092</w:t>
            </w:r>
          </w:p>
        </w:tc>
      </w:tr>
    </w:tbl>
    <w:p w14:paraId="617B2B5B" w14:textId="77777777" w:rsidR="0026616B" w:rsidRDefault="0026616B" w:rsidP="00291FAE">
      <w:pPr>
        <w:pStyle w:val="ListParagraph"/>
        <w:spacing w:after="160" w:line="360" w:lineRule="auto"/>
        <w:ind w:left="284"/>
        <w:jc w:val="both"/>
        <w:rPr>
          <w:rFonts w:ascii="Cambria" w:hAnsi="Cambria"/>
        </w:rPr>
      </w:pPr>
    </w:p>
    <w:p w14:paraId="4D3B3DD7" w14:textId="0C74B731" w:rsidR="0026616B" w:rsidRPr="00773505" w:rsidRDefault="0026616B" w:rsidP="00291FAE">
      <w:pPr>
        <w:pStyle w:val="ListParagraph"/>
        <w:spacing w:after="160" w:line="360" w:lineRule="auto"/>
        <w:ind w:left="284"/>
        <w:jc w:val="both"/>
        <w:rPr>
          <w:rFonts w:ascii="Cambria" w:hAnsi="Cambria"/>
          <w:sz w:val="24"/>
        </w:rPr>
      </w:pPr>
      <w:r w:rsidRPr="00773505">
        <w:rPr>
          <w:rFonts w:ascii="Cambria" w:hAnsi="Cambria"/>
          <w:b/>
          <w:bCs/>
          <w:sz w:val="24"/>
          <w:u w:val="single"/>
        </w:rPr>
        <w:t>Circle wise replacement of insulator at 33</w:t>
      </w:r>
      <w:r w:rsidR="00773505">
        <w:rPr>
          <w:rFonts w:ascii="Cambria" w:hAnsi="Cambria"/>
          <w:b/>
          <w:bCs/>
          <w:sz w:val="24"/>
          <w:u w:val="single"/>
        </w:rPr>
        <w:t xml:space="preserve"> </w:t>
      </w:r>
      <w:r w:rsidRPr="00773505">
        <w:rPr>
          <w:rFonts w:ascii="Cambria" w:hAnsi="Cambria"/>
          <w:b/>
          <w:bCs/>
          <w:sz w:val="24"/>
          <w:u w:val="single"/>
        </w:rPr>
        <w:t>kV level:</w:t>
      </w:r>
    </w:p>
    <w:tbl>
      <w:tblPr>
        <w:tblW w:w="6622" w:type="dxa"/>
        <w:jc w:val="center"/>
        <w:tblLook w:val="04A0" w:firstRow="1" w:lastRow="0" w:firstColumn="1" w:lastColumn="0" w:noHBand="0" w:noVBand="1"/>
      </w:tblPr>
      <w:tblGrid>
        <w:gridCol w:w="1537"/>
        <w:gridCol w:w="2299"/>
        <w:gridCol w:w="2786"/>
      </w:tblGrid>
      <w:tr w:rsidR="0026616B" w:rsidRPr="00503320" w14:paraId="3032795E" w14:textId="77777777" w:rsidTr="001F21DF">
        <w:trPr>
          <w:trHeight w:val="545"/>
          <w:jc w:val="center"/>
        </w:trPr>
        <w:tc>
          <w:tcPr>
            <w:tcW w:w="1537" w:type="dxa"/>
            <w:tcBorders>
              <w:top w:val="single" w:sz="4" w:space="0" w:color="auto"/>
              <w:left w:val="single" w:sz="4" w:space="0" w:color="auto"/>
              <w:bottom w:val="single" w:sz="4" w:space="0" w:color="auto"/>
              <w:right w:val="single" w:sz="4" w:space="0" w:color="auto"/>
            </w:tcBorders>
            <w:noWrap/>
            <w:vAlign w:val="center"/>
            <w:hideMark/>
          </w:tcPr>
          <w:p w14:paraId="74C03DA4" w14:textId="77777777" w:rsidR="0026616B" w:rsidRPr="00503320" w:rsidRDefault="0026616B" w:rsidP="00291FAE">
            <w:pPr>
              <w:ind w:left="284"/>
              <w:jc w:val="center"/>
              <w:rPr>
                <w:rFonts w:ascii="Cambria" w:hAnsi="Cambria" w:cs="Calibri"/>
                <w:b/>
                <w:bCs/>
                <w:color w:val="000000"/>
                <w:sz w:val="22"/>
                <w:szCs w:val="22"/>
                <w:lang w:val="en-IN"/>
              </w:rPr>
            </w:pPr>
            <w:r w:rsidRPr="00503320">
              <w:rPr>
                <w:rFonts w:ascii="Cambria" w:hAnsi="Cambria" w:cs="Calibri"/>
                <w:b/>
                <w:bCs/>
                <w:color w:val="000000"/>
                <w:sz w:val="22"/>
                <w:szCs w:val="22"/>
              </w:rPr>
              <w:t>FY</w:t>
            </w:r>
          </w:p>
        </w:tc>
        <w:tc>
          <w:tcPr>
            <w:tcW w:w="2299" w:type="dxa"/>
            <w:tcBorders>
              <w:top w:val="single" w:sz="4" w:space="0" w:color="auto"/>
              <w:left w:val="nil"/>
              <w:bottom w:val="single" w:sz="4" w:space="0" w:color="auto"/>
              <w:right w:val="single" w:sz="4" w:space="0" w:color="auto"/>
            </w:tcBorders>
            <w:noWrap/>
            <w:vAlign w:val="center"/>
            <w:hideMark/>
          </w:tcPr>
          <w:p w14:paraId="0E09A2EF" w14:textId="77777777" w:rsidR="0026616B" w:rsidRPr="00503320" w:rsidRDefault="0026616B" w:rsidP="00291FAE">
            <w:pPr>
              <w:ind w:left="284"/>
              <w:jc w:val="center"/>
              <w:rPr>
                <w:rFonts w:ascii="Cambria" w:hAnsi="Cambria" w:cs="Calibri"/>
                <w:b/>
                <w:bCs/>
                <w:color w:val="000000"/>
                <w:sz w:val="22"/>
                <w:szCs w:val="22"/>
              </w:rPr>
            </w:pPr>
            <w:r w:rsidRPr="00503320">
              <w:rPr>
                <w:rFonts w:ascii="Cambria" w:hAnsi="Cambria" w:cs="Calibri"/>
                <w:b/>
                <w:bCs/>
                <w:color w:val="000000"/>
                <w:sz w:val="22"/>
                <w:szCs w:val="22"/>
              </w:rPr>
              <w:t>Circle</w:t>
            </w:r>
          </w:p>
        </w:tc>
        <w:tc>
          <w:tcPr>
            <w:tcW w:w="2786" w:type="dxa"/>
            <w:tcBorders>
              <w:top w:val="single" w:sz="4" w:space="0" w:color="auto"/>
              <w:left w:val="nil"/>
              <w:bottom w:val="single" w:sz="4" w:space="0" w:color="auto"/>
              <w:right w:val="single" w:sz="4" w:space="0" w:color="auto"/>
            </w:tcBorders>
            <w:vAlign w:val="center"/>
            <w:hideMark/>
          </w:tcPr>
          <w:p w14:paraId="22BC6319" w14:textId="77777777" w:rsidR="0026616B" w:rsidRPr="00503320" w:rsidRDefault="0026616B" w:rsidP="00291FAE">
            <w:pPr>
              <w:ind w:left="284"/>
              <w:jc w:val="center"/>
              <w:rPr>
                <w:rFonts w:ascii="Cambria" w:hAnsi="Cambria" w:cs="Calibri"/>
                <w:b/>
                <w:bCs/>
                <w:color w:val="000000"/>
                <w:sz w:val="22"/>
                <w:szCs w:val="22"/>
              </w:rPr>
            </w:pPr>
            <w:r w:rsidRPr="00503320">
              <w:rPr>
                <w:rFonts w:ascii="Cambria" w:hAnsi="Cambria" w:cs="Calibri"/>
                <w:b/>
                <w:bCs/>
                <w:color w:val="000000"/>
                <w:sz w:val="22"/>
                <w:szCs w:val="22"/>
              </w:rPr>
              <w:t>Qty of Polymer insulator (Nos.)</w:t>
            </w:r>
          </w:p>
        </w:tc>
      </w:tr>
      <w:tr w:rsidR="0026616B" w:rsidRPr="00503320" w14:paraId="19E6884E" w14:textId="77777777" w:rsidTr="001F21DF">
        <w:trPr>
          <w:trHeight w:val="272"/>
          <w:jc w:val="center"/>
        </w:trPr>
        <w:tc>
          <w:tcPr>
            <w:tcW w:w="1537" w:type="dxa"/>
            <w:tcBorders>
              <w:top w:val="nil"/>
              <w:left w:val="single" w:sz="4" w:space="0" w:color="auto"/>
              <w:bottom w:val="single" w:sz="4" w:space="0" w:color="auto"/>
              <w:right w:val="single" w:sz="4" w:space="0" w:color="auto"/>
            </w:tcBorders>
            <w:noWrap/>
            <w:vAlign w:val="bottom"/>
            <w:hideMark/>
          </w:tcPr>
          <w:p w14:paraId="1B66E956"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FY-23</w:t>
            </w:r>
          </w:p>
        </w:tc>
        <w:tc>
          <w:tcPr>
            <w:tcW w:w="2299" w:type="dxa"/>
            <w:tcBorders>
              <w:top w:val="nil"/>
              <w:left w:val="nil"/>
              <w:bottom w:val="single" w:sz="4" w:space="0" w:color="auto"/>
              <w:right w:val="single" w:sz="4" w:space="0" w:color="auto"/>
            </w:tcBorders>
            <w:noWrap/>
            <w:vAlign w:val="bottom"/>
            <w:hideMark/>
          </w:tcPr>
          <w:p w14:paraId="56124814"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ROURKELA</w:t>
            </w:r>
          </w:p>
        </w:tc>
        <w:tc>
          <w:tcPr>
            <w:tcW w:w="2786" w:type="dxa"/>
            <w:tcBorders>
              <w:top w:val="nil"/>
              <w:left w:val="nil"/>
              <w:bottom w:val="single" w:sz="4" w:space="0" w:color="auto"/>
              <w:right w:val="single" w:sz="4" w:space="0" w:color="auto"/>
            </w:tcBorders>
            <w:noWrap/>
            <w:vAlign w:val="bottom"/>
            <w:hideMark/>
          </w:tcPr>
          <w:p w14:paraId="16641E2E" w14:textId="77777777" w:rsidR="0026616B" w:rsidRPr="00503320" w:rsidRDefault="0026616B" w:rsidP="00291FAE">
            <w:pPr>
              <w:ind w:left="284"/>
              <w:jc w:val="right"/>
              <w:rPr>
                <w:rFonts w:ascii="Cambria" w:hAnsi="Cambria" w:cs="Calibri"/>
                <w:color w:val="000000"/>
                <w:sz w:val="22"/>
                <w:szCs w:val="22"/>
              </w:rPr>
            </w:pPr>
            <w:r w:rsidRPr="00503320">
              <w:rPr>
                <w:rFonts w:ascii="Cambria" w:hAnsi="Cambria" w:cs="Calibri"/>
                <w:color w:val="000000"/>
                <w:sz w:val="22"/>
                <w:szCs w:val="22"/>
              </w:rPr>
              <w:t>1340</w:t>
            </w:r>
          </w:p>
        </w:tc>
      </w:tr>
      <w:tr w:rsidR="0026616B" w:rsidRPr="00503320" w14:paraId="5F1836B3" w14:textId="77777777" w:rsidTr="001F21DF">
        <w:trPr>
          <w:trHeight w:val="272"/>
          <w:jc w:val="center"/>
        </w:trPr>
        <w:tc>
          <w:tcPr>
            <w:tcW w:w="1537" w:type="dxa"/>
            <w:tcBorders>
              <w:top w:val="nil"/>
              <w:left w:val="single" w:sz="4" w:space="0" w:color="auto"/>
              <w:bottom w:val="single" w:sz="4" w:space="0" w:color="auto"/>
              <w:right w:val="single" w:sz="4" w:space="0" w:color="auto"/>
            </w:tcBorders>
            <w:noWrap/>
            <w:vAlign w:val="bottom"/>
            <w:hideMark/>
          </w:tcPr>
          <w:p w14:paraId="3C07D7A7"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FY-24</w:t>
            </w:r>
          </w:p>
        </w:tc>
        <w:tc>
          <w:tcPr>
            <w:tcW w:w="2299" w:type="dxa"/>
            <w:tcBorders>
              <w:top w:val="nil"/>
              <w:left w:val="nil"/>
              <w:bottom w:val="single" w:sz="4" w:space="0" w:color="auto"/>
              <w:right w:val="single" w:sz="4" w:space="0" w:color="auto"/>
            </w:tcBorders>
            <w:noWrap/>
            <w:vAlign w:val="bottom"/>
            <w:hideMark/>
          </w:tcPr>
          <w:p w14:paraId="13E8E7CE"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ROURKELA</w:t>
            </w:r>
          </w:p>
        </w:tc>
        <w:tc>
          <w:tcPr>
            <w:tcW w:w="2786" w:type="dxa"/>
            <w:tcBorders>
              <w:top w:val="nil"/>
              <w:left w:val="nil"/>
              <w:bottom w:val="single" w:sz="4" w:space="0" w:color="auto"/>
              <w:right w:val="single" w:sz="4" w:space="0" w:color="auto"/>
            </w:tcBorders>
            <w:noWrap/>
            <w:vAlign w:val="bottom"/>
            <w:hideMark/>
          </w:tcPr>
          <w:p w14:paraId="69117DE9" w14:textId="77777777" w:rsidR="0026616B" w:rsidRPr="00503320" w:rsidRDefault="0026616B" w:rsidP="00291FAE">
            <w:pPr>
              <w:ind w:left="284"/>
              <w:jc w:val="right"/>
              <w:rPr>
                <w:rFonts w:ascii="Cambria" w:hAnsi="Cambria" w:cs="Calibri"/>
                <w:color w:val="000000"/>
                <w:sz w:val="22"/>
                <w:szCs w:val="22"/>
              </w:rPr>
            </w:pPr>
            <w:r w:rsidRPr="00503320">
              <w:rPr>
                <w:rFonts w:ascii="Cambria" w:hAnsi="Cambria" w:cs="Calibri"/>
                <w:color w:val="000000"/>
                <w:sz w:val="22"/>
                <w:szCs w:val="22"/>
              </w:rPr>
              <w:t>1120</w:t>
            </w:r>
          </w:p>
        </w:tc>
      </w:tr>
      <w:tr w:rsidR="0026616B" w:rsidRPr="00503320" w14:paraId="3A25CF52" w14:textId="77777777" w:rsidTr="001F21DF">
        <w:trPr>
          <w:trHeight w:val="272"/>
          <w:jc w:val="center"/>
        </w:trPr>
        <w:tc>
          <w:tcPr>
            <w:tcW w:w="1537" w:type="dxa"/>
            <w:tcBorders>
              <w:top w:val="nil"/>
              <w:left w:val="single" w:sz="4" w:space="0" w:color="auto"/>
              <w:bottom w:val="single" w:sz="4" w:space="0" w:color="auto"/>
              <w:right w:val="single" w:sz="4" w:space="0" w:color="auto"/>
            </w:tcBorders>
            <w:noWrap/>
            <w:vAlign w:val="bottom"/>
            <w:hideMark/>
          </w:tcPr>
          <w:p w14:paraId="3EF74FD0"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FY-25</w:t>
            </w:r>
          </w:p>
        </w:tc>
        <w:tc>
          <w:tcPr>
            <w:tcW w:w="2299" w:type="dxa"/>
            <w:tcBorders>
              <w:top w:val="nil"/>
              <w:left w:val="nil"/>
              <w:bottom w:val="single" w:sz="4" w:space="0" w:color="auto"/>
              <w:right w:val="single" w:sz="4" w:space="0" w:color="auto"/>
            </w:tcBorders>
            <w:noWrap/>
            <w:vAlign w:val="bottom"/>
            <w:hideMark/>
          </w:tcPr>
          <w:p w14:paraId="30BDAFC9"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ROURKELA</w:t>
            </w:r>
          </w:p>
        </w:tc>
        <w:tc>
          <w:tcPr>
            <w:tcW w:w="2786" w:type="dxa"/>
            <w:tcBorders>
              <w:top w:val="nil"/>
              <w:left w:val="nil"/>
              <w:bottom w:val="single" w:sz="4" w:space="0" w:color="auto"/>
              <w:right w:val="single" w:sz="4" w:space="0" w:color="auto"/>
            </w:tcBorders>
            <w:noWrap/>
            <w:vAlign w:val="bottom"/>
            <w:hideMark/>
          </w:tcPr>
          <w:p w14:paraId="780D87F6" w14:textId="77777777" w:rsidR="0026616B" w:rsidRPr="00503320" w:rsidRDefault="0026616B" w:rsidP="00291FAE">
            <w:pPr>
              <w:ind w:left="284"/>
              <w:jc w:val="right"/>
              <w:rPr>
                <w:rFonts w:ascii="Cambria" w:hAnsi="Cambria" w:cs="Calibri"/>
                <w:color w:val="000000"/>
                <w:sz w:val="22"/>
                <w:szCs w:val="22"/>
              </w:rPr>
            </w:pPr>
            <w:r w:rsidRPr="00503320">
              <w:rPr>
                <w:rFonts w:ascii="Cambria" w:hAnsi="Cambria" w:cs="Calibri"/>
                <w:color w:val="000000"/>
                <w:sz w:val="22"/>
                <w:szCs w:val="22"/>
              </w:rPr>
              <w:t>3216</w:t>
            </w:r>
          </w:p>
        </w:tc>
      </w:tr>
      <w:tr w:rsidR="0026616B" w:rsidRPr="00503320" w14:paraId="31F708F3" w14:textId="77777777" w:rsidTr="001F21DF">
        <w:trPr>
          <w:trHeight w:val="272"/>
          <w:jc w:val="center"/>
        </w:trPr>
        <w:tc>
          <w:tcPr>
            <w:tcW w:w="1537" w:type="dxa"/>
            <w:tcBorders>
              <w:top w:val="nil"/>
              <w:left w:val="single" w:sz="4" w:space="0" w:color="auto"/>
              <w:bottom w:val="single" w:sz="4" w:space="0" w:color="auto"/>
              <w:right w:val="single" w:sz="4" w:space="0" w:color="auto"/>
            </w:tcBorders>
            <w:noWrap/>
            <w:vAlign w:val="bottom"/>
            <w:hideMark/>
          </w:tcPr>
          <w:p w14:paraId="578F4671"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FY-23</w:t>
            </w:r>
          </w:p>
        </w:tc>
        <w:tc>
          <w:tcPr>
            <w:tcW w:w="2299" w:type="dxa"/>
            <w:tcBorders>
              <w:top w:val="nil"/>
              <w:left w:val="nil"/>
              <w:bottom w:val="single" w:sz="4" w:space="0" w:color="auto"/>
              <w:right w:val="single" w:sz="4" w:space="0" w:color="auto"/>
            </w:tcBorders>
            <w:noWrap/>
            <w:vAlign w:val="bottom"/>
            <w:hideMark/>
          </w:tcPr>
          <w:p w14:paraId="2E8E4C19" w14:textId="213DE746" w:rsidR="0026616B" w:rsidRPr="00503320" w:rsidRDefault="00C534D8" w:rsidP="00291FAE">
            <w:pPr>
              <w:ind w:left="284"/>
              <w:rPr>
                <w:rFonts w:ascii="Cambria" w:hAnsi="Cambria" w:cs="Calibri"/>
                <w:color w:val="000000"/>
                <w:sz w:val="22"/>
                <w:szCs w:val="22"/>
              </w:rPr>
            </w:pPr>
            <w:r>
              <w:rPr>
                <w:rFonts w:ascii="Cambria" w:hAnsi="Cambria" w:cs="Calibri"/>
                <w:color w:val="000000"/>
                <w:sz w:val="22"/>
                <w:szCs w:val="22"/>
              </w:rPr>
              <w:t>BOLANGIR</w:t>
            </w:r>
          </w:p>
        </w:tc>
        <w:tc>
          <w:tcPr>
            <w:tcW w:w="2786" w:type="dxa"/>
            <w:tcBorders>
              <w:top w:val="nil"/>
              <w:left w:val="nil"/>
              <w:bottom w:val="single" w:sz="4" w:space="0" w:color="auto"/>
              <w:right w:val="single" w:sz="4" w:space="0" w:color="auto"/>
            </w:tcBorders>
            <w:noWrap/>
            <w:vAlign w:val="bottom"/>
            <w:hideMark/>
          </w:tcPr>
          <w:p w14:paraId="240A15E7" w14:textId="77777777" w:rsidR="0026616B" w:rsidRPr="00503320" w:rsidRDefault="0026616B" w:rsidP="00291FAE">
            <w:pPr>
              <w:ind w:left="284"/>
              <w:jc w:val="right"/>
              <w:rPr>
                <w:rFonts w:ascii="Cambria" w:hAnsi="Cambria" w:cs="Calibri"/>
                <w:color w:val="000000"/>
                <w:sz w:val="22"/>
                <w:szCs w:val="22"/>
              </w:rPr>
            </w:pPr>
            <w:r w:rsidRPr="00503320">
              <w:rPr>
                <w:rFonts w:ascii="Cambria" w:hAnsi="Cambria" w:cs="Calibri"/>
                <w:color w:val="000000"/>
                <w:sz w:val="22"/>
                <w:szCs w:val="22"/>
              </w:rPr>
              <w:t>600</w:t>
            </w:r>
          </w:p>
        </w:tc>
      </w:tr>
      <w:tr w:rsidR="0026616B" w:rsidRPr="00503320" w14:paraId="08B9CFF8" w14:textId="77777777" w:rsidTr="001F21DF">
        <w:trPr>
          <w:trHeight w:val="272"/>
          <w:jc w:val="center"/>
        </w:trPr>
        <w:tc>
          <w:tcPr>
            <w:tcW w:w="1537" w:type="dxa"/>
            <w:tcBorders>
              <w:top w:val="nil"/>
              <w:left w:val="single" w:sz="4" w:space="0" w:color="auto"/>
              <w:bottom w:val="single" w:sz="4" w:space="0" w:color="auto"/>
              <w:right w:val="single" w:sz="4" w:space="0" w:color="auto"/>
            </w:tcBorders>
            <w:noWrap/>
            <w:vAlign w:val="bottom"/>
            <w:hideMark/>
          </w:tcPr>
          <w:p w14:paraId="6D1F176F"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FY-24</w:t>
            </w:r>
          </w:p>
        </w:tc>
        <w:tc>
          <w:tcPr>
            <w:tcW w:w="2299" w:type="dxa"/>
            <w:tcBorders>
              <w:top w:val="nil"/>
              <w:left w:val="nil"/>
              <w:bottom w:val="single" w:sz="4" w:space="0" w:color="auto"/>
              <w:right w:val="single" w:sz="4" w:space="0" w:color="auto"/>
            </w:tcBorders>
            <w:noWrap/>
            <w:vAlign w:val="bottom"/>
            <w:hideMark/>
          </w:tcPr>
          <w:p w14:paraId="5CD2F043" w14:textId="0BA79086" w:rsidR="0026616B" w:rsidRPr="00503320" w:rsidRDefault="00C534D8" w:rsidP="00291FAE">
            <w:pPr>
              <w:ind w:left="284"/>
              <w:rPr>
                <w:rFonts w:ascii="Cambria" w:hAnsi="Cambria" w:cs="Calibri"/>
                <w:color w:val="000000"/>
                <w:sz w:val="22"/>
                <w:szCs w:val="22"/>
              </w:rPr>
            </w:pPr>
            <w:r>
              <w:rPr>
                <w:rFonts w:ascii="Cambria" w:hAnsi="Cambria" w:cs="Calibri"/>
                <w:color w:val="000000"/>
                <w:sz w:val="22"/>
                <w:szCs w:val="22"/>
              </w:rPr>
              <w:t>BOLANGIR</w:t>
            </w:r>
          </w:p>
        </w:tc>
        <w:tc>
          <w:tcPr>
            <w:tcW w:w="2786" w:type="dxa"/>
            <w:tcBorders>
              <w:top w:val="nil"/>
              <w:left w:val="nil"/>
              <w:bottom w:val="single" w:sz="4" w:space="0" w:color="auto"/>
              <w:right w:val="single" w:sz="4" w:space="0" w:color="auto"/>
            </w:tcBorders>
            <w:noWrap/>
            <w:vAlign w:val="bottom"/>
            <w:hideMark/>
          </w:tcPr>
          <w:p w14:paraId="23582CC2" w14:textId="77777777" w:rsidR="0026616B" w:rsidRPr="00503320" w:rsidRDefault="0026616B" w:rsidP="00291FAE">
            <w:pPr>
              <w:ind w:left="284"/>
              <w:jc w:val="right"/>
              <w:rPr>
                <w:rFonts w:ascii="Cambria" w:hAnsi="Cambria" w:cs="Calibri"/>
                <w:color w:val="000000"/>
                <w:sz w:val="22"/>
                <w:szCs w:val="22"/>
              </w:rPr>
            </w:pPr>
            <w:r w:rsidRPr="00503320">
              <w:rPr>
                <w:rFonts w:ascii="Cambria" w:hAnsi="Cambria" w:cs="Calibri"/>
                <w:color w:val="000000"/>
                <w:sz w:val="22"/>
                <w:szCs w:val="22"/>
              </w:rPr>
              <w:t>1100</w:t>
            </w:r>
          </w:p>
        </w:tc>
      </w:tr>
      <w:tr w:rsidR="0026616B" w:rsidRPr="00503320" w14:paraId="6D0224E7" w14:textId="77777777" w:rsidTr="001F21DF">
        <w:trPr>
          <w:trHeight w:val="272"/>
          <w:jc w:val="center"/>
        </w:trPr>
        <w:tc>
          <w:tcPr>
            <w:tcW w:w="1537" w:type="dxa"/>
            <w:tcBorders>
              <w:top w:val="nil"/>
              <w:left w:val="single" w:sz="4" w:space="0" w:color="auto"/>
              <w:bottom w:val="single" w:sz="4" w:space="0" w:color="auto"/>
              <w:right w:val="single" w:sz="4" w:space="0" w:color="auto"/>
            </w:tcBorders>
            <w:noWrap/>
            <w:vAlign w:val="bottom"/>
            <w:hideMark/>
          </w:tcPr>
          <w:p w14:paraId="5B6C0721"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FY-25</w:t>
            </w:r>
          </w:p>
        </w:tc>
        <w:tc>
          <w:tcPr>
            <w:tcW w:w="2299" w:type="dxa"/>
            <w:tcBorders>
              <w:top w:val="nil"/>
              <w:left w:val="nil"/>
              <w:bottom w:val="single" w:sz="4" w:space="0" w:color="auto"/>
              <w:right w:val="single" w:sz="4" w:space="0" w:color="auto"/>
            </w:tcBorders>
            <w:noWrap/>
            <w:vAlign w:val="bottom"/>
            <w:hideMark/>
          </w:tcPr>
          <w:p w14:paraId="5A5A5301" w14:textId="1FA2872C" w:rsidR="0026616B" w:rsidRPr="00503320" w:rsidRDefault="00C534D8" w:rsidP="00291FAE">
            <w:pPr>
              <w:ind w:left="284"/>
              <w:rPr>
                <w:rFonts w:ascii="Cambria" w:hAnsi="Cambria" w:cs="Calibri"/>
                <w:color w:val="000000"/>
                <w:sz w:val="22"/>
                <w:szCs w:val="22"/>
              </w:rPr>
            </w:pPr>
            <w:r>
              <w:rPr>
                <w:rFonts w:ascii="Cambria" w:hAnsi="Cambria" w:cs="Calibri"/>
                <w:color w:val="000000"/>
                <w:sz w:val="22"/>
                <w:szCs w:val="22"/>
              </w:rPr>
              <w:t>BOLANGIR</w:t>
            </w:r>
          </w:p>
        </w:tc>
        <w:tc>
          <w:tcPr>
            <w:tcW w:w="2786" w:type="dxa"/>
            <w:tcBorders>
              <w:top w:val="nil"/>
              <w:left w:val="nil"/>
              <w:bottom w:val="single" w:sz="4" w:space="0" w:color="auto"/>
              <w:right w:val="single" w:sz="4" w:space="0" w:color="auto"/>
            </w:tcBorders>
            <w:noWrap/>
            <w:vAlign w:val="bottom"/>
            <w:hideMark/>
          </w:tcPr>
          <w:p w14:paraId="562F3B48" w14:textId="77777777" w:rsidR="0026616B" w:rsidRPr="00503320" w:rsidRDefault="0026616B" w:rsidP="00291FAE">
            <w:pPr>
              <w:ind w:left="284"/>
              <w:jc w:val="right"/>
              <w:rPr>
                <w:rFonts w:ascii="Cambria" w:hAnsi="Cambria" w:cs="Calibri"/>
                <w:color w:val="000000"/>
                <w:sz w:val="22"/>
                <w:szCs w:val="22"/>
              </w:rPr>
            </w:pPr>
            <w:r w:rsidRPr="00503320">
              <w:rPr>
                <w:rFonts w:ascii="Cambria" w:hAnsi="Cambria" w:cs="Calibri"/>
                <w:color w:val="000000"/>
                <w:sz w:val="22"/>
                <w:szCs w:val="22"/>
              </w:rPr>
              <w:t>1750</w:t>
            </w:r>
          </w:p>
        </w:tc>
      </w:tr>
      <w:tr w:rsidR="0026616B" w:rsidRPr="00503320" w14:paraId="5A79E4F6" w14:textId="77777777" w:rsidTr="001F21DF">
        <w:trPr>
          <w:trHeight w:val="272"/>
          <w:jc w:val="center"/>
        </w:trPr>
        <w:tc>
          <w:tcPr>
            <w:tcW w:w="1537" w:type="dxa"/>
            <w:tcBorders>
              <w:top w:val="nil"/>
              <w:left w:val="single" w:sz="4" w:space="0" w:color="auto"/>
              <w:bottom w:val="single" w:sz="4" w:space="0" w:color="auto"/>
              <w:right w:val="single" w:sz="4" w:space="0" w:color="auto"/>
            </w:tcBorders>
            <w:noWrap/>
            <w:vAlign w:val="bottom"/>
            <w:hideMark/>
          </w:tcPr>
          <w:p w14:paraId="064E9367"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FY-23</w:t>
            </w:r>
          </w:p>
        </w:tc>
        <w:tc>
          <w:tcPr>
            <w:tcW w:w="2299" w:type="dxa"/>
            <w:tcBorders>
              <w:top w:val="nil"/>
              <w:left w:val="nil"/>
              <w:bottom w:val="single" w:sz="4" w:space="0" w:color="auto"/>
              <w:right w:val="single" w:sz="4" w:space="0" w:color="auto"/>
            </w:tcBorders>
            <w:noWrap/>
            <w:vAlign w:val="bottom"/>
            <w:hideMark/>
          </w:tcPr>
          <w:p w14:paraId="0F799609"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BARGARH</w:t>
            </w:r>
          </w:p>
        </w:tc>
        <w:tc>
          <w:tcPr>
            <w:tcW w:w="2786" w:type="dxa"/>
            <w:tcBorders>
              <w:top w:val="nil"/>
              <w:left w:val="nil"/>
              <w:bottom w:val="single" w:sz="4" w:space="0" w:color="auto"/>
              <w:right w:val="single" w:sz="4" w:space="0" w:color="auto"/>
            </w:tcBorders>
            <w:noWrap/>
            <w:vAlign w:val="bottom"/>
            <w:hideMark/>
          </w:tcPr>
          <w:p w14:paraId="467D92EA" w14:textId="77777777" w:rsidR="0026616B" w:rsidRPr="00503320" w:rsidRDefault="0026616B" w:rsidP="00291FAE">
            <w:pPr>
              <w:ind w:left="284"/>
              <w:jc w:val="right"/>
              <w:rPr>
                <w:rFonts w:ascii="Cambria" w:hAnsi="Cambria" w:cs="Calibri"/>
                <w:color w:val="000000"/>
                <w:sz w:val="22"/>
                <w:szCs w:val="22"/>
              </w:rPr>
            </w:pPr>
            <w:r w:rsidRPr="00503320">
              <w:rPr>
                <w:rFonts w:ascii="Cambria" w:hAnsi="Cambria" w:cs="Calibri"/>
                <w:color w:val="000000"/>
                <w:sz w:val="22"/>
                <w:szCs w:val="22"/>
              </w:rPr>
              <w:t>601</w:t>
            </w:r>
          </w:p>
        </w:tc>
      </w:tr>
      <w:tr w:rsidR="0026616B" w:rsidRPr="00503320" w14:paraId="71D628A1" w14:textId="77777777" w:rsidTr="001F21DF">
        <w:trPr>
          <w:trHeight w:val="272"/>
          <w:jc w:val="center"/>
        </w:trPr>
        <w:tc>
          <w:tcPr>
            <w:tcW w:w="1537" w:type="dxa"/>
            <w:tcBorders>
              <w:top w:val="nil"/>
              <w:left w:val="single" w:sz="4" w:space="0" w:color="auto"/>
              <w:bottom w:val="single" w:sz="4" w:space="0" w:color="auto"/>
              <w:right w:val="single" w:sz="4" w:space="0" w:color="auto"/>
            </w:tcBorders>
            <w:noWrap/>
            <w:vAlign w:val="bottom"/>
            <w:hideMark/>
          </w:tcPr>
          <w:p w14:paraId="115195ED"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FY-24</w:t>
            </w:r>
          </w:p>
        </w:tc>
        <w:tc>
          <w:tcPr>
            <w:tcW w:w="2299" w:type="dxa"/>
            <w:tcBorders>
              <w:top w:val="nil"/>
              <w:left w:val="nil"/>
              <w:bottom w:val="single" w:sz="4" w:space="0" w:color="auto"/>
              <w:right w:val="single" w:sz="4" w:space="0" w:color="auto"/>
            </w:tcBorders>
            <w:noWrap/>
            <w:vAlign w:val="bottom"/>
            <w:hideMark/>
          </w:tcPr>
          <w:p w14:paraId="01F14F70"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BARGARH</w:t>
            </w:r>
          </w:p>
        </w:tc>
        <w:tc>
          <w:tcPr>
            <w:tcW w:w="2786" w:type="dxa"/>
            <w:tcBorders>
              <w:top w:val="nil"/>
              <w:left w:val="nil"/>
              <w:bottom w:val="single" w:sz="4" w:space="0" w:color="auto"/>
              <w:right w:val="single" w:sz="4" w:space="0" w:color="auto"/>
            </w:tcBorders>
            <w:noWrap/>
            <w:vAlign w:val="bottom"/>
            <w:hideMark/>
          </w:tcPr>
          <w:p w14:paraId="218120DB" w14:textId="77777777" w:rsidR="0026616B" w:rsidRPr="00503320" w:rsidRDefault="0026616B" w:rsidP="00291FAE">
            <w:pPr>
              <w:ind w:left="284"/>
              <w:jc w:val="right"/>
              <w:rPr>
                <w:rFonts w:ascii="Cambria" w:hAnsi="Cambria" w:cs="Calibri"/>
                <w:color w:val="000000"/>
                <w:sz w:val="22"/>
                <w:szCs w:val="22"/>
              </w:rPr>
            </w:pPr>
            <w:r w:rsidRPr="00503320">
              <w:rPr>
                <w:rFonts w:ascii="Cambria" w:hAnsi="Cambria" w:cs="Calibri"/>
                <w:color w:val="000000"/>
                <w:sz w:val="22"/>
                <w:szCs w:val="22"/>
              </w:rPr>
              <w:t>1000</w:t>
            </w:r>
          </w:p>
        </w:tc>
      </w:tr>
      <w:tr w:rsidR="0026616B" w:rsidRPr="00503320" w14:paraId="57A223E5" w14:textId="77777777" w:rsidTr="001F21DF">
        <w:trPr>
          <w:trHeight w:val="272"/>
          <w:jc w:val="center"/>
        </w:trPr>
        <w:tc>
          <w:tcPr>
            <w:tcW w:w="1537" w:type="dxa"/>
            <w:tcBorders>
              <w:top w:val="nil"/>
              <w:left w:val="single" w:sz="4" w:space="0" w:color="auto"/>
              <w:bottom w:val="single" w:sz="4" w:space="0" w:color="auto"/>
              <w:right w:val="single" w:sz="4" w:space="0" w:color="auto"/>
            </w:tcBorders>
            <w:noWrap/>
            <w:vAlign w:val="bottom"/>
            <w:hideMark/>
          </w:tcPr>
          <w:p w14:paraId="3FE1ACBD"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FY-25</w:t>
            </w:r>
          </w:p>
        </w:tc>
        <w:tc>
          <w:tcPr>
            <w:tcW w:w="2299" w:type="dxa"/>
            <w:tcBorders>
              <w:top w:val="nil"/>
              <w:left w:val="nil"/>
              <w:bottom w:val="single" w:sz="4" w:space="0" w:color="auto"/>
              <w:right w:val="single" w:sz="4" w:space="0" w:color="auto"/>
            </w:tcBorders>
            <w:noWrap/>
            <w:vAlign w:val="bottom"/>
            <w:hideMark/>
          </w:tcPr>
          <w:p w14:paraId="4FAC9910"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BARGARH</w:t>
            </w:r>
          </w:p>
        </w:tc>
        <w:tc>
          <w:tcPr>
            <w:tcW w:w="2786" w:type="dxa"/>
            <w:tcBorders>
              <w:top w:val="nil"/>
              <w:left w:val="nil"/>
              <w:bottom w:val="single" w:sz="4" w:space="0" w:color="auto"/>
              <w:right w:val="single" w:sz="4" w:space="0" w:color="auto"/>
            </w:tcBorders>
            <w:noWrap/>
            <w:vAlign w:val="bottom"/>
            <w:hideMark/>
          </w:tcPr>
          <w:p w14:paraId="2B78E2D1" w14:textId="77777777" w:rsidR="0026616B" w:rsidRPr="00503320" w:rsidRDefault="0026616B" w:rsidP="00291FAE">
            <w:pPr>
              <w:ind w:left="284"/>
              <w:jc w:val="right"/>
              <w:rPr>
                <w:rFonts w:ascii="Cambria" w:hAnsi="Cambria" w:cs="Calibri"/>
                <w:color w:val="000000"/>
                <w:sz w:val="22"/>
                <w:szCs w:val="22"/>
              </w:rPr>
            </w:pPr>
            <w:r w:rsidRPr="00503320">
              <w:rPr>
                <w:rFonts w:ascii="Cambria" w:hAnsi="Cambria" w:cs="Calibri"/>
                <w:color w:val="000000"/>
                <w:sz w:val="22"/>
                <w:szCs w:val="22"/>
              </w:rPr>
              <w:t>1300</w:t>
            </w:r>
          </w:p>
        </w:tc>
      </w:tr>
      <w:tr w:rsidR="0026616B" w:rsidRPr="00503320" w14:paraId="3C64F3EE" w14:textId="77777777" w:rsidTr="001F21DF">
        <w:trPr>
          <w:trHeight w:val="272"/>
          <w:jc w:val="center"/>
        </w:trPr>
        <w:tc>
          <w:tcPr>
            <w:tcW w:w="1537" w:type="dxa"/>
            <w:tcBorders>
              <w:top w:val="nil"/>
              <w:left w:val="single" w:sz="4" w:space="0" w:color="auto"/>
              <w:bottom w:val="single" w:sz="4" w:space="0" w:color="auto"/>
              <w:right w:val="single" w:sz="4" w:space="0" w:color="auto"/>
            </w:tcBorders>
            <w:noWrap/>
            <w:vAlign w:val="bottom"/>
            <w:hideMark/>
          </w:tcPr>
          <w:p w14:paraId="0247FC56"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FY-23</w:t>
            </w:r>
          </w:p>
        </w:tc>
        <w:tc>
          <w:tcPr>
            <w:tcW w:w="2299" w:type="dxa"/>
            <w:tcBorders>
              <w:top w:val="nil"/>
              <w:left w:val="nil"/>
              <w:bottom w:val="single" w:sz="4" w:space="0" w:color="auto"/>
              <w:right w:val="single" w:sz="4" w:space="0" w:color="auto"/>
            </w:tcBorders>
            <w:noWrap/>
            <w:vAlign w:val="bottom"/>
            <w:hideMark/>
          </w:tcPr>
          <w:p w14:paraId="1EA81130"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SAMBALPUR</w:t>
            </w:r>
          </w:p>
        </w:tc>
        <w:tc>
          <w:tcPr>
            <w:tcW w:w="2786" w:type="dxa"/>
            <w:tcBorders>
              <w:top w:val="nil"/>
              <w:left w:val="nil"/>
              <w:bottom w:val="single" w:sz="4" w:space="0" w:color="auto"/>
              <w:right w:val="single" w:sz="4" w:space="0" w:color="auto"/>
            </w:tcBorders>
            <w:noWrap/>
            <w:vAlign w:val="bottom"/>
            <w:hideMark/>
          </w:tcPr>
          <w:p w14:paraId="30A81CC8" w14:textId="77777777" w:rsidR="0026616B" w:rsidRPr="00503320" w:rsidRDefault="0026616B" w:rsidP="00291FAE">
            <w:pPr>
              <w:ind w:left="284"/>
              <w:jc w:val="right"/>
              <w:rPr>
                <w:rFonts w:ascii="Cambria" w:hAnsi="Cambria" w:cs="Calibri"/>
                <w:color w:val="000000"/>
                <w:sz w:val="22"/>
                <w:szCs w:val="22"/>
              </w:rPr>
            </w:pPr>
            <w:r w:rsidRPr="00503320">
              <w:rPr>
                <w:rFonts w:ascii="Cambria" w:hAnsi="Cambria" w:cs="Calibri"/>
                <w:color w:val="000000"/>
                <w:sz w:val="22"/>
                <w:szCs w:val="22"/>
              </w:rPr>
              <w:t>500</w:t>
            </w:r>
          </w:p>
        </w:tc>
      </w:tr>
      <w:tr w:rsidR="0026616B" w:rsidRPr="00503320" w14:paraId="61F68E6D" w14:textId="77777777" w:rsidTr="001F21DF">
        <w:trPr>
          <w:trHeight w:val="272"/>
          <w:jc w:val="center"/>
        </w:trPr>
        <w:tc>
          <w:tcPr>
            <w:tcW w:w="1537" w:type="dxa"/>
            <w:tcBorders>
              <w:top w:val="nil"/>
              <w:left w:val="single" w:sz="4" w:space="0" w:color="auto"/>
              <w:bottom w:val="single" w:sz="4" w:space="0" w:color="auto"/>
              <w:right w:val="single" w:sz="4" w:space="0" w:color="auto"/>
            </w:tcBorders>
            <w:noWrap/>
            <w:vAlign w:val="bottom"/>
            <w:hideMark/>
          </w:tcPr>
          <w:p w14:paraId="07EED20C"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FY-24</w:t>
            </w:r>
          </w:p>
        </w:tc>
        <w:tc>
          <w:tcPr>
            <w:tcW w:w="2299" w:type="dxa"/>
            <w:tcBorders>
              <w:top w:val="nil"/>
              <w:left w:val="nil"/>
              <w:bottom w:val="single" w:sz="4" w:space="0" w:color="auto"/>
              <w:right w:val="single" w:sz="4" w:space="0" w:color="auto"/>
            </w:tcBorders>
            <w:noWrap/>
            <w:vAlign w:val="bottom"/>
            <w:hideMark/>
          </w:tcPr>
          <w:p w14:paraId="6FFCCF01"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SAMBALPUR</w:t>
            </w:r>
          </w:p>
        </w:tc>
        <w:tc>
          <w:tcPr>
            <w:tcW w:w="2786" w:type="dxa"/>
            <w:tcBorders>
              <w:top w:val="nil"/>
              <w:left w:val="nil"/>
              <w:bottom w:val="single" w:sz="4" w:space="0" w:color="auto"/>
              <w:right w:val="single" w:sz="4" w:space="0" w:color="auto"/>
            </w:tcBorders>
            <w:noWrap/>
            <w:vAlign w:val="bottom"/>
            <w:hideMark/>
          </w:tcPr>
          <w:p w14:paraId="509E3F7D" w14:textId="77777777" w:rsidR="0026616B" w:rsidRPr="00503320" w:rsidRDefault="0026616B" w:rsidP="00291FAE">
            <w:pPr>
              <w:ind w:left="284"/>
              <w:jc w:val="right"/>
              <w:rPr>
                <w:rFonts w:ascii="Cambria" w:hAnsi="Cambria" w:cs="Calibri"/>
                <w:color w:val="000000"/>
                <w:sz w:val="22"/>
                <w:szCs w:val="22"/>
              </w:rPr>
            </w:pPr>
            <w:r w:rsidRPr="00503320">
              <w:rPr>
                <w:rFonts w:ascii="Cambria" w:hAnsi="Cambria" w:cs="Calibri"/>
                <w:color w:val="000000"/>
                <w:sz w:val="22"/>
                <w:szCs w:val="22"/>
              </w:rPr>
              <w:t>2500</w:t>
            </w:r>
          </w:p>
        </w:tc>
      </w:tr>
      <w:tr w:rsidR="0026616B" w:rsidRPr="00503320" w14:paraId="16E7402C" w14:textId="77777777" w:rsidTr="001F21DF">
        <w:trPr>
          <w:trHeight w:val="272"/>
          <w:jc w:val="center"/>
        </w:trPr>
        <w:tc>
          <w:tcPr>
            <w:tcW w:w="1537" w:type="dxa"/>
            <w:tcBorders>
              <w:top w:val="nil"/>
              <w:left w:val="single" w:sz="4" w:space="0" w:color="auto"/>
              <w:bottom w:val="single" w:sz="4" w:space="0" w:color="auto"/>
              <w:right w:val="single" w:sz="4" w:space="0" w:color="auto"/>
            </w:tcBorders>
            <w:noWrap/>
            <w:vAlign w:val="bottom"/>
            <w:hideMark/>
          </w:tcPr>
          <w:p w14:paraId="4AC2DAA4"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FY-25</w:t>
            </w:r>
          </w:p>
        </w:tc>
        <w:tc>
          <w:tcPr>
            <w:tcW w:w="2299" w:type="dxa"/>
            <w:tcBorders>
              <w:top w:val="nil"/>
              <w:left w:val="nil"/>
              <w:bottom w:val="single" w:sz="4" w:space="0" w:color="auto"/>
              <w:right w:val="single" w:sz="4" w:space="0" w:color="auto"/>
            </w:tcBorders>
            <w:noWrap/>
            <w:vAlign w:val="bottom"/>
            <w:hideMark/>
          </w:tcPr>
          <w:p w14:paraId="304AA6C3"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SAMBALPUR</w:t>
            </w:r>
          </w:p>
        </w:tc>
        <w:tc>
          <w:tcPr>
            <w:tcW w:w="2786" w:type="dxa"/>
            <w:tcBorders>
              <w:top w:val="nil"/>
              <w:left w:val="nil"/>
              <w:bottom w:val="single" w:sz="4" w:space="0" w:color="auto"/>
              <w:right w:val="single" w:sz="4" w:space="0" w:color="auto"/>
            </w:tcBorders>
            <w:noWrap/>
            <w:vAlign w:val="bottom"/>
            <w:hideMark/>
          </w:tcPr>
          <w:p w14:paraId="3AEC50DF" w14:textId="77777777" w:rsidR="0026616B" w:rsidRPr="00503320" w:rsidRDefault="0026616B" w:rsidP="00291FAE">
            <w:pPr>
              <w:ind w:left="284"/>
              <w:jc w:val="right"/>
              <w:rPr>
                <w:rFonts w:ascii="Cambria" w:hAnsi="Cambria" w:cs="Calibri"/>
                <w:color w:val="000000"/>
                <w:sz w:val="22"/>
                <w:szCs w:val="22"/>
              </w:rPr>
            </w:pPr>
            <w:r w:rsidRPr="00503320">
              <w:rPr>
                <w:rFonts w:ascii="Cambria" w:hAnsi="Cambria" w:cs="Calibri"/>
                <w:color w:val="000000"/>
                <w:sz w:val="22"/>
                <w:szCs w:val="22"/>
              </w:rPr>
              <w:t>2450</w:t>
            </w:r>
          </w:p>
        </w:tc>
      </w:tr>
      <w:tr w:rsidR="0026616B" w:rsidRPr="00503320" w14:paraId="392C18D5" w14:textId="77777777" w:rsidTr="001F21DF">
        <w:trPr>
          <w:trHeight w:val="272"/>
          <w:jc w:val="center"/>
        </w:trPr>
        <w:tc>
          <w:tcPr>
            <w:tcW w:w="1537" w:type="dxa"/>
            <w:tcBorders>
              <w:top w:val="nil"/>
              <w:left w:val="single" w:sz="4" w:space="0" w:color="auto"/>
              <w:bottom w:val="single" w:sz="4" w:space="0" w:color="auto"/>
              <w:right w:val="single" w:sz="4" w:space="0" w:color="auto"/>
            </w:tcBorders>
            <w:noWrap/>
            <w:vAlign w:val="bottom"/>
            <w:hideMark/>
          </w:tcPr>
          <w:p w14:paraId="4095A490"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FY-23</w:t>
            </w:r>
          </w:p>
        </w:tc>
        <w:tc>
          <w:tcPr>
            <w:tcW w:w="2299" w:type="dxa"/>
            <w:tcBorders>
              <w:top w:val="nil"/>
              <w:left w:val="nil"/>
              <w:bottom w:val="single" w:sz="4" w:space="0" w:color="auto"/>
              <w:right w:val="single" w:sz="4" w:space="0" w:color="auto"/>
            </w:tcBorders>
            <w:noWrap/>
            <w:vAlign w:val="bottom"/>
            <w:hideMark/>
          </w:tcPr>
          <w:p w14:paraId="47D6F437"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KALAHANDI</w:t>
            </w:r>
          </w:p>
        </w:tc>
        <w:tc>
          <w:tcPr>
            <w:tcW w:w="2786" w:type="dxa"/>
            <w:tcBorders>
              <w:top w:val="nil"/>
              <w:left w:val="nil"/>
              <w:bottom w:val="single" w:sz="4" w:space="0" w:color="auto"/>
              <w:right w:val="single" w:sz="4" w:space="0" w:color="auto"/>
            </w:tcBorders>
            <w:noWrap/>
            <w:vAlign w:val="bottom"/>
            <w:hideMark/>
          </w:tcPr>
          <w:p w14:paraId="1C63BBE6" w14:textId="77777777" w:rsidR="0026616B" w:rsidRPr="00503320" w:rsidRDefault="0026616B" w:rsidP="00291FAE">
            <w:pPr>
              <w:ind w:left="284"/>
              <w:jc w:val="right"/>
              <w:rPr>
                <w:rFonts w:ascii="Cambria" w:hAnsi="Cambria" w:cs="Calibri"/>
                <w:color w:val="000000"/>
                <w:sz w:val="22"/>
                <w:szCs w:val="22"/>
              </w:rPr>
            </w:pPr>
            <w:r w:rsidRPr="00503320">
              <w:rPr>
                <w:rFonts w:ascii="Cambria" w:hAnsi="Cambria" w:cs="Calibri"/>
                <w:color w:val="000000"/>
                <w:sz w:val="22"/>
                <w:szCs w:val="22"/>
              </w:rPr>
              <w:t>413</w:t>
            </w:r>
          </w:p>
        </w:tc>
      </w:tr>
      <w:tr w:rsidR="0026616B" w:rsidRPr="00503320" w14:paraId="26C43146" w14:textId="77777777" w:rsidTr="001F21DF">
        <w:trPr>
          <w:trHeight w:val="272"/>
          <w:jc w:val="center"/>
        </w:trPr>
        <w:tc>
          <w:tcPr>
            <w:tcW w:w="1537" w:type="dxa"/>
            <w:tcBorders>
              <w:top w:val="nil"/>
              <w:left w:val="single" w:sz="4" w:space="0" w:color="auto"/>
              <w:bottom w:val="single" w:sz="4" w:space="0" w:color="auto"/>
              <w:right w:val="single" w:sz="4" w:space="0" w:color="auto"/>
            </w:tcBorders>
            <w:noWrap/>
            <w:vAlign w:val="bottom"/>
            <w:hideMark/>
          </w:tcPr>
          <w:p w14:paraId="6BC178A5"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FY-24</w:t>
            </w:r>
          </w:p>
        </w:tc>
        <w:tc>
          <w:tcPr>
            <w:tcW w:w="2299" w:type="dxa"/>
            <w:tcBorders>
              <w:top w:val="nil"/>
              <w:left w:val="nil"/>
              <w:bottom w:val="single" w:sz="4" w:space="0" w:color="auto"/>
              <w:right w:val="single" w:sz="4" w:space="0" w:color="auto"/>
            </w:tcBorders>
            <w:noWrap/>
            <w:vAlign w:val="bottom"/>
            <w:hideMark/>
          </w:tcPr>
          <w:p w14:paraId="783E46E7"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KALAHANDI</w:t>
            </w:r>
          </w:p>
        </w:tc>
        <w:tc>
          <w:tcPr>
            <w:tcW w:w="2786" w:type="dxa"/>
            <w:tcBorders>
              <w:top w:val="nil"/>
              <w:left w:val="nil"/>
              <w:bottom w:val="single" w:sz="4" w:space="0" w:color="auto"/>
              <w:right w:val="single" w:sz="4" w:space="0" w:color="auto"/>
            </w:tcBorders>
            <w:noWrap/>
            <w:vAlign w:val="bottom"/>
            <w:hideMark/>
          </w:tcPr>
          <w:p w14:paraId="0832FA97" w14:textId="77777777" w:rsidR="0026616B" w:rsidRPr="00503320" w:rsidRDefault="0026616B" w:rsidP="00291FAE">
            <w:pPr>
              <w:ind w:left="284"/>
              <w:jc w:val="right"/>
              <w:rPr>
                <w:rFonts w:ascii="Cambria" w:hAnsi="Cambria" w:cs="Calibri"/>
                <w:color w:val="000000"/>
                <w:sz w:val="22"/>
                <w:szCs w:val="22"/>
              </w:rPr>
            </w:pPr>
            <w:r w:rsidRPr="00503320">
              <w:rPr>
                <w:rFonts w:ascii="Cambria" w:hAnsi="Cambria" w:cs="Calibri"/>
                <w:color w:val="000000"/>
                <w:sz w:val="22"/>
                <w:szCs w:val="22"/>
              </w:rPr>
              <w:t>660</w:t>
            </w:r>
          </w:p>
        </w:tc>
      </w:tr>
      <w:tr w:rsidR="0026616B" w:rsidRPr="00503320" w14:paraId="66BEA0F7" w14:textId="77777777" w:rsidTr="001F21DF">
        <w:trPr>
          <w:trHeight w:val="272"/>
          <w:jc w:val="center"/>
        </w:trPr>
        <w:tc>
          <w:tcPr>
            <w:tcW w:w="1537" w:type="dxa"/>
            <w:tcBorders>
              <w:top w:val="nil"/>
              <w:left w:val="single" w:sz="4" w:space="0" w:color="auto"/>
              <w:bottom w:val="single" w:sz="4" w:space="0" w:color="auto"/>
              <w:right w:val="single" w:sz="4" w:space="0" w:color="auto"/>
            </w:tcBorders>
            <w:noWrap/>
            <w:vAlign w:val="bottom"/>
            <w:hideMark/>
          </w:tcPr>
          <w:p w14:paraId="4FA309AB"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FY-25</w:t>
            </w:r>
          </w:p>
        </w:tc>
        <w:tc>
          <w:tcPr>
            <w:tcW w:w="2299" w:type="dxa"/>
            <w:tcBorders>
              <w:top w:val="nil"/>
              <w:left w:val="nil"/>
              <w:bottom w:val="single" w:sz="4" w:space="0" w:color="auto"/>
              <w:right w:val="single" w:sz="4" w:space="0" w:color="auto"/>
            </w:tcBorders>
            <w:noWrap/>
            <w:vAlign w:val="bottom"/>
            <w:hideMark/>
          </w:tcPr>
          <w:p w14:paraId="3CB6CAA6" w14:textId="77777777" w:rsidR="0026616B" w:rsidRPr="00503320" w:rsidRDefault="0026616B" w:rsidP="00291FAE">
            <w:pPr>
              <w:ind w:left="284"/>
              <w:rPr>
                <w:rFonts w:ascii="Cambria" w:hAnsi="Cambria" w:cs="Calibri"/>
                <w:color w:val="000000"/>
                <w:sz w:val="22"/>
                <w:szCs w:val="22"/>
              </w:rPr>
            </w:pPr>
            <w:r w:rsidRPr="00503320">
              <w:rPr>
                <w:rFonts w:ascii="Cambria" w:hAnsi="Cambria" w:cs="Calibri"/>
                <w:color w:val="000000"/>
                <w:sz w:val="22"/>
                <w:szCs w:val="22"/>
              </w:rPr>
              <w:t>KALAHANDI</w:t>
            </w:r>
          </w:p>
        </w:tc>
        <w:tc>
          <w:tcPr>
            <w:tcW w:w="2786" w:type="dxa"/>
            <w:tcBorders>
              <w:top w:val="nil"/>
              <w:left w:val="nil"/>
              <w:bottom w:val="single" w:sz="4" w:space="0" w:color="auto"/>
              <w:right w:val="single" w:sz="4" w:space="0" w:color="auto"/>
            </w:tcBorders>
            <w:noWrap/>
            <w:vAlign w:val="bottom"/>
            <w:hideMark/>
          </w:tcPr>
          <w:p w14:paraId="4B8920DD" w14:textId="77777777" w:rsidR="0026616B" w:rsidRPr="00503320" w:rsidRDefault="0026616B" w:rsidP="00291FAE">
            <w:pPr>
              <w:ind w:left="284"/>
              <w:jc w:val="right"/>
              <w:rPr>
                <w:rFonts w:ascii="Cambria" w:hAnsi="Cambria" w:cs="Calibri"/>
                <w:color w:val="000000"/>
                <w:sz w:val="22"/>
                <w:szCs w:val="22"/>
              </w:rPr>
            </w:pPr>
            <w:r w:rsidRPr="00503320">
              <w:rPr>
                <w:rFonts w:ascii="Cambria" w:hAnsi="Cambria" w:cs="Calibri"/>
                <w:color w:val="000000"/>
                <w:sz w:val="22"/>
                <w:szCs w:val="22"/>
              </w:rPr>
              <w:t>1270</w:t>
            </w:r>
          </w:p>
        </w:tc>
      </w:tr>
      <w:tr w:rsidR="0026616B" w:rsidRPr="00503320" w14:paraId="264C2C27" w14:textId="77777777" w:rsidTr="001F21DF">
        <w:trPr>
          <w:trHeight w:val="272"/>
          <w:jc w:val="center"/>
        </w:trPr>
        <w:tc>
          <w:tcPr>
            <w:tcW w:w="3836" w:type="dxa"/>
            <w:gridSpan w:val="2"/>
            <w:tcBorders>
              <w:top w:val="single" w:sz="4" w:space="0" w:color="auto"/>
              <w:left w:val="single" w:sz="4" w:space="0" w:color="auto"/>
              <w:bottom w:val="single" w:sz="4" w:space="0" w:color="auto"/>
              <w:right w:val="single" w:sz="4" w:space="0" w:color="auto"/>
            </w:tcBorders>
            <w:noWrap/>
            <w:vAlign w:val="bottom"/>
            <w:hideMark/>
          </w:tcPr>
          <w:p w14:paraId="3A320609" w14:textId="77777777" w:rsidR="0026616B" w:rsidRPr="00F1242D" w:rsidRDefault="0026616B" w:rsidP="00291FAE">
            <w:pPr>
              <w:ind w:left="284"/>
              <w:jc w:val="center"/>
              <w:rPr>
                <w:rFonts w:ascii="Cambria" w:hAnsi="Cambria" w:cs="Calibri"/>
                <w:b/>
                <w:bCs/>
                <w:color w:val="000000"/>
                <w:sz w:val="22"/>
                <w:szCs w:val="22"/>
              </w:rPr>
            </w:pPr>
            <w:r w:rsidRPr="00F1242D">
              <w:rPr>
                <w:rFonts w:ascii="Cambria" w:hAnsi="Cambria" w:cs="Calibri"/>
                <w:b/>
                <w:bCs/>
                <w:color w:val="000000"/>
                <w:sz w:val="22"/>
                <w:szCs w:val="22"/>
              </w:rPr>
              <w:t>Total</w:t>
            </w:r>
          </w:p>
        </w:tc>
        <w:tc>
          <w:tcPr>
            <w:tcW w:w="2786" w:type="dxa"/>
            <w:tcBorders>
              <w:top w:val="nil"/>
              <w:left w:val="nil"/>
              <w:bottom w:val="single" w:sz="4" w:space="0" w:color="auto"/>
              <w:right w:val="single" w:sz="4" w:space="0" w:color="auto"/>
            </w:tcBorders>
            <w:noWrap/>
            <w:vAlign w:val="bottom"/>
            <w:hideMark/>
          </w:tcPr>
          <w:p w14:paraId="2C1E6D19" w14:textId="77777777" w:rsidR="0026616B" w:rsidRPr="00F1242D" w:rsidRDefault="0026616B" w:rsidP="00291FAE">
            <w:pPr>
              <w:ind w:left="284"/>
              <w:jc w:val="right"/>
              <w:rPr>
                <w:rFonts w:ascii="Cambria" w:hAnsi="Cambria" w:cs="Calibri"/>
                <w:b/>
                <w:bCs/>
                <w:color w:val="000000"/>
                <w:sz w:val="22"/>
                <w:szCs w:val="22"/>
              </w:rPr>
            </w:pPr>
            <w:r w:rsidRPr="00F1242D">
              <w:rPr>
                <w:rFonts w:ascii="Cambria" w:hAnsi="Cambria" w:cs="Calibri"/>
                <w:b/>
                <w:bCs/>
                <w:color w:val="000000"/>
                <w:sz w:val="22"/>
                <w:szCs w:val="22"/>
              </w:rPr>
              <w:t>19820</w:t>
            </w:r>
          </w:p>
        </w:tc>
      </w:tr>
    </w:tbl>
    <w:p w14:paraId="5346A65D" w14:textId="77777777" w:rsidR="0026616B" w:rsidRDefault="0026616B" w:rsidP="00291FAE">
      <w:pPr>
        <w:pStyle w:val="ListParagraph"/>
        <w:spacing w:after="160" w:line="360" w:lineRule="auto"/>
        <w:ind w:left="284"/>
        <w:jc w:val="both"/>
        <w:rPr>
          <w:rFonts w:ascii="Cambria" w:hAnsi="Cambria"/>
        </w:rPr>
      </w:pPr>
    </w:p>
    <w:p w14:paraId="58692197" w14:textId="77777777" w:rsidR="0026616B" w:rsidRPr="00773505" w:rsidRDefault="0026616B" w:rsidP="00291FAE">
      <w:pPr>
        <w:pStyle w:val="ListParagraph"/>
        <w:spacing w:after="160" w:line="360" w:lineRule="auto"/>
        <w:ind w:left="284"/>
        <w:jc w:val="both"/>
        <w:rPr>
          <w:rFonts w:ascii="Cambria" w:hAnsi="Cambria"/>
          <w:sz w:val="24"/>
        </w:rPr>
      </w:pPr>
      <w:r>
        <w:rPr>
          <w:rFonts w:ascii="Cambria" w:hAnsi="Cambria"/>
        </w:rPr>
        <w:t xml:space="preserve">b) </w:t>
      </w:r>
      <w:r w:rsidRPr="00773505">
        <w:rPr>
          <w:rFonts w:ascii="Cambria" w:hAnsi="Cambria"/>
          <w:sz w:val="24"/>
        </w:rPr>
        <w:t>With regard to the conversion of overhead (OH) lines to underground (UG) cable systems, it is submitted that no major conversion of OH to UG cable work has been undertaken till date. However, approximately 2 CKM of OH line augmentation has been carried out in specific sections where Right of Way (</w:t>
      </w:r>
      <w:proofErr w:type="spellStart"/>
      <w:r w:rsidRPr="00773505">
        <w:rPr>
          <w:rFonts w:ascii="Cambria" w:hAnsi="Cambria"/>
          <w:sz w:val="24"/>
        </w:rPr>
        <w:t>RoW</w:t>
      </w:r>
      <w:proofErr w:type="spellEnd"/>
      <w:r w:rsidRPr="00773505">
        <w:rPr>
          <w:rFonts w:ascii="Cambria" w:hAnsi="Cambria"/>
          <w:sz w:val="24"/>
        </w:rPr>
        <w:t>), road crossing, and tower crossing issues were encountered.</w:t>
      </w:r>
    </w:p>
    <w:p w14:paraId="543A7598" w14:textId="77777777" w:rsidR="0026616B" w:rsidRPr="00773505" w:rsidRDefault="0026616B" w:rsidP="00291FAE">
      <w:pPr>
        <w:pStyle w:val="ListParagraph"/>
        <w:spacing w:after="160" w:line="360" w:lineRule="auto"/>
        <w:ind w:left="284"/>
        <w:jc w:val="both"/>
        <w:rPr>
          <w:rFonts w:ascii="Cambria" w:hAnsi="Cambria"/>
          <w:sz w:val="24"/>
        </w:rPr>
      </w:pPr>
    </w:p>
    <w:p w14:paraId="61BE3CF5" w14:textId="77777777" w:rsidR="0026616B" w:rsidRPr="00773505" w:rsidRDefault="0026616B" w:rsidP="00291FAE">
      <w:pPr>
        <w:pStyle w:val="ListParagraph"/>
        <w:spacing w:after="160" w:line="360" w:lineRule="auto"/>
        <w:ind w:left="284"/>
        <w:jc w:val="both"/>
        <w:rPr>
          <w:rFonts w:ascii="Cambria" w:hAnsi="Cambria"/>
          <w:sz w:val="24"/>
          <w:lang w:val="en-IN"/>
        </w:rPr>
      </w:pPr>
      <w:r w:rsidRPr="00773505">
        <w:rPr>
          <w:rFonts w:ascii="Cambria" w:hAnsi="Cambria"/>
          <w:sz w:val="24"/>
        </w:rPr>
        <w:t xml:space="preserve">c) With regard to the use of ABC, the Licensee respectfully submits that since inception, all LT supply work has been executed using AB cables, and no new LT lines have been constructed with bare conductors. </w:t>
      </w:r>
      <w:r w:rsidRPr="00773505">
        <w:rPr>
          <w:rFonts w:ascii="Cambria" w:hAnsi="Cambria"/>
          <w:sz w:val="24"/>
          <w:lang w:val="en-IN"/>
        </w:rPr>
        <w:t>The Licensee has consistently promoted the use of ABC to enhance system reliability, reduce technical losses, and minimize electrical accidents and theft. The details of LT AB Cable works executed under CAPEX and Government-funded schemes are presented below for the kind perusal of the Hon’ble Commission:</w:t>
      </w:r>
    </w:p>
    <w:p w14:paraId="5A355CB1" w14:textId="77777777" w:rsidR="0026616B" w:rsidRDefault="0026616B" w:rsidP="00291FAE">
      <w:pPr>
        <w:pStyle w:val="ListParagraph"/>
        <w:spacing w:after="160" w:line="360" w:lineRule="auto"/>
        <w:ind w:left="284"/>
        <w:jc w:val="both"/>
        <w:rPr>
          <w:rFonts w:ascii="Cambria" w:hAnsi="Cambria"/>
          <w:lang w:val="en-IN"/>
        </w:rPr>
      </w:pPr>
    </w:p>
    <w:tbl>
      <w:tblPr>
        <w:tblStyle w:val="TableGrid"/>
        <w:tblW w:w="7478" w:type="dxa"/>
        <w:tblInd w:w="709" w:type="dxa"/>
        <w:tblLook w:val="04A0" w:firstRow="1" w:lastRow="0" w:firstColumn="1" w:lastColumn="0" w:noHBand="0" w:noVBand="1"/>
      </w:tblPr>
      <w:tblGrid>
        <w:gridCol w:w="3548"/>
        <w:gridCol w:w="1701"/>
        <w:gridCol w:w="2229"/>
      </w:tblGrid>
      <w:tr w:rsidR="0026616B" w14:paraId="77FE544D" w14:textId="77777777" w:rsidTr="001F21DF">
        <w:tc>
          <w:tcPr>
            <w:tcW w:w="3548" w:type="dxa"/>
            <w:vAlign w:val="center"/>
          </w:tcPr>
          <w:p w14:paraId="4C31DC66" w14:textId="77777777" w:rsidR="0026616B" w:rsidRDefault="0026616B" w:rsidP="00291FAE">
            <w:pPr>
              <w:pStyle w:val="ListParagraph"/>
              <w:spacing w:after="0" w:line="240" w:lineRule="exact"/>
              <w:ind w:left="284"/>
              <w:jc w:val="both"/>
              <w:rPr>
                <w:rFonts w:ascii="Cambria" w:hAnsi="Cambria"/>
                <w:lang w:val="en-IN"/>
              </w:rPr>
            </w:pPr>
            <w:r w:rsidRPr="00F7664A">
              <w:rPr>
                <w:rFonts w:ascii="Cambria" w:hAnsi="Cambria"/>
                <w:b/>
                <w:bCs/>
                <w:lang w:val="en-IN"/>
              </w:rPr>
              <w:t>Particulars</w:t>
            </w:r>
          </w:p>
        </w:tc>
        <w:tc>
          <w:tcPr>
            <w:tcW w:w="1701" w:type="dxa"/>
            <w:vAlign w:val="center"/>
          </w:tcPr>
          <w:p w14:paraId="2FE116B0" w14:textId="77777777" w:rsidR="0026616B" w:rsidRDefault="0026616B" w:rsidP="00291FAE">
            <w:pPr>
              <w:pStyle w:val="ListParagraph"/>
              <w:spacing w:after="0" w:line="240" w:lineRule="exact"/>
              <w:ind w:left="284"/>
              <w:jc w:val="both"/>
              <w:rPr>
                <w:rFonts w:ascii="Cambria" w:hAnsi="Cambria"/>
                <w:lang w:val="en-IN"/>
              </w:rPr>
            </w:pPr>
            <w:r w:rsidRPr="00F7664A">
              <w:rPr>
                <w:rFonts w:ascii="Cambria" w:hAnsi="Cambria"/>
                <w:b/>
                <w:bCs/>
                <w:lang w:val="en-IN"/>
              </w:rPr>
              <w:t>CAPEX (KM)</w:t>
            </w:r>
          </w:p>
        </w:tc>
        <w:tc>
          <w:tcPr>
            <w:tcW w:w="2229" w:type="dxa"/>
            <w:vAlign w:val="center"/>
          </w:tcPr>
          <w:p w14:paraId="69302B69" w14:textId="77777777" w:rsidR="0026616B" w:rsidRDefault="0026616B" w:rsidP="00291FAE">
            <w:pPr>
              <w:pStyle w:val="ListParagraph"/>
              <w:spacing w:after="0" w:line="240" w:lineRule="exact"/>
              <w:ind w:left="284"/>
              <w:jc w:val="both"/>
              <w:rPr>
                <w:rFonts w:ascii="Cambria" w:hAnsi="Cambria"/>
                <w:lang w:val="en-IN"/>
              </w:rPr>
            </w:pPr>
            <w:r w:rsidRPr="00F7664A">
              <w:rPr>
                <w:rFonts w:ascii="Cambria" w:hAnsi="Cambria"/>
                <w:b/>
                <w:bCs/>
                <w:lang w:val="en-IN"/>
              </w:rPr>
              <w:t>Govt. Funded (KM)</w:t>
            </w:r>
          </w:p>
        </w:tc>
      </w:tr>
      <w:tr w:rsidR="0026616B" w14:paraId="6E517C8A" w14:textId="77777777" w:rsidTr="001F21DF">
        <w:tc>
          <w:tcPr>
            <w:tcW w:w="3548" w:type="dxa"/>
            <w:vAlign w:val="center"/>
          </w:tcPr>
          <w:p w14:paraId="72F50328" w14:textId="06DD81A3" w:rsidR="0026616B" w:rsidRDefault="0026616B" w:rsidP="00291FAE">
            <w:pPr>
              <w:pStyle w:val="ListParagraph"/>
              <w:spacing w:after="0" w:line="240" w:lineRule="exact"/>
              <w:ind w:left="284"/>
              <w:jc w:val="both"/>
              <w:rPr>
                <w:rFonts w:ascii="Cambria" w:hAnsi="Cambria"/>
                <w:lang w:val="en-IN"/>
              </w:rPr>
            </w:pPr>
            <w:r w:rsidRPr="00F7664A">
              <w:rPr>
                <w:rFonts w:ascii="Cambria" w:hAnsi="Cambria"/>
                <w:lang w:val="en-IN"/>
              </w:rPr>
              <w:t xml:space="preserve">Conversion of LT Bare to </w:t>
            </w:r>
            <w:r w:rsidR="009B5D09">
              <w:rPr>
                <w:rFonts w:ascii="Cambria" w:hAnsi="Cambria"/>
                <w:lang w:val="en-IN"/>
              </w:rPr>
              <w:t xml:space="preserve">LT </w:t>
            </w:r>
            <w:r w:rsidRPr="00F7664A">
              <w:rPr>
                <w:rFonts w:ascii="Cambria" w:hAnsi="Cambria"/>
                <w:lang w:val="en-IN"/>
              </w:rPr>
              <w:t>AB Cable</w:t>
            </w:r>
          </w:p>
        </w:tc>
        <w:tc>
          <w:tcPr>
            <w:tcW w:w="1701" w:type="dxa"/>
            <w:vAlign w:val="center"/>
          </w:tcPr>
          <w:p w14:paraId="3C871908" w14:textId="77777777" w:rsidR="0026616B" w:rsidRDefault="0026616B" w:rsidP="00291FAE">
            <w:pPr>
              <w:pStyle w:val="ListParagraph"/>
              <w:spacing w:after="0" w:line="240" w:lineRule="exact"/>
              <w:ind w:left="284"/>
              <w:jc w:val="both"/>
              <w:rPr>
                <w:rFonts w:ascii="Cambria" w:hAnsi="Cambria"/>
                <w:lang w:val="en-IN"/>
              </w:rPr>
            </w:pPr>
            <w:r w:rsidRPr="00F7664A">
              <w:rPr>
                <w:rFonts w:ascii="Cambria" w:hAnsi="Cambria"/>
                <w:lang w:val="en-IN"/>
              </w:rPr>
              <w:t>1,149</w:t>
            </w:r>
          </w:p>
        </w:tc>
        <w:tc>
          <w:tcPr>
            <w:tcW w:w="2229" w:type="dxa"/>
            <w:vAlign w:val="center"/>
          </w:tcPr>
          <w:p w14:paraId="25D8195B" w14:textId="77777777" w:rsidR="0026616B" w:rsidRDefault="0026616B" w:rsidP="00291FAE">
            <w:pPr>
              <w:pStyle w:val="ListParagraph"/>
              <w:spacing w:after="0" w:line="240" w:lineRule="exact"/>
              <w:ind w:left="284"/>
              <w:jc w:val="both"/>
              <w:rPr>
                <w:rFonts w:ascii="Cambria" w:hAnsi="Cambria"/>
                <w:lang w:val="en-IN"/>
              </w:rPr>
            </w:pPr>
            <w:r w:rsidRPr="00F7664A">
              <w:rPr>
                <w:rFonts w:ascii="Cambria" w:hAnsi="Cambria"/>
                <w:lang w:val="en-IN"/>
              </w:rPr>
              <w:t>1,433</w:t>
            </w:r>
          </w:p>
        </w:tc>
      </w:tr>
      <w:tr w:rsidR="0026616B" w14:paraId="4F969B33" w14:textId="77777777" w:rsidTr="001F21DF">
        <w:tc>
          <w:tcPr>
            <w:tcW w:w="3548" w:type="dxa"/>
            <w:vAlign w:val="center"/>
          </w:tcPr>
          <w:p w14:paraId="4723BB16" w14:textId="77777777" w:rsidR="0026616B" w:rsidRDefault="0026616B" w:rsidP="00291FAE">
            <w:pPr>
              <w:pStyle w:val="ListParagraph"/>
              <w:spacing w:after="0" w:line="240" w:lineRule="exact"/>
              <w:ind w:left="284"/>
              <w:jc w:val="both"/>
              <w:rPr>
                <w:rFonts w:ascii="Cambria" w:hAnsi="Cambria"/>
                <w:lang w:val="en-IN"/>
              </w:rPr>
            </w:pPr>
            <w:r w:rsidRPr="00F7664A">
              <w:rPr>
                <w:rFonts w:ascii="Cambria" w:hAnsi="Cambria"/>
                <w:lang w:val="en-IN"/>
              </w:rPr>
              <w:t>New LT AB Cable</w:t>
            </w:r>
          </w:p>
        </w:tc>
        <w:tc>
          <w:tcPr>
            <w:tcW w:w="1701" w:type="dxa"/>
            <w:vAlign w:val="center"/>
          </w:tcPr>
          <w:p w14:paraId="40CD05B2" w14:textId="77777777" w:rsidR="0026616B" w:rsidRDefault="0026616B" w:rsidP="00291FAE">
            <w:pPr>
              <w:pStyle w:val="ListParagraph"/>
              <w:spacing w:after="0" w:line="240" w:lineRule="exact"/>
              <w:ind w:left="284"/>
              <w:jc w:val="both"/>
              <w:rPr>
                <w:rFonts w:ascii="Cambria" w:hAnsi="Cambria"/>
                <w:lang w:val="en-IN"/>
              </w:rPr>
            </w:pPr>
            <w:r w:rsidRPr="00F7664A">
              <w:rPr>
                <w:rFonts w:ascii="Cambria" w:hAnsi="Cambria"/>
                <w:lang w:val="en-IN"/>
              </w:rPr>
              <w:t>366</w:t>
            </w:r>
          </w:p>
        </w:tc>
        <w:tc>
          <w:tcPr>
            <w:tcW w:w="2229" w:type="dxa"/>
            <w:vAlign w:val="center"/>
          </w:tcPr>
          <w:p w14:paraId="14605B2D" w14:textId="77777777" w:rsidR="0026616B" w:rsidRDefault="0026616B" w:rsidP="00291FAE">
            <w:pPr>
              <w:pStyle w:val="ListParagraph"/>
              <w:spacing w:after="0" w:line="240" w:lineRule="exact"/>
              <w:ind w:left="284"/>
              <w:jc w:val="both"/>
              <w:rPr>
                <w:rFonts w:ascii="Cambria" w:hAnsi="Cambria"/>
                <w:lang w:val="en-IN"/>
              </w:rPr>
            </w:pPr>
            <w:r w:rsidRPr="00F7664A">
              <w:rPr>
                <w:rFonts w:ascii="Cambria" w:hAnsi="Cambria"/>
                <w:lang w:val="en-IN"/>
              </w:rPr>
              <w:t>354</w:t>
            </w:r>
          </w:p>
        </w:tc>
      </w:tr>
    </w:tbl>
    <w:p w14:paraId="5FCCC2CD" w14:textId="77777777" w:rsidR="0026616B" w:rsidRPr="004E4FA3" w:rsidRDefault="0026616B" w:rsidP="00291FAE">
      <w:pPr>
        <w:pStyle w:val="ListParagraph"/>
        <w:spacing w:after="160" w:line="360" w:lineRule="auto"/>
        <w:ind w:left="284"/>
        <w:jc w:val="both"/>
        <w:rPr>
          <w:rFonts w:ascii="Cambria" w:hAnsi="Cambria"/>
          <w:lang w:val="en-IN"/>
        </w:rPr>
      </w:pPr>
    </w:p>
    <w:p w14:paraId="4D5A130E" w14:textId="77777777" w:rsidR="0026616B" w:rsidRDefault="0026616B" w:rsidP="00291FAE">
      <w:pPr>
        <w:pStyle w:val="ListParagraph"/>
        <w:spacing w:after="160" w:line="360" w:lineRule="auto"/>
        <w:ind w:left="284"/>
        <w:jc w:val="both"/>
        <w:rPr>
          <w:rFonts w:ascii="Cambria" w:hAnsi="Cambria"/>
        </w:rPr>
      </w:pPr>
    </w:p>
    <w:p w14:paraId="1399DF19" w14:textId="77777777" w:rsidR="0026616B" w:rsidRPr="00773505" w:rsidRDefault="0026616B" w:rsidP="00056389">
      <w:pPr>
        <w:pStyle w:val="ListParagraph"/>
        <w:numPr>
          <w:ilvl w:val="0"/>
          <w:numId w:val="82"/>
        </w:numPr>
        <w:spacing w:after="160" w:line="360" w:lineRule="auto"/>
        <w:ind w:left="284"/>
        <w:jc w:val="both"/>
        <w:rPr>
          <w:rFonts w:ascii="Cambria" w:hAnsi="Cambria"/>
          <w:sz w:val="24"/>
        </w:rPr>
      </w:pPr>
      <w:r w:rsidRPr="00773505">
        <w:rPr>
          <w:rFonts w:ascii="Cambria" w:eastAsia="Cambria" w:hAnsi="Cambria" w:cs="Cambria"/>
          <w:b/>
          <w:bCs/>
          <w:color w:val="000000" w:themeColor="text1"/>
          <w:sz w:val="24"/>
          <w:u w:val="single"/>
        </w:rPr>
        <w:t xml:space="preserve">Para No. 348 (k)- </w:t>
      </w:r>
      <w:r w:rsidRPr="00773505">
        <w:rPr>
          <w:rFonts w:ascii="Cambria" w:hAnsi="Cambria"/>
          <w:sz w:val="24"/>
        </w:rPr>
        <w:t xml:space="preserve">The DISCOMs have to play a vital role in implementing PM-Surya </w:t>
      </w:r>
      <w:proofErr w:type="spellStart"/>
      <w:r w:rsidRPr="00773505">
        <w:rPr>
          <w:rFonts w:ascii="Cambria" w:hAnsi="Cambria"/>
          <w:sz w:val="24"/>
        </w:rPr>
        <w:t>Ghar</w:t>
      </w:r>
      <w:proofErr w:type="spellEnd"/>
      <w:r w:rsidRPr="00773505">
        <w:rPr>
          <w:rFonts w:ascii="Cambria" w:hAnsi="Cambria"/>
          <w:sz w:val="24"/>
        </w:rPr>
        <w:t xml:space="preserve"> </w:t>
      </w:r>
      <w:proofErr w:type="spellStart"/>
      <w:r w:rsidRPr="00773505">
        <w:rPr>
          <w:rFonts w:ascii="Cambria" w:hAnsi="Cambria"/>
          <w:sz w:val="24"/>
        </w:rPr>
        <w:t>Muft</w:t>
      </w:r>
      <w:proofErr w:type="spellEnd"/>
      <w:r w:rsidRPr="00773505">
        <w:rPr>
          <w:rFonts w:ascii="Cambria" w:hAnsi="Cambria"/>
          <w:sz w:val="24"/>
        </w:rPr>
        <w:t xml:space="preserve"> Bijli Yojana (PMSGMBY). MNRE, Govt. of India has estimated incentive of about Rs.2.4 Crores under such Scheme for all four DISCOMs of Odisha for the FY 2023-24. Good Response from consumers of the State is expected considering the subsidy being provided by Govt. of Odisha and Govt. of India. DISCOMs are directed to provide total number of house hold consumers benefited from the scheme and total installed capacity of RTS system &amp; energy generated by such consumers.</w:t>
      </w:r>
    </w:p>
    <w:p w14:paraId="41522B69" w14:textId="77777777" w:rsidR="0026616B" w:rsidRPr="00773505" w:rsidRDefault="0026616B" w:rsidP="00291FAE">
      <w:pPr>
        <w:pStyle w:val="ListParagraph"/>
        <w:spacing w:after="160" w:line="360" w:lineRule="auto"/>
        <w:ind w:left="284"/>
        <w:jc w:val="both"/>
        <w:rPr>
          <w:rFonts w:ascii="Cambria" w:hAnsi="Cambria"/>
          <w:b/>
          <w:bCs/>
          <w:sz w:val="24"/>
          <w:u w:val="single"/>
        </w:rPr>
      </w:pPr>
      <w:r w:rsidRPr="00773505">
        <w:rPr>
          <w:rFonts w:ascii="Cambria" w:hAnsi="Cambria"/>
          <w:b/>
          <w:bCs/>
          <w:sz w:val="24"/>
          <w:u w:val="single"/>
        </w:rPr>
        <w:t>TPWODL’s Submission:</w:t>
      </w:r>
    </w:p>
    <w:p w14:paraId="08584339" w14:textId="52282880" w:rsidR="0026616B" w:rsidRPr="00773505" w:rsidRDefault="0026616B" w:rsidP="00291FAE">
      <w:pPr>
        <w:pStyle w:val="ListParagraph"/>
        <w:spacing w:after="160" w:line="360" w:lineRule="auto"/>
        <w:ind w:left="284"/>
        <w:jc w:val="both"/>
        <w:rPr>
          <w:rFonts w:ascii="Cambria" w:hAnsi="Cambria"/>
          <w:sz w:val="24"/>
          <w:highlight w:val="yellow"/>
        </w:rPr>
      </w:pPr>
      <w:r w:rsidRPr="00773505">
        <w:rPr>
          <w:rFonts w:ascii="Cambria" w:hAnsi="Cambria"/>
          <w:sz w:val="24"/>
        </w:rPr>
        <w:t xml:space="preserve">Following is the status for TPWODL as on as on </w:t>
      </w:r>
      <w:r w:rsidR="00737BD6" w:rsidRPr="00773505">
        <w:rPr>
          <w:rFonts w:ascii="Cambria" w:hAnsi="Cambria"/>
          <w:sz w:val="24"/>
        </w:rPr>
        <w:t>24</w:t>
      </w:r>
      <w:r w:rsidRPr="00773505">
        <w:rPr>
          <w:rFonts w:ascii="Cambria" w:hAnsi="Cambria"/>
          <w:sz w:val="24"/>
        </w:rPr>
        <w:t xml:space="preserve"> November 2025</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1560"/>
        <w:gridCol w:w="1425"/>
        <w:gridCol w:w="1670"/>
        <w:gridCol w:w="1364"/>
      </w:tblGrid>
      <w:tr w:rsidR="0026616B" w:rsidRPr="00B345C5" w14:paraId="57CF9233" w14:textId="77777777" w:rsidTr="00D700B7">
        <w:trPr>
          <w:trHeight w:val="171"/>
          <w:jc w:val="center"/>
        </w:trPr>
        <w:tc>
          <w:tcPr>
            <w:tcW w:w="1778" w:type="dxa"/>
            <w:shd w:val="clear" w:color="auto" w:fill="DBE5F1" w:themeFill="accent1" w:themeFillTint="33"/>
            <w:noWrap/>
            <w:vAlign w:val="center"/>
            <w:hideMark/>
          </w:tcPr>
          <w:p w14:paraId="3D17A0A6" w14:textId="77777777" w:rsidR="0026616B" w:rsidRPr="00B345C5" w:rsidRDefault="0026616B" w:rsidP="00291FAE">
            <w:pPr>
              <w:ind w:left="284"/>
              <w:jc w:val="center"/>
              <w:rPr>
                <w:rFonts w:ascii="Cambria" w:hAnsi="Cambria" w:cs="Calibri"/>
                <w:b/>
                <w:bCs/>
                <w:color w:val="000000"/>
                <w:sz w:val="22"/>
                <w:szCs w:val="22"/>
                <w:lang w:eastAsia="en-IN" w:bidi="hi-IN"/>
              </w:rPr>
            </w:pPr>
            <w:r w:rsidRPr="00B345C5">
              <w:rPr>
                <w:rFonts w:ascii="Cambria" w:hAnsi="Cambria" w:cs="Calibri"/>
                <w:b/>
                <w:bCs/>
                <w:color w:val="000000"/>
                <w:sz w:val="22"/>
                <w:szCs w:val="22"/>
                <w:lang w:eastAsia="en-IN" w:bidi="hi-IN"/>
              </w:rPr>
              <w:t>Application Registered</w:t>
            </w:r>
          </w:p>
        </w:tc>
        <w:tc>
          <w:tcPr>
            <w:tcW w:w="1559" w:type="dxa"/>
            <w:shd w:val="clear" w:color="auto" w:fill="DBE5F1" w:themeFill="accent1" w:themeFillTint="33"/>
            <w:noWrap/>
            <w:vAlign w:val="center"/>
            <w:hideMark/>
          </w:tcPr>
          <w:p w14:paraId="4E7AC9F5" w14:textId="77777777" w:rsidR="0026616B" w:rsidRPr="00B345C5" w:rsidRDefault="0026616B" w:rsidP="00291FAE">
            <w:pPr>
              <w:ind w:left="284"/>
              <w:jc w:val="center"/>
              <w:rPr>
                <w:rFonts w:ascii="Cambria" w:hAnsi="Cambria" w:cs="Calibri"/>
                <w:b/>
                <w:bCs/>
                <w:color w:val="000000"/>
                <w:sz w:val="22"/>
                <w:szCs w:val="22"/>
                <w:lang w:eastAsia="en-IN" w:bidi="hi-IN"/>
              </w:rPr>
            </w:pPr>
            <w:r w:rsidRPr="00B345C5">
              <w:rPr>
                <w:rFonts w:ascii="Cambria" w:hAnsi="Cambria" w:cs="Calibri"/>
                <w:b/>
                <w:bCs/>
                <w:color w:val="000000"/>
                <w:sz w:val="22"/>
                <w:szCs w:val="22"/>
                <w:lang w:eastAsia="en-IN" w:bidi="hi-IN"/>
              </w:rPr>
              <w:t>Feasibility Approval</w:t>
            </w:r>
          </w:p>
        </w:tc>
        <w:tc>
          <w:tcPr>
            <w:tcW w:w="1417" w:type="dxa"/>
            <w:shd w:val="clear" w:color="auto" w:fill="DBE5F1" w:themeFill="accent1" w:themeFillTint="33"/>
            <w:noWrap/>
            <w:vAlign w:val="center"/>
            <w:hideMark/>
          </w:tcPr>
          <w:p w14:paraId="57A2AB0C" w14:textId="77777777" w:rsidR="0026616B" w:rsidRPr="00B345C5" w:rsidRDefault="0026616B" w:rsidP="00291FAE">
            <w:pPr>
              <w:ind w:left="284"/>
              <w:jc w:val="center"/>
              <w:rPr>
                <w:rFonts w:ascii="Cambria" w:hAnsi="Cambria" w:cs="Calibri"/>
                <w:b/>
                <w:bCs/>
                <w:color w:val="000000"/>
                <w:sz w:val="22"/>
                <w:szCs w:val="22"/>
                <w:lang w:eastAsia="en-IN" w:bidi="hi-IN"/>
              </w:rPr>
            </w:pPr>
            <w:r w:rsidRPr="00B345C5">
              <w:rPr>
                <w:rFonts w:ascii="Cambria" w:hAnsi="Cambria" w:cs="Calibri"/>
                <w:b/>
                <w:bCs/>
                <w:color w:val="000000"/>
                <w:sz w:val="22"/>
                <w:szCs w:val="22"/>
                <w:lang w:eastAsia="en-IN" w:bidi="hi-IN"/>
              </w:rPr>
              <w:t>Vendor Selection</w:t>
            </w:r>
          </w:p>
        </w:tc>
        <w:tc>
          <w:tcPr>
            <w:tcW w:w="1418" w:type="dxa"/>
            <w:shd w:val="clear" w:color="auto" w:fill="DBE5F1" w:themeFill="accent1" w:themeFillTint="33"/>
            <w:noWrap/>
            <w:vAlign w:val="center"/>
            <w:hideMark/>
          </w:tcPr>
          <w:p w14:paraId="1688CC8B" w14:textId="77777777" w:rsidR="0026616B" w:rsidRPr="00B345C5" w:rsidRDefault="0026616B" w:rsidP="00291FAE">
            <w:pPr>
              <w:ind w:left="284"/>
              <w:jc w:val="center"/>
              <w:rPr>
                <w:rFonts w:ascii="Cambria" w:hAnsi="Cambria" w:cs="Calibri"/>
                <w:b/>
                <w:bCs/>
                <w:color w:val="000000"/>
                <w:sz w:val="22"/>
                <w:szCs w:val="22"/>
                <w:lang w:eastAsia="en-IN" w:bidi="hi-IN"/>
              </w:rPr>
            </w:pPr>
            <w:r w:rsidRPr="00B345C5">
              <w:rPr>
                <w:rFonts w:ascii="Cambria" w:hAnsi="Cambria" w:cs="Calibri"/>
                <w:b/>
                <w:bCs/>
                <w:color w:val="000000"/>
                <w:sz w:val="22"/>
                <w:szCs w:val="22"/>
                <w:lang w:eastAsia="en-IN" w:bidi="hi-IN"/>
              </w:rPr>
              <w:t>Installation Completed</w:t>
            </w:r>
          </w:p>
        </w:tc>
        <w:tc>
          <w:tcPr>
            <w:tcW w:w="1625" w:type="dxa"/>
            <w:shd w:val="clear" w:color="auto" w:fill="DBE5F1" w:themeFill="accent1" w:themeFillTint="33"/>
          </w:tcPr>
          <w:p w14:paraId="191BBA87" w14:textId="77777777" w:rsidR="0026616B" w:rsidRPr="00B345C5" w:rsidRDefault="0026616B" w:rsidP="00291FAE">
            <w:pPr>
              <w:ind w:left="284"/>
              <w:jc w:val="center"/>
              <w:rPr>
                <w:rFonts w:ascii="Cambria" w:hAnsi="Cambria" w:cs="Calibri"/>
                <w:b/>
                <w:bCs/>
                <w:color w:val="000000"/>
                <w:sz w:val="22"/>
                <w:szCs w:val="22"/>
                <w:lang w:eastAsia="en-IN" w:bidi="hi-IN"/>
              </w:rPr>
            </w:pPr>
            <w:r w:rsidRPr="00B345C5">
              <w:rPr>
                <w:rFonts w:ascii="Cambria" w:hAnsi="Cambria" w:cs="Calibri"/>
                <w:b/>
                <w:bCs/>
                <w:color w:val="000000"/>
                <w:sz w:val="22"/>
                <w:szCs w:val="22"/>
                <w:lang w:eastAsia="en-IN" w:bidi="hi-IN"/>
              </w:rPr>
              <w:t>Capacity Added in MW</w:t>
            </w:r>
          </w:p>
        </w:tc>
      </w:tr>
      <w:tr w:rsidR="0026616B" w:rsidRPr="00B345C5" w14:paraId="0FBCC9B0" w14:textId="77777777" w:rsidTr="00D700B7">
        <w:trPr>
          <w:trHeight w:val="171"/>
          <w:jc w:val="center"/>
        </w:trPr>
        <w:tc>
          <w:tcPr>
            <w:tcW w:w="1778" w:type="dxa"/>
            <w:noWrap/>
            <w:vAlign w:val="center"/>
            <w:hideMark/>
          </w:tcPr>
          <w:p w14:paraId="5128A177" w14:textId="77777777" w:rsidR="0026616B" w:rsidRPr="00B345C5" w:rsidRDefault="0026616B" w:rsidP="00291FAE">
            <w:pPr>
              <w:ind w:left="284"/>
              <w:jc w:val="center"/>
              <w:rPr>
                <w:rFonts w:ascii="Cambria" w:hAnsi="Cambria" w:cs="Calibri"/>
                <w:color w:val="000000"/>
                <w:sz w:val="22"/>
                <w:szCs w:val="22"/>
                <w:lang w:eastAsia="en-IN" w:bidi="hi-IN"/>
              </w:rPr>
            </w:pPr>
            <w:r w:rsidRPr="00B345C5">
              <w:rPr>
                <w:rFonts w:ascii="Cambria" w:hAnsi="Cambria" w:cs="Calibri"/>
                <w:color w:val="000000"/>
                <w:sz w:val="22"/>
                <w:szCs w:val="22"/>
                <w:lang w:eastAsia="en-IN" w:bidi="hi-IN"/>
              </w:rPr>
              <w:t>28207 Nos.</w:t>
            </w:r>
          </w:p>
        </w:tc>
        <w:tc>
          <w:tcPr>
            <w:tcW w:w="1559" w:type="dxa"/>
            <w:noWrap/>
            <w:vAlign w:val="center"/>
            <w:hideMark/>
          </w:tcPr>
          <w:p w14:paraId="1EC74480" w14:textId="77777777" w:rsidR="0026616B" w:rsidRPr="00B345C5" w:rsidRDefault="0026616B" w:rsidP="00291FAE">
            <w:pPr>
              <w:ind w:left="284"/>
              <w:jc w:val="center"/>
              <w:rPr>
                <w:rFonts w:ascii="Cambria" w:hAnsi="Cambria" w:cs="Calibri"/>
                <w:color w:val="000000"/>
                <w:sz w:val="22"/>
                <w:szCs w:val="22"/>
                <w:lang w:eastAsia="en-IN" w:bidi="hi-IN"/>
              </w:rPr>
            </w:pPr>
            <w:r w:rsidRPr="00B345C5">
              <w:rPr>
                <w:rFonts w:ascii="Cambria" w:hAnsi="Cambria" w:cs="Calibri"/>
                <w:color w:val="000000"/>
                <w:sz w:val="22"/>
                <w:szCs w:val="22"/>
                <w:lang w:eastAsia="en-IN" w:bidi="hi-IN"/>
              </w:rPr>
              <w:t>28143 Nos.</w:t>
            </w:r>
          </w:p>
        </w:tc>
        <w:tc>
          <w:tcPr>
            <w:tcW w:w="1417" w:type="dxa"/>
            <w:noWrap/>
            <w:vAlign w:val="center"/>
            <w:hideMark/>
          </w:tcPr>
          <w:p w14:paraId="5D9B960D" w14:textId="77777777" w:rsidR="0026616B" w:rsidRPr="00B345C5" w:rsidRDefault="0026616B" w:rsidP="00291FAE">
            <w:pPr>
              <w:ind w:left="284"/>
              <w:jc w:val="center"/>
              <w:rPr>
                <w:rFonts w:ascii="Cambria" w:hAnsi="Cambria" w:cs="Calibri"/>
                <w:color w:val="000000"/>
                <w:sz w:val="22"/>
                <w:szCs w:val="22"/>
                <w:lang w:eastAsia="en-IN" w:bidi="hi-IN"/>
              </w:rPr>
            </w:pPr>
            <w:r w:rsidRPr="00B345C5">
              <w:rPr>
                <w:rFonts w:ascii="Cambria" w:hAnsi="Cambria" w:cs="Calibri"/>
                <w:color w:val="000000"/>
                <w:sz w:val="22"/>
                <w:szCs w:val="22"/>
                <w:lang w:eastAsia="en-IN" w:bidi="hi-IN"/>
              </w:rPr>
              <w:t>18023 Nos.</w:t>
            </w:r>
          </w:p>
        </w:tc>
        <w:tc>
          <w:tcPr>
            <w:tcW w:w="1418" w:type="dxa"/>
            <w:noWrap/>
            <w:vAlign w:val="center"/>
            <w:hideMark/>
          </w:tcPr>
          <w:p w14:paraId="34D8495D" w14:textId="745AF364" w:rsidR="0026616B" w:rsidRPr="00B345C5" w:rsidRDefault="00B23911" w:rsidP="00291FAE">
            <w:pPr>
              <w:ind w:left="284"/>
              <w:jc w:val="center"/>
              <w:rPr>
                <w:rFonts w:ascii="Cambria" w:hAnsi="Cambria" w:cs="Calibri"/>
                <w:color w:val="000000"/>
                <w:sz w:val="22"/>
                <w:szCs w:val="22"/>
                <w:lang w:eastAsia="en-IN" w:bidi="hi-IN"/>
              </w:rPr>
            </w:pPr>
            <w:r>
              <w:rPr>
                <w:rFonts w:ascii="Cambria" w:hAnsi="Cambria" w:cs="Calibri"/>
                <w:color w:val="000000"/>
                <w:sz w:val="22"/>
                <w:szCs w:val="22"/>
                <w:lang w:eastAsia="en-IN" w:bidi="hi-IN"/>
              </w:rPr>
              <w:t>7005</w:t>
            </w:r>
            <w:r w:rsidR="0026616B" w:rsidRPr="00B345C5">
              <w:rPr>
                <w:rFonts w:ascii="Cambria" w:hAnsi="Cambria" w:cs="Calibri"/>
                <w:color w:val="000000"/>
                <w:sz w:val="22"/>
                <w:szCs w:val="22"/>
                <w:lang w:eastAsia="en-IN" w:bidi="hi-IN"/>
              </w:rPr>
              <w:t xml:space="preserve"> Nos.</w:t>
            </w:r>
          </w:p>
        </w:tc>
        <w:tc>
          <w:tcPr>
            <w:tcW w:w="1625" w:type="dxa"/>
          </w:tcPr>
          <w:p w14:paraId="68834A0D" w14:textId="125493C6" w:rsidR="0026616B" w:rsidRPr="00B345C5" w:rsidRDefault="00737BD6" w:rsidP="00291FAE">
            <w:pPr>
              <w:ind w:left="284"/>
              <w:jc w:val="center"/>
              <w:rPr>
                <w:rFonts w:ascii="Cambria" w:hAnsi="Cambria" w:cs="Calibri"/>
                <w:color w:val="000000"/>
                <w:sz w:val="22"/>
                <w:szCs w:val="22"/>
                <w:lang w:eastAsia="en-IN" w:bidi="hi-IN"/>
              </w:rPr>
            </w:pPr>
            <w:r w:rsidRPr="00737BD6">
              <w:rPr>
                <w:rFonts w:ascii="Cambria" w:hAnsi="Cambria" w:cs="Calibri"/>
                <w:sz w:val="22"/>
                <w:szCs w:val="22"/>
                <w:lang w:eastAsia="en-IN" w:bidi="hi-IN"/>
              </w:rPr>
              <w:t>23.16</w:t>
            </w:r>
            <w:r w:rsidR="0026616B" w:rsidRPr="00737BD6">
              <w:rPr>
                <w:rFonts w:ascii="Cambria" w:hAnsi="Cambria" w:cs="Calibri"/>
                <w:sz w:val="22"/>
                <w:szCs w:val="22"/>
                <w:lang w:eastAsia="en-IN" w:bidi="hi-IN"/>
              </w:rPr>
              <w:t xml:space="preserve"> MW</w:t>
            </w:r>
          </w:p>
        </w:tc>
      </w:tr>
    </w:tbl>
    <w:p w14:paraId="7ADBA85A" w14:textId="705E5876" w:rsidR="0026616B" w:rsidRDefault="0026616B" w:rsidP="00291FAE">
      <w:pPr>
        <w:pStyle w:val="ListParagraph"/>
        <w:spacing w:after="160" w:line="360" w:lineRule="auto"/>
        <w:ind w:left="284"/>
        <w:jc w:val="both"/>
        <w:rPr>
          <w:rFonts w:ascii="Cambria" w:hAnsi="Cambria"/>
        </w:rPr>
      </w:pPr>
      <w:r>
        <w:rPr>
          <w:rFonts w:ascii="Cambria" w:hAnsi="Cambria"/>
        </w:rPr>
        <w:t xml:space="preserve"> </w:t>
      </w:r>
    </w:p>
    <w:p w14:paraId="57D68DD0" w14:textId="77777777" w:rsidR="0026616B" w:rsidRPr="00773505" w:rsidRDefault="0026616B" w:rsidP="00056389">
      <w:pPr>
        <w:pStyle w:val="ListParagraph"/>
        <w:numPr>
          <w:ilvl w:val="0"/>
          <w:numId w:val="82"/>
        </w:numPr>
        <w:spacing w:after="160" w:line="360" w:lineRule="auto"/>
        <w:ind w:left="284"/>
        <w:jc w:val="both"/>
        <w:rPr>
          <w:rFonts w:ascii="Cambria" w:hAnsi="Cambria"/>
          <w:sz w:val="24"/>
        </w:rPr>
      </w:pPr>
      <w:r w:rsidRPr="00773505">
        <w:rPr>
          <w:rFonts w:ascii="Cambria" w:eastAsia="Cambria" w:hAnsi="Cambria" w:cs="Cambria"/>
          <w:b/>
          <w:bCs/>
          <w:color w:val="000000" w:themeColor="text1"/>
          <w:sz w:val="24"/>
          <w:u w:val="single"/>
        </w:rPr>
        <w:t xml:space="preserve">Para No. 348 (l)- </w:t>
      </w:r>
      <w:r w:rsidRPr="00773505">
        <w:rPr>
          <w:rFonts w:ascii="Cambria" w:hAnsi="Cambria"/>
          <w:sz w:val="24"/>
        </w:rPr>
        <w:t>The Commission has revised the tariff of Kusum A Scheme of MNRE, Govt. of India from Rs.3.30/kwh to Rs.4.40/kwh (discovered through competitive bidding process) to make the Scheme viable and also to motivate formers/Developers for solarization of agriculture sector benefiting DISCOM in reduction of LT loss &amp; subsidy burden on subsidizing consumers, etc. DISCOM is directed to inform about response &amp; status of such scheme including installed capacity after revision of the tariff. Similarly, the progress in implementation of KUSUM C scheme may be informed to the Commission.</w:t>
      </w:r>
    </w:p>
    <w:p w14:paraId="5D0B4DFC" w14:textId="77777777" w:rsidR="0026616B" w:rsidRPr="00773505" w:rsidRDefault="0026616B" w:rsidP="00291FAE">
      <w:pPr>
        <w:pStyle w:val="ListParagraph"/>
        <w:spacing w:after="160" w:line="360" w:lineRule="auto"/>
        <w:ind w:left="284"/>
        <w:jc w:val="both"/>
        <w:rPr>
          <w:rFonts w:ascii="Cambria" w:hAnsi="Cambria"/>
          <w:sz w:val="24"/>
        </w:rPr>
      </w:pPr>
    </w:p>
    <w:p w14:paraId="15BBAC31" w14:textId="77777777" w:rsidR="0026616B" w:rsidRPr="00773505" w:rsidRDefault="0026616B" w:rsidP="00291FAE">
      <w:pPr>
        <w:pStyle w:val="ListParagraph"/>
        <w:spacing w:after="160" w:line="360" w:lineRule="auto"/>
        <w:ind w:left="284"/>
        <w:jc w:val="both"/>
        <w:rPr>
          <w:rFonts w:ascii="Cambria" w:hAnsi="Cambria"/>
          <w:b/>
          <w:bCs/>
          <w:sz w:val="24"/>
          <w:u w:val="single"/>
        </w:rPr>
      </w:pPr>
      <w:r w:rsidRPr="00773505">
        <w:rPr>
          <w:rFonts w:ascii="Cambria" w:hAnsi="Cambria"/>
          <w:b/>
          <w:bCs/>
          <w:sz w:val="24"/>
          <w:u w:val="single"/>
        </w:rPr>
        <w:t>TPWODL’s Submission:</w:t>
      </w:r>
    </w:p>
    <w:p w14:paraId="5BC9A000" w14:textId="2522C3CC" w:rsidR="0026616B" w:rsidRPr="00773505" w:rsidRDefault="0026616B" w:rsidP="00291FAE">
      <w:pPr>
        <w:pStyle w:val="ListParagraph"/>
        <w:spacing w:after="160" w:line="360" w:lineRule="auto"/>
        <w:ind w:left="284"/>
        <w:jc w:val="both"/>
        <w:rPr>
          <w:rFonts w:ascii="Cambria" w:hAnsi="Cambria"/>
          <w:sz w:val="24"/>
          <w:highlight w:val="yellow"/>
        </w:rPr>
      </w:pPr>
      <w:r w:rsidRPr="00773505">
        <w:rPr>
          <w:rFonts w:ascii="Cambria" w:hAnsi="Cambria"/>
          <w:sz w:val="24"/>
        </w:rPr>
        <w:t xml:space="preserve">The Hon’ble Commission has approved the tariff under the KUSUM Component-A Scheme of the Ministry of New and Renewable Energy (MNRE), Government of India, by revising it from ₹3.30/kWh to ₹4.40/kWh, as discovered through a competitive bidding process. This revision was aimed at ensuring financial viability of the scheme and encouraging farmers and developers to participate actively. Consequently, a positive momentum has been witnessed across the State in the implementation of the PM-KUSUM Scheme. Although the scheme initially saw limited progress, with the continued policy support and favorable orders of the Hon’ble Commission along with the proactive initiatives of the Government of Odisha, the implementation of the PM-KUSUM Scheme has now gained significant </w:t>
      </w:r>
      <w:r w:rsidR="00AF65FB" w:rsidRPr="00773505">
        <w:rPr>
          <w:rFonts w:ascii="Cambria" w:hAnsi="Cambria"/>
          <w:sz w:val="24"/>
        </w:rPr>
        <w:t>momentum</w:t>
      </w:r>
      <w:r w:rsidRPr="00773505">
        <w:rPr>
          <w:rFonts w:ascii="Cambria" w:hAnsi="Cambria"/>
          <w:sz w:val="24"/>
        </w:rPr>
        <w:t xml:space="preserve">. </w:t>
      </w:r>
    </w:p>
    <w:p w14:paraId="610C15C9" w14:textId="77777777" w:rsidR="0026616B" w:rsidRPr="00773505" w:rsidRDefault="0026616B" w:rsidP="00291FAE">
      <w:pPr>
        <w:pStyle w:val="ListParagraph"/>
        <w:spacing w:after="160" w:line="360" w:lineRule="auto"/>
        <w:ind w:left="284"/>
        <w:jc w:val="both"/>
        <w:rPr>
          <w:rFonts w:ascii="Cambria" w:hAnsi="Cambria"/>
          <w:sz w:val="24"/>
          <w:highlight w:val="yellow"/>
        </w:rPr>
      </w:pPr>
    </w:p>
    <w:p w14:paraId="27ACAE8A" w14:textId="77777777" w:rsidR="0026616B" w:rsidRPr="00773505" w:rsidRDefault="0026616B" w:rsidP="00291FAE">
      <w:pPr>
        <w:pStyle w:val="ListParagraph"/>
        <w:spacing w:after="160" w:line="360" w:lineRule="auto"/>
        <w:ind w:left="284"/>
        <w:jc w:val="both"/>
        <w:rPr>
          <w:rFonts w:ascii="Cambria" w:hAnsi="Cambria"/>
          <w:sz w:val="24"/>
        </w:rPr>
      </w:pPr>
      <w:r w:rsidRPr="00773505">
        <w:rPr>
          <w:rFonts w:ascii="Cambria" w:hAnsi="Cambria"/>
          <w:sz w:val="24"/>
        </w:rPr>
        <w:t>As regards the progress under PM-KUSUM Component-C (Feeder Level Solarizations), the implementation is being undertaken through multiple developers for setting up decentralized solar power plants across various districts. Centralized tender was floated by TPCODL on behalf of all DISCOMs. However, the response to the tender was with limited participation from developers/farmers. Nevertheless, two bidders have been finalized, and Letters of Award (LOA) have been issued for the awarded capacities. The progress achieved under the scheme as of 05 November 2025 is summarized below:</w:t>
      </w:r>
    </w:p>
    <w:p w14:paraId="26B0BAE7" w14:textId="5996876A" w:rsidR="0026616B" w:rsidRPr="00773505" w:rsidRDefault="0026616B" w:rsidP="00291FAE">
      <w:pPr>
        <w:pStyle w:val="ListParagraph"/>
        <w:spacing w:after="160" w:line="360" w:lineRule="auto"/>
        <w:ind w:left="284"/>
        <w:jc w:val="both"/>
        <w:rPr>
          <w:rFonts w:ascii="Cambria" w:hAnsi="Cambria"/>
          <w:b/>
          <w:bCs/>
          <w:sz w:val="24"/>
        </w:rPr>
      </w:pPr>
      <w:r w:rsidRPr="00773505">
        <w:rPr>
          <w:rFonts w:ascii="Cambria" w:hAnsi="Cambria"/>
          <w:b/>
          <w:bCs/>
          <w:sz w:val="24"/>
        </w:rPr>
        <w:t xml:space="preserve">Details of Projects under developer M/s. </w:t>
      </w:r>
      <w:proofErr w:type="spellStart"/>
      <w:r w:rsidRPr="00773505">
        <w:rPr>
          <w:rFonts w:ascii="Cambria" w:hAnsi="Cambria"/>
          <w:b/>
          <w:bCs/>
          <w:sz w:val="24"/>
        </w:rPr>
        <w:t>Suryam</w:t>
      </w:r>
      <w:proofErr w:type="spellEnd"/>
      <w:r w:rsidRPr="00773505">
        <w:rPr>
          <w:rFonts w:ascii="Cambria" w:hAnsi="Cambria"/>
          <w:b/>
          <w:bCs/>
          <w:sz w:val="24"/>
        </w:rPr>
        <w:t xml:space="preserve"> International:</w:t>
      </w:r>
    </w:p>
    <w:tbl>
      <w:tblPr>
        <w:tblW w:w="8926" w:type="dxa"/>
        <w:jc w:val="center"/>
        <w:tblLook w:val="04A0" w:firstRow="1" w:lastRow="0" w:firstColumn="1" w:lastColumn="0" w:noHBand="0" w:noVBand="1"/>
      </w:tblPr>
      <w:tblGrid>
        <w:gridCol w:w="786"/>
        <w:gridCol w:w="1698"/>
        <w:gridCol w:w="1622"/>
        <w:gridCol w:w="1363"/>
        <w:gridCol w:w="3457"/>
      </w:tblGrid>
      <w:tr w:rsidR="0026616B" w:rsidRPr="00F323B5" w14:paraId="757A1F3A" w14:textId="77777777" w:rsidTr="00174AA3">
        <w:trPr>
          <w:trHeight w:val="600"/>
          <w:tblHeader/>
          <w:jc w:val="center"/>
        </w:trPr>
        <w:tc>
          <w:tcPr>
            <w:tcW w:w="786" w:type="dxa"/>
            <w:tcBorders>
              <w:top w:val="single" w:sz="4" w:space="0" w:color="auto"/>
              <w:left w:val="single" w:sz="4" w:space="0" w:color="auto"/>
              <w:bottom w:val="single" w:sz="4" w:space="0" w:color="auto"/>
              <w:right w:val="single" w:sz="4" w:space="0" w:color="auto"/>
            </w:tcBorders>
            <w:shd w:val="clear" w:color="000000" w:fill="B4C6E7"/>
            <w:vAlign w:val="center"/>
            <w:hideMark/>
          </w:tcPr>
          <w:p w14:paraId="64FEF06E" w14:textId="77777777" w:rsidR="0026616B" w:rsidRPr="00F323B5" w:rsidRDefault="0026616B" w:rsidP="00291FAE">
            <w:pPr>
              <w:ind w:left="284"/>
              <w:contextualSpacing/>
              <w:jc w:val="center"/>
              <w:rPr>
                <w:rFonts w:ascii="Cambria" w:hAnsi="Cambria" w:cs="Calibri"/>
                <w:b/>
                <w:bCs/>
                <w:color w:val="000000"/>
                <w:sz w:val="22"/>
                <w:szCs w:val="22"/>
                <w:lang w:eastAsia="en-IN" w:bidi="hi-IN"/>
              </w:rPr>
            </w:pPr>
            <w:r w:rsidRPr="00F323B5">
              <w:rPr>
                <w:rFonts w:ascii="Cambria" w:hAnsi="Cambria" w:cs="Calibri"/>
                <w:b/>
                <w:bCs/>
                <w:color w:val="000000"/>
                <w:sz w:val="22"/>
                <w:szCs w:val="22"/>
                <w:lang w:eastAsia="en-IN" w:bidi="hi-IN"/>
              </w:rPr>
              <w:t>SL.</w:t>
            </w:r>
          </w:p>
        </w:tc>
        <w:tc>
          <w:tcPr>
            <w:tcW w:w="1698" w:type="dxa"/>
            <w:tcBorders>
              <w:top w:val="single" w:sz="4" w:space="0" w:color="auto"/>
              <w:left w:val="nil"/>
              <w:bottom w:val="single" w:sz="4" w:space="0" w:color="auto"/>
              <w:right w:val="single" w:sz="4" w:space="0" w:color="auto"/>
            </w:tcBorders>
            <w:shd w:val="clear" w:color="000000" w:fill="B4C6E7"/>
            <w:vAlign w:val="center"/>
            <w:hideMark/>
          </w:tcPr>
          <w:p w14:paraId="235A94DD" w14:textId="77777777" w:rsidR="0026616B" w:rsidRPr="00F323B5" w:rsidRDefault="0026616B" w:rsidP="00291FAE">
            <w:pPr>
              <w:ind w:left="284"/>
              <w:contextualSpacing/>
              <w:jc w:val="center"/>
              <w:rPr>
                <w:rFonts w:ascii="Cambria" w:hAnsi="Cambria" w:cs="Calibri"/>
                <w:b/>
                <w:bCs/>
                <w:color w:val="000000"/>
                <w:sz w:val="22"/>
                <w:szCs w:val="22"/>
                <w:lang w:eastAsia="en-IN" w:bidi="hi-IN"/>
              </w:rPr>
            </w:pPr>
            <w:r w:rsidRPr="00F323B5">
              <w:rPr>
                <w:rFonts w:ascii="Cambria" w:hAnsi="Cambria" w:cs="Calibri"/>
                <w:b/>
                <w:bCs/>
                <w:color w:val="000000"/>
                <w:sz w:val="22"/>
                <w:szCs w:val="22"/>
                <w:lang w:eastAsia="en-IN" w:bidi="hi-IN"/>
              </w:rPr>
              <w:t>District Name</w:t>
            </w:r>
          </w:p>
        </w:tc>
        <w:tc>
          <w:tcPr>
            <w:tcW w:w="1622" w:type="dxa"/>
            <w:tcBorders>
              <w:top w:val="single" w:sz="4" w:space="0" w:color="auto"/>
              <w:left w:val="nil"/>
              <w:bottom w:val="single" w:sz="4" w:space="0" w:color="auto"/>
              <w:right w:val="single" w:sz="4" w:space="0" w:color="auto"/>
            </w:tcBorders>
            <w:shd w:val="clear" w:color="000000" w:fill="B4C6E7"/>
            <w:vAlign w:val="center"/>
            <w:hideMark/>
          </w:tcPr>
          <w:p w14:paraId="650DA126" w14:textId="77777777" w:rsidR="0026616B" w:rsidRPr="00F323B5" w:rsidRDefault="0026616B" w:rsidP="00291FAE">
            <w:pPr>
              <w:ind w:left="284"/>
              <w:contextualSpacing/>
              <w:jc w:val="center"/>
              <w:rPr>
                <w:rFonts w:ascii="Cambria" w:hAnsi="Cambria" w:cs="Calibri"/>
                <w:b/>
                <w:bCs/>
                <w:color w:val="000000"/>
                <w:sz w:val="22"/>
                <w:szCs w:val="22"/>
                <w:lang w:eastAsia="en-IN" w:bidi="hi-IN"/>
              </w:rPr>
            </w:pPr>
            <w:r w:rsidRPr="00F323B5">
              <w:rPr>
                <w:rFonts w:ascii="Cambria" w:hAnsi="Cambria" w:cs="Calibri"/>
                <w:b/>
                <w:bCs/>
                <w:color w:val="000000"/>
                <w:sz w:val="22"/>
                <w:szCs w:val="22"/>
                <w:lang w:eastAsia="en-IN" w:bidi="hi-IN"/>
              </w:rPr>
              <w:t>PSS name</w:t>
            </w:r>
          </w:p>
        </w:tc>
        <w:tc>
          <w:tcPr>
            <w:tcW w:w="1363" w:type="dxa"/>
            <w:tcBorders>
              <w:top w:val="single" w:sz="4" w:space="0" w:color="auto"/>
              <w:left w:val="nil"/>
              <w:bottom w:val="single" w:sz="4" w:space="0" w:color="auto"/>
              <w:right w:val="single" w:sz="4" w:space="0" w:color="auto"/>
            </w:tcBorders>
            <w:shd w:val="clear" w:color="000000" w:fill="B4C6E7"/>
            <w:vAlign w:val="center"/>
            <w:hideMark/>
          </w:tcPr>
          <w:p w14:paraId="56EC17DA" w14:textId="77777777" w:rsidR="0026616B" w:rsidRPr="00F323B5" w:rsidRDefault="0026616B" w:rsidP="00291FAE">
            <w:pPr>
              <w:ind w:left="284"/>
              <w:contextualSpacing/>
              <w:jc w:val="center"/>
              <w:rPr>
                <w:rFonts w:ascii="Cambria" w:hAnsi="Cambria" w:cs="Calibri"/>
                <w:b/>
                <w:bCs/>
                <w:color w:val="000000"/>
                <w:sz w:val="22"/>
                <w:szCs w:val="22"/>
                <w:lang w:eastAsia="en-IN" w:bidi="hi-IN"/>
              </w:rPr>
            </w:pPr>
            <w:r w:rsidRPr="00F323B5">
              <w:rPr>
                <w:rFonts w:ascii="Cambria" w:hAnsi="Cambria" w:cs="Calibri"/>
                <w:b/>
                <w:bCs/>
                <w:color w:val="000000"/>
                <w:sz w:val="22"/>
                <w:szCs w:val="22"/>
                <w:lang w:eastAsia="en-IN" w:bidi="hi-IN"/>
              </w:rPr>
              <w:t>Capacity (in MW)</w:t>
            </w:r>
          </w:p>
        </w:tc>
        <w:tc>
          <w:tcPr>
            <w:tcW w:w="3457" w:type="dxa"/>
            <w:tcBorders>
              <w:top w:val="single" w:sz="4" w:space="0" w:color="auto"/>
              <w:left w:val="nil"/>
              <w:bottom w:val="single" w:sz="4" w:space="0" w:color="auto"/>
              <w:right w:val="single" w:sz="4" w:space="0" w:color="auto"/>
            </w:tcBorders>
            <w:shd w:val="clear" w:color="000000" w:fill="B4C6E7"/>
            <w:vAlign w:val="center"/>
            <w:hideMark/>
          </w:tcPr>
          <w:p w14:paraId="3A5BF95C" w14:textId="77777777" w:rsidR="0026616B" w:rsidRPr="00F323B5" w:rsidRDefault="0026616B" w:rsidP="00291FAE">
            <w:pPr>
              <w:ind w:left="284"/>
              <w:contextualSpacing/>
              <w:jc w:val="center"/>
              <w:rPr>
                <w:rFonts w:ascii="Cambria" w:hAnsi="Cambria" w:cs="Calibri"/>
                <w:b/>
                <w:bCs/>
                <w:color w:val="000000"/>
                <w:sz w:val="22"/>
                <w:szCs w:val="22"/>
                <w:lang w:eastAsia="en-IN" w:bidi="hi-IN"/>
              </w:rPr>
            </w:pPr>
            <w:r w:rsidRPr="00F323B5">
              <w:rPr>
                <w:rFonts w:ascii="Cambria" w:hAnsi="Cambria" w:cs="Calibri"/>
                <w:b/>
                <w:bCs/>
                <w:color w:val="000000"/>
                <w:sz w:val="22"/>
                <w:szCs w:val="22"/>
                <w:lang w:eastAsia="en-IN" w:bidi="hi-IN"/>
              </w:rPr>
              <w:t>Status</w:t>
            </w:r>
          </w:p>
        </w:tc>
      </w:tr>
      <w:tr w:rsidR="0026616B" w:rsidRPr="00F323B5" w14:paraId="146F7C86" w14:textId="77777777" w:rsidTr="00EE4AEE">
        <w:trPr>
          <w:trHeight w:val="300"/>
          <w:jc w:val="center"/>
        </w:trPr>
        <w:tc>
          <w:tcPr>
            <w:tcW w:w="786" w:type="dxa"/>
            <w:tcBorders>
              <w:top w:val="single" w:sz="4" w:space="0" w:color="auto"/>
              <w:left w:val="single" w:sz="4" w:space="0" w:color="auto"/>
              <w:bottom w:val="single" w:sz="4" w:space="0" w:color="auto"/>
              <w:right w:val="single" w:sz="4" w:space="0" w:color="auto"/>
            </w:tcBorders>
            <w:noWrap/>
            <w:vAlign w:val="center"/>
            <w:hideMark/>
          </w:tcPr>
          <w:p w14:paraId="690CE7FB" w14:textId="77777777" w:rsidR="0026616B" w:rsidRPr="00F323B5" w:rsidRDefault="0026616B" w:rsidP="00291FAE">
            <w:pPr>
              <w:ind w:left="284"/>
              <w:contextualSpacing/>
              <w:jc w:val="center"/>
              <w:rPr>
                <w:rFonts w:ascii="Cambria" w:hAnsi="Cambria" w:cs="Calibri"/>
                <w:color w:val="000000"/>
                <w:sz w:val="22"/>
                <w:szCs w:val="22"/>
                <w:lang w:eastAsia="en-IN" w:bidi="hi-IN"/>
              </w:rPr>
            </w:pPr>
            <w:r w:rsidRPr="00F323B5">
              <w:rPr>
                <w:rFonts w:ascii="Cambria" w:hAnsi="Cambria" w:cs="Calibri"/>
                <w:color w:val="000000"/>
                <w:sz w:val="22"/>
                <w:szCs w:val="22"/>
                <w:lang w:eastAsia="en-IN" w:bidi="hi-IN"/>
              </w:rPr>
              <w:t>1</w:t>
            </w:r>
          </w:p>
        </w:tc>
        <w:tc>
          <w:tcPr>
            <w:tcW w:w="1698" w:type="dxa"/>
            <w:tcBorders>
              <w:top w:val="single" w:sz="4" w:space="0" w:color="auto"/>
              <w:left w:val="nil"/>
              <w:bottom w:val="single" w:sz="4" w:space="0" w:color="auto"/>
              <w:right w:val="single" w:sz="4" w:space="0" w:color="auto"/>
            </w:tcBorders>
            <w:noWrap/>
            <w:vAlign w:val="center"/>
            <w:hideMark/>
          </w:tcPr>
          <w:p w14:paraId="2F2C8863" w14:textId="77777777" w:rsidR="0026616B" w:rsidRPr="00F323B5" w:rsidRDefault="0026616B" w:rsidP="00291FAE">
            <w:pPr>
              <w:ind w:left="284"/>
              <w:contextualSpacing/>
              <w:jc w:val="center"/>
              <w:rPr>
                <w:rFonts w:ascii="Cambria" w:hAnsi="Cambria" w:cs="Calibri"/>
                <w:color w:val="000000"/>
                <w:sz w:val="22"/>
                <w:szCs w:val="22"/>
                <w:lang w:eastAsia="en-IN" w:bidi="hi-IN"/>
              </w:rPr>
            </w:pPr>
            <w:r w:rsidRPr="00F323B5">
              <w:rPr>
                <w:rFonts w:ascii="Cambria" w:hAnsi="Cambria" w:cs="Calibri"/>
                <w:color w:val="000000"/>
                <w:sz w:val="22"/>
                <w:szCs w:val="22"/>
                <w:lang w:eastAsia="en-IN" w:bidi="hi-IN"/>
              </w:rPr>
              <w:t>Kalahandi</w:t>
            </w:r>
          </w:p>
        </w:tc>
        <w:tc>
          <w:tcPr>
            <w:tcW w:w="1622" w:type="dxa"/>
            <w:tcBorders>
              <w:top w:val="single" w:sz="4" w:space="0" w:color="auto"/>
              <w:left w:val="nil"/>
              <w:bottom w:val="single" w:sz="4" w:space="0" w:color="auto"/>
              <w:right w:val="single" w:sz="4" w:space="0" w:color="auto"/>
            </w:tcBorders>
            <w:noWrap/>
            <w:vAlign w:val="center"/>
            <w:hideMark/>
          </w:tcPr>
          <w:p w14:paraId="5A790FA3" w14:textId="77777777" w:rsidR="0026616B" w:rsidRPr="00F323B5" w:rsidRDefault="0026616B" w:rsidP="00291FAE">
            <w:pPr>
              <w:ind w:left="284"/>
              <w:contextualSpacing/>
              <w:jc w:val="center"/>
              <w:rPr>
                <w:rFonts w:ascii="Cambria" w:hAnsi="Cambria" w:cs="Calibri"/>
                <w:color w:val="000000"/>
                <w:sz w:val="22"/>
                <w:szCs w:val="22"/>
                <w:lang w:eastAsia="en-IN" w:bidi="hi-IN"/>
              </w:rPr>
            </w:pPr>
            <w:proofErr w:type="spellStart"/>
            <w:r w:rsidRPr="00F323B5">
              <w:rPr>
                <w:rFonts w:ascii="Cambria" w:hAnsi="Cambria" w:cs="Calibri"/>
                <w:color w:val="000000"/>
                <w:sz w:val="22"/>
                <w:szCs w:val="22"/>
                <w:lang w:eastAsia="en-IN" w:bidi="hi-IN"/>
              </w:rPr>
              <w:t>Bandhopala</w:t>
            </w:r>
            <w:proofErr w:type="spellEnd"/>
          </w:p>
        </w:tc>
        <w:tc>
          <w:tcPr>
            <w:tcW w:w="1363" w:type="dxa"/>
            <w:tcBorders>
              <w:top w:val="single" w:sz="4" w:space="0" w:color="auto"/>
              <w:left w:val="nil"/>
              <w:bottom w:val="single" w:sz="4" w:space="0" w:color="auto"/>
              <w:right w:val="single" w:sz="4" w:space="0" w:color="auto"/>
            </w:tcBorders>
            <w:noWrap/>
            <w:vAlign w:val="center"/>
            <w:hideMark/>
          </w:tcPr>
          <w:p w14:paraId="7159B99A" w14:textId="77777777" w:rsidR="0026616B" w:rsidRPr="00F323B5" w:rsidRDefault="0026616B" w:rsidP="00291FAE">
            <w:pPr>
              <w:ind w:left="284"/>
              <w:contextualSpacing/>
              <w:jc w:val="center"/>
              <w:rPr>
                <w:rFonts w:ascii="Cambria" w:hAnsi="Cambria" w:cs="Calibri"/>
                <w:color w:val="000000"/>
                <w:sz w:val="22"/>
                <w:szCs w:val="22"/>
                <w:lang w:eastAsia="en-IN" w:bidi="hi-IN"/>
              </w:rPr>
            </w:pPr>
            <w:r w:rsidRPr="00F323B5">
              <w:rPr>
                <w:rFonts w:ascii="Cambria" w:hAnsi="Cambria" w:cs="Calibri"/>
                <w:color w:val="000000"/>
                <w:sz w:val="22"/>
                <w:szCs w:val="22"/>
                <w:lang w:eastAsia="en-IN" w:bidi="hi-IN"/>
              </w:rPr>
              <w:t>9.553</w:t>
            </w:r>
          </w:p>
        </w:tc>
        <w:tc>
          <w:tcPr>
            <w:tcW w:w="3457" w:type="dxa"/>
            <w:tcBorders>
              <w:top w:val="single" w:sz="4" w:space="0" w:color="auto"/>
              <w:left w:val="nil"/>
              <w:bottom w:val="single" w:sz="4" w:space="0" w:color="auto"/>
              <w:right w:val="single" w:sz="4" w:space="0" w:color="auto"/>
            </w:tcBorders>
            <w:noWrap/>
            <w:vAlign w:val="center"/>
            <w:hideMark/>
          </w:tcPr>
          <w:p w14:paraId="1A323D89" w14:textId="77777777" w:rsidR="0026616B" w:rsidRPr="00F323B5" w:rsidRDefault="0026616B" w:rsidP="00291FAE">
            <w:pPr>
              <w:ind w:left="284"/>
              <w:contextualSpacing/>
              <w:rPr>
                <w:rFonts w:ascii="Cambria" w:hAnsi="Cambria" w:cs="Calibri"/>
                <w:color w:val="000000"/>
                <w:sz w:val="22"/>
                <w:szCs w:val="22"/>
                <w:lang w:eastAsia="en-IN" w:bidi="hi-IN"/>
              </w:rPr>
            </w:pPr>
            <w:r w:rsidRPr="00F323B5">
              <w:rPr>
                <w:rFonts w:ascii="Cambria" w:hAnsi="Cambria" w:cs="Calibri"/>
                <w:color w:val="000000"/>
                <w:sz w:val="22"/>
                <w:szCs w:val="22"/>
                <w:lang w:eastAsia="en-IN" w:bidi="hi-IN"/>
              </w:rPr>
              <w:t>Land Acquisition is in process</w:t>
            </w:r>
          </w:p>
        </w:tc>
      </w:tr>
      <w:tr w:rsidR="0026616B" w:rsidRPr="00F323B5" w14:paraId="3B254B72" w14:textId="77777777" w:rsidTr="00EE4AEE">
        <w:trPr>
          <w:trHeight w:val="300"/>
          <w:jc w:val="center"/>
        </w:trPr>
        <w:tc>
          <w:tcPr>
            <w:tcW w:w="786" w:type="dxa"/>
            <w:tcBorders>
              <w:top w:val="nil"/>
              <w:left w:val="single" w:sz="4" w:space="0" w:color="auto"/>
              <w:bottom w:val="single" w:sz="4" w:space="0" w:color="auto"/>
              <w:right w:val="single" w:sz="4" w:space="0" w:color="auto"/>
            </w:tcBorders>
            <w:noWrap/>
            <w:vAlign w:val="center"/>
            <w:hideMark/>
          </w:tcPr>
          <w:p w14:paraId="1408ECA9" w14:textId="77777777" w:rsidR="0026616B" w:rsidRPr="00F323B5" w:rsidRDefault="0026616B" w:rsidP="00291FAE">
            <w:pPr>
              <w:ind w:left="284"/>
              <w:contextualSpacing/>
              <w:jc w:val="center"/>
              <w:rPr>
                <w:rFonts w:ascii="Cambria" w:hAnsi="Cambria" w:cs="Calibri"/>
                <w:color w:val="000000"/>
                <w:sz w:val="22"/>
                <w:szCs w:val="22"/>
                <w:lang w:eastAsia="en-IN" w:bidi="hi-IN"/>
              </w:rPr>
            </w:pPr>
            <w:r w:rsidRPr="00F323B5">
              <w:rPr>
                <w:rFonts w:ascii="Cambria" w:hAnsi="Cambria" w:cs="Calibri"/>
                <w:color w:val="000000"/>
                <w:sz w:val="22"/>
                <w:szCs w:val="22"/>
                <w:lang w:eastAsia="en-IN" w:bidi="hi-IN"/>
              </w:rPr>
              <w:t>2</w:t>
            </w:r>
          </w:p>
        </w:tc>
        <w:tc>
          <w:tcPr>
            <w:tcW w:w="1698" w:type="dxa"/>
            <w:tcBorders>
              <w:top w:val="nil"/>
              <w:left w:val="nil"/>
              <w:bottom w:val="single" w:sz="4" w:space="0" w:color="auto"/>
              <w:right w:val="single" w:sz="4" w:space="0" w:color="auto"/>
            </w:tcBorders>
            <w:noWrap/>
            <w:vAlign w:val="center"/>
            <w:hideMark/>
          </w:tcPr>
          <w:p w14:paraId="356BC9EA" w14:textId="77777777" w:rsidR="0026616B" w:rsidRPr="00F323B5" w:rsidRDefault="0026616B" w:rsidP="00291FAE">
            <w:pPr>
              <w:ind w:left="284"/>
              <w:contextualSpacing/>
              <w:jc w:val="center"/>
              <w:rPr>
                <w:rFonts w:ascii="Cambria" w:hAnsi="Cambria" w:cs="Calibri"/>
                <w:color w:val="000000"/>
                <w:sz w:val="22"/>
                <w:szCs w:val="22"/>
                <w:lang w:eastAsia="en-IN" w:bidi="hi-IN"/>
              </w:rPr>
            </w:pPr>
            <w:r w:rsidRPr="00F323B5">
              <w:rPr>
                <w:rFonts w:ascii="Cambria" w:hAnsi="Cambria" w:cs="Calibri"/>
                <w:color w:val="000000"/>
                <w:sz w:val="22"/>
                <w:szCs w:val="22"/>
                <w:lang w:eastAsia="en-IN" w:bidi="hi-IN"/>
              </w:rPr>
              <w:t>Kalahandi</w:t>
            </w:r>
          </w:p>
        </w:tc>
        <w:tc>
          <w:tcPr>
            <w:tcW w:w="1622" w:type="dxa"/>
            <w:tcBorders>
              <w:top w:val="nil"/>
              <w:left w:val="nil"/>
              <w:bottom w:val="single" w:sz="4" w:space="0" w:color="auto"/>
              <w:right w:val="single" w:sz="4" w:space="0" w:color="auto"/>
            </w:tcBorders>
            <w:noWrap/>
            <w:vAlign w:val="center"/>
            <w:hideMark/>
          </w:tcPr>
          <w:p w14:paraId="032DEA88" w14:textId="77777777" w:rsidR="0026616B" w:rsidRPr="00F323B5" w:rsidRDefault="0026616B" w:rsidP="00291FAE">
            <w:pPr>
              <w:ind w:left="284"/>
              <w:contextualSpacing/>
              <w:jc w:val="center"/>
              <w:rPr>
                <w:rFonts w:ascii="Cambria" w:hAnsi="Cambria" w:cs="Calibri"/>
                <w:color w:val="000000"/>
                <w:sz w:val="22"/>
                <w:szCs w:val="22"/>
                <w:lang w:eastAsia="en-IN" w:bidi="hi-IN"/>
              </w:rPr>
            </w:pPr>
            <w:proofErr w:type="spellStart"/>
            <w:r w:rsidRPr="00F323B5">
              <w:rPr>
                <w:rFonts w:ascii="Cambria" w:hAnsi="Cambria" w:cs="Calibri"/>
                <w:color w:val="000000"/>
                <w:sz w:val="22"/>
                <w:szCs w:val="22"/>
                <w:lang w:eastAsia="en-IN" w:bidi="hi-IN"/>
              </w:rPr>
              <w:t>Narla</w:t>
            </w:r>
            <w:proofErr w:type="spellEnd"/>
          </w:p>
        </w:tc>
        <w:tc>
          <w:tcPr>
            <w:tcW w:w="1363" w:type="dxa"/>
            <w:tcBorders>
              <w:top w:val="nil"/>
              <w:left w:val="nil"/>
              <w:bottom w:val="single" w:sz="4" w:space="0" w:color="auto"/>
              <w:right w:val="single" w:sz="4" w:space="0" w:color="auto"/>
            </w:tcBorders>
            <w:noWrap/>
            <w:vAlign w:val="center"/>
            <w:hideMark/>
          </w:tcPr>
          <w:p w14:paraId="138B12B0" w14:textId="77777777" w:rsidR="0026616B" w:rsidRPr="00F323B5" w:rsidRDefault="0026616B" w:rsidP="00291FAE">
            <w:pPr>
              <w:ind w:left="284"/>
              <w:contextualSpacing/>
              <w:jc w:val="center"/>
              <w:rPr>
                <w:rFonts w:ascii="Cambria" w:hAnsi="Cambria" w:cs="Calibri"/>
                <w:color w:val="000000"/>
                <w:sz w:val="22"/>
                <w:szCs w:val="22"/>
                <w:lang w:eastAsia="en-IN" w:bidi="hi-IN"/>
              </w:rPr>
            </w:pPr>
            <w:r w:rsidRPr="00F323B5">
              <w:rPr>
                <w:rFonts w:ascii="Cambria" w:hAnsi="Cambria" w:cs="Calibri"/>
                <w:color w:val="000000"/>
                <w:sz w:val="22"/>
                <w:szCs w:val="22"/>
                <w:lang w:eastAsia="en-IN" w:bidi="hi-IN"/>
              </w:rPr>
              <w:t>8.082</w:t>
            </w:r>
          </w:p>
        </w:tc>
        <w:tc>
          <w:tcPr>
            <w:tcW w:w="3457" w:type="dxa"/>
            <w:tcBorders>
              <w:top w:val="nil"/>
              <w:left w:val="nil"/>
              <w:bottom w:val="single" w:sz="4" w:space="0" w:color="auto"/>
              <w:right w:val="single" w:sz="4" w:space="0" w:color="auto"/>
            </w:tcBorders>
            <w:noWrap/>
            <w:vAlign w:val="center"/>
            <w:hideMark/>
          </w:tcPr>
          <w:p w14:paraId="5958B504" w14:textId="77777777" w:rsidR="0026616B" w:rsidRPr="00F323B5" w:rsidRDefault="0026616B" w:rsidP="00291FAE">
            <w:pPr>
              <w:ind w:left="284"/>
              <w:contextualSpacing/>
              <w:rPr>
                <w:rFonts w:ascii="Cambria" w:hAnsi="Cambria" w:cs="Calibri"/>
                <w:color w:val="000000"/>
                <w:sz w:val="22"/>
                <w:szCs w:val="22"/>
                <w:lang w:eastAsia="en-IN" w:bidi="hi-IN"/>
              </w:rPr>
            </w:pPr>
            <w:r w:rsidRPr="00F323B5">
              <w:rPr>
                <w:rFonts w:ascii="Cambria" w:hAnsi="Cambria" w:cs="Calibri"/>
                <w:color w:val="000000"/>
                <w:sz w:val="22"/>
                <w:szCs w:val="22"/>
                <w:lang w:eastAsia="en-IN" w:bidi="hi-IN"/>
              </w:rPr>
              <w:t>Land Acquisition completed. Site work is in progress.</w:t>
            </w:r>
          </w:p>
        </w:tc>
      </w:tr>
      <w:tr w:rsidR="0026616B" w:rsidRPr="00F323B5" w14:paraId="2BF5034C" w14:textId="77777777" w:rsidTr="00EE4AEE">
        <w:trPr>
          <w:trHeight w:val="300"/>
          <w:jc w:val="center"/>
        </w:trPr>
        <w:tc>
          <w:tcPr>
            <w:tcW w:w="786" w:type="dxa"/>
            <w:tcBorders>
              <w:top w:val="nil"/>
              <w:left w:val="single" w:sz="4" w:space="0" w:color="auto"/>
              <w:bottom w:val="single" w:sz="4" w:space="0" w:color="auto"/>
              <w:right w:val="single" w:sz="4" w:space="0" w:color="auto"/>
            </w:tcBorders>
            <w:noWrap/>
            <w:vAlign w:val="center"/>
            <w:hideMark/>
          </w:tcPr>
          <w:p w14:paraId="20CC2AF5" w14:textId="77777777" w:rsidR="0026616B" w:rsidRPr="00F323B5" w:rsidRDefault="0026616B" w:rsidP="00291FAE">
            <w:pPr>
              <w:ind w:left="284"/>
              <w:contextualSpacing/>
              <w:jc w:val="center"/>
              <w:rPr>
                <w:rFonts w:ascii="Cambria" w:hAnsi="Cambria" w:cs="Calibri"/>
                <w:color w:val="000000"/>
                <w:sz w:val="22"/>
                <w:szCs w:val="22"/>
                <w:lang w:eastAsia="en-IN" w:bidi="hi-IN"/>
              </w:rPr>
            </w:pPr>
            <w:r w:rsidRPr="00F323B5">
              <w:rPr>
                <w:rFonts w:ascii="Cambria" w:hAnsi="Cambria" w:cs="Calibri"/>
                <w:color w:val="000000"/>
                <w:sz w:val="22"/>
                <w:szCs w:val="22"/>
                <w:lang w:eastAsia="en-IN" w:bidi="hi-IN"/>
              </w:rPr>
              <w:t>3</w:t>
            </w:r>
          </w:p>
        </w:tc>
        <w:tc>
          <w:tcPr>
            <w:tcW w:w="1698" w:type="dxa"/>
            <w:tcBorders>
              <w:top w:val="nil"/>
              <w:left w:val="nil"/>
              <w:bottom w:val="single" w:sz="4" w:space="0" w:color="auto"/>
              <w:right w:val="single" w:sz="4" w:space="0" w:color="auto"/>
            </w:tcBorders>
            <w:noWrap/>
            <w:vAlign w:val="center"/>
            <w:hideMark/>
          </w:tcPr>
          <w:p w14:paraId="5398CAF9" w14:textId="77777777" w:rsidR="0026616B" w:rsidRPr="00F323B5" w:rsidRDefault="0026616B" w:rsidP="00291FAE">
            <w:pPr>
              <w:ind w:left="284"/>
              <w:contextualSpacing/>
              <w:jc w:val="center"/>
              <w:rPr>
                <w:rFonts w:ascii="Cambria" w:hAnsi="Cambria" w:cs="Calibri"/>
                <w:color w:val="000000"/>
                <w:sz w:val="22"/>
                <w:szCs w:val="22"/>
                <w:lang w:eastAsia="en-IN" w:bidi="hi-IN"/>
              </w:rPr>
            </w:pPr>
            <w:r w:rsidRPr="00F323B5">
              <w:rPr>
                <w:rFonts w:ascii="Cambria" w:hAnsi="Cambria" w:cs="Calibri"/>
                <w:color w:val="000000"/>
                <w:sz w:val="22"/>
                <w:szCs w:val="22"/>
                <w:lang w:eastAsia="en-IN" w:bidi="hi-IN"/>
              </w:rPr>
              <w:t>Kalahandi</w:t>
            </w:r>
          </w:p>
        </w:tc>
        <w:tc>
          <w:tcPr>
            <w:tcW w:w="1622" w:type="dxa"/>
            <w:tcBorders>
              <w:top w:val="nil"/>
              <w:left w:val="nil"/>
              <w:bottom w:val="single" w:sz="4" w:space="0" w:color="auto"/>
              <w:right w:val="single" w:sz="4" w:space="0" w:color="auto"/>
            </w:tcBorders>
            <w:noWrap/>
            <w:vAlign w:val="center"/>
            <w:hideMark/>
          </w:tcPr>
          <w:p w14:paraId="27AFA7B9" w14:textId="77777777" w:rsidR="0026616B" w:rsidRPr="00F323B5" w:rsidRDefault="0026616B" w:rsidP="00291FAE">
            <w:pPr>
              <w:ind w:left="284"/>
              <w:contextualSpacing/>
              <w:jc w:val="center"/>
              <w:rPr>
                <w:rFonts w:ascii="Cambria" w:hAnsi="Cambria" w:cs="Calibri"/>
                <w:color w:val="000000"/>
                <w:sz w:val="22"/>
                <w:szCs w:val="22"/>
                <w:lang w:eastAsia="en-IN" w:bidi="hi-IN"/>
              </w:rPr>
            </w:pPr>
            <w:proofErr w:type="spellStart"/>
            <w:r w:rsidRPr="00F323B5">
              <w:rPr>
                <w:rFonts w:ascii="Cambria" w:hAnsi="Cambria" w:cs="Calibri"/>
                <w:color w:val="000000"/>
                <w:sz w:val="22"/>
                <w:szCs w:val="22"/>
                <w:lang w:eastAsia="en-IN" w:bidi="hi-IN"/>
              </w:rPr>
              <w:t>Kurumpuri</w:t>
            </w:r>
            <w:proofErr w:type="spellEnd"/>
          </w:p>
        </w:tc>
        <w:tc>
          <w:tcPr>
            <w:tcW w:w="1363" w:type="dxa"/>
            <w:tcBorders>
              <w:top w:val="nil"/>
              <w:left w:val="nil"/>
              <w:bottom w:val="single" w:sz="4" w:space="0" w:color="auto"/>
              <w:right w:val="single" w:sz="4" w:space="0" w:color="auto"/>
            </w:tcBorders>
            <w:noWrap/>
            <w:vAlign w:val="center"/>
            <w:hideMark/>
          </w:tcPr>
          <w:p w14:paraId="18C221F3" w14:textId="77777777" w:rsidR="0026616B" w:rsidRPr="00F323B5" w:rsidRDefault="0026616B" w:rsidP="00291FAE">
            <w:pPr>
              <w:ind w:left="284"/>
              <w:contextualSpacing/>
              <w:jc w:val="center"/>
              <w:rPr>
                <w:rFonts w:ascii="Cambria" w:hAnsi="Cambria" w:cs="Calibri"/>
                <w:color w:val="000000"/>
                <w:sz w:val="22"/>
                <w:szCs w:val="22"/>
                <w:lang w:eastAsia="en-IN" w:bidi="hi-IN"/>
              </w:rPr>
            </w:pPr>
            <w:r w:rsidRPr="00F323B5">
              <w:rPr>
                <w:rFonts w:ascii="Cambria" w:hAnsi="Cambria" w:cs="Calibri"/>
                <w:color w:val="000000"/>
                <w:sz w:val="22"/>
                <w:szCs w:val="22"/>
                <w:lang w:eastAsia="en-IN" w:bidi="hi-IN"/>
              </w:rPr>
              <w:t>3.83</w:t>
            </w:r>
          </w:p>
        </w:tc>
        <w:tc>
          <w:tcPr>
            <w:tcW w:w="3457" w:type="dxa"/>
            <w:tcBorders>
              <w:top w:val="nil"/>
              <w:left w:val="nil"/>
              <w:bottom w:val="single" w:sz="4" w:space="0" w:color="auto"/>
              <w:right w:val="single" w:sz="4" w:space="0" w:color="auto"/>
            </w:tcBorders>
            <w:noWrap/>
            <w:vAlign w:val="center"/>
            <w:hideMark/>
          </w:tcPr>
          <w:p w14:paraId="6A9D3487" w14:textId="77777777" w:rsidR="0026616B" w:rsidRPr="00F323B5" w:rsidRDefault="0026616B" w:rsidP="00291FAE">
            <w:pPr>
              <w:ind w:left="284"/>
              <w:contextualSpacing/>
              <w:rPr>
                <w:rFonts w:ascii="Cambria" w:hAnsi="Cambria" w:cs="Calibri"/>
                <w:color w:val="000000"/>
                <w:sz w:val="22"/>
                <w:szCs w:val="22"/>
                <w:lang w:eastAsia="en-IN" w:bidi="hi-IN"/>
              </w:rPr>
            </w:pPr>
            <w:r w:rsidRPr="00F323B5">
              <w:rPr>
                <w:rFonts w:ascii="Cambria" w:hAnsi="Cambria" w:cs="Calibri"/>
                <w:color w:val="000000"/>
                <w:sz w:val="22"/>
                <w:szCs w:val="22"/>
                <w:lang w:eastAsia="en-IN" w:bidi="hi-IN"/>
              </w:rPr>
              <w:t>Land Acquisition is in process</w:t>
            </w:r>
          </w:p>
        </w:tc>
      </w:tr>
      <w:tr w:rsidR="0026616B" w:rsidRPr="00F323B5" w14:paraId="3AA54BC9" w14:textId="77777777" w:rsidTr="00EE4AEE">
        <w:trPr>
          <w:trHeight w:val="300"/>
          <w:jc w:val="center"/>
        </w:trPr>
        <w:tc>
          <w:tcPr>
            <w:tcW w:w="786" w:type="dxa"/>
            <w:tcBorders>
              <w:top w:val="nil"/>
              <w:left w:val="single" w:sz="4" w:space="0" w:color="auto"/>
              <w:bottom w:val="single" w:sz="4" w:space="0" w:color="auto"/>
              <w:right w:val="single" w:sz="4" w:space="0" w:color="auto"/>
            </w:tcBorders>
            <w:noWrap/>
            <w:vAlign w:val="center"/>
            <w:hideMark/>
          </w:tcPr>
          <w:p w14:paraId="718C55CB" w14:textId="77777777" w:rsidR="0026616B" w:rsidRPr="00F323B5" w:rsidRDefault="0026616B" w:rsidP="00291FAE">
            <w:pPr>
              <w:ind w:left="284"/>
              <w:contextualSpacing/>
              <w:jc w:val="center"/>
              <w:rPr>
                <w:rFonts w:ascii="Cambria" w:hAnsi="Cambria" w:cs="Calibri"/>
                <w:color w:val="000000"/>
                <w:sz w:val="22"/>
                <w:szCs w:val="22"/>
                <w:lang w:eastAsia="en-IN" w:bidi="hi-IN"/>
              </w:rPr>
            </w:pPr>
          </w:p>
        </w:tc>
        <w:tc>
          <w:tcPr>
            <w:tcW w:w="1698" w:type="dxa"/>
            <w:tcBorders>
              <w:top w:val="nil"/>
              <w:left w:val="nil"/>
              <w:bottom w:val="single" w:sz="4" w:space="0" w:color="auto"/>
              <w:right w:val="single" w:sz="4" w:space="0" w:color="auto"/>
            </w:tcBorders>
            <w:noWrap/>
            <w:vAlign w:val="center"/>
            <w:hideMark/>
          </w:tcPr>
          <w:p w14:paraId="2FC44F1F" w14:textId="77777777" w:rsidR="0026616B" w:rsidRPr="00F323B5" w:rsidRDefault="0026616B" w:rsidP="00291FAE">
            <w:pPr>
              <w:ind w:left="284"/>
              <w:contextualSpacing/>
              <w:jc w:val="center"/>
              <w:rPr>
                <w:rFonts w:ascii="Cambria" w:hAnsi="Cambria" w:cs="Calibri"/>
                <w:color w:val="000000"/>
                <w:sz w:val="22"/>
                <w:szCs w:val="22"/>
                <w:lang w:eastAsia="en-IN" w:bidi="hi-IN"/>
              </w:rPr>
            </w:pPr>
          </w:p>
        </w:tc>
        <w:tc>
          <w:tcPr>
            <w:tcW w:w="1622" w:type="dxa"/>
            <w:tcBorders>
              <w:top w:val="nil"/>
              <w:left w:val="nil"/>
              <w:bottom w:val="single" w:sz="4" w:space="0" w:color="auto"/>
              <w:right w:val="single" w:sz="4" w:space="0" w:color="auto"/>
            </w:tcBorders>
            <w:noWrap/>
            <w:vAlign w:val="center"/>
            <w:hideMark/>
          </w:tcPr>
          <w:p w14:paraId="191C3434" w14:textId="77777777" w:rsidR="0026616B" w:rsidRPr="00F323B5" w:rsidRDefault="0026616B" w:rsidP="00291FAE">
            <w:pPr>
              <w:ind w:left="284"/>
              <w:contextualSpacing/>
              <w:jc w:val="center"/>
              <w:rPr>
                <w:rFonts w:ascii="Cambria" w:hAnsi="Cambria" w:cs="Calibri"/>
                <w:color w:val="000000"/>
                <w:sz w:val="22"/>
                <w:szCs w:val="22"/>
                <w:lang w:eastAsia="en-IN" w:bidi="hi-IN"/>
              </w:rPr>
            </w:pPr>
            <w:r w:rsidRPr="00F323B5">
              <w:rPr>
                <w:rFonts w:ascii="Cambria" w:hAnsi="Cambria" w:cs="Calibri"/>
                <w:color w:val="000000"/>
                <w:sz w:val="22"/>
                <w:szCs w:val="22"/>
                <w:lang w:eastAsia="en-IN" w:bidi="hi-IN"/>
              </w:rPr>
              <w:t>Total</w:t>
            </w:r>
          </w:p>
        </w:tc>
        <w:tc>
          <w:tcPr>
            <w:tcW w:w="1363" w:type="dxa"/>
            <w:tcBorders>
              <w:top w:val="nil"/>
              <w:left w:val="nil"/>
              <w:bottom w:val="single" w:sz="4" w:space="0" w:color="auto"/>
              <w:right w:val="single" w:sz="4" w:space="0" w:color="auto"/>
            </w:tcBorders>
            <w:noWrap/>
            <w:vAlign w:val="center"/>
            <w:hideMark/>
          </w:tcPr>
          <w:p w14:paraId="6A0B5D7E" w14:textId="77777777" w:rsidR="0026616B" w:rsidRPr="00F323B5" w:rsidRDefault="0026616B" w:rsidP="00291FAE">
            <w:pPr>
              <w:ind w:left="284"/>
              <w:contextualSpacing/>
              <w:jc w:val="center"/>
              <w:rPr>
                <w:rFonts w:ascii="Cambria" w:hAnsi="Cambria" w:cs="Calibri"/>
                <w:color w:val="000000"/>
                <w:sz w:val="22"/>
                <w:szCs w:val="22"/>
                <w:lang w:eastAsia="en-IN" w:bidi="hi-IN"/>
              </w:rPr>
            </w:pPr>
            <w:r w:rsidRPr="00F323B5">
              <w:rPr>
                <w:rFonts w:ascii="Cambria" w:hAnsi="Cambria" w:cs="Calibri"/>
                <w:color w:val="000000"/>
                <w:sz w:val="22"/>
                <w:szCs w:val="22"/>
                <w:lang w:eastAsia="en-IN" w:bidi="hi-IN"/>
              </w:rPr>
              <w:t>21.46</w:t>
            </w:r>
          </w:p>
        </w:tc>
        <w:tc>
          <w:tcPr>
            <w:tcW w:w="3457" w:type="dxa"/>
            <w:tcBorders>
              <w:top w:val="nil"/>
              <w:left w:val="nil"/>
              <w:bottom w:val="single" w:sz="4" w:space="0" w:color="auto"/>
              <w:right w:val="single" w:sz="4" w:space="0" w:color="auto"/>
            </w:tcBorders>
            <w:noWrap/>
            <w:vAlign w:val="center"/>
            <w:hideMark/>
          </w:tcPr>
          <w:p w14:paraId="510EAA3A" w14:textId="77777777" w:rsidR="0026616B" w:rsidRPr="00F323B5" w:rsidRDefault="0026616B" w:rsidP="00291FAE">
            <w:pPr>
              <w:ind w:left="284"/>
              <w:contextualSpacing/>
              <w:rPr>
                <w:rFonts w:ascii="Cambria" w:hAnsi="Cambria" w:cs="Calibri"/>
                <w:color w:val="000000"/>
                <w:sz w:val="22"/>
                <w:szCs w:val="22"/>
                <w:lang w:eastAsia="en-IN" w:bidi="hi-IN"/>
              </w:rPr>
            </w:pPr>
          </w:p>
        </w:tc>
      </w:tr>
    </w:tbl>
    <w:p w14:paraId="72593A41" w14:textId="77777777" w:rsidR="0026616B" w:rsidRPr="00B4162E" w:rsidRDefault="0026616B" w:rsidP="00291FAE">
      <w:pPr>
        <w:pStyle w:val="ListParagraph"/>
        <w:spacing w:after="160" w:line="360" w:lineRule="auto"/>
        <w:ind w:left="284"/>
        <w:jc w:val="both"/>
        <w:rPr>
          <w:rFonts w:ascii="Cambria" w:hAnsi="Cambria"/>
        </w:rPr>
      </w:pPr>
    </w:p>
    <w:p w14:paraId="61B5058E" w14:textId="77777777" w:rsidR="00F2503A" w:rsidRDefault="00F2503A" w:rsidP="00291FAE">
      <w:pPr>
        <w:pStyle w:val="ListParagraph"/>
        <w:spacing w:after="160" w:line="360" w:lineRule="auto"/>
        <w:ind w:left="284"/>
        <w:jc w:val="both"/>
        <w:rPr>
          <w:rFonts w:ascii="Cambria" w:hAnsi="Cambria"/>
          <w:b/>
          <w:bCs/>
        </w:rPr>
      </w:pPr>
    </w:p>
    <w:p w14:paraId="641CC074" w14:textId="73C1826A" w:rsidR="0026616B" w:rsidRPr="006F2075" w:rsidRDefault="0026616B" w:rsidP="00291FAE">
      <w:pPr>
        <w:pStyle w:val="ListParagraph"/>
        <w:spacing w:after="160" w:line="360" w:lineRule="auto"/>
        <w:ind w:left="284"/>
        <w:jc w:val="both"/>
        <w:rPr>
          <w:rFonts w:ascii="Cambria" w:hAnsi="Cambria"/>
          <w:b/>
          <w:bCs/>
        </w:rPr>
      </w:pPr>
      <w:r w:rsidRPr="006F2075">
        <w:rPr>
          <w:rFonts w:ascii="Cambria" w:hAnsi="Cambria"/>
          <w:b/>
          <w:bCs/>
        </w:rPr>
        <w:t xml:space="preserve">Details of Projects under developer M/s. </w:t>
      </w:r>
      <w:proofErr w:type="spellStart"/>
      <w:r w:rsidRPr="006F2075">
        <w:rPr>
          <w:rFonts w:ascii="Cambria" w:hAnsi="Cambria"/>
          <w:b/>
          <w:bCs/>
        </w:rPr>
        <w:t>Envirocare</w:t>
      </w:r>
      <w:proofErr w:type="spellEnd"/>
      <w:r w:rsidRPr="006F2075">
        <w:rPr>
          <w:rFonts w:ascii="Cambria" w:hAnsi="Cambria"/>
          <w:b/>
          <w:bCs/>
        </w:rPr>
        <w:t xml:space="preserve"> Infra solutions</w:t>
      </w:r>
      <w:r>
        <w:rPr>
          <w:rFonts w:ascii="Cambria" w:hAnsi="Cambria"/>
          <w:b/>
          <w:bCs/>
        </w:rPr>
        <w:t>:</w:t>
      </w:r>
    </w:p>
    <w:tbl>
      <w:tblPr>
        <w:tblW w:w="8075" w:type="dxa"/>
        <w:jc w:val="center"/>
        <w:tblLook w:val="04A0" w:firstRow="1" w:lastRow="0" w:firstColumn="1" w:lastColumn="0" w:noHBand="0" w:noVBand="1"/>
      </w:tblPr>
      <w:tblGrid>
        <w:gridCol w:w="960"/>
        <w:gridCol w:w="1303"/>
        <w:gridCol w:w="1709"/>
        <w:gridCol w:w="1363"/>
        <w:gridCol w:w="3311"/>
      </w:tblGrid>
      <w:tr w:rsidR="0026616B" w:rsidRPr="009321B1" w14:paraId="6040C9CE" w14:textId="77777777" w:rsidTr="001F21DF">
        <w:trPr>
          <w:trHeight w:val="600"/>
          <w:jc w:val="center"/>
        </w:trPr>
        <w:tc>
          <w:tcPr>
            <w:tcW w:w="960" w:type="dxa"/>
            <w:tcBorders>
              <w:top w:val="single" w:sz="4" w:space="0" w:color="auto"/>
              <w:left w:val="single" w:sz="4" w:space="0" w:color="auto"/>
              <w:bottom w:val="single" w:sz="4" w:space="0" w:color="auto"/>
              <w:right w:val="single" w:sz="4" w:space="0" w:color="auto"/>
            </w:tcBorders>
            <w:shd w:val="clear" w:color="000000" w:fill="B4C6E7"/>
            <w:vAlign w:val="center"/>
            <w:hideMark/>
          </w:tcPr>
          <w:p w14:paraId="3E101142" w14:textId="77777777" w:rsidR="0026616B" w:rsidRPr="009321B1" w:rsidRDefault="0026616B" w:rsidP="00291FAE">
            <w:pPr>
              <w:ind w:left="284"/>
              <w:jc w:val="center"/>
              <w:rPr>
                <w:rFonts w:ascii="Cambria" w:hAnsi="Cambria" w:cs="Calibri"/>
                <w:b/>
                <w:bCs/>
                <w:color w:val="000000"/>
                <w:sz w:val="22"/>
                <w:szCs w:val="22"/>
                <w:lang w:eastAsia="en-IN" w:bidi="hi-IN"/>
              </w:rPr>
            </w:pPr>
            <w:r w:rsidRPr="009321B1">
              <w:rPr>
                <w:rFonts w:ascii="Cambria" w:hAnsi="Cambria" w:cs="Calibri"/>
                <w:b/>
                <w:bCs/>
                <w:color w:val="000000"/>
                <w:sz w:val="22"/>
                <w:szCs w:val="22"/>
                <w:lang w:eastAsia="en-IN" w:bidi="hi-IN"/>
              </w:rPr>
              <w:t>SL.</w:t>
            </w:r>
          </w:p>
        </w:tc>
        <w:tc>
          <w:tcPr>
            <w:tcW w:w="1300" w:type="dxa"/>
            <w:tcBorders>
              <w:top w:val="single" w:sz="4" w:space="0" w:color="auto"/>
              <w:left w:val="nil"/>
              <w:bottom w:val="single" w:sz="4" w:space="0" w:color="auto"/>
              <w:right w:val="single" w:sz="4" w:space="0" w:color="auto"/>
            </w:tcBorders>
            <w:shd w:val="clear" w:color="000000" w:fill="B4C6E7"/>
            <w:vAlign w:val="center"/>
            <w:hideMark/>
          </w:tcPr>
          <w:p w14:paraId="0972F921" w14:textId="77777777" w:rsidR="0026616B" w:rsidRPr="009321B1" w:rsidRDefault="0026616B" w:rsidP="00291FAE">
            <w:pPr>
              <w:ind w:left="284"/>
              <w:jc w:val="center"/>
              <w:rPr>
                <w:rFonts w:ascii="Cambria" w:hAnsi="Cambria" w:cs="Calibri"/>
                <w:b/>
                <w:bCs/>
                <w:color w:val="000000"/>
                <w:sz w:val="22"/>
                <w:szCs w:val="22"/>
                <w:lang w:eastAsia="en-IN" w:bidi="hi-IN"/>
              </w:rPr>
            </w:pPr>
            <w:r w:rsidRPr="009321B1">
              <w:rPr>
                <w:rFonts w:ascii="Cambria" w:hAnsi="Cambria" w:cs="Calibri"/>
                <w:b/>
                <w:bCs/>
                <w:color w:val="000000"/>
                <w:sz w:val="22"/>
                <w:szCs w:val="22"/>
                <w:lang w:eastAsia="en-IN" w:bidi="hi-IN"/>
              </w:rPr>
              <w:t>District Name</w:t>
            </w:r>
          </w:p>
        </w:tc>
        <w:tc>
          <w:tcPr>
            <w:tcW w:w="1425" w:type="dxa"/>
            <w:tcBorders>
              <w:top w:val="single" w:sz="4" w:space="0" w:color="auto"/>
              <w:left w:val="nil"/>
              <w:bottom w:val="single" w:sz="4" w:space="0" w:color="auto"/>
              <w:right w:val="single" w:sz="4" w:space="0" w:color="auto"/>
            </w:tcBorders>
            <w:shd w:val="clear" w:color="000000" w:fill="B4C6E7"/>
            <w:vAlign w:val="center"/>
            <w:hideMark/>
          </w:tcPr>
          <w:p w14:paraId="1ACC2CE6" w14:textId="77777777" w:rsidR="0026616B" w:rsidRPr="009321B1" w:rsidRDefault="0026616B" w:rsidP="00291FAE">
            <w:pPr>
              <w:ind w:left="284"/>
              <w:jc w:val="center"/>
              <w:rPr>
                <w:rFonts w:ascii="Cambria" w:hAnsi="Cambria" w:cs="Calibri"/>
                <w:b/>
                <w:bCs/>
                <w:color w:val="000000"/>
                <w:sz w:val="22"/>
                <w:szCs w:val="22"/>
                <w:lang w:eastAsia="en-IN" w:bidi="hi-IN"/>
              </w:rPr>
            </w:pPr>
            <w:r w:rsidRPr="009321B1">
              <w:rPr>
                <w:rFonts w:ascii="Cambria" w:hAnsi="Cambria" w:cs="Calibri"/>
                <w:b/>
                <w:bCs/>
                <w:color w:val="000000"/>
                <w:sz w:val="22"/>
                <w:szCs w:val="22"/>
                <w:lang w:eastAsia="en-IN" w:bidi="hi-IN"/>
              </w:rPr>
              <w:t>PSS name</w:t>
            </w:r>
          </w:p>
        </w:tc>
        <w:tc>
          <w:tcPr>
            <w:tcW w:w="1079" w:type="dxa"/>
            <w:tcBorders>
              <w:top w:val="single" w:sz="4" w:space="0" w:color="auto"/>
              <w:left w:val="nil"/>
              <w:bottom w:val="single" w:sz="4" w:space="0" w:color="auto"/>
              <w:right w:val="single" w:sz="4" w:space="0" w:color="auto"/>
            </w:tcBorders>
            <w:shd w:val="clear" w:color="000000" w:fill="B4C6E7"/>
            <w:vAlign w:val="center"/>
            <w:hideMark/>
          </w:tcPr>
          <w:p w14:paraId="25E33917" w14:textId="77777777" w:rsidR="0026616B" w:rsidRPr="009321B1" w:rsidRDefault="0026616B" w:rsidP="00291FAE">
            <w:pPr>
              <w:ind w:left="284"/>
              <w:jc w:val="center"/>
              <w:rPr>
                <w:rFonts w:ascii="Cambria" w:hAnsi="Cambria" w:cs="Calibri"/>
                <w:b/>
                <w:bCs/>
                <w:color w:val="000000"/>
                <w:sz w:val="22"/>
                <w:szCs w:val="22"/>
                <w:lang w:eastAsia="en-IN" w:bidi="hi-IN"/>
              </w:rPr>
            </w:pPr>
            <w:r w:rsidRPr="009321B1">
              <w:rPr>
                <w:rFonts w:ascii="Cambria" w:hAnsi="Cambria" w:cs="Calibri"/>
                <w:b/>
                <w:bCs/>
                <w:color w:val="000000"/>
                <w:sz w:val="22"/>
                <w:szCs w:val="22"/>
                <w:lang w:eastAsia="en-IN" w:bidi="hi-IN"/>
              </w:rPr>
              <w:t>Capacity (in MW)</w:t>
            </w:r>
          </w:p>
        </w:tc>
        <w:tc>
          <w:tcPr>
            <w:tcW w:w="3311" w:type="dxa"/>
            <w:tcBorders>
              <w:top w:val="single" w:sz="4" w:space="0" w:color="auto"/>
              <w:left w:val="nil"/>
              <w:bottom w:val="single" w:sz="4" w:space="0" w:color="auto"/>
              <w:right w:val="single" w:sz="4" w:space="0" w:color="auto"/>
            </w:tcBorders>
            <w:shd w:val="clear" w:color="000000" w:fill="B4C6E7"/>
            <w:vAlign w:val="center"/>
            <w:hideMark/>
          </w:tcPr>
          <w:p w14:paraId="1911F06A" w14:textId="77777777" w:rsidR="0026616B" w:rsidRPr="009321B1" w:rsidRDefault="0026616B" w:rsidP="00291FAE">
            <w:pPr>
              <w:ind w:left="284"/>
              <w:jc w:val="center"/>
              <w:rPr>
                <w:rFonts w:ascii="Cambria" w:hAnsi="Cambria" w:cs="Calibri"/>
                <w:b/>
                <w:bCs/>
                <w:color w:val="000000"/>
                <w:sz w:val="22"/>
                <w:szCs w:val="22"/>
                <w:lang w:eastAsia="en-IN" w:bidi="hi-IN"/>
              </w:rPr>
            </w:pPr>
            <w:r w:rsidRPr="009321B1">
              <w:rPr>
                <w:rFonts w:ascii="Cambria" w:hAnsi="Cambria" w:cs="Calibri"/>
                <w:b/>
                <w:bCs/>
                <w:color w:val="000000"/>
                <w:sz w:val="22"/>
                <w:szCs w:val="22"/>
                <w:lang w:eastAsia="en-IN" w:bidi="hi-IN"/>
              </w:rPr>
              <w:t>Status</w:t>
            </w:r>
          </w:p>
        </w:tc>
      </w:tr>
      <w:tr w:rsidR="0026616B" w:rsidRPr="009321B1" w14:paraId="6417258C" w14:textId="77777777" w:rsidTr="001F21DF">
        <w:trPr>
          <w:trHeight w:val="300"/>
          <w:jc w:val="center"/>
        </w:trPr>
        <w:tc>
          <w:tcPr>
            <w:tcW w:w="960" w:type="dxa"/>
            <w:tcBorders>
              <w:top w:val="nil"/>
              <w:left w:val="single" w:sz="4" w:space="0" w:color="auto"/>
              <w:bottom w:val="single" w:sz="4" w:space="0" w:color="auto"/>
              <w:right w:val="single" w:sz="4" w:space="0" w:color="auto"/>
            </w:tcBorders>
            <w:noWrap/>
            <w:vAlign w:val="center"/>
            <w:hideMark/>
          </w:tcPr>
          <w:p w14:paraId="308ABFA0" w14:textId="77777777" w:rsidR="0026616B" w:rsidRPr="009321B1" w:rsidRDefault="0026616B" w:rsidP="00291FAE">
            <w:pPr>
              <w:ind w:left="284"/>
              <w:jc w:val="center"/>
              <w:rPr>
                <w:rFonts w:ascii="Cambria" w:hAnsi="Cambria" w:cs="Calibri"/>
                <w:color w:val="000000"/>
                <w:sz w:val="22"/>
                <w:szCs w:val="22"/>
                <w:lang w:eastAsia="en-IN" w:bidi="hi-IN"/>
              </w:rPr>
            </w:pPr>
            <w:r w:rsidRPr="009321B1">
              <w:rPr>
                <w:rFonts w:ascii="Cambria" w:hAnsi="Cambria" w:cs="Calibri"/>
                <w:color w:val="000000"/>
                <w:sz w:val="22"/>
                <w:szCs w:val="22"/>
                <w:lang w:eastAsia="en-IN" w:bidi="hi-IN"/>
              </w:rPr>
              <w:t>1</w:t>
            </w:r>
          </w:p>
        </w:tc>
        <w:tc>
          <w:tcPr>
            <w:tcW w:w="1300" w:type="dxa"/>
            <w:tcBorders>
              <w:top w:val="nil"/>
              <w:left w:val="nil"/>
              <w:bottom w:val="single" w:sz="4" w:space="0" w:color="auto"/>
              <w:right w:val="single" w:sz="4" w:space="0" w:color="auto"/>
            </w:tcBorders>
            <w:noWrap/>
            <w:vAlign w:val="center"/>
            <w:hideMark/>
          </w:tcPr>
          <w:p w14:paraId="55E62428" w14:textId="6A47B343" w:rsidR="0026616B" w:rsidRPr="009321B1" w:rsidRDefault="0026616B" w:rsidP="00291FAE">
            <w:pPr>
              <w:ind w:left="284"/>
              <w:jc w:val="center"/>
              <w:rPr>
                <w:rFonts w:ascii="Cambria" w:hAnsi="Cambria" w:cs="Calibri"/>
                <w:color w:val="000000"/>
                <w:sz w:val="22"/>
                <w:szCs w:val="22"/>
                <w:lang w:eastAsia="en-IN" w:bidi="hi-IN"/>
              </w:rPr>
            </w:pPr>
            <w:r w:rsidRPr="009321B1">
              <w:rPr>
                <w:rFonts w:ascii="Cambria" w:hAnsi="Cambria" w:cs="Calibri"/>
                <w:color w:val="000000"/>
                <w:sz w:val="22"/>
                <w:szCs w:val="22"/>
                <w:lang w:eastAsia="en-IN" w:bidi="hi-IN"/>
              </w:rPr>
              <w:t>Bolangir</w:t>
            </w:r>
          </w:p>
        </w:tc>
        <w:tc>
          <w:tcPr>
            <w:tcW w:w="1425" w:type="dxa"/>
            <w:tcBorders>
              <w:top w:val="nil"/>
              <w:left w:val="nil"/>
              <w:bottom w:val="single" w:sz="4" w:space="0" w:color="auto"/>
              <w:right w:val="single" w:sz="4" w:space="0" w:color="auto"/>
            </w:tcBorders>
            <w:noWrap/>
            <w:vAlign w:val="center"/>
            <w:hideMark/>
          </w:tcPr>
          <w:p w14:paraId="7905F3DC" w14:textId="77777777" w:rsidR="0026616B" w:rsidRPr="009321B1" w:rsidRDefault="0026616B" w:rsidP="00291FAE">
            <w:pPr>
              <w:ind w:left="284"/>
              <w:jc w:val="center"/>
              <w:rPr>
                <w:rFonts w:ascii="Cambria" w:hAnsi="Cambria" w:cs="Calibri"/>
                <w:color w:val="000000"/>
                <w:sz w:val="22"/>
                <w:szCs w:val="22"/>
                <w:lang w:eastAsia="en-IN" w:bidi="hi-IN"/>
              </w:rPr>
            </w:pPr>
            <w:proofErr w:type="spellStart"/>
            <w:r w:rsidRPr="009321B1">
              <w:rPr>
                <w:rFonts w:ascii="Cambria" w:hAnsi="Cambria" w:cs="Calibri"/>
                <w:color w:val="000000"/>
                <w:sz w:val="22"/>
                <w:szCs w:val="22"/>
                <w:lang w:eastAsia="en-IN" w:bidi="hi-IN"/>
              </w:rPr>
              <w:t>Kanut</w:t>
            </w:r>
            <w:proofErr w:type="spellEnd"/>
          </w:p>
        </w:tc>
        <w:tc>
          <w:tcPr>
            <w:tcW w:w="1079" w:type="dxa"/>
            <w:tcBorders>
              <w:top w:val="nil"/>
              <w:left w:val="nil"/>
              <w:bottom w:val="single" w:sz="4" w:space="0" w:color="auto"/>
              <w:right w:val="single" w:sz="4" w:space="0" w:color="auto"/>
            </w:tcBorders>
            <w:noWrap/>
            <w:vAlign w:val="center"/>
            <w:hideMark/>
          </w:tcPr>
          <w:p w14:paraId="74693D40" w14:textId="77777777" w:rsidR="0026616B" w:rsidRPr="009321B1" w:rsidRDefault="0026616B" w:rsidP="00291FAE">
            <w:pPr>
              <w:ind w:left="284"/>
              <w:jc w:val="center"/>
              <w:rPr>
                <w:rFonts w:ascii="Cambria" w:hAnsi="Cambria" w:cs="Calibri"/>
                <w:color w:val="000000"/>
                <w:sz w:val="22"/>
                <w:szCs w:val="22"/>
                <w:lang w:eastAsia="en-IN" w:bidi="hi-IN"/>
              </w:rPr>
            </w:pPr>
            <w:r w:rsidRPr="009321B1">
              <w:rPr>
                <w:rFonts w:ascii="Cambria" w:hAnsi="Cambria" w:cs="Calibri"/>
                <w:color w:val="000000"/>
                <w:sz w:val="22"/>
                <w:szCs w:val="22"/>
                <w:lang w:eastAsia="en-IN" w:bidi="hi-IN"/>
              </w:rPr>
              <w:t>3.443</w:t>
            </w:r>
          </w:p>
        </w:tc>
        <w:tc>
          <w:tcPr>
            <w:tcW w:w="3311" w:type="dxa"/>
            <w:tcBorders>
              <w:top w:val="nil"/>
              <w:left w:val="nil"/>
              <w:bottom w:val="single" w:sz="4" w:space="0" w:color="auto"/>
              <w:right w:val="single" w:sz="4" w:space="0" w:color="auto"/>
            </w:tcBorders>
            <w:noWrap/>
            <w:vAlign w:val="center"/>
            <w:hideMark/>
          </w:tcPr>
          <w:p w14:paraId="045FA3AF" w14:textId="77777777" w:rsidR="0026616B" w:rsidRPr="009321B1" w:rsidRDefault="0026616B" w:rsidP="00291FAE">
            <w:pPr>
              <w:ind w:left="284"/>
              <w:jc w:val="center"/>
              <w:rPr>
                <w:rFonts w:ascii="Cambria" w:hAnsi="Cambria" w:cs="Calibri"/>
                <w:color w:val="000000"/>
                <w:sz w:val="22"/>
                <w:szCs w:val="22"/>
                <w:lang w:eastAsia="en-IN" w:bidi="hi-IN"/>
              </w:rPr>
            </w:pPr>
            <w:r w:rsidRPr="009321B1">
              <w:rPr>
                <w:rFonts w:ascii="Cambria" w:hAnsi="Cambria" w:cs="Calibri"/>
                <w:color w:val="000000"/>
                <w:sz w:val="22"/>
                <w:szCs w:val="22"/>
                <w:lang w:eastAsia="en-IN" w:bidi="hi-IN"/>
              </w:rPr>
              <w:t>Land Acquisition completed</w:t>
            </w:r>
          </w:p>
        </w:tc>
      </w:tr>
      <w:tr w:rsidR="0026616B" w:rsidRPr="009321B1" w14:paraId="73C3008C" w14:textId="77777777" w:rsidTr="001F21DF">
        <w:trPr>
          <w:trHeight w:val="300"/>
          <w:jc w:val="center"/>
        </w:trPr>
        <w:tc>
          <w:tcPr>
            <w:tcW w:w="960" w:type="dxa"/>
            <w:tcBorders>
              <w:top w:val="nil"/>
              <w:left w:val="single" w:sz="4" w:space="0" w:color="auto"/>
              <w:bottom w:val="single" w:sz="4" w:space="0" w:color="auto"/>
              <w:right w:val="single" w:sz="4" w:space="0" w:color="auto"/>
            </w:tcBorders>
            <w:noWrap/>
            <w:vAlign w:val="center"/>
            <w:hideMark/>
          </w:tcPr>
          <w:p w14:paraId="670855CE" w14:textId="77777777" w:rsidR="0026616B" w:rsidRPr="009321B1" w:rsidRDefault="0026616B" w:rsidP="00291FAE">
            <w:pPr>
              <w:ind w:left="284"/>
              <w:jc w:val="center"/>
              <w:rPr>
                <w:rFonts w:ascii="Cambria" w:hAnsi="Cambria" w:cs="Calibri"/>
                <w:color w:val="000000"/>
                <w:sz w:val="22"/>
                <w:szCs w:val="22"/>
                <w:lang w:eastAsia="en-IN" w:bidi="hi-IN"/>
              </w:rPr>
            </w:pPr>
            <w:r w:rsidRPr="009321B1">
              <w:rPr>
                <w:rFonts w:ascii="Cambria" w:hAnsi="Cambria" w:cs="Calibri"/>
                <w:color w:val="000000"/>
                <w:sz w:val="22"/>
                <w:szCs w:val="22"/>
                <w:lang w:eastAsia="en-IN" w:bidi="hi-IN"/>
              </w:rPr>
              <w:t>2</w:t>
            </w:r>
          </w:p>
        </w:tc>
        <w:tc>
          <w:tcPr>
            <w:tcW w:w="1300" w:type="dxa"/>
            <w:tcBorders>
              <w:top w:val="nil"/>
              <w:left w:val="nil"/>
              <w:bottom w:val="single" w:sz="4" w:space="0" w:color="auto"/>
              <w:right w:val="single" w:sz="4" w:space="0" w:color="auto"/>
            </w:tcBorders>
            <w:noWrap/>
            <w:vAlign w:val="center"/>
            <w:hideMark/>
          </w:tcPr>
          <w:p w14:paraId="45D0B9E5" w14:textId="77777777" w:rsidR="0026616B" w:rsidRPr="009321B1" w:rsidRDefault="0026616B" w:rsidP="00291FAE">
            <w:pPr>
              <w:ind w:left="284"/>
              <w:jc w:val="center"/>
              <w:rPr>
                <w:rFonts w:ascii="Cambria" w:hAnsi="Cambria" w:cs="Calibri"/>
                <w:color w:val="000000"/>
                <w:sz w:val="22"/>
                <w:szCs w:val="22"/>
                <w:lang w:eastAsia="en-IN" w:bidi="hi-IN"/>
              </w:rPr>
            </w:pPr>
            <w:r w:rsidRPr="009321B1">
              <w:rPr>
                <w:rFonts w:ascii="Cambria" w:hAnsi="Cambria" w:cs="Calibri"/>
                <w:color w:val="000000"/>
                <w:sz w:val="22"/>
                <w:szCs w:val="22"/>
                <w:lang w:eastAsia="en-IN" w:bidi="hi-IN"/>
              </w:rPr>
              <w:t>Bolangir</w:t>
            </w:r>
          </w:p>
        </w:tc>
        <w:tc>
          <w:tcPr>
            <w:tcW w:w="1425" w:type="dxa"/>
            <w:tcBorders>
              <w:top w:val="nil"/>
              <w:left w:val="nil"/>
              <w:bottom w:val="single" w:sz="4" w:space="0" w:color="auto"/>
              <w:right w:val="single" w:sz="4" w:space="0" w:color="auto"/>
            </w:tcBorders>
            <w:noWrap/>
            <w:vAlign w:val="center"/>
            <w:hideMark/>
          </w:tcPr>
          <w:p w14:paraId="73785BE8" w14:textId="77777777" w:rsidR="0026616B" w:rsidRPr="009321B1" w:rsidRDefault="0026616B" w:rsidP="00291FAE">
            <w:pPr>
              <w:ind w:left="284"/>
              <w:jc w:val="center"/>
              <w:rPr>
                <w:rFonts w:ascii="Cambria" w:hAnsi="Cambria" w:cs="Calibri"/>
                <w:color w:val="000000"/>
                <w:sz w:val="22"/>
                <w:szCs w:val="22"/>
                <w:lang w:eastAsia="en-IN" w:bidi="hi-IN"/>
              </w:rPr>
            </w:pPr>
            <w:proofErr w:type="spellStart"/>
            <w:r w:rsidRPr="009321B1">
              <w:rPr>
                <w:rFonts w:ascii="Cambria" w:hAnsi="Cambria" w:cs="Calibri"/>
                <w:color w:val="000000"/>
                <w:sz w:val="22"/>
                <w:szCs w:val="22"/>
                <w:lang w:eastAsia="en-IN" w:bidi="hi-IN"/>
              </w:rPr>
              <w:t>Tususra</w:t>
            </w:r>
            <w:proofErr w:type="spellEnd"/>
          </w:p>
        </w:tc>
        <w:tc>
          <w:tcPr>
            <w:tcW w:w="1079" w:type="dxa"/>
            <w:tcBorders>
              <w:top w:val="nil"/>
              <w:left w:val="nil"/>
              <w:bottom w:val="single" w:sz="4" w:space="0" w:color="auto"/>
              <w:right w:val="single" w:sz="4" w:space="0" w:color="auto"/>
            </w:tcBorders>
            <w:noWrap/>
            <w:vAlign w:val="center"/>
            <w:hideMark/>
          </w:tcPr>
          <w:p w14:paraId="6B6ACBB0" w14:textId="77777777" w:rsidR="0026616B" w:rsidRPr="009321B1" w:rsidRDefault="0026616B" w:rsidP="00291FAE">
            <w:pPr>
              <w:ind w:left="284"/>
              <w:jc w:val="center"/>
              <w:rPr>
                <w:rFonts w:ascii="Cambria" w:hAnsi="Cambria" w:cs="Calibri"/>
                <w:color w:val="000000"/>
                <w:sz w:val="22"/>
                <w:szCs w:val="22"/>
                <w:lang w:eastAsia="en-IN" w:bidi="hi-IN"/>
              </w:rPr>
            </w:pPr>
            <w:r w:rsidRPr="009321B1">
              <w:rPr>
                <w:rFonts w:ascii="Cambria" w:hAnsi="Cambria" w:cs="Calibri"/>
                <w:color w:val="000000"/>
                <w:sz w:val="22"/>
                <w:szCs w:val="22"/>
                <w:lang w:eastAsia="en-IN" w:bidi="hi-IN"/>
              </w:rPr>
              <w:t>2.416</w:t>
            </w:r>
          </w:p>
        </w:tc>
        <w:tc>
          <w:tcPr>
            <w:tcW w:w="3311" w:type="dxa"/>
            <w:tcBorders>
              <w:top w:val="nil"/>
              <w:left w:val="nil"/>
              <w:bottom w:val="single" w:sz="4" w:space="0" w:color="auto"/>
              <w:right w:val="single" w:sz="4" w:space="0" w:color="auto"/>
            </w:tcBorders>
            <w:noWrap/>
            <w:vAlign w:val="center"/>
            <w:hideMark/>
          </w:tcPr>
          <w:p w14:paraId="7B151B3E" w14:textId="77777777" w:rsidR="0026616B" w:rsidRPr="009321B1" w:rsidRDefault="0026616B" w:rsidP="00291FAE">
            <w:pPr>
              <w:ind w:left="284"/>
              <w:jc w:val="center"/>
              <w:rPr>
                <w:rFonts w:ascii="Cambria" w:hAnsi="Cambria" w:cs="Calibri"/>
                <w:color w:val="000000"/>
                <w:sz w:val="22"/>
                <w:szCs w:val="22"/>
                <w:lang w:eastAsia="en-IN" w:bidi="hi-IN"/>
              </w:rPr>
            </w:pPr>
            <w:r w:rsidRPr="009321B1">
              <w:rPr>
                <w:rFonts w:ascii="Cambria" w:hAnsi="Cambria" w:cs="Calibri"/>
                <w:color w:val="000000"/>
                <w:sz w:val="22"/>
                <w:szCs w:val="22"/>
                <w:lang w:eastAsia="en-IN" w:bidi="hi-IN"/>
              </w:rPr>
              <w:t>Land Acquisition completed</w:t>
            </w:r>
          </w:p>
        </w:tc>
      </w:tr>
      <w:tr w:rsidR="0026616B" w:rsidRPr="009321B1" w14:paraId="583491C9" w14:textId="77777777" w:rsidTr="001F21DF">
        <w:trPr>
          <w:trHeight w:val="300"/>
          <w:jc w:val="center"/>
        </w:trPr>
        <w:tc>
          <w:tcPr>
            <w:tcW w:w="960" w:type="dxa"/>
            <w:tcBorders>
              <w:top w:val="nil"/>
              <w:left w:val="single" w:sz="4" w:space="0" w:color="auto"/>
              <w:bottom w:val="single" w:sz="4" w:space="0" w:color="auto"/>
              <w:right w:val="single" w:sz="4" w:space="0" w:color="auto"/>
            </w:tcBorders>
            <w:noWrap/>
            <w:vAlign w:val="center"/>
            <w:hideMark/>
          </w:tcPr>
          <w:p w14:paraId="1AF8F1C6" w14:textId="77777777" w:rsidR="0026616B" w:rsidRPr="009321B1" w:rsidRDefault="0026616B" w:rsidP="00291FAE">
            <w:pPr>
              <w:ind w:left="284"/>
              <w:jc w:val="center"/>
              <w:rPr>
                <w:rFonts w:ascii="Cambria" w:hAnsi="Cambria" w:cs="Calibri"/>
                <w:color w:val="000000"/>
                <w:sz w:val="22"/>
                <w:szCs w:val="22"/>
                <w:lang w:eastAsia="en-IN" w:bidi="hi-IN"/>
              </w:rPr>
            </w:pPr>
            <w:r w:rsidRPr="009321B1">
              <w:rPr>
                <w:rFonts w:ascii="Cambria" w:hAnsi="Cambria" w:cs="Calibri"/>
                <w:color w:val="000000"/>
                <w:sz w:val="22"/>
                <w:szCs w:val="22"/>
                <w:lang w:eastAsia="en-IN" w:bidi="hi-IN"/>
              </w:rPr>
              <w:t>3</w:t>
            </w:r>
          </w:p>
        </w:tc>
        <w:tc>
          <w:tcPr>
            <w:tcW w:w="1300" w:type="dxa"/>
            <w:tcBorders>
              <w:top w:val="nil"/>
              <w:left w:val="nil"/>
              <w:bottom w:val="single" w:sz="4" w:space="0" w:color="auto"/>
              <w:right w:val="single" w:sz="4" w:space="0" w:color="auto"/>
            </w:tcBorders>
            <w:noWrap/>
            <w:vAlign w:val="center"/>
            <w:hideMark/>
          </w:tcPr>
          <w:p w14:paraId="5B5FF698" w14:textId="77777777" w:rsidR="0026616B" w:rsidRPr="009321B1" w:rsidRDefault="0026616B" w:rsidP="00291FAE">
            <w:pPr>
              <w:ind w:left="284"/>
              <w:jc w:val="center"/>
              <w:rPr>
                <w:rFonts w:ascii="Cambria" w:hAnsi="Cambria" w:cs="Calibri"/>
                <w:color w:val="000000"/>
                <w:sz w:val="22"/>
                <w:szCs w:val="22"/>
                <w:lang w:eastAsia="en-IN" w:bidi="hi-IN"/>
              </w:rPr>
            </w:pPr>
            <w:r w:rsidRPr="009321B1">
              <w:rPr>
                <w:rFonts w:ascii="Cambria" w:hAnsi="Cambria" w:cs="Calibri"/>
                <w:color w:val="000000"/>
                <w:sz w:val="22"/>
                <w:szCs w:val="22"/>
                <w:lang w:eastAsia="en-IN" w:bidi="hi-IN"/>
              </w:rPr>
              <w:t>Bolangir</w:t>
            </w:r>
          </w:p>
        </w:tc>
        <w:tc>
          <w:tcPr>
            <w:tcW w:w="1425" w:type="dxa"/>
            <w:tcBorders>
              <w:top w:val="nil"/>
              <w:left w:val="nil"/>
              <w:bottom w:val="single" w:sz="4" w:space="0" w:color="auto"/>
              <w:right w:val="single" w:sz="4" w:space="0" w:color="auto"/>
            </w:tcBorders>
            <w:noWrap/>
            <w:vAlign w:val="center"/>
            <w:hideMark/>
          </w:tcPr>
          <w:p w14:paraId="0B8411DE" w14:textId="77777777" w:rsidR="0026616B" w:rsidRPr="009321B1" w:rsidRDefault="0026616B" w:rsidP="00291FAE">
            <w:pPr>
              <w:ind w:left="284"/>
              <w:jc w:val="center"/>
              <w:rPr>
                <w:rFonts w:ascii="Cambria" w:hAnsi="Cambria" w:cs="Calibri"/>
                <w:color w:val="000000"/>
                <w:sz w:val="22"/>
                <w:szCs w:val="22"/>
                <w:lang w:eastAsia="en-IN" w:bidi="hi-IN"/>
              </w:rPr>
            </w:pPr>
            <w:proofErr w:type="spellStart"/>
            <w:r w:rsidRPr="009321B1">
              <w:rPr>
                <w:rFonts w:ascii="Cambria" w:hAnsi="Cambria" w:cs="Calibri"/>
                <w:color w:val="000000"/>
                <w:sz w:val="22"/>
                <w:szCs w:val="22"/>
                <w:lang w:eastAsia="en-IN" w:bidi="hi-IN"/>
              </w:rPr>
              <w:t>Khaparakhol</w:t>
            </w:r>
            <w:proofErr w:type="spellEnd"/>
          </w:p>
        </w:tc>
        <w:tc>
          <w:tcPr>
            <w:tcW w:w="1079" w:type="dxa"/>
            <w:tcBorders>
              <w:top w:val="nil"/>
              <w:left w:val="nil"/>
              <w:bottom w:val="single" w:sz="4" w:space="0" w:color="auto"/>
              <w:right w:val="single" w:sz="4" w:space="0" w:color="auto"/>
            </w:tcBorders>
            <w:noWrap/>
            <w:vAlign w:val="center"/>
            <w:hideMark/>
          </w:tcPr>
          <w:p w14:paraId="64AE33A9" w14:textId="77777777" w:rsidR="0026616B" w:rsidRPr="009321B1" w:rsidRDefault="0026616B" w:rsidP="00291FAE">
            <w:pPr>
              <w:ind w:left="284"/>
              <w:jc w:val="center"/>
              <w:rPr>
                <w:rFonts w:ascii="Cambria" w:hAnsi="Cambria" w:cs="Calibri"/>
                <w:color w:val="000000"/>
                <w:sz w:val="22"/>
                <w:szCs w:val="22"/>
                <w:lang w:eastAsia="en-IN" w:bidi="hi-IN"/>
              </w:rPr>
            </w:pPr>
            <w:r w:rsidRPr="009321B1">
              <w:rPr>
                <w:rFonts w:ascii="Cambria" w:hAnsi="Cambria" w:cs="Calibri"/>
                <w:color w:val="000000"/>
                <w:sz w:val="22"/>
                <w:szCs w:val="22"/>
                <w:lang w:eastAsia="en-IN" w:bidi="hi-IN"/>
              </w:rPr>
              <w:t>2.851</w:t>
            </w:r>
          </w:p>
        </w:tc>
        <w:tc>
          <w:tcPr>
            <w:tcW w:w="3311" w:type="dxa"/>
            <w:tcBorders>
              <w:top w:val="nil"/>
              <w:left w:val="nil"/>
              <w:bottom w:val="single" w:sz="4" w:space="0" w:color="auto"/>
              <w:right w:val="single" w:sz="4" w:space="0" w:color="auto"/>
            </w:tcBorders>
            <w:noWrap/>
            <w:vAlign w:val="center"/>
            <w:hideMark/>
          </w:tcPr>
          <w:p w14:paraId="0A00B536" w14:textId="77777777" w:rsidR="0026616B" w:rsidRPr="009321B1" w:rsidRDefault="0026616B" w:rsidP="00291FAE">
            <w:pPr>
              <w:ind w:left="284"/>
              <w:jc w:val="center"/>
              <w:rPr>
                <w:rFonts w:ascii="Cambria" w:hAnsi="Cambria" w:cs="Calibri"/>
                <w:color w:val="000000"/>
                <w:sz w:val="22"/>
                <w:szCs w:val="22"/>
                <w:lang w:eastAsia="en-IN" w:bidi="hi-IN"/>
              </w:rPr>
            </w:pPr>
            <w:r w:rsidRPr="009321B1">
              <w:rPr>
                <w:rFonts w:ascii="Cambria" w:hAnsi="Cambria" w:cs="Calibri"/>
                <w:color w:val="000000"/>
                <w:sz w:val="22"/>
                <w:szCs w:val="22"/>
                <w:lang w:eastAsia="en-IN" w:bidi="hi-IN"/>
              </w:rPr>
              <w:t>Land Acquisition completed</w:t>
            </w:r>
          </w:p>
        </w:tc>
      </w:tr>
      <w:tr w:rsidR="0026616B" w:rsidRPr="009321B1" w14:paraId="70B59287" w14:textId="77777777" w:rsidTr="001F21DF">
        <w:trPr>
          <w:trHeight w:val="300"/>
          <w:jc w:val="center"/>
        </w:trPr>
        <w:tc>
          <w:tcPr>
            <w:tcW w:w="960" w:type="dxa"/>
            <w:tcBorders>
              <w:top w:val="nil"/>
              <w:left w:val="single" w:sz="4" w:space="0" w:color="auto"/>
              <w:bottom w:val="single" w:sz="4" w:space="0" w:color="auto"/>
              <w:right w:val="single" w:sz="4" w:space="0" w:color="auto"/>
            </w:tcBorders>
            <w:noWrap/>
            <w:vAlign w:val="center"/>
            <w:hideMark/>
          </w:tcPr>
          <w:p w14:paraId="73C9BC8F" w14:textId="77777777" w:rsidR="0026616B" w:rsidRPr="009321B1" w:rsidRDefault="0026616B" w:rsidP="00291FAE">
            <w:pPr>
              <w:ind w:left="284"/>
              <w:jc w:val="center"/>
              <w:rPr>
                <w:rFonts w:ascii="Cambria" w:hAnsi="Cambria" w:cs="Calibri"/>
                <w:color w:val="000000"/>
                <w:sz w:val="22"/>
                <w:szCs w:val="22"/>
                <w:lang w:eastAsia="en-IN" w:bidi="hi-IN"/>
              </w:rPr>
            </w:pPr>
          </w:p>
        </w:tc>
        <w:tc>
          <w:tcPr>
            <w:tcW w:w="1300" w:type="dxa"/>
            <w:tcBorders>
              <w:top w:val="nil"/>
              <w:left w:val="nil"/>
              <w:bottom w:val="single" w:sz="4" w:space="0" w:color="auto"/>
              <w:right w:val="single" w:sz="4" w:space="0" w:color="auto"/>
            </w:tcBorders>
            <w:noWrap/>
            <w:vAlign w:val="center"/>
            <w:hideMark/>
          </w:tcPr>
          <w:p w14:paraId="1D53B369" w14:textId="77777777" w:rsidR="0026616B" w:rsidRPr="009321B1" w:rsidRDefault="0026616B" w:rsidP="00291FAE">
            <w:pPr>
              <w:ind w:left="284"/>
              <w:jc w:val="center"/>
              <w:rPr>
                <w:rFonts w:ascii="Cambria" w:hAnsi="Cambria" w:cs="Calibri"/>
                <w:color w:val="000000"/>
                <w:sz w:val="22"/>
                <w:szCs w:val="22"/>
                <w:lang w:eastAsia="en-IN" w:bidi="hi-IN"/>
              </w:rPr>
            </w:pPr>
          </w:p>
        </w:tc>
        <w:tc>
          <w:tcPr>
            <w:tcW w:w="1425" w:type="dxa"/>
            <w:tcBorders>
              <w:top w:val="nil"/>
              <w:left w:val="nil"/>
              <w:bottom w:val="single" w:sz="4" w:space="0" w:color="auto"/>
              <w:right w:val="single" w:sz="4" w:space="0" w:color="auto"/>
            </w:tcBorders>
            <w:noWrap/>
            <w:vAlign w:val="center"/>
            <w:hideMark/>
          </w:tcPr>
          <w:p w14:paraId="2F16878E" w14:textId="77777777" w:rsidR="0026616B" w:rsidRPr="009321B1" w:rsidRDefault="0026616B" w:rsidP="00291FAE">
            <w:pPr>
              <w:ind w:left="284"/>
              <w:jc w:val="center"/>
              <w:rPr>
                <w:rFonts w:ascii="Cambria" w:hAnsi="Cambria" w:cs="Calibri"/>
                <w:color w:val="000000"/>
                <w:sz w:val="22"/>
                <w:szCs w:val="22"/>
                <w:lang w:eastAsia="en-IN" w:bidi="hi-IN"/>
              </w:rPr>
            </w:pPr>
            <w:r w:rsidRPr="009321B1">
              <w:rPr>
                <w:rFonts w:ascii="Cambria" w:hAnsi="Cambria" w:cs="Calibri"/>
                <w:color w:val="000000"/>
                <w:sz w:val="22"/>
                <w:szCs w:val="22"/>
                <w:lang w:eastAsia="en-IN" w:bidi="hi-IN"/>
              </w:rPr>
              <w:t>Total</w:t>
            </w:r>
          </w:p>
        </w:tc>
        <w:tc>
          <w:tcPr>
            <w:tcW w:w="1079" w:type="dxa"/>
            <w:tcBorders>
              <w:top w:val="nil"/>
              <w:left w:val="nil"/>
              <w:bottom w:val="single" w:sz="4" w:space="0" w:color="auto"/>
              <w:right w:val="single" w:sz="4" w:space="0" w:color="auto"/>
            </w:tcBorders>
            <w:noWrap/>
            <w:vAlign w:val="center"/>
            <w:hideMark/>
          </w:tcPr>
          <w:p w14:paraId="0E5B2636" w14:textId="77777777" w:rsidR="0026616B" w:rsidRPr="009321B1" w:rsidRDefault="0026616B" w:rsidP="00291FAE">
            <w:pPr>
              <w:ind w:left="284"/>
              <w:jc w:val="center"/>
              <w:rPr>
                <w:rFonts w:ascii="Cambria" w:hAnsi="Cambria" w:cs="Calibri"/>
                <w:color w:val="000000"/>
                <w:sz w:val="22"/>
                <w:szCs w:val="22"/>
                <w:lang w:eastAsia="en-IN" w:bidi="hi-IN"/>
              </w:rPr>
            </w:pPr>
            <w:r w:rsidRPr="009321B1">
              <w:rPr>
                <w:rFonts w:ascii="Cambria" w:hAnsi="Cambria" w:cs="Calibri"/>
                <w:color w:val="000000"/>
                <w:sz w:val="22"/>
                <w:szCs w:val="22"/>
                <w:lang w:eastAsia="en-IN" w:bidi="hi-IN"/>
              </w:rPr>
              <w:t>8.71</w:t>
            </w:r>
          </w:p>
        </w:tc>
        <w:tc>
          <w:tcPr>
            <w:tcW w:w="3311" w:type="dxa"/>
            <w:tcBorders>
              <w:top w:val="nil"/>
              <w:left w:val="nil"/>
              <w:bottom w:val="single" w:sz="4" w:space="0" w:color="auto"/>
              <w:right w:val="single" w:sz="4" w:space="0" w:color="auto"/>
            </w:tcBorders>
            <w:noWrap/>
            <w:vAlign w:val="center"/>
            <w:hideMark/>
          </w:tcPr>
          <w:p w14:paraId="59D58E01" w14:textId="77777777" w:rsidR="0026616B" w:rsidRPr="009321B1" w:rsidRDefault="0026616B" w:rsidP="00291FAE">
            <w:pPr>
              <w:ind w:left="284"/>
              <w:jc w:val="center"/>
              <w:rPr>
                <w:rFonts w:ascii="Cambria" w:hAnsi="Cambria" w:cs="Calibri"/>
                <w:color w:val="000000"/>
                <w:sz w:val="22"/>
                <w:szCs w:val="22"/>
                <w:lang w:eastAsia="en-IN" w:bidi="hi-IN"/>
              </w:rPr>
            </w:pPr>
          </w:p>
        </w:tc>
      </w:tr>
    </w:tbl>
    <w:p w14:paraId="00C340E7" w14:textId="77777777" w:rsidR="0026616B" w:rsidRPr="00B4162E" w:rsidRDefault="0026616B" w:rsidP="00291FAE">
      <w:pPr>
        <w:pStyle w:val="ListParagraph"/>
        <w:spacing w:after="160" w:line="360" w:lineRule="auto"/>
        <w:ind w:left="284"/>
        <w:jc w:val="both"/>
        <w:rPr>
          <w:rFonts w:ascii="Cambria" w:hAnsi="Cambria"/>
        </w:rPr>
      </w:pPr>
    </w:p>
    <w:p w14:paraId="5D9D9B22" w14:textId="77777777" w:rsidR="0026616B" w:rsidRPr="00773505" w:rsidRDefault="0026616B" w:rsidP="00291FAE">
      <w:pPr>
        <w:pStyle w:val="ListParagraph"/>
        <w:spacing w:after="160" w:line="360" w:lineRule="auto"/>
        <w:ind w:left="284"/>
        <w:jc w:val="both"/>
        <w:rPr>
          <w:rFonts w:ascii="Cambria" w:hAnsi="Cambria"/>
          <w:sz w:val="24"/>
          <w:szCs w:val="24"/>
        </w:rPr>
      </w:pPr>
      <w:r w:rsidRPr="00773505">
        <w:rPr>
          <w:rFonts w:ascii="Cambria" w:hAnsi="Cambria"/>
          <w:sz w:val="24"/>
          <w:szCs w:val="24"/>
        </w:rPr>
        <w:t xml:space="preserve">A cumulative capacity of 30.175 MW (21.465 MW under M/s. </w:t>
      </w:r>
      <w:proofErr w:type="spellStart"/>
      <w:r w:rsidRPr="00773505">
        <w:rPr>
          <w:rFonts w:ascii="Cambria" w:hAnsi="Cambria"/>
          <w:sz w:val="24"/>
          <w:szCs w:val="24"/>
        </w:rPr>
        <w:t>Suryam</w:t>
      </w:r>
      <w:proofErr w:type="spellEnd"/>
      <w:r w:rsidRPr="00773505">
        <w:rPr>
          <w:rFonts w:ascii="Cambria" w:hAnsi="Cambria"/>
          <w:sz w:val="24"/>
          <w:szCs w:val="24"/>
        </w:rPr>
        <w:t xml:space="preserve"> International and 8.710 MW under M/s. </w:t>
      </w:r>
      <w:proofErr w:type="spellStart"/>
      <w:r w:rsidRPr="00773505">
        <w:rPr>
          <w:rFonts w:ascii="Cambria" w:hAnsi="Cambria"/>
          <w:sz w:val="24"/>
          <w:szCs w:val="24"/>
        </w:rPr>
        <w:t>Envirocare</w:t>
      </w:r>
      <w:proofErr w:type="spellEnd"/>
      <w:r w:rsidRPr="00773505">
        <w:rPr>
          <w:rFonts w:ascii="Cambria" w:hAnsi="Cambria"/>
          <w:sz w:val="24"/>
          <w:szCs w:val="24"/>
        </w:rPr>
        <w:t xml:space="preserve"> Infra Solutions) has been allotted under PM-KUSUM Component-C (FLS).</w:t>
      </w:r>
    </w:p>
    <w:p w14:paraId="0255508E" w14:textId="77777777" w:rsidR="0026616B" w:rsidRPr="00773505" w:rsidRDefault="0026616B" w:rsidP="00291FAE">
      <w:pPr>
        <w:pStyle w:val="ListParagraph"/>
        <w:spacing w:after="160" w:line="360" w:lineRule="auto"/>
        <w:ind w:left="284"/>
        <w:jc w:val="both"/>
        <w:rPr>
          <w:rFonts w:ascii="Cambria" w:hAnsi="Cambria"/>
          <w:sz w:val="24"/>
          <w:szCs w:val="24"/>
        </w:rPr>
      </w:pPr>
      <w:r w:rsidRPr="00773505">
        <w:rPr>
          <w:rFonts w:ascii="Cambria" w:hAnsi="Cambria"/>
          <w:sz w:val="24"/>
          <w:szCs w:val="24"/>
        </w:rPr>
        <w:t xml:space="preserve">Out of the total capacity, land acquisition has been completed for 14.349 MW of projects, and site development activities are underway for the </w:t>
      </w:r>
      <w:proofErr w:type="spellStart"/>
      <w:r w:rsidRPr="00773505">
        <w:rPr>
          <w:rFonts w:ascii="Cambria" w:hAnsi="Cambria"/>
          <w:sz w:val="24"/>
          <w:szCs w:val="24"/>
        </w:rPr>
        <w:t>Narla</w:t>
      </w:r>
      <w:proofErr w:type="spellEnd"/>
      <w:r w:rsidRPr="00773505">
        <w:rPr>
          <w:rFonts w:ascii="Cambria" w:hAnsi="Cambria"/>
          <w:sz w:val="24"/>
          <w:szCs w:val="24"/>
        </w:rPr>
        <w:t xml:space="preserve"> (8.082 MW) project under M/s. </w:t>
      </w:r>
      <w:proofErr w:type="spellStart"/>
      <w:r w:rsidRPr="00773505">
        <w:rPr>
          <w:rFonts w:ascii="Cambria" w:hAnsi="Cambria"/>
          <w:sz w:val="24"/>
          <w:szCs w:val="24"/>
        </w:rPr>
        <w:t>Suryam</w:t>
      </w:r>
      <w:proofErr w:type="spellEnd"/>
      <w:r w:rsidRPr="00773505">
        <w:rPr>
          <w:rFonts w:ascii="Cambria" w:hAnsi="Cambria"/>
          <w:sz w:val="24"/>
          <w:szCs w:val="24"/>
        </w:rPr>
        <w:t xml:space="preserve"> International. The remaining 15.826 MW of capacity is presently at the land acquisition stage, with necessary statutory and administrative processes in progress.</w:t>
      </w:r>
    </w:p>
    <w:p w14:paraId="1E00176D" w14:textId="77777777" w:rsidR="0026616B" w:rsidRPr="00773505" w:rsidRDefault="0026616B" w:rsidP="00291FAE">
      <w:pPr>
        <w:pStyle w:val="ListParagraph"/>
        <w:spacing w:after="160" w:line="360" w:lineRule="auto"/>
        <w:ind w:left="284"/>
        <w:jc w:val="both"/>
        <w:rPr>
          <w:rFonts w:ascii="Cambria" w:hAnsi="Cambria"/>
          <w:sz w:val="24"/>
          <w:szCs w:val="24"/>
        </w:rPr>
      </w:pPr>
      <w:r w:rsidRPr="00773505">
        <w:rPr>
          <w:rFonts w:ascii="Cambria" w:hAnsi="Cambria"/>
          <w:sz w:val="24"/>
          <w:szCs w:val="24"/>
        </w:rPr>
        <w:t>The implementation of the PM-KUSUM Component-C projects is progressing in accordance with the approved implementation plan. The developers are actively pursuing completion of land acquisition and mobilization of construction resources. The DISCOM is continuously monitoring project milestones to ensure timely completion and grid integration in line with the Commission’s directives and scheme timelines.</w:t>
      </w:r>
    </w:p>
    <w:p w14:paraId="048F8127" w14:textId="77777777" w:rsidR="0026616B" w:rsidRPr="00773505" w:rsidRDefault="0026616B" w:rsidP="00291FAE">
      <w:pPr>
        <w:pStyle w:val="ListParagraph"/>
        <w:spacing w:after="160" w:line="360" w:lineRule="auto"/>
        <w:ind w:left="284"/>
        <w:jc w:val="both"/>
        <w:rPr>
          <w:rFonts w:ascii="Cambria" w:hAnsi="Cambria"/>
          <w:sz w:val="24"/>
          <w:szCs w:val="24"/>
        </w:rPr>
      </w:pPr>
    </w:p>
    <w:p w14:paraId="105A6367" w14:textId="77777777" w:rsidR="0026616B" w:rsidRPr="00773505" w:rsidRDefault="0026616B" w:rsidP="00291FAE">
      <w:pPr>
        <w:pStyle w:val="ListParagraph"/>
        <w:spacing w:after="160" w:line="360" w:lineRule="auto"/>
        <w:ind w:left="284"/>
        <w:jc w:val="both"/>
        <w:rPr>
          <w:rFonts w:ascii="Cambria" w:hAnsi="Cambria"/>
          <w:sz w:val="24"/>
          <w:szCs w:val="24"/>
        </w:rPr>
      </w:pPr>
      <w:r w:rsidRPr="00773505">
        <w:rPr>
          <w:rFonts w:ascii="Cambria" w:hAnsi="Cambria"/>
          <w:sz w:val="24"/>
          <w:szCs w:val="24"/>
        </w:rPr>
        <w:t xml:space="preserve">As regards the progress of PM-KUSUM Component-C (Individual Pump </w:t>
      </w:r>
      <w:proofErr w:type="spellStart"/>
      <w:r w:rsidRPr="00773505">
        <w:rPr>
          <w:rFonts w:ascii="Cambria" w:hAnsi="Cambria"/>
          <w:sz w:val="24"/>
          <w:szCs w:val="24"/>
        </w:rPr>
        <w:t>Solarisation</w:t>
      </w:r>
      <w:proofErr w:type="spellEnd"/>
      <w:r w:rsidRPr="00773505">
        <w:rPr>
          <w:rFonts w:ascii="Cambria" w:hAnsi="Cambria"/>
          <w:sz w:val="24"/>
          <w:szCs w:val="24"/>
        </w:rPr>
        <w:t xml:space="preserve"> - IPS), full-fledged implementation has not yet been achieved. The primary challenges include the high-upfront investment required from farmers and a longer payback period, primarily due to the lower agricultural tariff structure. These factors have limited farmer participation and affected large-scale rollout. To address these issues, suitable amendments and enhanced financial support mechanisms are essential to make the scheme viable and attractive for beneficiaries. The Licensee continues to provide regular input and feedback to the Ministry of New and Renewable Energy (MNRE) during periodic reviews. It is expected that a more lucrative and farmer-friendly version will be introduced under PM-KUSUM 2.0, the modified scheme currently being prepared by MNRE.</w:t>
      </w:r>
    </w:p>
    <w:p w14:paraId="76A41CAA" w14:textId="77777777" w:rsidR="0026616B" w:rsidRPr="00773505" w:rsidRDefault="0026616B" w:rsidP="00291FAE">
      <w:pPr>
        <w:pStyle w:val="ListParagraph"/>
        <w:spacing w:after="160" w:line="360" w:lineRule="auto"/>
        <w:ind w:left="284"/>
        <w:jc w:val="both"/>
        <w:rPr>
          <w:rFonts w:ascii="Cambria" w:hAnsi="Cambria"/>
          <w:sz w:val="24"/>
          <w:szCs w:val="24"/>
        </w:rPr>
      </w:pPr>
    </w:p>
    <w:p w14:paraId="10EC9315" w14:textId="77777777" w:rsidR="0026616B" w:rsidRPr="00773505" w:rsidRDefault="0026616B" w:rsidP="00291FAE">
      <w:pPr>
        <w:pStyle w:val="ListParagraph"/>
        <w:spacing w:after="160" w:line="360" w:lineRule="auto"/>
        <w:ind w:left="284"/>
        <w:jc w:val="both"/>
        <w:rPr>
          <w:rFonts w:ascii="Cambria" w:hAnsi="Cambria"/>
          <w:sz w:val="24"/>
          <w:szCs w:val="24"/>
        </w:rPr>
      </w:pPr>
      <w:r w:rsidRPr="00773505">
        <w:rPr>
          <w:rFonts w:ascii="Cambria" w:hAnsi="Cambria"/>
          <w:sz w:val="24"/>
          <w:szCs w:val="24"/>
        </w:rPr>
        <w:t>As regards the progress of PM-KUSUM Component-A, no bidder participated under the TPWODL area during the initial bidding process. However, a total capacity of 20 MW under this component was allocated to OREDA, and some of these projects are currently under implementation in Bolangir district, within the jurisdiction of TPWODL. Further, as per the directive of the Hon’ble Commission in Case No. 27 of 2025, Order dated 08.08.2025, a separate centralized tender was floated by TPCODL on behalf of all DISCOMs for the selection of Solar Power Generators (SPGs) under PM-KUSUM Component-A. In response, 60 bidders submitted their techno-commercial bids, out of which 34 bids were found technically eligible and qualified. Subsequently, 11 bidders participated in the reverse auction process, wherein the L1 price was discovered at Rs. 3.76 per unit as a single levelized tariff for a period of 25 years.</w:t>
      </w:r>
    </w:p>
    <w:p w14:paraId="5ED340B4" w14:textId="77777777" w:rsidR="0026616B" w:rsidRPr="00773505" w:rsidRDefault="0026616B" w:rsidP="00291FAE">
      <w:pPr>
        <w:pStyle w:val="ListParagraph"/>
        <w:spacing w:after="160" w:line="360" w:lineRule="auto"/>
        <w:ind w:left="284"/>
        <w:jc w:val="both"/>
        <w:rPr>
          <w:rFonts w:ascii="Cambria" w:hAnsi="Cambria"/>
          <w:sz w:val="24"/>
          <w:szCs w:val="24"/>
        </w:rPr>
      </w:pPr>
    </w:p>
    <w:p w14:paraId="69661C72" w14:textId="77777777" w:rsidR="0026616B" w:rsidRPr="00773505" w:rsidRDefault="0026616B" w:rsidP="00056389">
      <w:pPr>
        <w:pStyle w:val="ListParagraph"/>
        <w:numPr>
          <w:ilvl w:val="0"/>
          <w:numId w:val="82"/>
        </w:numPr>
        <w:spacing w:after="160" w:line="360" w:lineRule="auto"/>
        <w:ind w:left="284"/>
        <w:jc w:val="both"/>
        <w:rPr>
          <w:rFonts w:ascii="Cambria" w:hAnsi="Cambria"/>
          <w:sz w:val="24"/>
          <w:szCs w:val="24"/>
        </w:rPr>
      </w:pPr>
      <w:r w:rsidRPr="00773505">
        <w:rPr>
          <w:rFonts w:ascii="Cambria" w:eastAsia="Cambria" w:hAnsi="Cambria" w:cs="Cambria"/>
          <w:b/>
          <w:bCs/>
          <w:color w:val="000000" w:themeColor="text1"/>
          <w:sz w:val="24"/>
          <w:szCs w:val="24"/>
          <w:u w:val="single"/>
        </w:rPr>
        <w:t xml:space="preserve">Para No. 348 (m)- </w:t>
      </w:r>
      <w:r w:rsidRPr="00773505">
        <w:rPr>
          <w:rFonts w:ascii="Cambria" w:hAnsi="Cambria"/>
          <w:sz w:val="24"/>
          <w:szCs w:val="24"/>
        </w:rPr>
        <w:t>DISCOMs are directed to provide the details of fixed cost recovery of Distribution network in terms of Demand Charge, Minimum Monthly Fixed Charge (MMFC) etc. from different category of consumers at LT, HT &amp; EHT level separately for analysis of revenue realization.</w:t>
      </w:r>
    </w:p>
    <w:p w14:paraId="0D5E2034" w14:textId="77777777" w:rsidR="0026616B" w:rsidRPr="00773505" w:rsidRDefault="0026616B" w:rsidP="00291FAE">
      <w:pPr>
        <w:pStyle w:val="ListParagraph"/>
        <w:spacing w:after="160" w:line="360" w:lineRule="auto"/>
        <w:ind w:left="284"/>
        <w:jc w:val="both"/>
        <w:rPr>
          <w:rFonts w:ascii="Cambria" w:hAnsi="Cambria"/>
          <w:sz w:val="24"/>
          <w:szCs w:val="24"/>
        </w:rPr>
      </w:pPr>
    </w:p>
    <w:p w14:paraId="6F0615BF" w14:textId="0FDC3FAC" w:rsidR="0026616B" w:rsidRPr="00773505" w:rsidRDefault="0026616B" w:rsidP="00291FAE">
      <w:pPr>
        <w:pStyle w:val="ListParagraph"/>
        <w:spacing w:after="160" w:line="360" w:lineRule="auto"/>
        <w:ind w:left="284"/>
        <w:jc w:val="both"/>
        <w:rPr>
          <w:rFonts w:ascii="Cambria" w:hAnsi="Cambria"/>
          <w:sz w:val="24"/>
          <w:szCs w:val="24"/>
        </w:rPr>
      </w:pPr>
      <w:r w:rsidRPr="00773505">
        <w:rPr>
          <w:rFonts w:ascii="Cambria" w:hAnsi="Cambria"/>
          <w:b/>
          <w:bCs/>
          <w:sz w:val="24"/>
          <w:szCs w:val="24"/>
          <w:u w:val="single"/>
        </w:rPr>
        <w:t xml:space="preserve">TPWODL’s Submission: </w:t>
      </w:r>
      <w:r w:rsidRPr="00773505">
        <w:rPr>
          <w:rFonts w:ascii="Cambria" w:hAnsi="Cambria"/>
          <w:sz w:val="24"/>
          <w:szCs w:val="24"/>
        </w:rPr>
        <w:t>We have been submitting this information every year during ARR submission under Form T-</w:t>
      </w:r>
      <w:r w:rsidR="003B7CD8" w:rsidRPr="00773505">
        <w:rPr>
          <w:rFonts w:ascii="Cambria" w:hAnsi="Cambria"/>
          <w:sz w:val="24"/>
          <w:szCs w:val="24"/>
        </w:rPr>
        <w:t>7 &amp; T-8</w:t>
      </w:r>
      <w:r w:rsidRPr="00773505">
        <w:rPr>
          <w:rFonts w:ascii="Cambria" w:hAnsi="Cambria"/>
          <w:sz w:val="24"/>
          <w:szCs w:val="24"/>
        </w:rPr>
        <w:t xml:space="preserve">. Data for FY 2024-25 and FY 2025-26 (till Sep’2025) has been submitted as part of form </w:t>
      </w:r>
      <w:r w:rsidR="002A46D8" w:rsidRPr="00773505">
        <w:rPr>
          <w:rFonts w:ascii="Cambria" w:hAnsi="Cambria"/>
          <w:sz w:val="24"/>
          <w:szCs w:val="24"/>
        </w:rPr>
        <w:t xml:space="preserve">T-7 &amp; T-8 </w:t>
      </w:r>
      <w:r w:rsidRPr="00773505">
        <w:rPr>
          <w:rFonts w:ascii="Cambria" w:hAnsi="Cambria"/>
          <w:sz w:val="24"/>
          <w:szCs w:val="24"/>
        </w:rPr>
        <w:t>in our ARR FY 2026-27 submission.</w:t>
      </w:r>
    </w:p>
    <w:p w14:paraId="577D3CB1" w14:textId="77777777" w:rsidR="0026616B" w:rsidRPr="00773505" w:rsidRDefault="0026616B" w:rsidP="00291FAE">
      <w:pPr>
        <w:pStyle w:val="ListParagraph"/>
        <w:spacing w:after="160" w:line="360" w:lineRule="auto"/>
        <w:ind w:left="284"/>
        <w:jc w:val="both"/>
        <w:rPr>
          <w:rFonts w:ascii="Cambria" w:hAnsi="Cambria"/>
          <w:sz w:val="24"/>
          <w:szCs w:val="24"/>
        </w:rPr>
      </w:pPr>
    </w:p>
    <w:p w14:paraId="7A8E3953" w14:textId="77777777" w:rsidR="0026616B" w:rsidRPr="00773505" w:rsidRDefault="0026616B" w:rsidP="00056389">
      <w:pPr>
        <w:pStyle w:val="ListParagraph"/>
        <w:numPr>
          <w:ilvl w:val="0"/>
          <w:numId w:val="82"/>
        </w:numPr>
        <w:spacing w:after="160" w:line="360" w:lineRule="auto"/>
        <w:ind w:left="284"/>
        <w:jc w:val="both"/>
        <w:rPr>
          <w:rFonts w:ascii="Cambria" w:hAnsi="Cambria"/>
          <w:color w:val="EE0000"/>
          <w:sz w:val="24"/>
          <w:szCs w:val="24"/>
        </w:rPr>
      </w:pPr>
      <w:r w:rsidRPr="00773505">
        <w:rPr>
          <w:rFonts w:ascii="Cambria" w:eastAsia="Cambria" w:hAnsi="Cambria" w:cs="Cambria"/>
          <w:b/>
          <w:bCs/>
          <w:color w:val="000000" w:themeColor="text1"/>
          <w:sz w:val="24"/>
          <w:szCs w:val="24"/>
          <w:u w:val="single"/>
        </w:rPr>
        <w:t xml:space="preserve">Para No. 348 (p)- </w:t>
      </w:r>
      <w:r w:rsidRPr="00773505">
        <w:rPr>
          <w:rFonts w:ascii="Cambria" w:hAnsi="Cambria"/>
          <w:sz w:val="24"/>
          <w:szCs w:val="24"/>
        </w:rPr>
        <w:t xml:space="preserve">The DISCOMs need to work in coordination with OPTCL to explore the possible use of Potential Voltage Transformer (PVT) </w:t>
      </w:r>
      <w:proofErr w:type="spellStart"/>
      <w:r w:rsidRPr="00773505">
        <w:rPr>
          <w:rFonts w:ascii="Cambria" w:hAnsi="Cambria"/>
          <w:sz w:val="24"/>
          <w:szCs w:val="24"/>
        </w:rPr>
        <w:t>upto</w:t>
      </w:r>
      <w:proofErr w:type="spellEnd"/>
      <w:r w:rsidRPr="00773505">
        <w:rPr>
          <w:rFonts w:ascii="Cambria" w:hAnsi="Cambria"/>
          <w:sz w:val="24"/>
          <w:szCs w:val="24"/>
        </w:rPr>
        <w:t xml:space="preserve"> 500 KVA as pilot project for extending power supply to remote rural areas where GSS of OPTCL or PSS of DISCOM is not available in the nearby area. Stepping down of transmission voltage (132 kV/220 kV/400 kV) directly to low voltage level (415 V) using PVT may be an economical alternative to extension of Distribution network to such area.</w:t>
      </w:r>
    </w:p>
    <w:p w14:paraId="3D3A1BFD" w14:textId="77777777" w:rsidR="0026616B" w:rsidRPr="00773505" w:rsidRDefault="0026616B" w:rsidP="00291FAE">
      <w:pPr>
        <w:pStyle w:val="ListParagraph"/>
        <w:spacing w:after="160" w:line="360" w:lineRule="auto"/>
        <w:ind w:left="284"/>
        <w:jc w:val="both"/>
        <w:rPr>
          <w:rFonts w:ascii="Cambria" w:hAnsi="Cambria"/>
          <w:color w:val="EE0000"/>
          <w:sz w:val="24"/>
          <w:szCs w:val="24"/>
        </w:rPr>
      </w:pPr>
    </w:p>
    <w:p w14:paraId="7950960B" w14:textId="77777777" w:rsidR="0026616B" w:rsidRPr="00773505" w:rsidRDefault="0026616B" w:rsidP="00291FAE">
      <w:pPr>
        <w:pStyle w:val="ListParagraph"/>
        <w:spacing w:after="160" w:line="360" w:lineRule="auto"/>
        <w:ind w:left="284"/>
        <w:jc w:val="both"/>
        <w:rPr>
          <w:rFonts w:ascii="Cambria" w:hAnsi="Cambria"/>
          <w:sz w:val="24"/>
          <w:szCs w:val="24"/>
        </w:rPr>
      </w:pPr>
      <w:r w:rsidRPr="00773505">
        <w:rPr>
          <w:rFonts w:ascii="Cambria" w:hAnsi="Cambria"/>
          <w:b/>
          <w:bCs/>
          <w:sz w:val="24"/>
          <w:szCs w:val="24"/>
          <w:u w:val="single"/>
        </w:rPr>
        <w:t xml:space="preserve">TPWODL’s Submission: </w:t>
      </w:r>
      <w:r w:rsidRPr="00773505">
        <w:rPr>
          <w:rFonts w:ascii="Cambria" w:hAnsi="Cambria"/>
          <w:sz w:val="24"/>
          <w:szCs w:val="24"/>
        </w:rPr>
        <w:t>A similar pilot initiative was earlier undertaken by Tata Power Delhi Distribution Limited (TPDDL), and the same concept is currently under active consideration by TPWODL. At present, TPWODL is conducting outcome analysis and performance evaluation of pilot-scale PVT installations up to 100 kVA capacity to assess their technical reliability, cost-effectiveness, and operational safety. Based on the results of this evaluation, TPWODL will explore the feasibility of scaling up the PVT-based system for wider application in suitable remote areas of its licensee territory.</w:t>
      </w:r>
    </w:p>
    <w:p w14:paraId="23991BBC" w14:textId="77777777" w:rsidR="0026616B" w:rsidRPr="00773505" w:rsidRDefault="0026616B" w:rsidP="00291FAE">
      <w:pPr>
        <w:pStyle w:val="ListParagraph"/>
        <w:spacing w:after="160" w:line="360" w:lineRule="auto"/>
        <w:ind w:left="284"/>
        <w:jc w:val="both"/>
        <w:rPr>
          <w:rFonts w:ascii="Cambria" w:hAnsi="Cambria"/>
          <w:sz w:val="24"/>
          <w:szCs w:val="24"/>
        </w:rPr>
      </w:pPr>
    </w:p>
    <w:p w14:paraId="43C9B8F7" w14:textId="77777777" w:rsidR="0026616B" w:rsidRPr="00773505" w:rsidRDefault="0026616B" w:rsidP="00056389">
      <w:pPr>
        <w:pStyle w:val="ListParagraph"/>
        <w:numPr>
          <w:ilvl w:val="0"/>
          <w:numId w:val="82"/>
        </w:numPr>
        <w:spacing w:after="160" w:line="360" w:lineRule="auto"/>
        <w:ind w:left="284"/>
        <w:jc w:val="both"/>
        <w:rPr>
          <w:rFonts w:ascii="Cambria" w:hAnsi="Cambria"/>
          <w:sz w:val="24"/>
          <w:szCs w:val="24"/>
        </w:rPr>
      </w:pPr>
      <w:r w:rsidRPr="00773505">
        <w:rPr>
          <w:rFonts w:ascii="Cambria" w:eastAsia="Cambria" w:hAnsi="Cambria" w:cs="Cambria"/>
          <w:b/>
          <w:bCs/>
          <w:color w:val="000000" w:themeColor="text1"/>
          <w:sz w:val="24"/>
          <w:szCs w:val="24"/>
          <w:u w:val="single"/>
        </w:rPr>
        <w:t xml:space="preserve">Para No. 348 (q)- </w:t>
      </w:r>
      <w:r w:rsidRPr="00773505">
        <w:rPr>
          <w:rFonts w:ascii="Cambria" w:hAnsi="Cambria"/>
          <w:sz w:val="24"/>
          <w:szCs w:val="24"/>
        </w:rPr>
        <w:t>Use of STATCOM in PSS may be taken up as pilot project to control reactive power.</w:t>
      </w:r>
    </w:p>
    <w:p w14:paraId="2CC9A204" w14:textId="77777777" w:rsidR="0026616B" w:rsidRPr="00773505" w:rsidRDefault="0026616B" w:rsidP="00291FAE">
      <w:pPr>
        <w:pStyle w:val="ListParagraph"/>
        <w:spacing w:after="160" w:line="360" w:lineRule="auto"/>
        <w:ind w:left="284"/>
        <w:jc w:val="both"/>
        <w:rPr>
          <w:rFonts w:ascii="Cambria" w:hAnsi="Cambria"/>
          <w:sz w:val="24"/>
          <w:szCs w:val="24"/>
        </w:rPr>
      </w:pPr>
    </w:p>
    <w:p w14:paraId="4E593577" w14:textId="77777777" w:rsidR="0026616B" w:rsidRPr="00773505" w:rsidRDefault="0026616B" w:rsidP="00291FAE">
      <w:pPr>
        <w:pStyle w:val="ListParagraph"/>
        <w:spacing w:after="160" w:line="360" w:lineRule="auto"/>
        <w:ind w:left="284"/>
        <w:jc w:val="both"/>
        <w:rPr>
          <w:rFonts w:ascii="Cambria" w:hAnsi="Cambria"/>
          <w:sz w:val="24"/>
          <w:szCs w:val="24"/>
        </w:rPr>
      </w:pPr>
      <w:r w:rsidRPr="00773505">
        <w:rPr>
          <w:rFonts w:ascii="Cambria" w:hAnsi="Cambria"/>
          <w:b/>
          <w:bCs/>
          <w:sz w:val="24"/>
          <w:szCs w:val="24"/>
          <w:u w:val="single"/>
        </w:rPr>
        <w:t>TPWODL’s Submission:</w:t>
      </w:r>
      <w:r w:rsidRPr="00773505">
        <w:rPr>
          <w:rFonts w:ascii="Cambria" w:hAnsi="Cambria"/>
          <w:sz w:val="24"/>
          <w:szCs w:val="24"/>
        </w:rPr>
        <w:t xml:space="preserve"> Use of STATCOM (Static Synchronous Compensator) in the PSS for fast and dynamic control of reactive power to improve power quality, voltage stability, and system efficiency. It has been observed that it is typically installed in Network infra where network capacity is huge as like Extra High Tension (EHT) networks of 132 kV and above, and where system-level voltage and reactive power fluctuations are more prominent.</w:t>
      </w:r>
    </w:p>
    <w:p w14:paraId="5C81C2C6" w14:textId="65B6B96C" w:rsidR="00790914" w:rsidRPr="00773505" w:rsidRDefault="0026616B" w:rsidP="009F0FA6">
      <w:pPr>
        <w:pStyle w:val="ListParagraph"/>
        <w:spacing w:after="160" w:line="360" w:lineRule="auto"/>
        <w:ind w:left="284"/>
        <w:jc w:val="both"/>
        <w:rPr>
          <w:sz w:val="24"/>
          <w:szCs w:val="24"/>
        </w:rPr>
      </w:pPr>
      <w:r w:rsidRPr="00773505">
        <w:rPr>
          <w:rFonts w:ascii="Cambria" w:hAnsi="Cambria"/>
          <w:sz w:val="24"/>
          <w:szCs w:val="24"/>
          <w:lang w:val="en-IN"/>
        </w:rPr>
        <w:t>However, it has been perceived, that the deployment of STATCOM at 33 kV and 11 kV voltage levels within TPWODL’s distribution network is presently not financially viable, considering the high cost of technology and limited reactive power requirements at these voltage levels. Instead, to achieve the objective of reactive power control and voltage stabilization, TPWODL is implementing Automatic Voltage Regulators (AVRs) of 6.6 kV/11 kV ratings, and installation of 1.5 MVAR capacitor banks at suitable network positions.</w:t>
      </w:r>
      <w:r w:rsidR="009F0FA6" w:rsidRPr="00773505">
        <w:rPr>
          <w:rFonts w:ascii="Cambria" w:hAnsi="Cambria"/>
          <w:sz w:val="24"/>
          <w:szCs w:val="24"/>
          <w:lang w:val="en-IN"/>
        </w:rPr>
        <w:t xml:space="preserve"> </w:t>
      </w:r>
      <w:r w:rsidRPr="00773505">
        <w:rPr>
          <w:rFonts w:ascii="Cambria" w:hAnsi="Cambria"/>
          <w:sz w:val="24"/>
          <w:szCs w:val="24"/>
          <w:lang w:val="en-IN"/>
        </w:rPr>
        <w:t>Nevertheless, TPWODL remains open to exploring customized and cost-effective solutions leveraging STATCOM or similar technologies in future, wherever technical feasibility and financial viability can be established through pilot implementation and performance evaluation.</w:t>
      </w:r>
    </w:p>
    <w:p w14:paraId="6DC7DC1A" w14:textId="77777777" w:rsidR="00525A91" w:rsidRPr="00773505" w:rsidRDefault="00525A91" w:rsidP="001972DE">
      <w:pPr>
        <w:pStyle w:val="Heading1"/>
        <w:numPr>
          <w:ilvl w:val="1"/>
          <w:numId w:val="40"/>
        </w:numPr>
        <w:spacing w:line="360" w:lineRule="auto"/>
        <w:jc w:val="both"/>
        <w:rPr>
          <w:rFonts w:ascii="Cambria" w:hAnsi="Cambria"/>
          <w:b w:val="0"/>
          <w:bCs w:val="0"/>
          <w:sz w:val="24"/>
          <w:szCs w:val="24"/>
        </w:rPr>
      </w:pPr>
      <w:bookmarkStart w:id="140" w:name="_Toc152180122"/>
      <w:bookmarkStart w:id="141" w:name="_Toc215250638"/>
      <w:r w:rsidRPr="00773505">
        <w:rPr>
          <w:rFonts w:ascii="Cambria" w:hAnsi="Cambria"/>
          <w:sz w:val="24"/>
          <w:szCs w:val="24"/>
        </w:rPr>
        <w:t>Vesting order Compliances:</w:t>
      </w:r>
      <w:bookmarkEnd w:id="140"/>
      <w:bookmarkEnd w:id="141"/>
    </w:p>
    <w:p w14:paraId="561479AC" w14:textId="2FBD7CA9" w:rsidR="00525A91" w:rsidRPr="00773505" w:rsidRDefault="00525A91" w:rsidP="00525A91">
      <w:pPr>
        <w:spacing w:after="160" w:line="360" w:lineRule="auto"/>
        <w:ind w:left="709"/>
        <w:contextualSpacing/>
        <w:jc w:val="both"/>
        <w:rPr>
          <w:rFonts w:ascii="Cambria" w:eastAsia="Cambria" w:hAnsi="Cambria" w:cs="Cambria"/>
          <w:color w:val="000000"/>
        </w:rPr>
      </w:pPr>
      <w:r w:rsidRPr="00773505">
        <w:rPr>
          <w:rFonts w:ascii="Cambria" w:eastAsia="Cambria" w:hAnsi="Cambria" w:cs="Cambria"/>
          <w:color w:val="000000"/>
        </w:rPr>
        <w:t xml:space="preserve">Hon’ble Commission has given certain directions in the Vesting order dt.28.12.2020 and compliance to the same is as under: </w:t>
      </w:r>
    </w:p>
    <w:p w14:paraId="71F61AAE" w14:textId="77777777" w:rsidR="00F863DC" w:rsidRPr="00773505" w:rsidRDefault="00F863DC" w:rsidP="00F863DC">
      <w:pPr>
        <w:pStyle w:val="ListParagraph"/>
        <w:numPr>
          <w:ilvl w:val="0"/>
          <w:numId w:val="86"/>
        </w:numPr>
        <w:spacing w:after="160" w:line="360" w:lineRule="auto"/>
        <w:ind w:left="709"/>
        <w:jc w:val="both"/>
        <w:rPr>
          <w:rFonts w:ascii="Cambria" w:eastAsia="Cambria" w:hAnsi="Cambria" w:cs="Cambria"/>
          <w:color w:val="000000" w:themeColor="text1"/>
          <w:sz w:val="24"/>
          <w:szCs w:val="24"/>
          <w:lang w:val="en-GB"/>
        </w:rPr>
      </w:pPr>
      <w:r w:rsidRPr="00773505">
        <w:rPr>
          <w:rFonts w:ascii="Cambria" w:eastAsia="Cambria" w:hAnsi="Cambria" w:cs="Cambria"/>
          <w:b/>
          <w:bCs/>
          <w:color w:val="000000" w:themeColor="text1"/>
          <w:sz w:val="24"/>
          <w:szCs w:val="24"/>
          <w:u w:val="single"/>
        </w:rPr>
        <w:t>Para No. 39 (d)-</w:t>
      </w:r>
      <w:r w:rsidRPr="00773505">
        <w:rPr>
          <w:rFonts w:ascii="Cambria" w:eastAsia="Cambria" w:hAnsi="Cambria" w:cs="Cambria"/>
          <w:color w:val="000000" w:themeColor="text1"/>
          <w:sz w:val="24"/>
          <w:szCs w:val="24"/>
        </w:rPr>
        <w:t xml:space="preserve"> The DISCOM has to obtain prior approval of Hon’ble Commission on the detailed Capital Expenditure plan in line with regulation.  </w:t>
      </w:r>
    </w:p>
    <w:p w14:paraId="096A7DD9" w14:textId="77777777" w:rsidR="00F863DC" w:rsidRPr="00773505" w:rsidRDefault="00F863DC" w:rsidP="00F863DC">
      <w:pPr>
        <w:pStyle w:val="NoSpacing"/>
        <w:spacing w:line="360" w:lineRule="auto"/>
        <w:ind w:left="714"/>
        <w:jc w:val="both"/>
        <w:rPr>
          <w:rFonts w:ascii="Cambria" w:hAnsi="Cambria"/>
          <w:sz w:val="24"/>
        </w:rPr>
      </w:pPr>
      <w:r w:rsidRPr="00773505">
        <w:rPr>
          <w:rFonts w:ascii="Cambria" w:hAnsi="Cambria"/>
          <w:b/>
          <w:bCs/>
          <w:sz w:val="24"/>
          <w:u w:val="single"/>
        </w:rPr>
        <w:t xml:space="preserve">Compliance: - </w:t>
      </w:r>
    </w:p>
    <w:tbl>
      <w:tblPr>
        <w:tblStyle w:val="TableGrid"/>
        <w:tblW w:w="8358" w:type="dxa"/>
        <w:tblInd w:w="714" w:type="dxa"/>
        <w:tblLook w:val="04A0" w:firstRow="1" w:lastRow="0" w:firstColumn="1" w:lastColumn="0" w:noHBand="0" w:noVBand="1"/>
      </w:tblPr>
      <w:tblGrid>
        <w:gridCol w:w="699"/>
        <w:gridCol w:w="2977"/>
        <w:gridCol w:w="1450"/>
        <w:gridCol w:w="3232"/>
      </w:tblGrid>
      <w:tr w:rsidR="00F863DC" w:rsidRPr="008F5AAF" w14:paraId="63EB7932" w14:textId="77777777" w:rsidTr="001F21DF">
        <w:trPr>
          <w:trHeight w:val="475"/>
        </w:trPr>
        <w:tc>
          <w:tcPr>
            <w:tcW w:w="699" w:type="dxa"/>
            <w:vAlign w:val="center"/>
          </w:tcPr>
          <w:p w14:paraId="556AB264" w14:textId="77777777" w:rsidR="00F863DC" w:rsidRPr="008F5AAF" w:rsidRDefault="00F863DC" w:rsidP="001F21DF">
            <w:pPr>
              <w:pStyle w:val="ListParagraph"/>
              <w:spacing w:after="0" w:line="240" w:lineRule="atLeast"/>
              <w:ind w:left="0"/>
              <w:jc w:val="center"/>
              <w:rPr>
                <w:rFonts w:ascii="Cambria" w:eastAsia="Times New Roman" w:hAnsi="Cambria" w:cs="Arial"/>
                <w:b/>
                <w:bCs/>
                <w:lang w:eastAsia="en-IN"/>
              </w:rPr>
            </w:pPr>
            <w:r w:rsidRPr="008F5AAF">
              <w:rPr>
                <w:rFonts w:ascii="Cambria" w:eastAsia="Times New Roman" w:hAnsi="Cambria" w:cs="Arial"/>
                <w:b/>
                <w:bCs/>
                <w:lang w:eastAsia="en-IN"/>
              </w:rPr>
              <w:t>S. No.</w:t>
            </w:r>
          </w:p>
        </w:tc>
        <w:tc>
          <w:tcPr>
            <w:tcW w:w="2977" w:type="dxa"/>
            <w:vAlign w:val="center"/>
          </w:tcPr>
          <w:p w14:paraId="794A87E2" w14:textId="77777777" w:rsidR="00F863DC" w:rsidRPr="008F5AAF" w:rsidRDefault="00F863DC" w:rsidP="001F21DF">
            <w:pPr>
              <w:pStyle w:val="ListParagraph"/>
              <w:spacing w:after="0" w:line="240" w:lineRule="atLeast"/>
              <w:ind w:left="0"/>
              <w:rPr>
                <w:rFonts w:ascii="Cambria" w:eastAsia="Times New Roman" w:hAnsi="Cambria" w:cs="Arial"/>
                <w:b/>
                <w:bCs/>
                <w:lang w:eastAsia="en-IN"/>
              </w:rPr>
            </w:pPr>
            <w:r w:rsidRPr="008F5AAF">
              <w:rPr>
                <w:rFonts w:ascii="Cambria" w:eastAsia="Times New Roman" w:hAnsi="Cambria" w:cs="Arial"/>
                <w:b/>
                <w:bCs/>
                <w:lang w:eastAsia="en-IN"/>
              </w:rPr>
              <w:t>Financial Year</w:t>
            </w:r>
          </w:p>
        </w:tc>
        <w:tc>
          <w:tcPr>
            <w:tcW w:w="1450" w:type="dxa"/>
            <w:vAlign w:val="center"/>
          </w:tcPr>
          <w:p w14:paraId="3B4BD5F9" w14:textId="77777777" w:rsidR="00F863DC" w:rsidRPr="008F5AAF" w:rsidRDefault="00F863DC" w:rsidP="001F21DF">
            <w:pPr>
              <w:pStyle w:val="ListParagraph"/>
              <w:spacing w:after="0" w:line="240" w:lineRule="atLeast"/>
              <w:ind w:left="0"/>
              <w:jc w:val="center"/>
              <w:rPr>
                <w:rFonts w:ascii="Cambria" w:eastAsia="Times New Roman" w:hAnsi="Cambria" w:cs="Arial"/>
                <w:b/>
                <w:bCs/>
                <w:lang w:eastAsia="en-IN"/>
              </w:rPr>
            </w:pPr>
            <w:r w:rsidRPr="008F5AAF">
              <w:rPr>
                <w:rFonts w:ascii="Cambria" w:eastAsia="Times New Roman" w:hAnsi="Cambria" w:cs="Arial"/>
                <w:b/>
                <w:bCs/>
                <w:lang w:eastAsia="en-IN"/>
              </w:rPr>
              <w:t xml:space="preserve">Case Number </w:t>
            </w:r>
          </w:p>
        </w:tc>
        <w:tc>
          <w:tcPr>
            <w:tcW w:w="3232" w:type="dxa"/>
            <w:vAlign w:val="center"/>
          </w:tcPr>
          <w:p w14:paraId="675C8872" w14:textId="77777777" w:rsidR="00F863DC" w:rsidRPr="008F5AAF" w:rsidRDefault="00F863DC" w:rsidP="001F21DF">
            <w:pPr>
              <w:pStyle w:val="ListParagraph"/>
              <w:spacing w:after="0" w:line="240" w:lineRule="atLeast"/>
              <w:ind w:left="0"/>
              <w:jc w:val="center"/>
              <w:rPr>
                <w:rFonts w:ascii="Cambria" w:eastAsia="Times New Roman" w:hAnsi="Cambria" w:cs="Arial"/>
                <w:b/>
                <w:bCs/>
                <w:lang w:eastAsia="en-IN"/>
              </w:rPr>
            </w:pPr>
            <w:r w:rsidRPr="008F5AAF">
              <w:rPr>
                <w:rFonts w:ascii="Cambria" w:eastAsia="Times New Roman" w:hAnsi="Cambria" w:cs="Arial"/>
                <w:b/>
                <w:bCs/>
                <w:lang w:eastAsia="en-IN"/>
              </w:rPr>
              <w:t>Date of Approval</w:t>
            </w:r>
          </w:p>
        </w:tc>
      </w:tr>
      <w:tr w:rsidR="00F863DC" w:rsidRPr="008F5AAF" w14:paraId="1E71DCCD" w14:textId="77777777" w:rsidTr="001F21DF">
        <w:trPr>
          <w:trHeight w:val="83"/>
        </w:trPr>
        <w:tc>
          <w:tcPr>
            <w:tcW w:w="699" w:type="dxa"/>
            <w:vAlign w:val="center"/>
          </w:tcPr>
          <w:p w14:paraId="5B954FB3" w14:textId="77777777" w:rsidR="00F863DC" w:rsidRPr="008F5AAF" w:rsidRDefault="00F863DC" w:rsidP="001F21DF">
            <w:pPr>
              <w:pStyle w:val="ListParagraph"/>
              <w:spacing w:after="0" w:line="240" w:lineRule="atLeast"/>
              <w:ind w:left="0"/>
              <w:jc w:val="center"/>
              <w:rPr>
                <w:rFonts w:ascii="Cambria" w:eastAsia="Times New Roman" w:hAnsi="Cambria" w:cs="Arial"/>
                <w:b/>
                <w:bCs/>
                <w:lang w:eastAsia="en-IN"/>
              </w:rPr>
            </w:pPr>
            <w:r w:rsidRPr="008F5AAF">
              <w:rPr>
                <w:rFonts w:ascii="Cambria" w:eastAsia="Times New Roman" w:hAnsi="Cambria" w:cs="Arial"/>
                <w:lang w:eastAsia="en-IN"/>
              </w:rPr>
              <w:t>1</w:t>
            </w:r>
          </w:p>
        </w:tc>
        <w:tc>
          <w:tcPr>
            <w:tcW w:w="2977" w:type="dxa"/>
            <w:vAlign w:val="center"/>
          </w:tcPr>
          <w:p w14:paraId="0A1F6C62" w14:textId="77777777" w:rsidR="00F863DC" w:rsidRPr="008F5AAF" w:rsidRDefault="00F863DC" w:rsidP="001F21DF">
            <w:pPr>
              <w:pStyle w:val="ListParagraph"/>
              <w:spacing w:after="0" w:line="240" w:lineRule="atLeast"/>
              <w:ind w:left="0"/>
              <w:rPr>
                <w:rFonts w:ascii="Cambria" w:eastAsia="Times New Roman" w:hAnsi="Cambria" w:cs="Arial"/>
                <w:b/>
                <w:bCs/>
                <w:lang w:eastAsia="en-IN"/>
              </w:rPr>
            </w:pPr>
            <w:r w:rsidRPr="008F5AAF">
              <w:rPr>
                <w:rFonts w:ascii="Cambria" w:eastAsia="Times New Roman" w:hAnsi="Cambria" w:cs="Arial"/>
                <w:b/>
                <w:bCs/>
                <w:lang w:eastAsia="en-IN"/>
              </w:rPr>
              <w:t>FY 21-22</w:t>
            </w:r>
          </w:p>
        </w:tc>
        <w:tc>
          <w:tcPr>
            <w:tcW w:w="1450" w:type="dxa"/>
            <w:vAlign w:val="center"/>
          </w:tcPr>
          <w:p w14:paraId="728DA3B8" w14:textId="77777777" w:rsidR="00F863DC" w:rsidRPr="008F5AAF" w:rsidRDefault="00F863DC" w:rsidP="001F21DF">
            <w:pPr>
              <w:pStyle w:val="ListParagraph"/>
              <w:spacing w:after="0" w:line="240" w:lineRule="atLeast"/>
              <w:ind w:left="0"/>
              <w:jc w:val="center"/>
              <w:rPr>
                <w:rFonts w:ascii="Cambria" w:eastAsia="Times New Roman" w:hAnsi="Cambria" w:cs="Arial"/>
                <w:lang w:eastAsia="en-IN"/>
              </w:rPr>
            </w:pPr>
            <w:r w:rsidRPr="008F5AAF">
              <w:rPr>
                <w:rFonts w:ascii="Cambria" w:eastAsia="Times New Roman" w:hAnsi="Cambria" w:cs="Arial"/>
                <w:lang w:eastAsia="en-IN"/>
              </w:rPr>
              <w:t>07/2021</w:t>
            </w:r>
          </w:p>
        </w:tc>
        <w:tc>
          <w:tcPr>
            <w:tcW w:w="3232" w:type="dxa"/>
            <w:vAlign w:val="center"/>
          </w:tcPr>
          <w:p w14:paraId="3ECECBEB" w14:textId="77777777" w:rsidR="00F863DC" w:rsidRPr="008F5AAF" w:rsidRDefault="00F863DC" w:rsidP="001F21DF">
            <w:pPr>
              <w:pStyle w:val="ListParagraph"/>
              <w:spacing w:after="0" w:line="240" w:lineRule="atLeast"/>
              <w:ind w:left="0"/>
              <w:jc w:val="center"/>
              <w:rPr>
                <w:rFonts w:ascii="Cambria" w:eastAsia="Times New Roman" w:hAnsi="Cambria" w:cs="Arial"/>
                <w:b/>
                <w:bCs/>
                <w:lang w:eastAsia="en-IN"/>
              </w:rPr>
            </w:pPr>
            <w:r w:rsidRPr="008F5AAF">
              <w:rPr>
                <w:rFonts w:ascii="Cambria" w:eastAsia="Times New Roman" w:hAnsi="Cambria" w:cs="Arial"/>
                <w:lang w:eastAsia="en-IN"/>
              </w:rPr>
              <w:t>18.09.2021</w:t>
            </w:r>
          </w:p>
        </w:tc>
      </w:tr>
      <w:tr w:rsidR="00F863DC" w:rsidRPr="008F5AAF" w14:paraId="5F714747" w14:textId="77777777" w:rsidTr="001F21DF">
        <w:trPr>
          <w:trHeight w:val="237"/>
        </w:trPr>
        <w:tc>
          <w:tcPr>
            <w:tcW w:w="699" w:type="dxa"/>
            <w:vAlign w:val="center"/>
          </w:tcPr>
          <w:p w14:paraId="11306391" w14:textId="77777777" w:rsidR="00F863DC" w:rsidRPr="008F5AAF" w:rsidRDefault="00F863DC" w:rsidP="001F21DF">
            <w:pPr>
              <w:pStyle w:val="ListParagraph"/>
              <w:spacing w:after="0" w:line="240" w:lineRule="atLeast"/>
              <w:ind w:left="0"/>
              <w:jc w:val="center"/>
              <w:rPr>
                <w:rFonts w:ascii="Cambria" w:eastAsia="Times New Roman" w:hAnsi="Cambria" w:cs="Arial"/>
                <w:lang w:eastAsia="en-IN"/>
              </w:rPr>
            </w:pPr>
            <w:r w:rsidRPr="008F5AAF">
              <w:rPr>
                <w:rFonts w:ascii="Cambria" w:eastAsia="Times New Roman" w:hAnsi="Cambria" w:cs="Arial"/>
                <w:lang w:eastAsia="en-IN"/>
              </w:rPr>
              <w:t>2</w:t>
            </w:r>
          </w:p>
        </w:tc>
        <w:tc>
          <w:tcPr>
            <w:tcW w:w="2977" w:type="dxa"/>
            <w:vAlign w:val="center"/>
          </w:tcPr>
          <w:p w14:paraId="086862E8" w14:textId="77777777" w:rsidR="00F863DC" w:rsidRPr="008F5AAF" w:rsidRDefault="00F863DC" w:rsidP="001F21DF">
            <w:pPr>
              <w:pStyle w:val="ListParagraph"/>
              <w:spacing w:after="0" w:line="240" w:lineRule="atLeast"/>
              <w:ind w:left="0"/>
              <w:rPr>
                <w:rFonts w:ascii="Cambria" w:eastAsia="Times New Roman" w:hAnsi="Cambria" w:cs="Arial"/>
                <w:lang w:eastAsia="en-IN"/>
              </w:rPr>
            </w:pPr>
            <w:r w:rsidRPr="008F5AAF">
              <w:rPr>
                <w:rFonts w:ascii="Cambria" w:eastAsia="Times New Roman" w:hAnsi="Cambria" w:cs="Arial"/>
                <w:b/>
                <w:bCs/>
                <w:lang w:eastAsia="en-IN"/>
              </w:rPr>
              <w:t>FY 23-24</w:t>
            </w:r>
          </w:p>
        </w:tc>
        <w:tc>
          <w:tcPr>
            <w:tcW w:w="1450" w:type="dxa"/>
            <w:vAlign w:val="center"/>
          </w:tcPr>
          <w:p w14:paraId="27A71EB9" w14:textId="77777777" w:rsidR="00F863DC" w:rsidRPr="008F5AAF" w:rsidRDefault="00F863DC" w:rsidP="001F21DF">
            <w:pPr>
              <w:pStyle w:val="ListParagraph"/>
              <w:spacing w:after="0" w:line="240" w:lineRule="atLeast"/>
              <w:ind w:left="0"/>
              <w:jc w:val="center"/>
              <w:rPr>
                <w:rFonts w:ascii="Cambria" w:eastAsia="Times New Roman" w:hAnsi="Cambria" w:cs="Arial"/>
                <w:lang w:eastAsia="en-IN"/>
              </w:rPr>
            </w:pPr>
            <w:r w:rsidRPr="008F5AAF">
              <w:rPr>
                <w:rFonts w:ascii="Cambria" w:eastAsia="Times New Roman" w:hAnsi="Cambria" w:cs="Arial"/>
                <w:lang w:eastAsia="en-IN"/>
              </w:rPr>
              <w:t>101/2021</w:t>
            </w:r>
          </w:p>
        </w:tc>
        <w:tc>
          <w:tcPr>
            <w:tcW w:w="3232" w:type="dxa"/>
            <w:vAlign w:val="center"/>
          </w:tcPr>
          <w:p w14:paraId="51525AC6" w14:textId="77777777" w:rsidR="00F863DC" w:rsidRPr="008F5AAF" w:rsidRDefault="00F863DC" w:rsidP="001F21DF">
            <w:pPr>
              <w:pStyle w:val="ListParagraph"/>
              <w:spacing w:after="0" w:line="240" w:lineRule="atLeast"/>
              <w:ind w:left="0"/>
              <w:jc w:val="center"/>
              <w:rPr>
                <w:rFonts w:ascii="Cambria" w:eastAsia="Times New Roman" w:hAnsi="Cambria" w:cs="Arial"/>
                <w:lang w:eastAsia="en-IN"/>
              </w:rPr>
            </w:pPr>
            <w:r w:rsidRPr="008F5AAF">
              <w:rPr>
                <w:rFonts w:ascii="Cambria" w:eastAsia="Times New Roman" w:hAnsi="Cambria" w:cs="Arial"/>
                <w:lang w:eastAsia="en-IN"/>
              </w:rPr>
              <w:t>08.07.2022</w:t>
            </w:r>
          </w:p>
        </w:tc>
      </w:tr>
      <w:tr w:rsidR="00F863DC" w:rsidRPr="008F5AAF" w14:paraId="55BA3BE3" w14:textId="77777777" w:rsidTr="001F21DF">
        <w:trPr>
          <w:trHeight w:val="237"/>
        </w:trPr>
        <w:tc>
          <w:tcPr>
            <w:tcW w:w="699" w:type="dxa"/>
            <w:vAlign w:val="center"/>
          </w:tcPr>
          <w:p w14:paraId="17C85778" w14:textId="77777777" w:rsidR="00F863DC" w:rsidRPr="008F5AAF" w:rsidRDefault="00F863DC" w:rsidP="001F21DF">
            <w:pPr>
              <w:pStyle w:val="ListParagraph"/>
              <w:spacing w:after="0" w:line="240" w:lineRule="atLeast"/>
              <w:ind w:left="0"/>
              <w:jc w:val="center"/>
              <w:rPr>
                <w:rFonts w:ascii="Cambria" w:eastAsia="Times New Roman" w:hAnsi="Cambria" w:cs="Arial"/>
                <w:lang w:eastAsia="en-IN"/>
              </w:rPr>
            </w:pPr>
            <w:r w:rsidRPr="008F5AAF">
              <w:rPr>
                <w:rFonts w:ascii="Cambria" w:eastAsia="Times New Roman" w:hAnsi="Cambria" w:cs="Arial"/>
                <w:lang w:eastAsia="en-IN"/>
              </w:rPr>
              <w:t>3</w:t>
            </w:r>
          </w:p>
        </w:tc>
        <w:tc>
          <w:tcPr>
            <w:tcW w:w="2977" w:type="dxa"/>
            <w:vAlign w:val="center"/>
          </w:tcPr>
          <w:p w14:paraId="7BD066EA" w14:textId="77777777" w:rsidR="00F863DC" w:rsidRPr="008F5AAF" w:rsidRDefault="00F863DC" w:rsidP="001F21DF">
            <w:pPr>
              <w:pStyle w:val="ListParagraph"/>
              <w:spacing w:after="0" w:line="240" w:lineRule="atLeast"/>
              <w:ind w:left="0"/>
              <w:rPr>
                <w:rFonts w:ascii="Cambria" w:eastAsia="Times New Roman" w:hAnsi="Cambria" w:cs="Arial"/>
                <w:lang w:eastAsia="en-IN"/>
              </w:rPr>
            </w:pPr>
            <w:r w:rsidRPr="008F5AAF">
              <w:rPr>
                <w:rFonts w:ascii="Cambria" w:eastAsia="Times New Roman" w:hAnsi="Cambria" w:cs="Arial"/>
                <w:b/>
                <w:bCs/>
                <w:lang w:eastAsia="en-IN"/>
              </w:rPr>
              <w:t>FY 23-24</w:t>
            </w:r>
          </w:p>
        </w:tc>
        <w:tc>
          <w:tcPr>
            <w:tcW w:w="1450" w:type="dxa"/>
            <w:vAlign w:val="center"/>
          </w:tcPr>
          <w:p w14:paraId="0509146D" w14:textId="77777777" w:rsidR="00F863DC" w:rsidRPr="008F5AAF" w:rsidRDefault="00F863DC" w:rsidP="001F21DF">
            <w:pPr>
              <w:pStyle w:val="ListParagraph"/>
              <w:spacing w:after="0" w:line="240" w:lineRule="atLeast"/>
              <w:ind w:left="0"/>
              <w:jc w:val="center"/>
              <w:rPr>
                <w:rFonts w:ascii="Cambria" w:eastAsia="Times New Roman" w:hAnsi="Cambria" w:cs="Arial"/>
                <w:lang w:eastAsia="en-IN"/>
              </w:rPr>
            </w:pPr>
            <w:r w:rsidRPr="008F5AAF">
              <w:rPr>
                <w:rFonts w:ascii="Cambria" w:eastAsia="Times New Roman" w:hAnsi="Cambria" w:cs="Arial"/>
                <w:lang w:eastAsia="en-IN"/>
              </w:rPr>
              <w:t>97/2022</w:t>
            </w:r>
          </w:p>
        </w:tc>
        <w:tc>
          <w:tcPr>
            <w:tcW w:w="3232" w:type="dxa"/>
            <w:vAlign w:val="center"/>
          </w:tcPr>
          <w:p w14:paraId="48613EFD" w14:textId="77777777" w:rsidR="00F863DC" w:rsidRPr="008F5AAF" w:rsidRDefault="00F863DC" w:rsidP="001F21DF">
            <w:pPr>
              <w:pStyle w:val="ListParagraph"/>
              <w:spacing w:after="0" w:line="240" w:lineRule="atLeast"/>
              <w:ind w:left="0"/>
              <w:jc w:val="center"/>
              <w:rPr>
                <w:rFonts w:ascii="Cambria" w:eastAsia="Times New Roman" w:hAnsi="Cambria" w:cs="Arial"/>
                <w:lang w:eastAsia="en-IN"/>
              </w:rPr>
            </w:pPr>
            <w:r w:rsidRPr="008F5AAF">
              <w:rPr>
                <w:rFonts w:ascii="Cambria" w:eastAsia="Times New Roman" w:hAnsi="Cambria" w:cs="Arial"/>
                <w:lang w:eastAsia="en-IN"/>
              </w:rPr>
              <w:t>21.06.2023</w:t>
            </w:r>
          </w:p>
        </w:tc>
      </w:tr>
      <w:tr w:rsidR="00F863DC" w:rsidRPr="008F5AAF" w14:paraId="1794E237" w14:textId="77777777" w:rsidTr="001F21DF">
        <w:trPr>
          <w:trHeight w:val="41"/>
        </w:trPr>
        <w:tc>
          <w:tcPr>
            <w:tcW w:w="699" w:type="dxa"/>
            <w:vAlign w:val="center"/>
          </w:tcPr>
          <w:p w14:paraId="64985458" w14:textId="77777777" w:rsidR="00F863DC" w:rsidRPr="008F5AAF" w:rsidRDefault="00F863DC" w:rsidP="001F21DF">
            <w:pPr>
              <w:pStyle w:val="ListParagraph"/>
              <w:spacing w:after="0" w:line="240" w:lineRule="atLeast"/>
              <w:ind w:left="0"/>
              <w:jc w:val="center"/>
              <w:rPr>
                <w:rFonts w:ascii="Cambria" w:eastAsia="Times New Roman" w:hAnsi="Cambria" w:cs="Arial"/>
                <w:lang w:eastAsia="en-IN"/>
              </w:rPr>
            </w:pPr>
            <w:r w:rsidRPr="008F5AAF">
              <w:rPr>
                <w:rFonts w:ascii="Cambria" w:eastAsia="Times New Roman" w:hAnsi="Cambria" w:cs="Arial"/>
                <w:lang w:eastAsia="en-IN"/>
              </w:rPr>
              <w:t>4</w:t>
            </w:r>
          </w:p>
        </w:tc>
        <w:tc>
          <w:tcPr>
            <w:tcW w:w="2977" w:type="dxa"/>
            <w:vAlign w:val="center"/>
          </w:tcPr>
          <w:p w14:paraId="42E8AEDA" w14:textId="77777777" w:rsidR="00F863DC" w:rsidRPr="008F5AAF" w:rsidRDefault="00F863DC" w:rsidP="001F21DF">
            <w:pPr>
              <w:pStyle w:val="ListParagraph"/>
              <w:spacing w:after="0" w:line="240" w:lineRule="atLeast"/>
              <w:ind w:left="0"/>
              <w:rPr>
                <w:rFonts w:ascii="Cambria" w:eastAsia="Times New Roman" w:hAnsi="Cambria" w:cs="Arial"/>
                <w:lang w:eastAsia="en-IN"/>
              </w:rPr>
            </w:pPr>
            <w:r w:rsidRPr="008F5AAF">
              <w:rPr>
                <w:rFonts w:ascii="Cambria" w:eastAsia="Times New Roman" w:hAnsi="Cambria" w:cs="Arial"/>
                <w:b/>
                <w:bCs/>
                <w:lang w:eastAsia="en-IN"/>
              </w:rPr>
              <w:t>FY 24-25 &amp; FY 25-26</w:t>
            </w:r>
          </w:p>
        </w:tc>
        <w:tc>
          <w:tcPr>
            <w:tcW w:w="1450" w:type="dxa"/>
            <w:vAlign w:val="center"/>
          </w:tcPr>
          <w:p w14:paraId="7388B6D6" w14:textId="77777777" w:rsidR="00F863DC" w:rsidRPr="008F5AAF" w:rsidRDefault="00F863DC" w:rsidP="001F21DF">
            <w:pPr>
              <w:pStyle w:val="ListParagraph"/>
              <w:spacing w:after="0" w:line="240" w:lineRule="atLeast"/>
              <w:ind w:left="0"/>
              <w:jc w:val="center"/>
              <w:rPr>
                <w:rFonts w:ascii="Cambria" w:eastAsia="Times New Roman" w:hAnsi="Cambria" w:cs="Arial"/>
                <w:lang w:eastAsia="en-IN"/>
              </w:rPr>
            </w:pPr>
            <w:r w:rsidRPr="008F5AAF">
              <w:rPr>
                <w:rFonts w:ascii="Cambria" w:eastAsia="Times New Roman" w:hAnsi="Cambria" w:cs="Arial"/>
                <w:lang w:eastAsia="en-IN"/>
              </w:rPr>
              <w:t>101/2023</w:t>
            </w:r>
          </w:p>
        </w:tc>
        <w:tc>
          <w:tcPr>
            <w:tcW w:w="3232" w:type="dxa"/>
            <w:vAlign w:val="center"/>
          </w:tcPr>
          <w:p w14:paraId="5EDB212F" w14:textId="77777777" w:rsidR="00F863DC" w:rsidRPr="008F5AAF" w:rsidRDefault="00F863DC" w:rsidP="001F21DF">
            <w:pPr>
              <w:pStyle w:val="ListParagraph"/>
              <w:spacing w:after="0" w:line="240" w:lineRule="atLeast"/>
              <w:ind w:left="0"/>
              <w:jc w:val="center"/>
              <w:rPr>
                <w:rFonts w:ascii="Cambria" w:eastAsia="Times New Roman" w:hAnsi="Cambria" w:cs="Arial"/>
                <w:lang w:eastAsia="en-IN"/>
              </w:rPr>
            </w:pPr>
            <w:r w:rsidRPr="008F5AAF">
              <w:rPr>
                <w:rFonts w:ascii="Cambria" w:eastAsia="Times New Roman" w:hAnsi="Cambria" w:cs="Arial"/>
                <w:lang w:eastAsia="en-IN"/>
              </w:rPr>
              <w:t>12.12.2023</w:t>
            </w:r>
          </w:p>
        </w:tc>
      </w:tr>
      <w:tr w:rsidR="00F863DC" w:rsidRPr="008F5AAF" w14:paraId="20BDFE44" w14:textId="77777777" w:rsidTr="001F21DF">
        <w:trPr>
          <w:trHeight w:val="41"/>
        </w:trPr>
        <w:tc>
          <w:tcPr>
            <w:tcW w:w="699" w:type="dxa"/>
            <w:vAlign w:val="center"/>
          </w:tcPr>
          <w:p w14:paraId="45B71F2A" w14:textId="77777777" w:rsidR="00F863DC" w:rsidRPr="008F5AAF" w:rsidRDefault="00F863DC" w:rsidP="001F21DF">
            <w:pPr>
              <w:pStyle w:val="ListParagraph"/>
              <w:spacing w:after="0" w:line="240" w:lineRule="atLeast"/>
              <w:ind w:left="0"/>
              <w:jc w:val="center"/>
              <w:rPr>
                <w:rFonts w:ascii="Cambria" w:eastAsia="Times New Roman" w:hAnsi="Cambria" w:cs="Arial"/>
                <w:lang w:eastAsia="en-IN"/>
              </w:rPr>
            </w:pPr>
            <w:r w:rsidRPr="008F5AAF">
              <w:rPr>
                <w:rFonts w:ascii="Cambria" w:eastAsia="Times New Roman" w:hAnsi="Cambria" w:cs="Arial"/>
                <w:lang w:eastAsia="en-IN"/>
              </w:rPr>
              <w:t>5</w:t>
            </w:r>
          </w:p>
        </w:tc>
        <w:tc>
          <w:tcPr>
            <w:tcW w:w="2977" w:type="dxa"/>
            <w:vAlign w:val="center"/>
          </w:tcPr>
          <w:p w14:paraId="1D33572A" w14:textId="77777777" w:rsidR="00F863DC" w:rsidRPr="008F5AAF" w:rsidRDefault="00F863DC" w:rsidP="001F21DF">
            <w:pPr>
              <w:pStyle w:val="ListParagraph"/>
              <w:spacing w:after="0" w:line="240" w:lineRule="atLeast"/>
              <w:ind w:left="0"/>
              <w:rPr>
                <w:rFonts w:ascii="Cambria" w:eastAsia="Times New Roman" w:hAnsi="Cambria" w:cs="Arial"/>
                <w:b/>
                <w:bCs/>
                <w:lang w:eastAsia="en-IN"/>
              </w:rPr>
            </w:pPr>
            <w:r w:rsidRPr="008F5AAF">
              <w:rPr>
                <w:rFonts w:ascii="Cambria" w:eastAsia="Times New Roman" w:hAnsi="Cambria" w:cs="Arial"/>
                <w:b/>
                <w:bCs/>
                <w:lang w:eastAsia="en-IN"/>
              </w:rPr>
              <w:t>Addl. CAPEX for FY 24-25 &amp; FY 25-26</w:t>
            </w:r>
          </w:p>
        </w:tc>
        <w:tc>
          <w:tcPr>
            <w:tcW w:w="1450" w:type="dxa"/>
            <w:vAlign w:val="center"/>
          </w:tcPr>
          <w:p w14:paraId="55A3B5FB" w14:textId="77777777" w:rsidR="00F863DC" w:rsidRPr="008F5AAF" w:rsidRDefault="00F863DC" w:rsidP="001F21DF">
            <w:pPr>
              <w:pStyle w:val="ListParagraph"/>
              <w:spacing w:after="0" w:line="240" w:lineRule="atLeast"/>
              <w:ind w:left="0"/>
              <w:jc w:val="center"/>
              <w:rPr>
                <w:rFonts w:ascii="Cambria" w:eastAsia="Times New Roman" w:hAnsi="Cambria" w:cs="Arial"/>
                <w:lang w:eastAsia="en-IN"/>
              </w:rPr>
            </w:pPr>
            <w:r w:rsidRPr="008F5AAF">
              <w:rPr>
                <w:rFonts w:ascii="Cambria" w:eastAsia="Times New Roman" w:hAnsi="Cambria" w:cs="Arial"/>
                <w:lang w:eastAsia="en-IN"/>
              </w:rPr>
              <w:t>50/2024</w:t>
            </w:r>
          </w:p>
        </w:tc>
        <w:tc>
          <w:tcPr>
            <w:tcW w:w="3232" w:type="dxa"/>
            <w:vAlign w:val="center"/>
          </w:tcPr>
          <w:p w14:paraId="04894238" w14:textId="77777777" w:rsidR="00F863DC" w:rsidRPr="008F5AAF" w:rsidRDefault="00F863DC" w:rsidP="001F21DF">
            <w:pPr>
              <w:pStyle w:val="ListParagraph"/>
              <w:spacing w:after="0" w:line="240" w:lineRule="atLeast"/>
              <w:ind w:left="0"/>
              <w:jc w:val="center"/>
              <w:rPr>
                <w:rFonts w:ascii="Cambria" w:eastAsia="Times New Roman" w:hAnsi="Cambria" w:cs="Arial"/>
                <w:lang w:eastAsia="en-IN"/>
              </w:rPr>
            </w:pPr>
            <w:r>
              <w:rPr>
                <w:rFonts w:ascii="Cambria" w:eastAsia="Times New Roman" w:hAnsi="Cambria" w:cs="Arial"/>
                <w:lang w:eastAsia="en-IN"/>
              </w:rPr>
              <w:t>24</w:t>
            </w:r>
            <w:r w:rsidRPr="008F5AAF">
              <w:rPr>
                <w:rFonts w:ascii="Cambria" w:eastAsia="Times New Roman" w:hAnsi="Cambria" w:cs="Arial"/>
                <w:lang w:eastAsia="en-IN"/>
              </w:rPr>
              <w:t>.0</w:t>
            </w:r>
            <w:r>
              <w:rPr>
                <w:rFonts w:ascii="Cambria" w:eastAsia="Times New Roman" w:hAnsi="Cambria" w:cs="Arial"/>
                <w:lang w:eastAsia="en-IN"/>
              </w:rPr>
              <w:t>3</w:t>
            </w:r>
            <w:r w:rsidRPr="008F5AAF">
              <w:rPr>
                <w:rFonts w:ascii="Cambria" w:eastAsia="Times New Roman" w:hAnsi="Cambria" w:cs="Arial"/>
                <w:lang w:eastAsia="en-IN"/>
              </w:rPr>
              <w:t>.202</w:t>
            </w:r>
            <w:r>
              <w:rPr>
                <w:rFonts w:ascii="Cambria" w:eastAsia="Times New Roman" w:hAnsi="Cambria" w:cs="Arial"/>
                <w:lang w:eastAsia="en-IN"/>
              </w:rPr>
              <w:t>5</w:t>
            </w:r>
          </w:p>
        </w:tc>
      </w:tr>
      <w:tr w:rsidR="00F863DC" w:rsidRPr="008F5AAF" w14:paraId="6ACF7D70" w14:textId="77777777" w:rsidTr="001F21DF">
        <w:trPr>
          <w:trHeight w:val="41"/>
        </w:trPr>
        <w:tc>
          <w:tcPr>
            <w:tcW w:w="699" w:type="dxa"/>
            <w:vAlign w:val="center"/>
          </w:tcPr>
          <w:p w14:paraId="33D038B7" w14:textId="77777777" w:rsidR="00F863DC" w:rsidRPr="008F5AAF" w:rsidRDefault="00F863DC" w:rsidP="001F21DF">
            <w:pPr>
              <w:pStyle w:val="ListParagraph"/>
              <w:spacing w:after="0" w:line="240" w:lineRule="atLeast"/>
              <w:ind w:left="0"/>
              <w:jc w:val="center"/>
              <w:rPr>
                <w:rFonts w:ascii="Cambria" w:eastAsia="Times New Roman" w:hAnsi="Cambria" w:cs="Arial"/>
                <w:lang w:eastAsia="en-IN"/>
              </w:rPr>
            </w:pPr>
            <w:r>
              <w:rPr>
                <w:rFonts w:ascii="Cambria" w:eastAsia="Times New Roman" w:hAnsi="Cambria" w:cs="Arial"/>
                <w:lang w:eastAsia="en-IN"/>
              </w:rPr>
              <w:t>6</w:t>
            </w:r>
          </w:p>
        </w:tc>
        <w:tc>
          <w:tcPr>
            <w:tcW w:w="2977" w:type="dxa"/>
            <w:vAlign w:val="center"/>
          </w:tcPr>
          <w:p w14:paraId="561C9F4B" w14:textId="77777777" w:rsidR="00F863DC" w:rsidRPr="008F5AAF" w:rsidRDefault="00F863DC" w:rsidP="001F21DF">
            <w:pPr>
              <w:pStyle w:val="ListParagraph"/>
              <w:spacing w:after="0" w:line="240" w:lineRule="atLeast"/>
              <w:ind w:left="0"/>
              <w:rPr>
                <w:rFonts w:ascii="Cambria" w:eastAsia="Times New Roman" w:hAnsi="Cambria" w:cs="Arial"/>
                <w:b/>
                <w:bCs/>
                <w:lang w:eastAsia="en-IN"/>
              </w:rPr>
            </w:pPr>
            <w:r w:rsidRPr="0047041F">
              <w:rPr>
                <w:rFonts w:ascii="Cambria" w:eastAsia="Times New Roman" w:hAnsi="Cambria" w:cs="Arial"/>
                <w:b/>
                <w:bCs/>
                <w:lang w:eastAsia="en-IN"/>
              </w:rPr>
              <w:t>Safety CAPEX</w:t>
            </w:r>
          </w:p>
        </w:tc>
        <w:tc>
          <w:tcPr>
            <w:tcW w:w="1450" w:type="dxa"/>
            <w:vAlign w:val="center"/>
          </w:tcPr>
          <w:p w14:paraId="2317DFC8" w14:textId="77777777" w:rsidR="00F863DC" w:rsidRPr="008F5AAF" w:rsidRDefault="00F863DC" w:rsidP="001F21DF">
            <w:pPr>
              <w:pStyle w:val="ListParagraph"/>
              <w:spacing w:after="0" w:line="240" w:lineRule="atLeast"/>
              <w:ind w:left="0"/>
              <w:jc w:val="center"/>
              <w:rPr>
                <w:rFonts w:ascii="Cambria" w:eastAsia="Times New Roman" w:hAnsi="Cambria" w:cs="Arial"/>
                <w:lang w:eastAsia="en-IN"/>
              </w:rPr>
            </w:pPr>
            <w:r>
              <w:rPr>
                <w:rFonts w:ascii="Cambria" w:eastAsia="Times New Roman" w:hAnsi="Cambria" w:cs="Arial"/>
                <w:lang w:eastAsia="en-IN"/>
              </w:rPr>
              <w:t>48/2025</w:t>
            </w:r>
          </w:p>
        </w:tc>
        <w:tc>
          <w:tcPr>
            <w:tcW w:w="3232" w:type="dxa"/>
            <w:vAlign w:val="center"/>
          </w:tcPr>
          <w:p w14:paraId="65F0C5D5" w14:textId="77777777" w:rsidR="00F863DC" w:rsidRDefault="00F863DC" w:rsidP="001F21DF">
            <w:pPr>
              <w:pStyle w:val="ListParagraph"/>
              <w:spacing w:after="0" w:line="240" w:lineRule="atLeast"/>
              <w:ind w:left="0"/>
              <w:jc w:val="center"/>
              <w:rPr>
                <w:rFonts w:ascii="Cambria" w:eastAsia="Times New Roman" w:hAnsi="Cambria" w:cs="Arial"/>
                <w:lang w:eastAsia="en-IN"/>
              </w:rPr>
            </w:pPr>
            <w:r w:rsidRPr="00024B16">
              <w:rPr>
                <w:rFonts w:ascii="Cambria" w:eastAsia="Times New Roman" w:hAnsi="Cambria" w:cs="Arial"/>
                <w:lang w:eastAsia="en-IN"/>
              </w:rPr>
              <w:t xml:space="preserve">hearing concluded on 22.07.2025 </w:t>
            </w:r>
          </w:p>
          <w:p w14:paraId="60E275D6" w14:textId="77777777" w:rsidR="00F863DC" w:rsidRPr="008F5AAF" w:rsidRDefault="00F863DC" w:rsidP="001F21DF">
            <w:pPr>
              <w:pStyle w:val="ListParagraph"/>
              <w:spacing w:after="0" w:line="240" w:lineRule="atLeast"/>
              <w:ind w:left="0"/>
              <w:jc w:val="center"/>
              <w:rPr>
                <w:rFonts w:ascii="Cambria" w:eastAsia="Times New Roman" w:hAnsi="Cambria" w:cs="Arial"/>
                <w:lang w:eastAsia="en-IN"/>
              </w:rPr>
            </w:pPr>
            <w:r w:rsidRPr="00024B16">
              <w:rPr>
                <w:rFonts w:ascii="Cambria" w:eastAsia="Times New Roman" w:hAnsi="Cambria" w:cs="Arial"/>
                <w:lang w:eastAsia="en-IN"/>
              </w:rPr>
              <w:t>(Reserved for orders)</w:t>
            </w:r>
          </w:p>
        </w:tc>
      </w:tr>
      <w:tr w:rsidR="00F863DC" w:rsidRPr="008F5AAF" w14:paraId="5A940519" w14:textId="77777777" w:rsidTr="001F21DF">
        <w:trPr>
          <w:trHeight w:val="41"/>
        </w:trPr>
        <w:tc>
          <w:tcPr>
            <w:tcW w:w="699" w:type="dxa"/>
            <w:vAlign w:val="center"/>
          </w:tcPr>
          <w:p w14:paraId="350C24B4" w14:textId="77777777" w:rsidR="00F863DC" w:rsidRPr="008F5AAF" w:rsidRDefault="00F863DC" w:rsidP="001F21DF">
            <w:pPr>
              <w:pStyle w:val="ListParagraph"/>
              <w:spacing w:after="0" w:line="240" w:lineRule="atLeast"/>
              <w:ind w:left="0"/>
              <w:jc w:val="center"/>
              <w:rPr>
                <w:rFonts w:ascii="Cambria" w:eastAsia="Times New Roman" w:hAnsi="Cambria" w:cs="Arial"/>
                <w:lang w:eastAsia="en-IN"/>
              </w:rPr>
            </w:pPr>
            <w:r>
              <w:rPr>
                <w:rFonts w:ascii="Cambria" w:eastAsia="Times New Roman" w:hAnsi="Cambria" w:cs="Arial"/>
                <w:lang w:eastAsia="en-IN"/>
              </w:rPr>
              <w:t>7</w:t>
            </w:r>
          </w:p>
        </w:tc>
        <w:tc>
          <w:tcPr>
            <w:tcW w:w="2977" w:type="dxa"/>
            <w:vAlign w:val="center"/>
          </w:tcPr>
          <w:p w14:paraId="2DE8E056" w14:textId="77777777" w:rsidR="00F863DC" w:rsidRPr="0047041F" w:rsidRDefault="00F863DC" w:rsidP="001F21DF">
            <w:pPr>
              <w:pStyle w:val="ListParagraph"/>
              <w:spacing w:after="0" w:line="240" w:lineRule="atLeast"/>
              <w:ind w:left="0"/>
              <w:rPr>
                <w:rFonts w:ascii="Cambria" w:eastAsia="Times New Roman" w:hAnsi="Cambria" w:cs="Arial"/>
                <w:b/>
                <w:bCs/>
                <w:lang w:eastAsia="en-IN"/>
              </w:rPr>
            </w:pPr>
            <w:r w:rsidRPr="008F5AAF">
              <w:rPr>
                <w:rFonts w:ascii="Cambria" w:eastAsia="Times New Roman" w:hAnsi="Cambria" w:cs="Arial"/>
                <w:b/>
                <w:bCs/>
                <w:lang w:eastAsia="en-IN"/>
              </w:rPr>
              <w:t>FY 2</w:t>
            </w:r>
            <w:r>
              <w:rPr>
                <w:rFonts w:ascii="Cambria" w:eastAsia="Times New Roman" w:hAnsi="Cambria" w:cs="Arial"/>
                <w:b/>
                <w:bCs/>
                <w:lang w:eastAsia="en-IN"/>
              </w:rPr>
              <w:t>6</w:t>
            </w:r>
            <w:r w:rsidRPr="008F5AAF">
              <w:rPr>
                <w:rFonts w:ascii="Cambria" w:eastAsia="Times New Roman" w:hAnsi="Cambria" w:cs="Arial"/>
                <w:b/>
                <w:bCs/>
                <w:lang w:eastAsia="en-IN"/>
              </w:rPr>
              <w:t>-2</w:t>
            </w:r>
            <w:r>
              <w:rPr>
                <w:rFonts w:ascii="Cambria" w:eastAsia="Times New Roman" w:hAnsi="Cambria" w:cs="Arial"/>
                <w:b/>
                <w:bCs/>
                <w:lang w:eastAsia="en-IN"/>
              </w:rPr>
              <w:t>7</w:t>
            </w:r>
          </w:p>
        </w:tc>
        <w:tc>
          <w:tcPr>
            <w:tcW w:w="1450" w:type="dxa"/>
            <w:vAlign w:val="center"/>
          </w:tcPr>
          <w:p w14:paraId="59F32001" w14:textId="77777777" w:rsidR="00F863DC" w:rsidRDefault="00F863DC" w:rsidP="001F21DF">
            <w:pPr>
              <w:pStyle w:val="ListParagraph"/>
              <w:spacing w:after="0" w:line="240" w:lineRule="atLeast"/>
              <w:ind w:left="0"/>
              <w:jc w:val="center"/>
              <w:rPr>
                <w:rFonts w:ascii="Cambria" w:eastAsia="Times New Roman" w:hAnsi="Cambria" w:cs="Arial"/>
                <w:lang w:eastAsia="en-IN"/>
              </w:rPr>
            </w:pPr>
            <w:r>
              <w:rPr>
                <w:rFonts w:ascii="Cambria" w:eastAsia="Times New Roman" w:hAnsi="Cambria" w:cs="Arial"/>
                <w:lang w:eastAsia="en-IN"/>
              </w:rPr>
              <w:t>82/2025</w:t>
            </w:r>
          </w:p>
        </w:tc>
        <w:tc>
          <w:tcPr>
            <w:tcW w:w="3232" w:type="dxa"/>
            <w:vAlign w:val="center"/>
          </w:tcPr>
          <w:p w14:paraId="5F1F9B41" w14:textId="79A47118" w:rsidR="00F863DC" w:rsidRPr="00024B16" w:rsidRDefault="004F7AB9" w:rsidP="001F21DF">
            <w:pPr>
              <w:pStyle w:val="ListParagraph"/>
              <w:spacing w:after="0" w:line="240" w:lineRule="atLeast"/>
              <w:ind w:left="0"/>
              <w:jc w:val="center"/>
              <w:rPr>
                <w:rFonts w:ascii="Cambria" w:eastAsia="Times New Roman" w:hAnsi="Cambria" w:cs="Arial"/>
                <w:lang w:eastAsia="en-IN"/>
              </w:rPr>
            </w:pPr>
            <w:r>
              <w:rPr>
                <w:rFonts w:ascii="Cambria" w:eastAsia="Times New Roman" w:hAnsi="Cambria" w:cs="Arial"/>
                <w:lang w:eastAsia="en-IN"/>
              </w:rPr>
              <w:t>Hearing</w:t>
            </w:r>
            <w:r w:rsidR="005D4D7B">
              <w:rPr>
                <w:rFonts w:ascii="Cambria" w:eastAsia="Times New Roman" w:hAnsi="Cambria" w:cs="Arial"/>
                <w:lang w:eastAsia="en-IN"/>
              </w:rPr>
              <w:t xml:space="preserve"> date awaited</w:t>
            </w:r>
          </w:p>
        </w:tc>
      </w:tr>
    </w:tbl>
    <w:p w14:paraId="7B946CEA" w14:textId="0F5BB54A" w:rsidR="00F863DC" w:rsidRDefault="00F863DC" w:rsidP="00F863DC">
      <w:pPr>
        <w:pStyle w:val="ListParagraph"/>
        <w:spacing w:after="160" w:line="360" w:lineRule="auto"/>
        <w:ind w:left="714"/>
        <w:jc w:val="both"/>
        <w:rPr>
          <w:rFonts w:ascii="Cambria" w:eastAsia="Cambria" w:hAnsi="Cambria" w:cs="Cambria"/>
          <w:color w:val="000000" w:themeColor="text1"/>
          <w:lang w:val="en-GB"/>
        </w:rPr>
      </w:pPr>
    </w:p>
    <w:p w14:paraId="4C468BCF" w14:textId="77777777" w:rsidR="00773505" w:rsidRPr="008F5AAF" w:rsidRDefault="00773505" w:rsidP="00F863DC">
      <w:pPr>
        <w:pStyle w:val="ListParagraph"/>
        <w:spacing w:after="160" w:line="360" w:lineRule="auto"/>
        <w:ind w:left="714"/>
        <w:jc w:val="both"/>
        <w:rPr>
          <w:rFonts w:ascii="Cambria" w:eastAsia="Cambria" w:hAnsi="Cambria" w:cs="Cambria"/>
          <w:color w:val="000000" w:themeColor="text1"/>
          <w:lang w:val="en-GB"/>
        </w:rPr>
      </w:pPr>
    </w:p>
    <w:p w14:paraId="08234F3D" w14:textId="77777777" w:rsidR="00F863DC" w:rsidRPr="00773505" w:rsidRDefault="00F863DC" w:rsidP="00F863DC">
      <w:pPr>
        <w:pStyle w:val="ListParagraph"/>
        <w:numPr>
          <w:ilvl w:val="0"/>
          <w:numId w:val="86"/>
        </w:numPr>
        <w:spacing w:after="160" w:line="360" w:lineRule="auto"/>
        <w:ind w:left="709"/>
        <w:jc w:val="both"/>
        <w:rPr>
          <w:rFonts w:ascii="Cambria" w:eastAsia="Cambria" w:hAnsi="Cambria" w:cs="Cambria"/>
          <w:color w:val="000000" w:themeColor="text1"/>
          <w:sz w:val="24"/>
          <w:szCs w:val="24"/>
          <w:lang w:val="en-IN"/>
        </w:rPr>
      </w:pPr>
      <w:r w:rsidRPr="00773505">
        <w:rPr>
          <w:rFonts w:ascii="Cambria" w:eastAsia="Cambria" w:hAnsi="Cambria" w:cs="Cambria"/>
          <w:b/>
          <w:bCs/>
          <w:color w:val="000000" w:themeColor="text1"/>
          <w:sz w:val="24"/>
          <w:szCs w:val="24"/>
          <w:u w:val="single"/>
          <w:lang w:val="en-IN"/>
        </w:rPr>
        <w:t>Para 43 (d) –</w:t>
      </w:r>
      <w:r w:rsidRPr="00773505">
        <w:rPr>
          <w:rFonts w:ascii="Cambria" w:eastAsia="Cambria" w:hAnsi="Cambria" w:cs="Cambria"/>
          <w:color w:val="000000" w:themeColor="text1"/>
          <w:sz w:val="24"/>
          <w:szCs w:val="24"/>
          <w:lang w:val="en-IN"/>
        </w:rPr>
        <w:t xml:space="preserve"> Past arrear collection.</w:t>
      </w:r>
    </w:p>
    <w:p w14:paraId="40C98642" w14:textId="78B8A15C" w:rsidR="00F863DC" w:rsidRPr="00773505" w:rsidRDefault="00F863DC" w:rsidP="00F863DC">
      <w:pPr>
        <w:spacing w:after="160" w:line="360" w:lineRule="auto"/>
        <w:ind w:left="709"/>
        <w:contextualSpacing/>
        <w:jc w:val="both"/>
        <w:rPr>
          <w:rFonts w:ascii="Cambria" w:eastAsia="Cambria" w:hAnsi="Cambria" w:cs="Cambria"/>
          <w:color w:val="000000" w:themeColor="text1"/>
          <w:lang w:val="en-IN"/>
        </w:rPr>
      </w:pPr>
      <w:r w:rsidRPr="00773505">
        <w:rPr>
          <w:rFonts w:ascii="Cambria" w:eastAsia="Cambria" w:hAnsi="Cambria" w:cs="Cambria"/>
          <w:b/>
          <w:bCs/>
          <w:color w:val="000000" w:themeColor="text1"/>
          <w:u w:val="single"/>
          <w:lang w:val="en-IN"/>
        </w:rPr>
        <w:t>Compliance: -</w:t>
      </w:r>
      <w:r w:rsidRPr="00773505">
        <w:rPr>
          <w:rFonts w:ascii="Cambria" w:eastAsia="Cambria" w:hAnsi="Cambria" w:cs="Cambria"/>
          <w:color w:val="000000" w:themeColor="text1"/>
          <w:lang w:val="en-IN"/>
        </w:rPr>
        <w:t xml:space="preserve"> As per terms of bid, TPCL has committed past arrear recovery of total Rs. 300 Cr. till FY 2026. The company is complying periodically as per the mandate. Total Arrear of Rs. 47</w:t>
      </w:r>
      <w:r w:rsidR="001861EF" w:rsidRPr="00773505">
        <w:rPr>
          <w:rFonts w:ascii="Cambria" w:eastAsia="Cambria" w:hAnsi="Cambria" w:cs="Cambria"/>
          <w:color w:val="000000" w:themeColor="text1"/>
          <w:lang w:val="en-IN"/>
        </w:rPr>
        <w:t>2</w:t>
      </w:r>
      <w:r w:rsidRPr="00773505">
        <w:rPr>
          <w:rFonts w:ascii="Cambria" w:eastAsia="Cambria" w:hAnsi="Cambria" w:cs="Cambria"/>
          <w:color w:val="000000" w:themeColor="text1"/>
          <w:lang w:val="en-IN"/>
        </w:rPr>
        <w:t>.</w:t>
      </w:r>
      <w:r w:rsidR="001861EF" w:rsidRPr="00773505">
        <w:rPr>
          <w:rFonts w:ascii="Cambria" w:eastAsia="Cambria" w:hAnsi="Cambria" w:cs="Cambria"/>
          <w:color w:val="000000" w:themeColor="text1"/>
          <w:lang w:val="en-IN"/>
        </w:rPr>
        <w:t>58</w:t>
      </w:r>
      <w:r w:rsidRPr="00773505">
        <w:rPr>
          <w:rFonts w:ascii="Cambria" w:eastAsia="Cambria" w:hAnsi="Cambria" w:cs="Cambria"/>
          <w:color w:val="000000" w:themeColor="text1"/>
          <w:lang w:val="en-IN"/>
        </w:rPr>
        <w:t xml:space="preserve"> Cr. have been recovered up to month of Sep 2025.</w:t>
      </w:r>
    </w:p>
    <w:p w14:paraId="4FA567ED" w14:textId="77777777" w:rsidR="00525A91" w:rsidRPr="00773505" w:rsidRDefault="00525A91" w:rsidP="001972DE">
      <w:pPr>
        <w:pStyle w:val="Heading1"/>
        <w:numPr>
          <w:ilvl w:val="1"/>
          <w:numId w:val="40"/>
        </w:numPr>
        <w:spacing w:line="360" w:lineRule="auto"/>
        <w:jc w:val="both"/>
        <w:rPr>
          <w:rFonts w:ascii="Cambria" w:eastAsia="Calibri" w:hAnsi="Cambria"/>
          <w:sz w:val="24"/>
          <w:szCs w:val="24"/>
          <w:lang w:val="en-IN"/>
        </w:rPr>
      </w:pPr>
      <w:bookmarkStart w:id="142" w:name="_Toc152180124"/>
      <w:bookmarkStart w:id="143" w:name="_Toc215250639"/>
      <w:r w:rsidRPr="00773505">
        <w:rPr>
          <w:rFonts w:ascii="Cambria" w:hAnsi="Cambria"/>
          <w:sz w:val="24"/>
          <w:szCs w:val="24"/>
        </w:rPr>
        <w:t>Segregation/ Carve out order compliance:</w:t>
      </w:r>
      <w:bookmarkEnd w:id="143"/>
      <w:r w:rsidRPr="00773505">
        <w:rPr>
          <w:rFonts w:ascii="Cambria" w:hAnsi="Cambria"/>
          <w:sz w:val="24"/>
          <w:szCs w:val="24"/>
        </w:rPr>
        <w:t xml:space="preserve"> </w:t>
      </w:r>
      <w:bookmarkEnd w:id="142"/>
    </w:p>
    <w:p w14:paraId="520B0281" w14:textId="77777777" w:rsidR="00363094" w:rsidRPr="00773505" w:rsidRDefault="006F6649" w:rsidP="001C2824">
      <w:pPr>
        <w:spacing w:after="160" w:line="360" w:lineRule="auto"/>
        <w:ind w:left="714"/>
        <w:contextualSpacing/>
        <w:jc w:val="both"/>
        <w:rPr>
          <w:rFonts w:ascii="Cambria" w:eastAsia="Cambria" w:hAnsi="Cambria" w:cs="Cambria"/>
          <w:color w:val="000000" w:themeColor="text1"/>
          <w:lang w:val="en-GB"/>
        </w:rPr>
      </w:pPr>
      <w:r w:rsidRPr="00773505">
        <w:rPr>
          <w:rFonts w:ascii="Cambria" w:eastAsia="Cambria" w:hAnsi="Cambria" w:cs="Cambria"/>
          <w:color w:val="000000" w:themeColor="text1"/>
          <w:lang w:val="en-GB"/>
        </w:rPr>
        <w:t>The licensee is to update the compliance status half yearly and annually basis to the Hon’ble Commission as mandated in the Segregation/ Carve out order dt.23.11.2021. The series of intimation in this regard are provided below:</w:t>
      </w:r>
    </w:p>
    <w:tbl>
      <w:tblPr>
        <w:tblStyle w:val="TableGrid"/>
        <w:tblW w:w="0" w:type="auto"/>
        <w:tblInd w:w="714" w:type="dxa"/>
        <w:tblLook w:val="04A0" w:firstRow="1" w:lastRow="0" w:firstColumn="1" w:lastColumn="0" w:noHBand="0" w:noVBand="1"/>
      </w:tblPr>
      <w:tblGrid>
        <w:gridCol w:w="1124"/>
        <w:gridCol w:w="3028"/>
        <w:gridCol w:w="1650"/>
        <w:gridCol w:w="2500"/>
      </w:tblGrid>
      <w:tr w:rsidR="00CD1C5A" w:rsidRPr="008F5AAF" w14:paraId="5A4121AE" w14:textId="77777777" w:rsidTr="001F21DF">
        <w:tc>
          <w:tcPr>
            <w:tcW w:w="1124" w:type="dxa"/>
          </w:tcPr>
          <w:p w14:paraId="3A7E7816" w14:textId="77777777" w:rsidR="00CD1C5A" w:rsidRPr="00773505" w:rsidRDefault="00CD1C5A" w:rsidP="00773505">
            <w:pPr>
              <w:pStyle w:val="ListParagraph"/>
              <w:spacing w:after="0" w:line="240" w:lineRule="auto"/>
              <w:ind w:left="0"/>
              <w:jc w:val="center"/>
              <w:rPr>
                <w:rFonts w:ascii="Cambria" w:eastAsia="Cambria" w:hAnsi="Cambria" w:cs="Cambria"/>
                <w:b/>
                <w:color w:val="000000" w:themeColor="text1"/>
                <w:lang w:val="en-GB"/>
              </w:rPr>
            </w:pPr>
            <w:proofErr w:type="spellStart"/>
            <w:r w:rsidRPr="00773505">
              <w:rPr>
                <w:rFonts w:ascii="Cambria" w:eastAsia="Cambria" w:hAnsi="Cambria" w:cs="Cambria"/>
                <w:b/>
                <w:color w:val="000000" w:themeColor="text1"/>
                <w:lang w:val="en-GB"/>
              </w:rPr>
              <w:t>Sl</w:t>
            </w:r>
            <w:proofErr w:type="spellEnd"/>
            <w:r w:rsidRPr="00773505">
              <w:rPr>
                <w:rFonts w:ascii="Cambria" w:eastAsia="Cambria" w:hAnsi="Cambria" w:cs="Cambria"/>
                <w:b/>
                <w:color w:val="000000" w:themeColor="text1"/>
                <w:lang w:val="en-GB"/>
              </w:rPr>
              <w:t xml:space="preserve"> No.</w:t>
            </w:r>
          </w:p>
        </w:tc>
        <w:tc>
          <w:tcPr>
            <w:tcW w:w="3028" w:type="dxa"/>
          </w:tcPr>
          <w:p w14:paraId="20D1C121" w14:textId="77777777" w:rsidR="00CD1C5A" w:rsidRPr="00773505" w:rsidRDefault="00CD1C5A" w:rsidP="00773505">
            <w:pPr>
              <w:pStyle w:val="ListParagraph"/>
              <w:spacing w:after="0" w:line="240" w:lineRule="auto"/>
              <w:ind w:left="0"/>
              <w:jc w:val="center"/>
              <w:rPr>
                <w:rFonts w:ascii="Cambria" w:eastAsia="Cambria" w:hAnsi="Cambria" w:cs="Cambria"/>
                <w:b/>
                <w:color w:val="000000" w:themeColor="text1"/>
                <w:lang w:val="en-GB"/>
              </w:rPr>
            </w:pPr>
            <w:r w:rsidRPr="00773505">
              <w:rPr>
                <w:rFonts w:ascii="Cambria" w:eastAsia="Cambria" w:hAnsi="Cambria" w:cs="Cambria"/>
                <w:b/>
                <w:color w:val="000000" w:themeColor="text1"/>
                <w:lang w:val="en-GB"/>
              </w:rPr>
              <w:t>Letter No.</w:t>
            </w:r>
          </w:p>
        </w:tc>
        <w:tc>
          <w:tcPr>
            <w:tcW w:w="1650" w:type="dxa"/>
          </w:tcPr>
          <w:p w14:paraId="29EAE05D" w14:textId="77777777" w:rsidR="00CD1C5A" w:rsidRPr="00773505" w:rsidRDefault="00CD1C5A" w:rsidP="00773505">
            <w:pPr>
              <w:pStyle w:val="ListParagraph"/>
              <w:spacing w:after="0" w:line="240" w:lineRule="auto"/>
              <w:ind w:left="0"/>
              <w:jc w:val="center"/>
              <w:rPr>
                <w:rFonts w:ascii="Cambria" w:eastAsia="Cambria" w:hAnsi="Cambria" w:cs="Cambria"/>
                <w:b/>
                <w:color w:val="000000" w:themeColor="text1"/>
                <w:lang w:val="en-GB"/>
              </w:rPr>
            </w:pPr>
            <w:r w:rsidRPr="00773505">
              <w:rPr>
                <w:rFonts w:ascii="Cambria" w:eastAsia="Cambria" w:hAnsi="Cambria" w:cs="Cambria"/>
                <w:b/>
                <w:color w:val="000000" w:themeColor="text1"/>
                <w:lang w:val="en-GB"/>
              </w:rPr>
              <w:t>Date</w:t>
            </w:r>
          </w:p>
        </w:tc>
        <w:tc>
          <w:tcPr>
            <w:tcW w:w="2500" w:type="dxa"/>
          </w:tcPr>
          <w:p w14:paraId="32AE0D4D" w14:textId="77777777" w:rsidR="00CD1C5A" w:rsidRPr="00773505" w:rsidRDefault="00CD1C5A" w:rsidP="00773505">
            <w:pPr>
              <w:pStyle w:val="ListParagraph"/>
              <w:spacing w:after="0" w:line="240" w:lineRule="auto"/>
              <w:ind w:left="0"/>
              <w:jc w:val="center"/>
              <w:rPr>
                <w:rFonts w:ascii="Cambria" w:eastAsia="Cambria" w:hAnsi="Cambria" w:cs="Cambria"/>
                <w:b/>
                <w:color w:val="000000" w:themeColor="text1"/>
                <w:lang w:val="en-GB"/>
              </w:rPr>
            </w:pPr>
            <w:r w:rsidRPr="00773505">
              <w:rPr>
                <w:rFonts w:ascii="Cambria" w:eastAsia="Cambria" w:hAnsi="Cambria" w:cs="Cambria"/>
                <w:b/>
                <w:color w:val="000000" w:themeColor="text1"/>
                <w:lang w:val="en-GB"/>
              </w:rPr>
              <w:t>Compliance period</w:t>
            </w:r>
          </w:p>
        </w:tc>
      </w:tr>
      <w:tr w:rsidR="00CD1C5A" w:rsidRPr="008F5AAF" w14:paraId="04235E7D" w14:textId="77777777" w:rsidTr="001F21DF">
        <w:tc>
          <w:tcPr>
            <w:tcW w:w="1124" w:type="dxa"/>
          </w:tcPr>
          <w:p w14:paraId="0FB600D5" w14:textId="77777777" w:rsidR="00CD1C5A" w:rsidRPr="008F5AAF" w:rsidRDefault="00CD1C5A" w:rsidP="00773505">
            <w:pPr>
              <w:pStyle w:val="ListParagraph"/>
              <w:spacing w:after="0" w:line="240" w:lineRule="auto"/>
              <w:ind w:left="0"/>
              <w:jc w:val="center"/>
              <w:rPr>
                <w:rFonts w:ascii="Cambria" w:eastAsia="Cambria" w:hAnsi="Cambria" w:cs="Cambria"/>
                <w:color w:val="000000" w:themeColor="text1"/>
                <w:lang w:val="en-GB"/>
              </w:rPr>
            </w:pPr>
            <w:bookmarkStart w:id="144" w:name="_Hlk151819140"/>
            <w:r w:rsidRPr="008F5AAF">
              <w:rPr>
                <w:rFonts w:ascii="Cambria" w:eastAsia="Cambria" w:hAnsi="Cambria" w:cs="Cambria"/>
                <w:color w:val="000000" w:themeColor="text1"/>
                <w:lang w:val="en-GB"/>
              </w:rPr>
              <w:t>1</w:t>
            </w:r>
          </w:p>
        </w:tc>
        <w:tc>
          <w:tcPr>
            <w:tcW w:w="3028" w:type="dxa"/>
          </w:tcPr>
          <w:p w14:paraId="544A9F14" w14:textId="77777777" w:rsidR="00CD1C5A" w:rsidRPr="008F5AAF" w:rsidRDefault="00CD1C5A" w:rsidP="001F21DF">
            <w:pPr>
              <w:pStyle w:val="ListParagraph"/>
              <w:spacing w:after="0" w:line="240" w:lineRule="auto"/>
              <w:ind w:left="0"/>
              <w:jc w:val="both"/>
              <w:rPr>
                <w:rFonts w:ascii="Cambria" w:eastAsia="Cambria" w:hAnsi="Cambria" w:cs="Cambria"/>
                <w:color w:val="000000" w:themeColor="text1"/>
                <w:lang w:val="en-GB"/>
              </w:rPr>
            </w:pPr>
            <w:r w:rsidRPr="008F5AAF">
              <w:rPr>
                <w:rFonts w:ascii="Cambria" w:eastAsia="Cambria" w:hAnsi="Cambria" w:cs="Cambria"/>
                <w:color w:val="000000" w:themeColor="text1"/>
                <w:lang w:val="en-GB"/>
              </w:rPr>
              <w:t>TPWODL/RA&amp;S/202</w:t>
            </w:r>
            <w:r>
              <w:rPr>
                <w:rFonts w:ascii="Cambria" w:eastAsia="Cambria" w:hAnsi="Cambria" w:cs="Cambria"/>
                <w:color w:val="000000" w:themeColor="text1"/>
                <w:lang w:val="en-GB"/>
              </w:rPr>
              <w:t>5</w:t>
            </w:r>
            <w:r w:rsidRPr="008F5AAF">
              <w:rPr>
                <w:rFonts w:ascii="Cambria" w:eastAsia="Cambria" w:hAnsi="Cambria" w:cs="Cambria"/>
                <w:color w:val="000000" w:themeColor="text1"/>
                <w:lang w:val="en-GB"/>
              </w:rPr>
              <w:t>/</w:t>
            </w:r>
            <w:r>
              <w:rPr>
                <w:rFonts w:ascii="Cambria" w:eastAsia="Cambria" w:hAnsi="Cambria" w:cs="Cambria"/>
                <w:color w:val="000000" w:themeColor="text1"/>
                <w:lang w:val="en-GB"/>
              </w:rPr>
              <w:t>025</w:t>
            </w:r>
          </w:p>
        </w:tc>
        <w:tc>
          <w:tcPr>
            <w:tcW w:w="1650" w:type="dxa"/>
          </w:tcPr>
          <w:p w14:paraId="4DC5A8D8" w14:textId="77777777" w:rsidR="00CD1C5A" w:rsidRPr="008F5AAF" w:rsidRDefault="00CD1C5A" w:rsidP="001F21DF">
            <w:pPr>
              <w:pStyle w:val="ListParagraph"/>
              <w:spacing w:after="0" w:line="240" w:lineRule="auto"/>
              <w:ind w:left="0"/>
              <w:jc w:val="both"/>
              <w:rPr>
                <w:rFonts w:ascii="Cambria" w:eastAsia="Cambria" w:hAnsi="Cambria" w:cs="Cambria"/>
                <w:color w:val="000000" w:themeColor="text1"/>
                <w:lang w:val="en-GB"/>
              </w:rPr>
            </w:pPr>
            <w:r>
              <w:rPr>
                <w:rFonts w:ascii="Cambria" w:eastAsia="Cambria" w:hAnsi="Cambria" w:cs="Cambria"/>
                <w:color w:val="000000" w:themeColor="text1"/>
                <w:lang w:val="en-GB"/>
              </w:rPr>
              <w:t>15</w:t>
            </w:r>
            <w:r w:rsidRPr="008F5AAF">
              <w:rPr>
                <w:rFonts w:ascii="Cambria" w:eastAsia="Cambria" w:hAnsi="Cambria" w:cs="Cambria"/>
                <w:color w:val="000000" w:themeColor="text1"/>
                <w:lang w:val="en-GB"/>
              </w:rPr>
              <w:t>.</w:t>
            </w:r>
            <w:r>
              <w:rPr>
                <w:rFonts w:ascii="Cambria" w:eastAsia="Cambria" w:hAnsi="Cambria" w:cs="Cambria"/>
                <w:color w:val="000000" w:themeColor="text1"/>
                <w:lang w:val="en-GB"/>
              </w:rPr>
              <w:t>04</w:t>
            </w:r>
            <w:r w:rsidRPr="008F5AAF">
              <w:rPr>
                <w:rFonts w:ascii="Cambria" w:eastAsia="Cambria" w:hAnsi="Cambria" w:cs="Cambria"/>
                <w:color w:val="000000" w:themeColor="text1"/>
                <w:lang w:val="en-GB"/>
              </w:rPr>
              <w:t>.202</w:t>
            </w:r>
            <w:r>
              <w:rPr>
                <w:rFonts w:ascii="Cambria" w:eastAsia="Cambria" w:hAnsi="Cambria" w:cs="Cambria"/>
                <w:color w:val="000000" w:themeColor="text1"/>
                <w:lang w:val="en-GB"/>
              </w:rPr>
              <w:t>5</w:t>
            </w:r>
          </w:p>
        </w:tc>
        <w:tc>
          <w:tcPr>
            <w:tcW w:w="2500" w:type="dxa"/>
          </w:tcPr>
          <w:p w14:paraId="32EB337F" w14:textId="77777777" w:rsidR="00CD1C5A" w:rsidRPr="008F5AAF" w:rsidRDefault="00CD1C5A" w:rsidP="001F21DF">
            <w:pPr>
              <w:pStyle w:val="ListParagraph"/>
              <w:spacing w:after="0" w:line="240" w:lineRule="auto"/>
              <w:ind w:left="0"/>
              <w:jc w:val="both"/>
              <w:rPr>
                <w:rFonts w:ascii="Cambria" w:eastAsia="Cambria" w:hAnsi="Cambria" w:cs="Cambria"/>
                <w:color w:val="000000" w:themeColor="text1"/>
                <w:lang w:val="en-GB"/>
              </w:rPr>
            </w:pPr>
            <w:r w:rsidRPr="008F5AAF">
              <w:rPr>
                <w:rFonts w:ascii="Cambria" w:eastAsia="Cambria" w:hAnsi="Cambria" w:cs="Cambria"/>
                <w:color w:val="000000" w:themeColor="text1"/>
                <w:lang w:val="en-GB"/>
              </w:rPr>
              <w:t>Till March 202</w:t>
            </w:r>
            <w:r>
              <w:rPr>
                <w:rFonts w:ascii="Cambria" w:eastAsia="Cambria" w:hAnsi="Cambria" w:cs="Cambria"/>
                <w:color w:val="000000" w:themeColor="text1"/>
                <w:lang w:val="en-GB"/>
              </w:rPr>
              <w:t>5</w:t>
            </w:r>
          </w:p>
        </w:tc>
      </w:tr>
      <w:bookmarkEnd w:id="144"/>
      <w:tr w:rsidR="00CD1C5A" w:rsidRPr="008F5AAF" w14:paraId="6F3B258C" w14:textId="77777777" w:rsidTr="001F21DF">
        <w:tc>
          <w:tcPr>
            <w:tcW w:w="1124" w:type="dxa"/>
          </w:tcPr>
          <w:p w14:paraId="5BECA299" w14:textId="77777777" w:rsidR="00CD1C5A" w:rsidRPr="008F5AAF" w:rsidRDefault="00CD1C5A" w:rsidP="00773505">
            <w:pPr>
              <w:pStyle w:val="ListParagraph"/>
              <w:spacing w:after="0" w:line="240" w:lineRule="auto"/>
              <w:ind w:left="0"/>
              <w:jc w:val="center"/>
              <w:rPr>
                <w:rFonts w:ascii="Cambria" w:eastAsia="Cambria" w:hAnsi="Cambria" w:cs="Cambria"/>
                <w:color w:val="000000" w:themeColor="text1"/>
                <w:lang w:val="en-GB"/>
              </w:rPr>
            </w:pPr>
            <w:r w:rsidRPr="008F5AAF">
              <w:rPr>
                <w:rFonts w:ascii="Cambria" w:eastAsia="Cambria" w:hAnsi="Cambria" w:cs="Cambria"/>
                <w:color w:val="000000" w:themeColor="text1"/>
                <w:lang w:val="en-GB"/>
              </w:rPr>
              <w:t>2</w:t>
            </w:r>
          </w:p>
        </w:tc>
        <w:tc>
          <w:tcPr>
            <w:tcW w:w="3028" w:type="dxa"/>
          </w:tcPr>
          <w:p w14:paraId="2026A279" w14:textId="77777777" w:rsidR="00CD1C5A" w:rsidRPr="008F5AAF" w:rsidRDefault="00CD1C5A" w:rsidP="001F21DF">
            <w:pPr>
              <w:pStyle w:val="ListParagraph"/>
              <w:spacing w:after="0" w:line="240" w:lineRule="auto"/>
              <w:ind w:left="0"/>
              <w:jc w:val="both"/>
              <w:rPr>
                <w:rFonts w:ascii="Cambria" w:eastAsia="Cambria" w:hAnsi="Cambria" w:cs="Cambria"/>
                <w:color w:val="000000" w:themeColor="text1"/>
                <w:lang w:val="en-GB"/>
              </w:rPr>
            </w:pPr>
            <w:r w:rsidRPr="008F5AAF">
              <w:rPr>
                <w:rFonts w:ascii="Cambria" w:eastAsia="Cambria" w:hAnsi="Cambria" w:cs="Cambria"/>
                <w:color w:val="000000" w:themeColor="text1"/>
                <w:lang w:val="en-GB"/>
              </w:rPr>
              <w:t>TPWODL/RA/202</w:t>
            </w:r>
            <w:r>
              <w:rPr>
                <w:rFonts w:ascii="Cambria" w:eastAsia="Cambria" w:hAnsi="Cambria" w:cs="Cambria"/>
                <w:color w:val="000000" w:themeColor="text1"/>
                <w:lang w:val="en-GB"/>
              </w:rPr>
              <w:t>5</w:t>
            </w:r>
            <w:r w:rsidRPr="008F5AAF">
              <w:rPr>
                <w:rFonts w:ascii="Cambria" w:eastAsia="Cambria" w:hAnsi="Cambria" w:cs="Cambria"/>
                <w:color w:val="000000" w:themeColor="text1"/>
                <w:lang w:val="en-GB"/>
              </w:rPr>
              <w:t>/</w:t>
            </w:r>
            <w:r>
              <w:rPr>
                <w:rFonts w:ascii="Cambria" w:eastAsia="Cambria" w:hAnsi="Cambria" w:cs="Cambria"/>
                <w:color w:val="000000" w:themeColor="text1"/>
                <w:lang w:val="en-GB"/>
              </w:rPr>
              <w:t>043</w:t>
            </w:r>
          </w:p>
        </w:tc>
        <w:tc>
          <w:tcPr>
            <w:tcW w:w="1650" w:type="dxa"/>
          </w:tcPr>
          <w:p w14:paraId="0533BC19" w14:textId="77777777" w:rsidR="00CD1C5A" w:rsidRPr="008F5AAF" w:rsidRDefault="00CD1C5A" w:rsidP="001F21DF">
            <w:pPr>
              <w:pStyle w:val="ListParagraph"/>
              <w:spacing w:after="0" w:line="240" w:lineRule="auto"/>
              <w:ind w:left="0"/>
              <w:jc w:val="both"/>
              <w:rPr>
                <w:rFonts w:ascii="Cambria" w:eastAsia="Cambria" w:hAnsi="Cambria" w:cs="Cambria"/>
                <w:color w:val="000000" w:themeColor="text1"/>
                <w:lang w:val="en-GB"/>
              </w:rPr>
            </w:pPr>
            <w:r>
              <w:rPr>
                <w:rFonts w:ascii="Cambria" w:eastAsia="Cambria" w:hAnsi="Cambria" w:cs="Cambria"/>
                <w:color w:val="000000" w:themeColor="text1"/>
                <w:lang w:val="en-GB"/>
              </w:rPr>
              <w:t>10</w:t>
            </w:r>
            <w:r w:rsidRPr="008F5AAF">
              <w:rPr>
                <w:rFonts w:ascii="Cambria" w:eastAsia="Cambria" w:hAnsi="Cambria" w:cs="Cambria"/>
                <w:color w:val="000000" w:themeColor="text1"/>
                <w:lang w:val="en-GB"/>
              </w:rPr>
              <w:t>.</w:t>
            </w:r>
            <w:r>
              <w:rPr>
                <w:rFonts w:ascii="Cambria" w:eastAsia="Cambria" w:hAnsi="Cambria" w:cs="Cambria"/>
                <w:color w:val="000000" w:themeColor="text1"/>
                <w:lang w:val="en-GB"/>
              </w:rPr>
              <w:t>07</w:t>
            </w:r>
            <w:r w:rsidRPr="008F5AAF">
              <w:rPr>
                <w:rFonts w:ascii="Cambria" w:eastAsia="Cambria" w:hAnsi="Cambria" w:cs="Cambria"/>
                <w:color w:val="000000" w:themeColor="text1"/>
                <w:lang w:val="en-GB"/>
              </w:rPr>
              <w:t>.202</w:t>
            </w:r>
            <w:r>
              <w:rPr>
                <w:rFonts w:ascii="Cambria" w:eastAsia="Cambria" w:hAnsi="Cambria" w:cs="Cambria"/>
                <w:color w:val="000000" w:themeColor="text1"/>
                <w:lang w:val="en-GB"/>
              </w:rPr>
              <w:t>5</w:t>
            </w:r>
          </w:p>
        </w:tc>
        <w:tc>
          <w:tcPr>
            <w:tcW w:w="2500" w:type="dxa"/>
          </w:tcPr>
          <w:p w14:paraId="2CC3D124" w14:textId="77777777" w:rsidR="00CD1C5A" w:rsidRPr="008F5AAF" w:rsidRDefault="00CD1C5A" w:rsidP="001F21DF">
            <w:pPr>
              <w:pStyle w:val="ListParagraph"/>
              <w:spacing w:after="0" w:line="240" w:lineRule="auto"/>
              <w:ind w:left="0"/>
              <w:jc w:val="both"/>
              <w:rPr>
                <w:rFonts w:ascii="Cambria" w:eastAsia="Cambria" w:hAnsi="Cambria" w:cs="Cambria"/>
                <w:color w:val="000000" w:themeColor="text1"/>
                <w:lang w:val="en-GB"/>
              </w:rPr>
            </w:pPr>
            <w:r w:rsidRPr="008F5AAF">
              <w:rPr>
                <w:rFonts w:ascii="Cambria" w:eastAsia="Cambria" w:hAnsi="Cambria" w:cs="Cambria"/>
                <w:color w:val="000000" w:themeColor="text1"/>
                <w:lang w:val="en-GB"/>
              </w:rPr>
              <w:t xml:space="preserve">Till </w:t>
            </w:r>
            <w:r>
              <w:rPr>
                <w:rFonts w:ascii="Cambria" w:eastAsia="Cambria" w:hAnsi="Cambria" w:cs="Cambria"/>
                <w:color w:val="000000" w:themeColor="text1"/>
                <w:lang w:val="en-GB"/>
              </w:rPr>
              <w:t>June</w:t>
            </w:r>
            <w:r w:rsidRPr="008F5AAF">
              <w:rPr>
                <w:rFonts w:ascii="Cambria" w:eastAsia="Cambria" w:hAnsi="Cambria" w:cs="Cambria"/>
                <w:color w:val="000000" w:themeColor="text1"/>
                <w:lang w:val="en-GB"/>
              </w:rPr>
              <w:t xml:space="preserve"> 202</w:t>
            </w:r>
            <w:r>
              <w:rPr>
                <w:rFonts w:ascii="Cambria" w:eastAsia="Cambria" w:hAnsi="Cambria" w:cs="Cambria"/>
                <w:color w:val="000000" w:themeColor="text1"/>
                <w:lang w:val="en-GB"/>
              </w:rPr>
              <w:t>5</w:t>
            </w:r>
          </w:p>
        </w:tc>
      </w:tr>
      <w:tr w:rsidR="00CD1C5A" w:rsidRPr="008F5AAF" w14:paraId="49764AB8" w14:textId="77777777" w:rsidTr="001F21DF">
        <w:tc>
          <w:tcPr>
            <w:tcW w:w="1124" w:type="dxa"/>
          </w:tcPr>
          <w:p w14:paraId="4B1C5309" w14:textId="77777777" w:rsidR="00CD1C5A" w:rsidRPr="008F5AAF" w:rsidRDefault="00CD1C5A" w:rsidP="00773505">
            <w:pPr>
              <w:pStyle w:val="ListParagraph"/>
              <w:spacing w:after="0" w:line="240" w:lineRule="auto"/>
              <w:ind w:left="0"/>
              <w:jc w:val="center"/>
              <w:rPr>
                <w:rFonts w:ascii="Cambria" w:eastAsia="Cambria" w:hAnsi="Cambria" w:cs="Cambria"/>
                <w:color w:val="000000" w:themeColor="text1"/>
                <w:lang w:val="en-GB"/>
              </w:rPr>
            </w:pPr>
            <w:r w:rsidRPr="008F5AAF">
              <w:rPr>
                <w:rFonts w:ascii="Cambria" w:eastAsia="Cambria" w:hAnsi="Cambria" w:cs="Cambria"/>
                <w:color w:val="000000" w:themeColor="text1"/>
                <w:lang w:val="en-GB"/>
              </w:rPr>
              <w:t>3</w:t>
            </w:r>
          </w:p>
        </w:tc>
        <w:tc>
          <w:tcPr>
            <w:tcW w:w="3028" w:type="dxa"/>
          </w:tcPr>
          <w:p w14:paraId="18AA5EC2" w14:textId="77777777" w:rsidR="00CD1C5A" w:rsidRPr="008F5AAF" w:rsidRDefault="00CD1C5A" w:rsidP="001F21DF">
            <w:pPr>
              <w:pStyle w:val="ListParagraph"/>
              <w:spacing w:after="0" w:line="240" w:lineRule="auto"/>
              <w:ind w:left="0"/>
              <w:jc w:val="both"/>
              <w:rPr>
                <w:rFonts w:ascii="Cambria" w:eastAsia="Cambria" w:hAnsi="Cambria" w:cs="Cambria"/>
                <w:color w:val="000000" w:themeColor="text1"/>
                <w:lang w:val="en-GB"/>
              </w:rPr>
            </w:pPr>
            <w:r w:rsidRPr="008F5AAF">
              <w:rPr>
                <w:rFonts w:ascii="Cambria" w:eastAsia="Cambria" w:hAnsi="Cambria" w:cs="Cambria"/>
                <w:color w:val="000000" w:themeColor="text1"/>
                <w:lang w:val="en-GB"/>
              </w:rPr>
              <w:t>TPWODL/RA/202</w:t>
            </w:r>
            <w:r>
              <w:rPr>
                <w:rFonts w:ascii="Cambria" w:eastAsia="Cambria" w:hAnsi="Cambria" w:cs="Cambria"/>
                <w:color w:val="000000" w:themeColor="text1"/>
                <w:lang w:val="en-GB"/>
              </w:rPr>
              <w:t>5</w:t>
            </w:r>
            <w:r w:rsidRPr="008F5AAF">
              <w:rPr>
                <w:rFonts w:ascii="Cambria" w:eastAsia="Cambria" w:hAnsi="Cambria" w:cs="Cambria"/>
                <w:color w:val="000000" w:themeColor="text1"/>
                <w:lang w:val="en-GB"/>
              </w:rPr>
              <w:t>/</w:t>
            </w:r>
            <w:r>
              <w:rPr>
                <w:rFonts w:ascii="Cambria" w:eastAsia="Cambria" w:hAnsi="Cambria" w:cs="Cambria"/>
                <w:color w:val="000000" w:themeColor="text1"/>
                <w:lang w:val="en-GB"/>
              </w:rPr>
              <w:t>077</w:t>
            </w:r>
          </w:p>
        </w:tc>
        <w:tc>
          <w:tcPr>
            <w:tcW w:w="1650" w:type="dxa"/>
          </w:tcPr>
          <w:p w14:paraId="5B01EDD3" w14:textId="77777777" w:rsidR="00CD1C5A" w:rsidRPr="008F5AAF" w:rsidRDefault="00CD1C5A" w:rsidP="001F21DF">
            <w:pPr>
              <w:pStyle w:val="ListParagraph"/>
              <w:spacing w:after="0" w:line="240" w:lineRule="auto"/>
              <w:ind w:left="0"/>
              <w:jc w:val="both"/>
              <w:rPr>
                <w:rFonts w:ascii="Cambria" w:eastAsia="Cambria" w:hAnsi="Cambria" w:cs="Cambria"/>
                <w:color w:val="000000" w:themeColor="text1"/>
                <w:lang w:val="en-GB"/>
              </w:rPr>
            </w:pPr>
            <w:r>
              <w:rPr>
                <w:rFonts w:ascii="Cambria" w:eastAsia="Cambria" w:hAnsi="Cambria" w:cs="Cambria"/>
                <w:color w:val="000000" w:themeColor="text1"/>
                <w:lang w:val="en-GB"/>
              </w:rPr>
              <w:t>13</w:t>
            </w:r>
            <w:r w:rsidRPr="008F5AAF">
              <w:rPr>
                <w:rFonts w:ascii="Cambria" w:eastAsia="Cambria" w:hAnsi="Cambria" w:cs="Cambria"/>
                <w:color w:val="000000" w:themeColor="text1"/>
                <w:lang w:val="en-GB"/>
              </w:rPr>
              <w:t>.</w:t>
            </w:r>
            <w:r>
              <w:rPr>
                <w:rFonts w:ascii="Cambria" w:eastAsia="Cambria" w:hAnsi="Cambria" w:cs="Cambria"/>
                <w:color w:val="000000" w:themeColor="text1"/>
                <w:lang w:val="en-GB"/>
              </w:rPr>
              <w:t>10</w:t>
            </w:r>
            <w:r w:rsidRPr="008F5AAF">
              <w:rPr>
                <w:rFonts w:ascii="Cambria" w:eastAsia="Cambria" w:hAnsi="Cambria" w:cs="Cambria"/>
                <w:color w:val="000000" w:themeColor="text1"/>
                <w:lang w:val="en-GB"/>
              </w:rPr>
              <w:t>.202</w:t>
            </w:r>
            <w:r>
              <w:rPr>
                <w:rFonts w:ascii="Cambria" w:eastAsia="Cambria" w:hAnsi="Cambria" w:cs="Cambria"/>
                <w:color w:val="000000" w:themeColor="text1"/>
                <w:lang w:val="en-GB"/>
              </w:rPr>
              <w:t>5</w:t>
            </w:r>
          </w:p>
        </w:tc>
        <w:tc>
          <w:tcPr>
            <w:tcW w:w="2500" w:type="dxa"/>
          </w:tcPr>
          <w:p w14:paraId="740D9E14" w14:textId="77777777" w:rsidR="00CD1C5A" w:rsidRPr="008F5AAF" w:rsidRDefault="00CD1C5A" w:rsidP="001F21DF">
            <w:pPr>
              <w:pStyle w:val="ListParagraph"/>
              <w:spacing w:after="0" w:line="240" w:lineRule="auto"/>
              <w:ind w:left="0"/>
              <w:jc w:val="both"/>
              <w:rPr>
                <w:rFonts w:ascii="Cambria" w:eastAsia="Cambria" w:hAnsi="Cambria" w:cs="Cambria"/>
                <w:color w:val="000000" w:themeColor="text1"/>
                <w:lang w:val="en-GB"/>
              </w:rPr>
            </w:pPr>
            <w:r w:rsidRPr="008F5AAF">
              <w:rPr>
                <w:rFonts w:ascii="Cambria" w:eastAsia="Cambria" w:hAnsi="Cambria" w:cs="Cambria"/>
                <w:color w:val="000000" w:themeColor="text1"/>
                <w:lang w:val="en-GB"/>
              </w:rPr>
              <w:t xml:space="preserve">Till </w:t>
            </w:r>
            <w:r>
              <w:rPr>
                <w:rFonts w:ascii="Cambria" w:eastAsia="Cambria" w:hAnsi="Cambria" w:cs="Cambria"/>
                <w:color w:val="000000" w:themeColor="text1"/>
                <w:lang w:val="en-GB"/>
              </w:rPr>
              <w:t>September</w:t>
            </w:r>
            <w:r w:rsidRPr="008F5AAF">
              <w:rPr>
                <w:rFonts w:ascii="Cambria" w:eastAsia="Cambria" w:hAnsi="Cambria" w:cs="Cambria"/>
                <w:color w:val="000000" w:themeColor="text1"/>
                <w:lang w:val="en-GB"/>
              </w:rPr>
              <w:t xml:space="preserve"> 202</w:t>
            </w:r>
            <w:r>
              <w:rPr>
                <w:rFonts w:ascii="Cambria" w:eastAsia="Cambria" w:hAnsi="Cambria" w:cs="Cambria"/>
                <w:color w:val="000000" w:themeColor="text1"/>
                <w:lang w:val="en-GB"/>
              </w:rPr>
              <w:t>5</w:t>
            </w:r>
          </w:p>
        </w:tc>
      </w:tr>
    </w:tbl>
    <w:p w14:paraId="7B2F5B3C" w14:textId="77777777" w:rsidR="00081DA0" w:rsidRDefault="00081DA0" w:rsidP="00081DA0">
      <w:pPr>
        <w:pStyle w:val="ListParagraph"/>
        <w:spacing w:after="160" w:line="360" w:lineRule="auto"/>
        <w:ind w:left="714"/>
        <w:jc w:val="both"/>
        <w:rPr>
          <w:rFonts w:ascii="Cambria" w:eastAsia="Cambria" w:hAnsi="Cambria" w:cs="Cambria"/>
          <w:b/>
          <w:bCs/>
          <w:color w:val="000000" w:themeColor="text1"/>
          <w:u w:val="single"/>
          <w:lang w:val="en-GB"/>
        </w:rPr>
      </w:pPr>
    </w:p>
    <w:p w14:paraId="42D13A35" w14:textId="68D2D482" w:rsidR="00081DA0" w:rsidRPr="00773505" w:rsidRDefault="00081DA0" w:rsidP="00081DA0">
      <w:pPr>
        <w:pStyle w:val="ListParagraph"/>
        <w:spacing w:after="160" w:line="360" w:lineRule="auto"/>
        <w:ind w:left="714"/>
        <w:jc w:val="both"/>
        <w:rPr>
          <w:rFonts w:ascii="Cambria" w:eastAsia="Cambria" w:hAnsi="Cambria" w:cs="Cambria"/>
          <w:b/>
          <w:bCs/>
          <w:color w:val="000000" w:themeColor="text1"/>
          <w:sz w:val="24"/>
          <w:szCs w:val="24"/>
          <w:u w:val="single"/>
          <w:lang w:val="en-GB"/>
        </w:rPr>
      </w:pPr>
      <w:r w:rsidRPr="00773505">
        <w:rPr>
          <w:rFonts w:ascii="Cambria" w:eastAsia="Cambria" w:hAnsi="Cambria" w:cs="Cambria"/>
          <w:b/>
          <w:bCs/>
          <w:color w:val="000000" w:themeColor="text1"/>
          <w:sz w:val="24"/>
          <w:szCs w:val="24"/>
          <w:u w:val="single"/>
          <w:lang w:val="en-GB"/>
        </w:rPr>
        <w:t>Para wise details of updated compliance status are as under:</w:t>
      </w:r>
    </w:p>
    <w:p w14:paraId="6FB2EC9A" w14:textId="77777777" w:rsidR="00081DA0" w:rsidRPr="00773505" w:rsidRDefault="00081DA0" w:rsidP="00081DA0">
      <w:pPr>
        <w:pStyle w:val="ListParagraph"/>
        <w:spacing w:after="160" w:line="360" w:lineRule="auto"/>
        <w:ind w:left="714"/>
        <w:jc w:val="both"/>
        <w:rPr>
          <w:rFonts w:ascii="Cambria" w:eastAsia="Cambria" w:hAnsi="Cambria" w:cs="Cambria"/>
          <w:color w:val="000000" w:themeColor="text1"/>
          <w:sz w:val="24"/>
          <w:szCs w:val="24"/>
          <w:lang w:val="en-GB"/>
        </w:rPr>
      </w:pPr>
    </w:p>
    <w:p w14:paraId="3E2BB89F" w14:textId="77777777" w:rsidR="00081DA0" w:rsidRPr="00773505" w:rsidRDefault="00081DA0" w:rsidP="00081DA0">
      <w:pPr>
        <w:pStyle w:val="ListParagraph"/>
        <w:numPr>
          <w:ilvl w:val="0"/>
          <w:numId w:val="87"/>
        </w:numPr>
        <w:spacing w:after="160" w:line="360" w:lineRule="auto"/>
        <w:ind w:left="709"/>
        <w:jc w:val="both"/>
        <w:rPr>
          <w:rFonts w:ascii="Cambria" w:eastAsia="Cambria" w:hAnsi="Cambria" w:cs="Cambria"/>
          <w:color w:val="000000" w:themeColor="text1"/>
          <w:sz w:val="24"/>
          <w:szCs w:val="24"/>
          <w:lang w:val="en-GB"/>
        </w:rPr>
      </w:pPr>
      <w:r w:rsidRPr="00773505">
        <w:rPr>
          <w:rFonts w:ascii="Cambria" w:eastAsia="Cambria" w:hAnsi="Cambria" w:cs="Cambria"/>
          <w:b/>
          <w:bCs/>
          <w:color w:val="000000" w:themeColor="text1"/>
          <w:sz w:val="24"/>
          <w:szCs w:val="24"/>
          <w:u w:val="single"/>
        </w:rPr>
        <w:t>Para No. 6 (</w:t>
      </w:r>
      <w:proofErr w:type="spellStart"/>
      <w:r w:rsidRPr="00773505">
        <w:rPr>
          <w:rFonts w:ascii="Cambria" w:eastAsia="Cambria" w:hAnsi="Cambria" w:cs="Cambria"/>
          <w:b/>
          <w:bCs/>
          <w:color w:val="000000" w:themeColor="text1"/>
          <w:sz w:val="24"/>
          <w:szCs w:val="24"/>
          <w:u w:val="single"/>
        </w:rPr>
        <w:t>i</w:t>
      </w:r>
      <w:proofErr w:type="spellEnd"/>
      <w:r w:rsidRPr="00773505">
        <w:rPr>
          <w:rFonts w:ascii="Cambria" w:eastAsia="Cambria" w:hAnsi="Cambria" w:cs="Cambria"/>
          <w:b/>
          <w:bCs/>
          <w:color w:val="000000" w:themeColor="text1"/>
          <w:sz w:val="24"/>
          <w:szCs w:val="24"/>
          <w:u w:val="single"/>
        </w:rPr>
        <w:t>)-</w:t>
      </w:r>
      <w:r w:rsidRPr="00773505">
        <w:rPr>
          <w:rFonts w:ascii="Cambria" w:eastAsia="Cambria" w:hAnsi="Cambria" w:cs="Cambria"/>
          <w:color w:val="000000" w:themeColor="text1"/>
          <w:sz w:val="24"/>
          <w:szCs w:val="24"/>
        </w:rPr>
        <w:t xml:space="preserve"> Security deposit from consumers amounting to Rs. 752.94 Cr. was transferred to TPWODL. As per auditor’s report, amount outstanding as per consumer ledger is Rs. 760.35 Cr. and balance Rs. 7.41 Cr. is unreconciled. TPWODL was directed to reconcile the balance Rs. 7.41 Cr. through independent auditor and submit the report to the commission.  </w:t>
      </w:r>
    </w:p>
    <w:p w14:paraId="2E567C29" w14:textId="77777777" w:rsidR="00081DA0" w:rsidRPr="00773505" w:rsidRDefault="00081DA0" w:rsidP="00081DA0">
      <w:pPr>
        <w:pStyle w:val="NoSpacing"/>
        <w:spacing w:line="360" w:lineRule="auto"/>
        <w:ind w:left="714"/>
        <w:jc w:val="both"/>
        <w:rPr>
          <w:rFonts w:ascii="Cambria" w:hAnsi="Cambria"/>
          <w:sz w:val="24"/>
          <w:szCs w:val="24"/>
        </w:rPr>
      </w:pPr>
      <w:r w:rsidRPr="00773505">
        <w:rPr>
          <w:rFonts w:ascii="Cambria" w:hAnsi="Cambria"/>
          <w:b/>
          <w:bCs/>
          <w:sz w:val="24"/>
          <w:szCs w:val="24"/>
          <w:u w:val="single"/>
        </w:rPr>
        <w:t>Compliance: -</w:t>
      </w:r>
      <w:r w:rsidRPr="00773505">
        <w:rPr>
          <w:rFonts w:ascii="Cambria" w:hAnsi="Cambria"/>
          <w:sz w:val="24"/>
          <w:szCs w:val="24"/>
        </w:rPr>
        <w:t xml:space="preserve"> As per the above direction Audit has been completed &amp; Report has been shared with Hon’ble OERC vide letter No. TPWODL/RA&amp;S/2024/055 dated 20.05.2024. As per the report the unreconciled balance is Rs. 1.06 Cr.</w:t>
      </w:r>
    </w:p>
    <w:p w14:paraId="46E606EA" w14:textId="77777777" w:rsidR="00081DA0" w:rsidRPr="00773505" w:rsidRDefault="00081DA0" w:rsidP="00081DA0">
      <w:pPr>
        <w:pStyle w:val="ListParagraph"/>
        <w:spacing w:after="160" w:line="360" w:lineRule="auto"/>
        <w:ind w:left="714"/>
        <w:jc w:val="both"/>
        <w:rPr>
          <w:rFonts w:ascii="Cambria" w:eastAsia="Cambria" w:hAnsi="Cambria" w:cs="Cambria"/>
          <w:color w:val="000000" w:themeColor="text1"/>
          <w:sz w:val="24"/>
          <w:szCs w:val="24"/>
          <w:lang w:val="en-GB"/>
        </w:rPr>
      </w:pPr>
    </w:p>
    <w:p w14:paraId="01A40692" w14:textId="77777777" w:rsidR="00081DA0" w:rsidRPr="00773505" w:rsidRDefault="00081DA0" w:rsidP="00081DA0">
      <w:pPr>
        <w:pStyle w:val="ListParagraph"/>
        <w:numPr>
          <w:ilvl w:val="0"/>
          <w:numId w:val="87"/>
        </w:numPr>
        <w:spacing w:after="160" w:line="360" w:lineRule="auto"/>
        <w:ind w:left="709"/>
        <w:jc w:val="both"/>
        <w:rPr>
          <w:rFonts w:ascii="Cambria" w:eastAsia="Cambria" w:hAnsi="Cambria" w:cs="Cambria"/>
          <w:color w:val="000000" w:themeColor="text1"/>
          <w:sz w:val="24"/>
          <w:szCs w:val="24"/>
          <w:lang w:val="en-GB"/>
        </w:rPr>
      </w:pPr>
      <w:r w:rsidRPr="00773505">
        <w:rPr>
          <w:rFonts w:ascii="Cambria" w:eastAsia="Cambria" w:hAnsi="Cambria" w:cs="Cambria"/>
          <w:b/>
          <w:bCs/>
          <w:color w:val="000000" w:themeColor="text1"/>
          <w:sz w:val="24"/>
          <w:szCs w:val="24"/>
          <w:u w:val="single"/>
        </w:rPr>
        <w:t>Para No. 9 -</w:t>
      </w:r>
      <w:r w:rsidRPr="00773505">
        <w:rPr>
          <w:rFonts w:ascii="Cambria" w:eastAsia="Cambria" w:hAnsi="Cambria" w:cs="Cambria"/>
          <w:color w:val="000000" w:themeColor="text1"/>
          <w:sz w:val="24"/>
          <w:szCs w:val="24"/>
        </w:rPr>
        <w:t xml:space="preserve"> TPWODL to provide a quarterly account of the amount of grants spent/returned and balance with banks along with interest accrued thereon maintained against grants audited by an independent auditor. </w:t>
      </w:r>
    </w:p>
    <w:p w14:paraId="0C9CAE10" w14:textId="77777777" w:rsidR="00081DA0" w:rsidRPr="00773505" w:rsidRDefault="00081DA0" w:rsidP="00081DA0">
      <w:pPr>
        <w:pStyle w:val="NoSpacing"/>
        <w:spacing w:line="360" w:lineRule="auto"/>
        <w:ind w:left="714"/>
        <w:jc w:val="both"/>
        <w:rPr>
          <w:rFonts w:ascii="Cambria" w:hAnsi="Cambria"/>
          <w:sz w:val="24"/>
          <w:szCs w:val="24"/>
        </w:rPr>
      </w:pPr>
      <w:r w:rsidRPr="00773505">
        <w:rPr>
          <w:rFonts w:ascii="Cambria" w:hAnsi="Cambria"/>
          <w:b/>
          <w:bCs/>
          <w:sz w:val="24"/>
          <w:szCs w:val="24"/>
          <w:u w:val="single"/>
        </w:rPr>
        <w:t>Compliance: -</w:t>
      </w:r>
      <w:r w:rsidRPr="00773505">
        <w:rPr>
          <w:rFonts w:ascii="Cambria" w:hAnsi="Cambria"/>
          <w:sz w:val="24"/>
          <w:szCs w:val="24"/>
        </w:rPr>
        <w:t xml:space="preserve"> Independent auditor report on Govt. Grant up to the period H1 &amp; H2 of FY 2024-25 has been submitted vide letter no. TPWODL/RA&amp;S/2025/014 dated 03.03.2025 &amp; TPWODL/RA/2025/63 dated 20.09.2025 respectively. Auditor engagement for subsequent period i.e. H1 of FY 2025-26 onwards is under progress.</w:t>
      </w:r>
    </w:p>
    <w:p w14:paraId="71CE56EE" w14:textId="77777777" w:rsidR="00081DA0" w:rsidRPr="00773505" w:rsidRDefault="00081DA0" w:rsidP="00081DA0">
      <w:pPr>
        <w:pStyle w:val="ListParagraph"/>
        <w:spacing w:after="160" w:line="360" w:lineRule="auto"/>
        <w:ind w:left="714"/>
        <w:jc w:val="both"/>
        <w:rPr>
          <w:rFonts w:ascii="Cambria" w:eastAsia="Cambria" w:hAnsi="Cambria" w:cs="Cambria"/>
          <w:color w:val="000000" w:themeColor="text1"/>
          <w:sz w:val="24"/>
          <w:szCs w:val="24"/>
          <w:lang w:val="en-IN"/>
        </w:rPr>
      </w:pPr>
    </w:p>
    <w:p w14:paraId="13E9D9DE" w14:textId="77777777" w:rsidR="00081DA0" w:rsidRPr="00773505" w:rsidRDefault="00081DA0" w:rsidP="00081DA0">
      <w:pPr>
        <w:pStyle w:val="ListParagraph"/>
        <w:numPr>
          <w:ilvl w:val="0"/>
          <w:numId w:val="87"/>
        </w:numPr>
        <w:spacing w:after="160" w:line="360" w:lineRule="auto"/>
        <w:ind w:left="709"/>
        <w:jc w:val="both"/>
        <w:rPr>
          <w:rFonts w:ascii="Cambria" w:eastAsia="Cambria" w:hAnsi="Cambria" w:cs="Cambria"/>
          <w:color w:val="000000" w:themeColor="text1"/>
          <w:sz w:val="24"/>
          <w:szCs w:val="24"/>
          <w:lang w:val="en-GB"/>
        </w:rPr>
      </w:pPr>
      <w:r w:rsidRPr="00773505">
        <w:rPr>
          <w:rFonts w:ascii="Cambria" w:eastAsia="Cambria" w:hAnsi="Cambria" w:cs="Cambria"/>
          <w:b/>
          <w:bCs/>
          <w:color w:val="000000" w:themeColor="text1"/>
          <w:sz w:val="24"/>
          <w:szCs w:val="24"/>
          <w:u w:val="single"/>
        </w:rPr>
        <w:t>Para No. 14 -</w:t>
      </w:r>
      <w:r w:rsidRPr="00773505">
        <w:rPr>
          <w:rFonts w:ascii="Cambria" w:eastAsia="Cambria" w:hAnsi="Cambria" w:cs="Cambria"/>
          <w:color w:val="000000" w:themeColor="text1"/>
          <w:sz w:val="24"/>
          <w:szCs w:val="24"/>
        </w:rPr>
        <w:t xml:space="preserve"> Interest payable on security deposit of Rs. 27.79 Cr. was transferred to TPWODL. TPWODL shall be required to submit proof of actual payment as and when this liability is discharged.</w:t>
      </w:r>
    </w:p>
    <w:p w14:paraId="0D57DD03" w14:textId="77777777" w:rsidR="00081DA0" w:rsidRPr="00773505" w:rsidRDefault="00081DA0" w:rsidP="00081DA0">
      <w:pPr>
        <w:pStyle w:val="NoSpacing"/>
        <w:spacing w:line="360" w:lineRule="auto"/>
        <w:ind w:left="714"/>
        <w:jc w:val="both"/>
        <w:rPr>
          <w:rFonts w:ascii="Cambria" w:hAnsi="Cambria"/>
          <w:sz w:val="24"/>
          <w:szCs w:val="24"/>
        </w:rPr>
      </w:pPr>
      <w:r w:rsidRPr="00773505">
        <w:rPr>
          <w:rFonts w:ascii="Cambria" w:hAnsi="Cambria"/>
          <w:b/>
          <w:bCs/>
          <w:sz w:val="24"/>
          <w:szCs w:val="24"/>
          <w:u w:val="single"/>
        </w:rPr>
        <w:t>Compliance: -</w:t>
      </w:r>
      <w:r w:rsidRPr="00773505">
        <w:rPr>
          <w:rFonts w:ascii="Cambria" w:hAnsi="Cambria"/>
          <w:sz w:val="24"/>
          <w:szCs w:val="24"/>
        </w:rPr>
        <w:t xml:space="preserve"> TPWODL had already complied with the above direction vide letter </w:t>
      </w:r>
      <w:r w:rsidRPr="00773505">
        <w:rPr>
          <w:rFonts w:ascii="Cambria" w:eastAsia="Cambria" w:hAnsi="Cambria" w:cs="Cambria"/>
          <w:color w:val="000000" w:themeColor="text1"/>
          <w:sz w:val="24"/>
          <w:szCs w:val="24"/>
          <w:lang w:val="en-GB"/>
        </w:rPr>
        <w:t xml:space="preserve">TPWODL/RA&amp;S/2022/058 dated 07.04.2022. </w:t>
      </w:r>
    </w:p>
    <w:p w14:paraId="7EC67AE0" w14:textId="77777777" w:rsidR="00081DA0" w:rsidRPr="00773505" w:rsidRDefault="00081DA0" w:rsidP="00081DA0">
      <w:pPr>
        <w:pStyle w:val="ListParagraph"/>
        <w:spacing w:after="160" w:line="360" w:lineRule="auto"/>
        <w:ind w:left="714"/>
        <w:jc w:val="both"/>
        <w:rPr>
          <w:rFonts w:ascii="Cambria" w:eastAsia="Cambria" w:hAnsi="Cambria" w:cs="Cambria"/>
          <w:color w:val="000000" w:themeColor="text1"/>
          <w:sz w:val="24"/>
          <w:szCs w:val="24"/>
          <w:lang w:val="en-IN"/>
        </w:rPr>
      </w:pPr>
    </w:p>
    <w:p w14:paraId="1F64EBD2" w14:textId="77777777" w:rsidR="00081DA0" w:rsidRPr="00773505" w:rsidRDefault="00081DA0" w:rsidP="00081DA0">
      <w:pPr>
        <w:pStyle w:val="ListParagraph"/>
        <w:numPr>
          <w:ilvl w:val="0"/>
          <w:numId w:val="87"/>
        </w:numPr>
        <w:spacing w:after="160" w:line="360" w:lineRule="auto"/>
        <w:ind w:left="709"/>
        <w:jc w:val="both"/>
        <w:rPr>
          <w:rFonts w:ascii="Cambria" w:eastAsia="Cambria" w:hAnsi="Cambria" w:cs="Cambria"/>
          <w:color w:val="000000" w:themeColor="text1"/>
          <w:sz w:val="24"/>
          <w:szCs w:val="24"/>
          <w:lang w:val="en-GB"/>
        </w:rPr>
      </w:pPr>
      <w:r w:rsidRPr="00773505">
        <w:rPr>
          <w:rFonts w:ascii="Cambria" w:eastAsia="Cambria" w:hAnsi="Cambria" w:cs="Cambria"/>
          <w:b/>
          <w:bCs/>
          <w:color w:val="000000" w:themeColor="text1"/>
          <w:sz w:val="24"/>
          <w:szCs w:val="24"/>
          <w:u w:val="single"/>
        </w:rPr>
        <w:t>Para No. 15 -</w:t>
      </w:r>
      <w:r w:rsidRPr="00773505">
        <w:rPr>
          <w:rFonts w:ascii="Cambria" w:eastAsia="Cambria" w:hAnsi="Cambria" w:cs="Cambria"/>
          <w:color w:val="000000" w:themeColor="text1"/>
          <w:sz w:val="24"/>
          <w:szCs w:val="24"/>
        </w:rPr>
        <w:t xml:space="preserve"> Liabilities of Rs.1.60 Cr. towards electricity duty collected and not remitted as on 31.12.20 has been transferred to TPWODL. TPWODL shall be required to submit proofs of actual payments.</w:t>
      </w:r>
    </w:p>
    <w:p w14:paraId="7DB7A848" w14:textId="77777777" w:rsidR="00081DA0" w:rsidRPr="00773505" w:rsidRDefault="00081DA0" w:rsidP="00081DA0">
      <w:pPr>
        <w:pStyle w:val="NoSpacing"/>
        <w:spacing w:line="360" w:lineRule="auto"/>
        <w:ind w:left="714"/>
        <w:jc w:val="both"/>
        <w:rPr>
          <w:rFonts w:ascii="Cambria" w:hAnsi="Cambria"/>
          <w:sz w:val="24"/>
          <w:szCs w:val="24"/>
        </w:rPr>
      </w:pPr>
      <w:r w:rsidRPr="00773505">
        <w:rPr>
          <w:rFonts w:ascii="Cambria" w:hAnsi="Cambria"/>
          <w:b/>
          <w:bCs/>
          <w:sz w:val="24"/>
          <w:szCs w:val="24"/>
          <w:u w:val="single"/>
        </w:rPr>
        <w:t>Compliance: -</w:t>
      </w:r>
      <w:r w:rsidRPr="00773505">
        <w:rPr>
          <w:rFonts w:ascii="Cambria" w:hAnsi="Cambria"/>
          <w:sz w:val="24"/>
          <w:szCs w:val="24"/>
        </w:rPr>
        <w:t xml:space="preserve"> A</w:t>
      </w:r>
      <w:proofErr w:type="spellStart"/>
      <w:r w:rsidRPr="00773505">
        <w:rPr>
          <w:rFonts w:ascii="Cambria" w:eastAsia="Cambria" w:hAnsi="Cambria" w:cs="Cambria"/>
          <w:color w:val="000000" w:themeColor="text1"/>
          <w:sz w:val="24"/>
          <w:szCs w:val="24"/>
          <w:lang w:val="en-GB"/>
        </w:rPr>
        <w:t>s</w:t>
      </w:r>
      <w:proofErr w:type="spellEnd"/>
      <w:r w:rsidRPr="00773505">
        <w:rPr>
          <w:rFonts w:ascii="Cambria" w:eastAsia="Cambria" w:hAnsi="Cambria" w:cs="Cambria"/>
          <w:color w:val="000000" w:themeColor="text1"/>
          <w:sz w:val="24"/>
          <w:szCs w:val="24"/>
          <w:lang w:val="en-GB"/>
        </w:rPr>
        <w:t xml:space="preserve"> a continuity of business, the rollover balance is always being deposited in subsequent months. </w:t>
      </w:r>
      <w:r w:rsidRPr="00773505">
        <w:rPr>
          <w:rFonts w:ascii="Cambria" w:hAnsi="Cambria"/>
          <w:sz w:val="24"/>
          <w:szCs w:val="24"/>
        </w:rPr>
        <w:t>Already complied vide our letter no. TPWODL/RA&amp;S/2022/058 dated 07.04.2022</w:t>
      </w:r>
      <w:r w:rsidRPr="00773505">
        <w:rPr>
          <w:rFonts w:ascii="Cambria" w:eastAsia="Cambria" w:hAnsi="Cambria" w:cs="Cambria"/>
          <w:color w:val="000000" w:themeColor="text1"/>
          <w:sz w:val="24"/>
          <w:szCs w:val="24"/>
          <w:lang w:val="en-GB"/>
        </w:rPr>
        <w:t>.</w:t>
      </w:r>
    </w:p>
    <w:p w14:paraId="09BFDFED" w14:textId="77777777" w:rsidR="00081DA0" w:rsidRPr="00773505" w:rsidRDefault="00081DA0" w:rsidP="00081DA0">
      <w:pPr>
        <w:pStyle w:val="ListParagraph"/>
        <w:spacing w:after="160" w:line="360" w:lineRule="auto"/>
        <w:ind w:left="714"/>
        <w:jc w:val="both"/>
        <w:rPr>
          <w:rFonts w:ascii="Cambria" w:eastAsia="Cambria" w:hAnsi="Cambria" w:cs="Cambria"/>
          <w:color w:val="000000" w:themeColor="text1"/>
          <w:sz w:val="24"/>
          <w:szCs w:val="24"/>
          <w:lang w:val="en-IN"/>
        </w:rPr>
      </w:pPr>
    </w:p>
    <w:p w14:paraId="20FE2DB0" w14:textId="77777777" w:rsidR="00081DA0" w:rsidRPr="00773505" w:rsidRDefault="00081DA0" w:rsidP="00081DA0">
      <w:pPr>
        <w:pStyle w:val="ListParagraph"/>
        <w:numPr>
          <w:ilvl w:val="0"/>
          <w:numId w:val="87"/>
        </w:numPr>
        <w:spacing w:after="160" w:line="360" w:lineRule="auto"/>
        <w:ind w:left="709"/>
        <w:jc w:val="both"/>
        <w:rPr>
          <w:rFonts w:ascii="Cambria" w:eastAsia="Cambria" w:hAnsi="Cambria" w:cs="Cambria"/>
          <w:color w:val="000000" w:themeColor="text1"/>
          <w:sz w:val="24"/>
          <w:szCs w:val="24"/>
          <w:lang w:val="en-GB"/>
        </w:rPr>
      </w:pPr>
      <w:r w:rsidRPr="00773505">
        <w:rPr>
          <w:rFonts w:ascii="Cambria" w:eastAsia="Cambria" w:hAnsi="Cambria" w:cs="Cambria"/>
          <w:b/>
          <w:bCs/>
          <w:color w:val="000000" w:themeColor="text1"/>
          <w:sz w:val="24"/>
          <w:szCs w:val="24"/>
          <w:u w:val="single"/>
        </w:rPr>
        <w:t>Para No. 17 -</w:t>
      </w:r>
      <w:r w:rsidRPr="00773505">
        <w:rPr>
          <w:rFonts w:ascii="Cambria" w:eastAsia="Cambria" w:hAnsi="Cambria" w:cs="Cambria"/>
          <w:color w:val="000000" w:themeColor="text1"/>
          <w:sz w:val="24"/>
          <w:szCs w:val="24"/>
        </w:rPr>
        <w:t xml:space="preserve"> Rs.5.97 Cr. transferred to TPWODL. TPWODL needs to submit proof of actual payment.</w:t>
      </w:r>
    </w:p>
    <w:p w14:paraId="522B8151" w14:textId="77777777" w:rsidR="00081DA0" w:rsidRPr="00773505" w:rsidRDefault="00081DA0" w:rsidP="00081DA0">
      <w:pPr>
        <w:pStyle w:val="NoSpacing"/>
        <w:spacing w:line="360" w:lineRule="auto"/>
        <w:ind w:left="714"/>
        <w:jc w:val="both"/>
        <w:rPr>
          <w:rFonts w:ascii="Cambria" w:hAnsi="Cambria"/>
          <w:sz w:val="24"/>
          <w:szCs w:val="24"/>
        </w:rPr>
      </w:pPr>
      <w:r w:rsidRPr="00773505">
        <w:rPr>
          <w:rFonts w:ascii="Cambria" w:hAnsi="Cambria"/>
          <w:b/>
          <w:bCs/>
          <w:sz w:val="24"/>
          <w:szCs w:val="24"/>
          <w:u w:val="single"/>
        </w:rPr>
        <w:t>Compliance: -</w:t>
      </w:r>
      <w:r w:rsidRPr="00773505">
        <w:rPr>
          <w:rFonts w:ascii="Cambria" w:hAnsi="Cambria"/>
          <w:sz w:val="24"/>
          <w:szCs w:val="24"/>
        </w:rPr>
        <w:t xml:space="preserve"> Already complied vide our letter no. TPWODL/RA&amp;S/2022/058 dated 07.04.2022 to the extent of Rs. 5.05 Cr. The balance amount has also been paid on 07.03.2024.</w:t>
      </w:r>
    </w:p>
    <w:p w14:paraId="6A0CEC18" w14:textId="77777777" w:rsidR="00081DA0" w:rsidRPr="00773505" w:rsidRDefault="00081DA0" w:rsidP="00081DA0">
      <w:pPr>
        <w:pStyle w:val="ListParagraph"/>
        <w:spacing w:after="160" w:line="360" w:lineRule="auto"/>
        <w:ind w:left="714"/>
        <w:jc w:val="both"/>
        <w:rPr>
          <w:rFonts w:ascii="Cambria" w:eastAsia="Cambria" w:hAnsi="Cambria" w:cs="Cambria"/>
          <w:color w:val="000000" w:themeColor="text1"/>
          <w:sz w:val="24"/>
          <w:szCs w:val="24"/>
          <w:lang w:val="en-IN"/>
        </w:rPr>
      </w:pPr>
    </w:p>
    <w:p w14:paraId="0CCA5599" w14:textId="77777777" w:rsidR="00081DA0" w:rsidRPr="00773505" w:rsidRDefault="00081DA0" w:rsidP="00081DA0">
      <w:pPr>
        <w:pStyle w:val="ListParagraph"/>
        <w:numPr>
          <w:ilvl w:val="0"/>
          <w:numId w:val="87"/>
        </w:numPr>
        <w:spacing w:after="160" w:line="360" w:lineRule="auto"/>
        <w:ind w:left="709"/>
        <w:jc w:val="both"/>
        <w:rPr>
          <w:rFonts w:ascii="Cambria" w:eastAsia="Cambria" w:hAnsi="Cambria" w:cs="Cambria"/>
          <w:color w:val="000000" w:themeColor="text1"/>
          <w:sz w:val="24"/>
          <w:szCs w:val="24"/>
          <w:lang w:val="en-GB"/>
        </w:rPr>
      </w:pPr>
      <w:r w:rsidRPr="00773505">
        <w:rPr>
          <w:rFonts w:ascii="Cambria" w:eastAsia="Cambria" w:hAnsi="Cambria" w:cs="Cambria"/>
          <w:b/>
          <w:bCs/>
          <w:color w:val="000000" w:themeColor="text1"/>
          <w:sz w:val="24"/>
          <w:szCs w:val="24"/>
          <w:u w:val="single"/>
        </w:rPr>
        <w:t>Para No. 20 (Capital Work in Progress)-</w:t>
      </w:r>
      <w:r w:rsidRPr="00773505">
        <w:rPr>
          <w:rFonts w:ascii="Cambria" w:eastAsia="Cambria" w:hAnsi="Cambria" w:cs="Cambria"/>
          <w:color w:val="000000" w:themeColor="text1"/>
          <w:sz w:val="24"/>
          <w:szCs w:val="24"/>
        </w:rPr>
        <w:t xml:space="preserve"> </w:t>
      </w:r>
      <w:r w:rsidRPr="00773505">
        <w:rPr>
          <w:rFonts w:ascii="Cambria" w:eastAsia="Cambria" w:hAnsi="Cambria" w:cs="Cambria"/>
          <w:sz w:val="24"/>
          <w:szCs w:val="24"/>
        </w:rPr>
        <w:t>Rs.118.15 Cr. has been transferred to TPWODL. TPWODL has to provide details of CWIP created out of Govt grants and Consumer contribution. Scheme-wise register shall be submitted by 31.12.21.</w:t>
      </w:r>
    </w:p>
    <w:p w14:paraId="4942923E" w14:textId="77777777" w:rsidR="00081DA0" w:rsidRPr="00773505" w:rsidRDefault="00081DA0" w:rsidP="00081DA0">
      <w:pPr>
        <w:pStyle w:val="NoSpacing"/>
        <w:spacing w:line="360" w:lineRule="auto"/>
        <w:ind w:left="714"/>
        <w:jc w:val="both"/>
        <w:rPr>
          <w:rFonts w:ascii="Cambria" w:hAnsi="Cambria"/>
          <w:sz w:val="24"/>
          <w:szCs w:val="24"/>
        </w:rPr>
      </w:pPr>
      <w:r w:rsidRPr="00773505">
        <w:rPr>
          <w:rFonts w:ascii="Cambria" w:hAnsi="Cambria"/>
          <w:b/>
          <w:bCs/>
          <w:sz w:val="24"/>
          <w:szCs w:val="24"/>
          <w:u w:val="single"/>
        </w:rPr>
        <w:t>Compliance: -</w:t>
      </w:r>
      <w:r w:rsidRPr="00773505">
        <w:rPr>
          <w:rFonts w:ascii="Cambria" w:hAnsi="Cambria"/>
          <w:sz w:val="24"/>
          <w:szCs w:val="24"/>
        </w:rPr>
        <w:t xml:space="preserve"> TPWODL vide letter TPWODL/RA&amp;S/2022/058 </w:t>
      </w:r>
      <w:r w:rsidRPr="00773505">
        <w:rPr>
          <w:rFonts w:ascii="Cambria" w:eastAsia="Cambria" w:hAnsi="Cambria" w:cs="Cambria"/>
          <w:color w:val="000000" w:themeColor="text1"/>
          <w:sz w:val="24"/>
          <w:szCs w:val="24"/>
          <w:lang w:val="en-GB"/>
        </w:rPr>
        <w:t>dated 07.04.2022 provided scheme-wise register amounting to Rs. 118.15 Cr. to the Hon’ble Commission.</w:t>
      </w:r>
    </w:p>
    <w:p w14:paraId="19F12F30" w14:textId="77777777" w:rsidR="00081DA0" w:rsidRPr="00773505" w:rsidRDefault="00081DA0" w:rsidP="00081DA0">
      <w:pPr>
        <w:pStyle w:val="ListParagraph"/>
        <w:spacing w:after="160" w:line="360" w:lineRule="auto"/>
        <w:ind w:left="714"/>
        <w:jc w:val="both"/>
        <w:rPr>
          <w:rFonts w:ascii="Cambria" w:eastAsia="Cambria" w:hAnsi="Cambria" w:cs="Cambria"/>
          <w:color w:val="000000" w:themeColor="text1"/>
          <w:sz w:val="24"/>
          <w:szCs w:val="24"/>
          <w:lang w:val="en-IN"/>
        </w:rPr>
      </w:pPr>
    </w:p>
    <w:p w14:paraId="54AC1609" w14:textId="77777777" w:rsidR="00081DA0" w:rsidRPr="00773505" w:rsidRDefault="00081DA0" w:rsidP="00081DA0">
      <w:pPr>
        <w:pStyle w:val="ListParagraph"/>
        <w:numPr>
          <w:ilvl w:val="0"/>
          <w:numId w:val="87"/>
        </w:numPr>
        <w:spacing w:after="160" w:line="360" w:lineRule="auto"/>
        <w:ind w:left="709"/>
        <w:jc w:val="both"/>
        <w:rPr>
          <w:rFonts w:ascii="Cambria" w:eastAsia="Cambria" w:hAnsi="Cambria" w:cs="Cambria"/>
          <w:color w:val="000000" w:themeColor="text1"/>
          <w:sz w:val="24"/>
          <w:szCs w:val="24"/>
          <w:lang w:val="en-GB"/>
        </w:rPr>
      </w:pPr>
      <w:r w:rsidRPr="00773505">
        <w:rPr>
          <w:rFonts w:ascii="Cambria" w:eastAsia="Cambria" w:hAnsi="Cambria" w:cs="Cambria"/>
          <w:b/>
          <w:bCs/>
          <w:color w:val="000000" w:themeColor="text1"/>
          <w:sz w:val="24"/>
          <w:szCs w:val="24"/>
          <w:u w:val="single"/>
        </w:rPr>
        <w:t>Para No. 23 (iii) -</w:t>
      </w:r>
      <w:r w:rsidRPr="00773505">
        <w:rPr>
          <w:rFonts w:ascii="Cambria" w:eastAsia="Cambria" w:hAnsi="Cambria" w:cs="Cambria"/>
          <w:color w:val="000000" w:themeColor="text1"/>
          <w:sz w:val="24"/>
          <w:szCs w:val="24"/>
        </w:rPr>
        <w:t xml:space="preserve"> Rs.141.65 Cr. towards unspent grants transferred to TPWODL. TPWODL shall provide quarterly account of balance along with interest accrued.</w:t>
      </w:r>
    </w:p>
    <w:p w14:paraId="68D629B0" w14:textId="77777777" w:rsidR="00081DA0" w:rsidRPr="00773505" w:rsidRDefault="00081DA0" w:rsidP="00081DA0">
      <w:pPr>
        <w:pStyle w:val="NoSpacing"/>
        <w:spacing w:line="360" w:lineRule="auto"/>
        <w:ind w:left="714"/>
        <w:jc w:val="both"/>
        <w:rPr>
          <w:rFonts w:ascii="Cambria" w:hAnsi="Cambria"/>
          <w:sz w:val="24"/>
          <w:szCs w:val="24"/>
        </w:rPr>
      </w:pPr>
      <w:r w:rsidRPr="00773505">
        <w:rPr>
          <w:rFonts w:ascii="Cambria" w:hAnsi="Cambria"/>
          <w:b/>
          <w:bCs/>
          <w:sz w:val="24"/>
          <w:szCs w:val="24"/>
          <w:u w:val="single"/>
        </w:rPr>
        <w:t>Compliance: -</w:t>
      </w:r>
      <w:r w:rsidRPr="00773505">
        <w:rPr>
          <w:rFonts w:ascii="Cambria" w:hAnsi="Cambria"/>
          <w:sz w:val="24"/>
          <w:szCs w:val="24"/>
        </w:rPr>
        <w:t xml:space="preserve"> </w:t>
      </w:r>
      <w:r w:rsidRPr="00773505">
        <w:rPr>
          <w:rFonts w:ascii="Cambria" w:eastAsia="Cambria" w:hAnsi="Cambria" w:cs="Cambria"/>
          <w:color w:val="000000" w:themeColor="text1"/>
          <w:sz w:val="24"/>
          <w:szCs w:val="24"/>
          <w:lang w:val="en-US"/>
        </w:rPr>
        <w:t xml:space="preserve">Independent auditor report on Govt. Grant </w:t>
      </w:r>
      <w:proofErr w:type="spellStart"/>
      <w:r w:rsidRPr="00773505">
        <w:rPr>
          <w:rFonts w:ascii="Cambria" w:eastAsia="Cambria" w:hAnsi="Cambria" w:cs="Cambria"/>
          <w:color w:val="000000" w:themeColor="text1"/>
          <w:sz w:val="24"/>
          <w:szCs w:val="24"/>
          <w:lang w:val="en-US"/>
        </w:rPr>
        <w:t>upto</w:t>
      </w:r>
      <w:proofErr w:type="spellEnd"/>
      <w:r w:rsidRPr="00773505">
        <w:rPr>
          <w:rFonts w:ascii="Cambria" w:eastAsia="Cambria" w:hAnsi="Cambria" w:cs="Cambria"/>
          <w:color w:val="000000" w:themeColor="text1"/>
          <w:sz w:val="24"/>
          <w:szCs w:val="24"/>
          <w:lang w:val="en-US"/>
        </w:rPr>
        <w:t xml:space="preserve"> the period H1 &amp; H2 of FY 2024-25 has been submitted vide letter no. TPWODL/RA&amp;S/2025/014 dated 03.03.2025 &amp; TPWODL/RA/2025/63 dated 20.09.2025 respectively.</w:t>
      </w:r>
    </w:p>
    <w:p w14:paraId="7B0A3DA5" w14:textId="77777777" w:rsidR="00081DA0" w:rsidRPr="00773505" w:rsidRDefault="00081DA0" w:rsidP="00081DA0">
      <w:pPr>
        <w:pStyle w:val="ListParagraph"/>
        <w:spacing w:after="160" w:line="360" w:lineRule="auto"/>
        <w:ind w:left="714"/>
        <w:jc w:val="both"/>
        <w:rPr>
          <w:rFonts w:ascii="Cambria" w:eastAsia="Cambria" w:hAnsi="Cambria" w:cs="Cambria"/>
          <w:color w:val="000000" w:themeColor="text1"/>
          <w:sz w:val="24"/>
          <w:szCs w:val="24"/>
          <w:lang w:val="en-IN"/>
        </w:rPr>
      </w:pPr>
    </w:p>
    <w:p w14:paraId="52EBD4AF" w14:textId="77777777" w:rsidR="00081DA0" w:rsidRPr="00773505" w:rsidRDefault="00081DA0" w:rsidP="00081DA0">
      <w:pPr>
        <w:pStyle w:val="ListParagraph"/>
        <w:numPr>
          <w:ilvl w:val="0"/>
          <w:numId w:val="87"/>
        </w:numPr>
        <w:spacing w:after="160" w:line="360" w:lineRule="auto"/>
        <w:ind w:left="709"/>
        <w:jc w:val="both"/>
        <w:rPr>
          <w:rFonts w:ascii="Cambria" w:eastAsia="Cambria" w:hAnsi="Cambria" w:cs="Cambria"/>
          <w:color w:val="000000" w:themeColor="text1"/>
          <w:sz w:val="24"/>
          <w:szCs w:val="24"/>
          <w:lang w:val="en-IN"/>
        </w:rPr>
      </w:pPr>
      <w:r w:rsidRPr="00773505">
        <w:rPr>
          <w:rFonts w:ascii="Cambria" w:eastAsia="Cambria" w:hAnsi="Cambria" w:cs="Cambria"/>
          <w:b/>
          <w:bCs/>
          <w:color w:val="000000" w:themeColor="text1"/>
          <w:sz w:val="24"/>
          <w:szCs w:val="24"/>
          <w:u w:val="single"/>
        </w:rPr>
        <w:t>Para No. 23 (vii) -</w:t>
      </w:r>
      <w:r w:rsidRPr="00773505">
        <w:rPr>
          <w:rFonts w:ascii="Cambria" w:eastAsia="Cambria" w:hAnsi="Cambria" w:cs="Cambria"/>
          <w:color w:val="000000" w:themeColor="text1"/>
          <w:sz w:val="24"/>
          <w:szCs w:val="24"/>
        </w:rPr>
        <w:t xml:space="preserve"> TPWODL to submit quarterly details of the amount of liabilities which are outstanding as on 31.12.2020 and subsequently settled by TPWODL.</w:t>
      </w:r>
    </w:p>
    <w:p w14:paraId="3C4B0D39" w14:textId="77777777" w:rsidR="00081DA0" w:rsidRPr="00773505" w:rsidRDefault="00081DA0" w:rsidP="00081DA0">
      <w:pPr>
        <w:pStyle w:val="NoSpacing"/>
        <w:spacing w:line="360" w:lineRule="auto"/>
        <w:ind w:left="709"/>
        <w:jc w:val="both"/>
        <w:rPr>
          <w:rFonts w:ascii="Cambria" w:eastAsia="Cambria" w:hAnsi="Cambria" w:cs="Cambria"/>
          <w:color w:val="000000" w:themeColor="text1"/>
          <w:sz w:val="24"/>
          <w:szCs w:val="24"/>
          <w:lang w:val="en-GB"/>
        </w:rPr>
      </w:pPr>
      <w:r w:rsidRPr="00773505">
        <w:rPr>
          <w:rFonts w:ascii="Cambria" w:hAnsi="Cambria"/>
          <w:b/>
          <w:bCs/>
          <w:sz w:val="24"/>
          <w:szCs w:val="24"/>
          <w:u w:val="single"/>
        </w:rPr>
        <w:t>Compliance: -</w:t>
      </w:r>
      <w:r w:rsidRPr="00773505">
        <w:rPr>
          <w:rFonts w:ascii="Cambria" w:hAnsi="Cambria"/>
          <w:sz w:val="24"/>
          <w:szCs w:val="24"/>
        </w:rPr>
        <w:t xml:space="preserve"> Audit Report received and filed with Hon’ble OERC vide affidavit dated 13.10.2025.</w:t>
      </w:r>
    </w:p>
    <w:p w14:paraId="264720C5" w14:textId="77777777" w:rsidR="00081DA0" w:rsidRPr="00773505" w:rsidRDefault="00081DA0" w:rsidP="00081DA0">
      <w:pPr>
        <w:pStyle w:val="ListParagraph"/>
        <w:spacing w:after="160" w:line="360" w:lineRule="auto"/>
        <w:ind w:left="714"/>
        <w:jc w:val="both"/>
        <w:rPr>
          <w:rFonts w:ascii="Cambria" w:eastAsia="Cambria" w:hAnsi="Cambria" w:cs="Cambria"/>
          <w:color w:val="000000" w:themeColor="text1"/>
          <w:sz w:val="24"/>
          <w:szCs w:val="24"/>
          <w:lang w:val="en-IN"/>
        </w:rPr>
      </w:pPr>
    </w:p>
    <w:p w14:paraId="11C0EFF9" w14:textId="77777777" w:rsidR="00081DA0" w:rsidRPr="00773505" w:rsidRDefault="00081DA0" w:rsidP="00081DA0">
      <w:pPr>
        <w:pStyle w:val="ListParagraph"/>
        <w:numPr>
          <w:ilvl w:val="0"/>
          <w:numId w:val="87"/>
        </w:numPr>
        <w:spacing w:after="160" w:line="360" w:lineRule="auto"/>
        <w:ind w:left="709"/>
        <w:jc w:val="both"/>
        <w:rPr>
          <w:rFonts w:ascii="Cambria" w:eastAsia="Cambria" w:hAnsi="Cambria" w:cs="Cambria"/>
          <w:color w:val="000000" w:themeColor="text1"/>
          <w:sz w:val="24"/>
          <w:szCs w:val="24"/>
          <w:lang w:val="en-IN"/>
        </w:rPr>
      </w:pPr>
      <w:r w:rsidRPr="00773505">
        <w:rPr>
          <w:rFonts w:ascii="Cambria" w:eastAsia="Cambria" w:hAnsi="Cambria" w:cs="Cambria"/>
          <w:b/>
          <w:bCs/>
          <w:color w:val="000000" w:themeColor="text1"/>
          <w:sz w:val="24"/>
          <w:szCs w:val="24"/>
          <w:u w:val="single"/>
          <w:lang w:val="en-IN"/>
        </w:rPr>
        <w:t>Para No. 27 -</w:t>
      </w:r>
      <w:r w:rsidRPr="00773505">
        <w:rPr>
          <w:rFonts w:ascii="Cambria" w:eastAsia="Cambria" w:hAnsi="Cambria" w:cs="Cambria"/>
          <w:color w:val="000000" w:themeColor="text1"/>
          <w:sz w:val="24"/>
          <w:szCs w:val="24"/>
          <w:lang w:val="en-IN"/>
        </w:rPr>
        <w:t xml:space="preserve"> TPWODL to maintain separate records for arrear collections from consumers pertaining to the period prior to 31.12 20. The amount after deducting the incentive, shall be dealt with as per para 43(h) of the vesting order. The amount shall be paid to GRIDCO on monthly basis towards settlement of outstanding BSP dues. Suitable MIS report shall also be submitted by TPWODL to GRIDCO showing detailed month wise revenue collections and past arrear collections. The same shall be audited by an independent auditor on a half yearly basis and report shall be submitted to the Commission and GRIDCO within 90 days from the end of the half year.</w:t>
      </w:r>
    </w:p>
    <w:p w14:paraId="31C2E518" w14:textId="77777777" w:rsidR="00081DA0" w:rsidRPr="00773505" w:rsidRDefault="00081DA0" w:rsidP="00081DA0">
      <w:pPr>
        <w:pStyle w:val="ListParagraph"/>
        <w:spacing w:after="160" w:line="360" w:lineRule="auto"/>
        <w:ind w:left="714"/>
        <w:jc w:val="both"/>
        <w:rPr>
          <w:rFonts w:ascii="Cambria" w:eastAsia="Cambria" w:hAnsi="Cambria" w:cs="Cambria"/>
          <w:b/>
          <w:bCs/>
          <w:color w:val="000000" w:themeColor="text1"/>
          <w:sz w:val="24"/>
          <w:szCs w:val="24"/>
          <w:u w:val="single"/>
          <w:lang w:val="en-IN"/>
        </w:rPr>
      </w:pPr>
    </w:p>
    <w:p w14:paraId="1CDBA80E" w14:textId="77777777" w:rsidR="00081DA0" w:rsidRPr="00773505" w:rsidRDefault="00081DA0" w:rsidP="00081DA0">
      <w:pPr>
        <w:pStyle w:val="ListParagraph"/>
        <w:spacing w:after="160" w:line="360" w:lineRule="auto"/>
        <w:ind w:left="714"/>
        <w:jc w:val="both"/>
        <w:rPr>
          <w:rFonts w:ascii="Cambria" w:eastAsia="Cambria" w:hAnsi="Cambria" w:cs="Cambria"/>
          <w:color w:val="000000" w:themeColor="text1"/>
          <w:sz w:val="24"/>
          <w:szCs w:val="24"/>
          <w:lang w:val="en-IN"/>
        </w:rPr>
      </w:pPr>
      <w:r w:rsidRPr="00773505">
        <w:rPr>
          <w:rFonts w:ascii="Cambria" w:eastAsia="Cambria" w:hAnsi="Cambria" w:cs="Cambria"/>
          <w:b/>
          <w:bCs/>
          <w:color w:val="000000" w:themeColor="text1"/>
          <w:sz w:val="24"/>
          <w:szCs w:val="24"/>
          <w:u w:val="single"/>
          <w:lang w:val="en-IN"/>
        </w:rPr>
        <w:t>Compliance: -</w:t>
      </w:r>
      <w:r w:rsidRPr="00773505">
        <w:rPr>
          <w:rFonts w:ascii="Cambria" w:eastAsia="Cambria" w:hAnsi="Cambria" w:cs="Cambria"/>
          <w:color w:val="000000" w:themeColor="text1"/>
          <w:sz w:val="24"/>
          <w:szCs w:val="24"/>
          <w:lang w:val="en-IN"/>
        </w:rPr>
        <w:t xml:space="preserve"> Past Arrear Collection statement &amp; Audit Report up to the period H2 of FY 2024-25 has already been submitted to OERC vide Lt. No: TPWODL/RA/2025/47 dated 30.07.2025. MIS of past arrear collection and remittance pattern to GRIDCO since inception of TPWODL to till date (up to month of August 2025 collection and paid till 30th September 2025) has been communicated to GRIDCO &amp; the Hon’ble Commission vide letter dated 05.10.2025 &amp;   13.10.2025 respectively.                                  </w:t>
      </w:r>
    </w:p>
    <w:p w14:paraId="31CAEEDD" w14:textId="77777777" w:rsidR="00081DA0" w:rsidRPr="00773505" w:rsidRDefault="00081DA0" w:rsidP="00081DA0">
      <w:pPr>
        <w:pStyle w:val="ListParagraph"/>
        <w:spacing w:after="160" w:line="360" w:lineRule="auto"/>
        <w:ind w:left="714"/>
        <w:jc w:val="both"/>
        <w:rPr>
          <w:rFonts w:ascii="Cambria" w:eastAsia="Cambria" w:hAnsi="Cambria" w:cs="Cambria"/>
          <w:color w:val="000000" w:themeColor="text1"/>
          <w:sz w:val="24"/>
          <w:szCs w:val="24"/>
          <w:lang w:val="en-IN"/>
        </w:rPr>
      </w:pPr>
    </w:p>
    <w:p w14:paraId="513A5C97" w14:textId="77777777" w:rsidR="00081DA0" w:rsidRPr="00773505" w:rsidRDefault="00081DA0" w:rsidP="00081DA0">
      <w:pPr>
        <w:pStyle w:val="ListParagraph"/>
        <w:numPr>
          <w:ilvl w:val="0"/>
          <w:numId w:val="87"/>
        </w:numPr>
        <w:spacing w:after="160" w:line="360" w:lineRule="auto"/>
        <w:ind w:left="709"/>
        <w:jc w:val="both"/>
        <w:rPr>
          <w:rFonts w:ascii="Cambria" w:eastAsia="Cambria" w:hAnsi="Cambria" w:cs="Cambria"/>
          <w:color w:val="000000" w:themeColor="text1"/>
          <w:sz w:val="24"/>
          <w:szCs w:val="24"/>
          <w:lang w:val="en-IN"/>
        </w:rPr>
      </w:pPr>
      <w:r w:rsidRPr="00773505">
        <w:rPr>
          <w:rFonts w:ascii="Cambria" w:eastAsia="Cambria" w:hAnsi="Cambria" w:cs="Cambria"/>
          <w:b/>
          <w:bCs/>
          <w:color w:val="000000" w:themeColor="text1"/>
          <w:sz w:val="24"/>
          <w:szCs w:val="24"/>
          <w:u w:val="single"/>
          <w:lang w:val="en-IN"/>
        </w:rPr>
        <w:t>Para No. 28 -</w:t>
      </w:r>
      <w:r w:rsidRPr="00773505">
        <w:rPr>
          <w:rFonts w:ascii="Cambria" w:eastAsia="Cambria" w:hAnsi="Cambria" w:cs="Cambria"/>
          <w:color w:val="000000" w:themeColor="text1"/>
          <w:sz w:val="24"/>
          <w:szCs w:val="24"/>
          <w:lang w:val="en-IN"/>
        </w:rPr>
        <w:t xml:space="preserve"> TPWODL shall obtain Commission’s approval for liabilities pertaining to period before 31.12.20 as and when settled. TPWODL shall obtain post facto approval if not obtained.</w:t>
      </w:r>
    </w:p>
    <w:p w14:paraId="678D2DB9" w14:textId="3D85D996" w:rsidR="009A4EBA" w:rsidRPr="00773505" w:rsidRDefault="00081DA0" w:rsidP="00081DA0">
      <w:pPr>
        <w:spacing w:after="160" w:line="360" w:lineRule="auto"/>
        <w:ind w:left="714"/>
        <w:contextualSpacing/>
        <w:jc w:val="both"/>
      </w:pPr>
      <w:r w:rsidRPr="00773505">
        <w:rPr>
          <w:rFonts w:ascii="Cambria" w:eastAsia="Cambria" w:hAnsi="Cambria" w:cs="Cambria"/>
          <w:b/>
          <w:bCs/>
          <w:color w:val="000000" w:themeColor="text1"/>
          <w:u w:val="single"/>
          <w:lang w:val="en-IN"/>
        </w:rPr>
        <w:t>Compliance: -</w:t>
      </w:r>
      <w:r w:rsidRPr="00773505">
        <w:rPr>
          <w:rFonts w:ascii="Cambria" w:eastAsia="Cambria" w:hAnsi="Cambria" w:cs="Cambria"/>
          <w:color w:val="000000" w:themeColor="text1"/>
          <w:lang w:val="en-IN"/>
        </w:rPr>
        <w:t xml:space="preserve"> TPWODL is seeking approval on case-to-case basis for the payment being made after declaration of segregation / carve out order. However, as per the direction of the Hon’ble Commission all pending claims as received till Dec-24 were submitted for commission’s approval. The final approval for payment has been received from Hon’ble OERC on 31st May 2025.</w:t>
      </w:r>
    </w:p>
    <w:p w14:paraId="5F77AADC" w14:textId="7CE17F8F" w:rsidR="009A4EBA" w:rsidRPr="001E3699" w:rsidRDefault="009A4EBA" w:rsidP="00F678E8">
      <w:pPr>
        <w:pStyle w:val="Heading1"/>
        <w:numPr>
          <w:ilvl w:val="0"/>
          <w:numId w:val="1"/>
        </w:numPr>
        <w:shd w:val="clear" w:color="auto" w:fill="002060"/>
        <w:spacing w:line="360" w:lineRule="auto"/>
        <w:jc w:val="both"/>
        <w:rPr>
          <w:rFonts w:ascii="Cambria" w:hAnsi="Cambria"/>
          <w:sz w:val="24"/>
          <w:szCs w:val="24"/>
        </w:rPr>
      </w:pPr>
      <w:bookmarkStart w:id="145" w:name="_Toc152180125"/>
      <w:bookmarkStart w:id="146" w:name="_Toc183204736"/>
      <w:bookmarkStart w:id="147" w:name="_Hlk214966198"/>
      <w:bookmarkStart w:id="148" w:name="_Toc215250640"/>
      <w:r w:rsidRPr="001E3699">
        <w:rPr>
          <w:rFonts w:ascii="Cambria" w:hAnsi="Cambria"/>
          <w:sz w:val="24"/>
          <w:szCs w:val="24"/>
        </w:rPr>
        <w:t>Allocation of Wheeling and Retail supply cost</w:t>
      </w:r>
      <w:bookmarkEnd w:id="145"/>
      <w:bookmarkEnd w:id="146"/>
      <w:bookmarkEnd w:id="148"/>
    </w:p>
    <w:bookmarkEnd w:id="147"/>
    <w:p w14:paraId="0CE2A333" w14:textId="77777777" w:rsidR="009A4EBA" w:rsidRDefault="009A4EBA" w:rsidP="009A4EBA"/>
    <w:p w14:paraId="6D9B96DE" w14:textId="77777777" w:rsidR="009A4EBA" w:rsidRPr="004A3B22" w:rsidRDefault="009A4EBA" w:rsidP="009A4EBA">
      <w:pPr>
        <w:autoSpaceDE w:val="0"/>
        <w:autoSpaceDN w:val="0"/>
        <w:adjustRightInd w:val="0"/>
        <w:spacing w:line="360" w:lineRule="auto"/>
        <w:rPr>
          <w:rFonts w:asciiTheme="majorHAnsi" w:hAnsiTheme="majorHAnsi"/>
        </w:rPr>
      </w:pPr>
      <w:r w:rsidRPr="004A3B22">
        <w:rPr>
          <w:rFonts w:asciiTheme="majorHAnsi" w:hAnsiTheme="majorHAnsi"/>
        </w:rPr>
        <w:t>As per the Tariff Regulation, 2022 of Hon’ble Commission, vide following clause has directed for allocation of Wheeling and Retail Supply Cost:</w:t>
      </w:r>
    </w:p>
    <w:p w14:paraId="04F7BD76" w14:textId="77777777" w:rsidR="009A4EBA" w:rsidRPr="004A3B22" w:rsidRDefault="009A4EBA" w:rsidP="009A4EBA">
      <w:pPr>
        <w:autoSpaceDE w:val="0"/>
        <w:autoSpaceDN w:val="0"/>
        <w:adjustRightInd w:val="0"/>
        <w:rPr>
          <w:rFonts w:asciiTheme="majorHAnsi" w:hAnsiTheme="majorHAnsi"/>
          <w:lang w:val="en-IN" w:eastAsia="en-IN"/>
        </w:rPr>
      </w:pPr>
    </w:p>
    <w:p w14:paraId="461293C8" w14:textId="65FF59D3" w:rsidR="009A4EBA" w:rsidRPr="004A3B22" w:rsidRDefault="009A4EBA" w:rsidP="009A4EBA">
      <w:pPr>
        <w:autoSpaceDE w:val="0"/>
        <w:autoSpaceDN w:val="0"/>
        <w:adjustRightInd w:val="0"/>
        <w:spacing w:line="360" w:lineRule="auto"/>
        <w:ind w:left="720"/>
        <w:jc w:val="both"/>
        <w:rPr>
          <w:rFonts w:asciiTheme="majorHAnsi" w:hAnsiTheme="majorHAnsi"/>
          <w:i/>
          <w:iCs/>
          <w:sz w:val="16"/>
          <w:szCs w:val="16"/>
          <w:lang w:val="en-IN" w:eastAsia="en-IN"/>
        </w:rPr>
      </w:pPr>
      <w:r w:rsidRPr="004A3B22">
        <w:rPr>
          <w:rFonts w:asciiTheme="majorHAnsi" w:hAnsiTheme="majorHAnsi"/>
          <w:lang w:val="en-IN" w:eastAsia="en-IN"/>
        </w:rPr>
        <w:t>“2</w:t>
      </w:r>
      <w:r w:rsidRPr="004A3B22">
        <w:rPr>
          <w:rFonts w:asciiTheme="majorHAnsi" w:hAnsiTheme="majorHAnsi"/>
          <w:i/>
          <w:iCs/>
          <w:lang w:val="en-IN" w:eastAsia="en-IN"/>
        </w:rPr>
        <w:t>.5.1The Distribution Licensee shall segregate the accounts of the Licensed business into Wheeling Business and Retail Supply Business within one year of notification of these Regulations as per the guidelines to be issued by the Commission.</w:t>
      </w:r>
    </w:p>
    <w:p w14:paraId="51BC3526" w14:textId="77777777" w:rsidR="009A4EBA" w:rsidRPr="004A3B22" w:rsidRDefault="009A4EBA" w:rsidP="009A4EBA">
      <w:pPr>
        <w:autoSpaceDE w:val="0"/>
        <w:autoSpaceDN w:val="0"/>
        <w:adjustRightInd w:val="0"/>
        <w:spacing w:line="360" w:lineRule="auto"/>
        <w:ind w:left="720"/>
        <w:jc w:val="both"/>
        <w:rPr>
          <w:rFonts w:asciiTheme="majorHAnsi" w:hAnsiTheme="majorHAnsi"/>
          <w:i/>
          <w:iCs/>
          <w:lang w:val="en-IN" w:eastAsia="en-IN"/>
        </w:rPr>
      </w:pPr>
      <w:r w:rsidRPr="004A3B22">
        <w:rPr>
          <w:rFonts w:asciiTheme="majorHAnsi" w:hAnsiTheme="majorHAnsi"/>
          <w:i/>
          <w:iCs/>
          <w:lang w:val="en-IN" w:eastAsia="en-IN"/>
        </w:rPr>
        <w:t>2.5.2. The Wheeling Charges of the Distribution Licensee shall be determined by the Commission on the basis of segregated accounts of Wheeling Business:”</w:t>
      </w:r>
    </w:p>
    <w:p w14:paraId="3C4FD64F" w14:textId="77777777" w:rsidR="009A4EBA" w:rsidRPr="004A3B22" w:rsidRDefault="009A4EBA" w:rsidP="009A4EBA">
      <w:pPr>
        <w:autoSpaceDE w:val="0"/>
        <w:autoSpaceDN w:val="0"/>
        <w:adjustRightInd w:val="0"/>
        <w:spacing w:line="360" w:lineRule="auto"/>
        <w:jc w:val="both"/>
        <w:rPr>
          <w:rFonts w:asciiTheme="majorHAnsi" w:hAnsiTheme="majorHAnsi"/>
          <w:i/>
          <w:iCs/>
          <w:sz w:val="16"/>
          <w:szCs w:val="16"/>
          <w:lang w:val="en-IN" w:eastAsia="en-IN"/>
        </w:rPr>
      </w:pPr>
    </w:p>
    <w:p w14:paraId="5DDD76EE" w14:textId="2BAF8519" w:rsidR="009A4EBA" w:rsidRPr="004A3B22" w:rsidRDefault="009A4EBA" w:rsidP="009A4EBA">
      <w:pPr>
        <w:autoSpaceDE w:val="0"/>
        <w:autoSpaceDN w:val="0"/>
        <w:adjustRightInd w:val="0"/>
        <w:spacing w:line="360" w:lineRule="auto"/>
        <w:jc w:val="both"/>
        <w:rPr>
          <w:rFonts w:asciiTheme="majorHAnsi" w:hAnsiTheme="majorHAnsi"/>
          <w:lang w:val="en-IN" w:eastAsia="en-IN"/>
        </w:rPr>
      </w:pPr>
      <w:r w:rsidRPr="004A3B22">
        <w:rPr>
          <w:rFonts w:asciiTheme="majorHAnsi" w:hAnsiTheme="majorHAnsi"/>
          <w:lang w:val="en-IN" w:eastAsia="en-IN"/>
        </w:rPr>
        <w:t>Till the time the Distribution Licensee submits audited and certified separate accounts for Wheeling Business and Retail Supply Business, a</w:t>
      </w:r>
      <w:r w:rsidR="009E59C5">
        <w:rPr>
          <w:rFonts w:asciiTheme="majorHAnsi" w:hAnsiTheme="majorHAnsi"/>
          <w:lang w:val="en-IN" w:eastAsia="en-IN"/>
        </w:rPr>
        <w:t>n</w:t>
      </w:r>
      <w:r w:rsidRPr="004A3B22">
        <w:rPr>
          <w:rFonts w:asciiTheme="majorHAnsi" w:hAnsiTheme="majorHAnsi"/>
          <w:lang w:val="en-IN" w:eastAsia="en-IN"/>
        </w:rPr>
        <w:t xml:space="preserve"> Allocation Matrix as provided shall be applicable, accordingly the licensee has bifurcated the wheeling cost and retail supply cost as per table appended below considering proposed parameters.</w:t>
      </w:r>
    </w:p>
    <w:tbl>
      <w:tblPr>
        <w:tblW w:w="1028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310"/>
        <w:gridCol w:w="1623"/>
        <w:gridCol w:w="1685"/>
        <w:gridCol w:w="1320"/>
        <w:gridCol w:w="1374"/>
      </w:tblGrid>
      <w:tr w:rsidR="009A4EBA" w:rsidRPr="00773505" w14:paraId="18127C1E" w14:textId="77777777" w:rsidTr="000E1100">
        <w:trPr>
          <w:trHeight w:val="1450"/>
          <w:tblHeader/>
        </w:trPr>
        <w:tc>
          <w:tcPr>
            <w:tcW w:w="2977" w:type="dxa"/>
            <w:shd w:val="clear" w:color="auto" w:fill="C6D9F1" w:themeFill="text2" w:themeFillTint="33"/>
            <w:vAlign w:val="center"/>
            <w:hideMark/>
          </w:tcPr>
          <w:p w14:paraId="14286753" w14:textId="77777777" w:rsidR="009A4EBA" w:rsidRPr="00773505" w:rsidRDefault="009A4EBA" w:rsidP="00A01571">
            <w:pPr>
              <w:rPr>
                <w:rFonts w:asciiTheme="majorHAnsi" w:hAnsiTheme="majorHAnsi" w:cs="Calibri"/>
                <w:b/>
                <w:bCs/>
                <w:color w:val="000000"/>
                <w:sz w:val="22"/>
                <w:szCs w:val="22"/>
              </w:rPr>
            </w:pPr>
            <w:r w:rsidRPr="00773505">
              <w:rPr>
                <w:rFonts w:asciiTheme="majorHAnsi" w:hAnsiTheme="majorHAnsi" w:cs="Calibri"/>
                <w:b/>
                <w:bCs/>
                <w:color w:val="000000"/>
                <w:sz w:val="22"/>
                <w:szCs w:val="22"/>
              </w:rPr>
              <w:t>Cost/Income Component</w:t>
            </w:r>
          </w:p>
        </w:tc>
        <w:tc>
          <w:tcPr>
            <w:tcW w:w="1310" w:type="dxa"/>
            <w:shd w:val="clear" w:color="auto" w:fill="C6D9F1" w:themeFill="text2" w:themeFillTint="33"/>
            <w:vAlign w:val="center"/>
            <w:hideMark/>
          </w:tcPr>
          <w:p w14:paraId="06F3EB48" w14:textId="0610F26C" w:rsidR="009A4EBA" w:rsidRPr="00773505" w:rsidRDefault="009A4EBA" w:rsidP="00A01571">
            <w:pPr>
              <w:jc w:val="center"/>
              <w:rPr>
                <w:rFonts w:asciiTheme="majorHAnsi" w:hAnsiTheme="majorHAnsi" w:cs="Calibri"/>
                <w:b/>
                <w:bCs/>
                <w:color w:val="000000"/>
                <w:sz w:val="22"/>
                <w:szCs w:val="22"/>
              </w:rPr>
            </w:pPr>
            <w:r w:rsidRPr="00773505">
              <w:rPr>
                <w:rFonts w:asciiTheme="majorHAnsi" w:hAnsiTheme="majorHAnsi" w:cs="Calibri"/>
                <w:b/>
                <w:bCs/>
                <w:color w:val="000000"/>
                <w:sz w:val="22"/>
                <w:szCs w:val="22"/>
              </w:rPr>
              <w:t xml:space="preserve">ARR for FY </w:t>
            </w:r>
            <w:r w:rsidR="009A0E63" w:rsidRPr="00773505">
              <w:rPr>
                <w:rFonts w:asciiTheme="majorHAnsi" w:hAnsiTheme="majorHAnsi" w:cs="Calibri"/>
                <w:b/>
                <w:bCs/>
                <w:color w:val="000000"/>
                <w:sz w:val="22"/>
                <w:szCs w:val="22"/>
              </w:rPr>
              <w:t>2026-27</w:t>
            </w:r>
          </w:p>
          <w:p w14:paraId="6D108CFA" w14:textId="1E4ECDD3" w:rsidR="00905040" w:rsidRPr="00773505" w:rsidRDefault="00905040" w:rsidP="00A01571">
            <w:pPr>
              <w:jc w:val="center"/>
              <w:rPr>
                <w:rFonts w:asciiTheme="majorHAnsi" w:hAnsiTheme="majorHAnsi" w:cs="Calibri"/>
                <w:b/>
                <w:bCs/>
                <w:color w:val="000000"/>
                <w:sz w:val="22"/>
                <w:szCs w:val="22"/>
              </w:rPr>
            </w:pPr>
            <w:r w:rsidRPr="00773505">
              <w:rPr>
                <w:rFonts w:asciiTheme="majorHAnsi" w:hAnsiTheme="majorHAnsi" w:cs="Calibri"/>
                <w:b/>
                <w:bCs/>
                <w:color w:val="000000"/>
                <w:sz w:val="22"/>
                <w:szCs w:val="22"/>
              </w:rPr>
              <w:t>(Rs. Cr.)</w:t>
            </w:r>
          </w:p>
        </w:tc>
        <w:tc>
          <w:tcPr>
            <w:tcW w:w="1623" w:type="dxa"/>
            <w:shd w:val="clear" w:color="auto" w:fill="C6D9F1" w:themeFill="text2" w:themeFillTint="33"/>
            <w:vAlign w:val="center"/>
            <w:hideMark/>
          </w:tcPr>
          <w:p w14:paraId="2EFD4B02" w14:textId="77777777" w:rsidR="009A4EBA" w:rsidRPr="00773505" w:rsidRDefault="009A4EBA" w:rsidP="00A01571">
            <w:pPr>
              <w:jc w:val="center"/>
              <w:rPr>
                <w:rFonts w:asciiTheme="majorHAnsi" w:hAnsiTheme="majorHAnsi" w:cs="Calibri"/>
                <w:b/>
                <w:bCs/>
                <w:color w:val="000000"/>
                <w:sz w:val="22"/>
                <w:szCs w:val="22"/>
              </w:rPr>
            </w:pPr>
            <w:r w:rsidRPr="00773505">
              <w:rPr>
                <w:rFonts w:asciiTheme="majorHAnsi" w:hAnsiTheme="majorHAnsi" w:cs="Calibri"/>
                <w:b/>
                <w:bCs/>
                <w:color w:val="000000"/>
                <w:sz w:val="22"/>
                <w:szCs w:val="22"/>
              </w:rPr>
              <w:t>Assumption Ratio for consideration in Wheeling Business</w:t>
            </w:r>
          </w:p>
        </w:tc>
        <w:tc>
          <w:tcPr>
            <w:tcW w:w="1685" w:type="dxa"/>
            <w:shd w:val="clear" w:color="auto" w:fill="C6D9F1" w:themeFill="text2" w:themeFillTint="33"/>
            <w:vAlign w:val="center"/>
            <w:hideMark/>
          </w:tcPr>
          <w:p w14:paraId="46334CB0" w14:textId="77777777" w:rsidR="009A4EBA" w:rsidRPr="00773505" w:rsidRDefault="009A4EBA" w:rsidP="00A01571">
            <w:pPr>
              <w:jc w:val="center"/>
              <w:rPr>
                <w:rFonts w:asciiTheme="majorHAnsi" w:hAnsiTheme="majorHAnsi" w:cs="Calibri"/>
                <w:b/>
                <w:bCs/>
                <w:color w:val="000000"/>
                <w:sz w:val="22"/>
                <w:szCs w:val="22"/>
              </w:rPr>
            </w:pPr>
            <w:r w:rsidRPr="00773505">
              <w:rPr>
                <w:rFonts w:asciiTheme="majorHAnsi" w:hAnsiTheme="majorHAnsi" w:cs="Calibri"/>
                <w:b/>
                <w:bCs/>
                <w:color w:val="000000"/>
                <w:sz w:val="22"/>
                <w:szCs w:val="22"/>
              </w:rPr>
              <w:t>Assumption Ratio for consideration in Retail Supply Business</w:t>
            </w:r>
          </w:p>
        </w:tc>
        <w:tc>
          <w:tcPr>
            <w:tcW w:w="1320" w:type="dxa"/>
            <w:shd w:val="clear" w:color="auto" w:fill="C6D9F1" w:themeFill="text2" w:themeFillTint="33"/>
            <w:vAlign w:val="center"/>
            <w:hideMark/>
          </w:tcPr>
          <w:p w14:paraId="7DFF1B15" w14:textId="12AB8DF9" w:rsidR="009A4EBA" w:rsidRPr="00773505" w:rsidRDefault="009A4EBA" w:rsidP="00A01571">
            <w:pPr>
              <w:jc w:val="center"/>
              <w:rPr>
                <w:rFonts w:asciiTheme="majorHAnsi" w:hAnsiTheme="majorHAnsi" w:cs="Calibri"/>
                <w:b/>
                <w:bCs/>
                <w:color w:val="000000"/>
                <w:sz w:val="22"/>
                <w:szCs w:val="22"/>
              </w:rPr>
            </w:pPr>
            <w:r w:rsidRPr="00773505">
              <w:rPr>
                <w:rFonts w:asciiTheme="majorHAnsi" w:hAnsiTheme="majorHAnsi" w:cs="Calibri"/>
                <w:b/>
                <w:bCs/>
                <w:color w:val="000000"/>
                <w:sz w:val="22"/>
                <w:szCs w:val="22"/>
              </w:rPr>
              <w:t xml:space="preserve">Wheeling cost for FY </w:t>
            </w:r>
            <w:r w:rsidR="009A0E63" w:rsidRPr="00773505">
              <w:rPr>
                <w:rFonts w:asciiTheme="majorHAnsi" w:hAnsiTheme="majorHAnsi" w:cs="Calibri"/>
                <w:b/>
                <w:bCs/>
                <w:color w:val="000000"/>
                <w:sz w:val="22"/>
                <w:szCs w:val="22"/>
              </w:rPr>
              <w:t>2026-27</w:t>
            </w:r>
          </w:p>
          <w:p w14:paraId="3911E849" w14:textId="6C98FF2D" w:rsidR="00905040" w:rsidRPr="00773505" w:rsidRDefault="00905040" w:rsidP="00A01571">
            <w:pPr>
              <w:jc w:val="center"/>
              <w:rPr>
                <w:rFonts w:asciiTheme="majorHAnsi" w:hAnsiTheme="majorHAnsi" w:cs="Calibri"/>
                <w:b/>
                <w:bCs/>
                <w:color w:val="000000"/>
                <w:sz w:val="22"/>
                <w:szCs w:val="22"/>
              </w:rPr>
            </w:pPr>
            <w:r w:rsidRPr="00773505">
              <w:rPr>
                <w:rFonts w:asciiTheme="majorHAnsi" w:hAnsiTheme="majorHAnsi" w:cs="Calibri"/>
                <w:b/>
                <w:bCs/>
                <w:color w:val="000000"/>
                <w:sz w:val="22"/>
                <w:szCs w:val="22"/>
              </w:rPr>
              <w:t>(Rs. Cr.)</w:t>
            </w:r>
          </w:p>
        </w:tc>
        <w:tc>
          <w:tcPr>
            <w:tcW w:w="1374" w:type="dxa"/>
            <w:shd w:val="clear" w:color="auto" w:fill="C6D9F1" w:themeFill="text2" w:themeFillTint="33"/>
            <w:vAlign w:val="center"/>
            <w:hideMark/>
          </w:tcPr>
          <w:p w14:paraId="542AAA7A" w14:textId="11491FD6" w:rsidR="009A4EBA" w:rsidRPr="00773505" w:rsidRDefault="009A4EBA" w:rsidP="00A01571">
            <w:pPr>
              <w:jc w:val="center"/>
              <w:rPr>
                <w:rFonts w:asciiTheme="majorHAnsi" w:hAnsiTheme="majorHAnsi" w:cs="Calibri"/>
                <w:b/>
                <w:bCs/>
                <w:color w:val="000000"/>
                <w:sz w:val="22"/>
                <w:szCs w:val="22"/>
              </w:rPr>
            </w:pPr>
            <w:r w:rsidRPr="00773505">
              <w:rPr>
                <w:rFonts w:asciiTheme="majorHAnsi" w:hAnsiTheme="majorHAnsi" w:cs="Calibri"/>
                <w:b/>
                <w:bCs/>
                <w:color w:val="000000"/>
                <w:sz w:val="22"/>
                <w:szCs w:val="22"/>
              </w:rPr>
              <w:t xml:space="preserve">Retail supply Cost for FY </w:t>
            </w:r>
            <w:r w:rsidR="007507C7" w:rsidRPr="00773505">
              <w:rPr>
                <w:rFonts w:asciiTheme="majorHAnsi" w:hAnsiTheme="majorHAnsi" w:cs="Calibri"/>
                <w:b/>
                <w:bCs/>
                <w:color w:val="000000"/>
                <w:sz w:val="22"/>
                <w:szCs w:val="22"/>
              </w:rPr>
              <w:t>26-27</w:t>
            </w:r>
          </w:p>
          <w:p w14:paraId="7F090505" w14:textId="47357003" w:rsidR="00905040" w:rsidRPr="00773505" w:rsidRDefault="00905040" w:rsidP="00A01571">
            <w:pPr>
              <w:jc w:val="center"/>
              <w:rPr>
                <w:rFonts w:asciiTheme="majorHAnsi" w:hAnsiTheme="majorHAnsi" w:cs="Calibri"/>
                <w:b/>
                <w:bCs/>
                <w:color w:val="000000"/>
                <w:sz w:val="22"/>
                <w:szCs w:val="22"/>
              </w:rPr>
            </w:pPr>
            <w:r w:rsidRPr="00773505">
              <w:rPr>
                <w:rFonts w:asciiTheme="majorHAnsi" w:hAnsiTheme="majorHAnsi" w:cs="Calibri"/>
                <w:b/>
                <w:bCs/>
                <w:color w:val="000000"/>
                <w:sz w:val="22"/>
                <w:szCs w:val="22"/>
              </w:rPr>
              <w:t>(Rs. Cr.)</w:t>
            </w:r>
          </w:p>
        </w:tc>
      </w:tr>
      <w:tr w:rsidR="00303AA4" w:rsidRPr="00773505" w14:paraId="0FA12846" w14:textId="77777777" w:rsidTr="001F21DF">
        <w:trPr>
          <w:trHeight w:val="250"/>
        </w:trPr>
        <w:tc>
          <w:tcPr>
            <w:tcW w:w="2977" w:type="dxa"/>
            <w:noWrap/>
            <w:vAlign w:val="center"/>
            <w:hideMark/>
          </w:tcPr>
          <w:p w14:paraId="18304293" w14:textId="77777777" w:rsidR="00303AA4" w:rsidRPr="00773505" w:rsidRDefault="00303AA4" w:rsidP="00303AA4">
            <w:pPr>
              <w:rPr>
                <w:rFonts w:asciiTheme="majorHAnsi" w:hAnsiTheme="majorHAnsi" w:cs="Arial"/>
                <w:sz w:val="22"/>
                <w:szCs w:val="22"/>
              </w:rPr>
            </w:pPr>
            <w:r w:rsidRPr="00773505">
              <w:rPr>
                <w:rFonts w:asciiTheme="majorHAnsi" w:hAnsiTheme="majorHAnsi" w:cs="Arial"/>
                <w:sz w:val="22"/>
                <w:szCs w:val="22"/>
              </w:rPr>
              <w:t>Cost of Power</w:t>
            </w:r>
          </w:p>
        </w:tc>
        <w:tc>
          <w:tcPr>
            <w:tcW w:w="1310" w:type="dxa"/>
            <w:noWrap/>
            <w:vAlign w:val="bottom"/>
          </w:tcPr>
          <w:p w14:paraId="0E76B34F" w14:textId="0B922B9C" w:rsidR="00303AA4" w:rsidRPr="00773505" w:rsidRDefault="00303AA4" w:rsidP="00303AA4">
            <w:pPr>
              <w:jc w:val="center"/>
              <w:rPr>
                <w:rFonts w:asciiTheme="majorHAnsi" w:hAnsiTheme="majorHAnsi" w:cs="Arial"/>
                <w:sz w:val="22"/>
                <w:szCs w:val="22"/>
                <w:highlight w:val="yellow"/>
              </w:rPr>
            </w:pPr>
            <w:r w:rsidRPr="00773505">
              <w:rPr>
                <w:rFonts w:asciiTheme="majorHAnsi" w:hAnsiTheme="majorHAnsi" w:cs="Arial"/>
                <w:sz w:val="22"/>
                <w:szCs w:val="22"/>
              </w:rPr>
              <w:t>4597.53</w:t>
            </w:r>
          </w:p>
        </w:tc>
        <w:tc>
          <w:tcPr>
            <w:tcW w:w="1623" w:type="dxa"/>
            <w:noWrap/>
            <w:vAlign w:val="center"/>
            <w:hideMark/>
          </w:tcPr>
          <w:p w14:paraId="7AC9901F" w14:textId="43E026FE" w:rsidR="00303AA4" w:rsidRPr="00773505" w:rsidRDefault="00303AA4" w:rsidP="00303AA4">
            <w:pPr>
              <w:jc w:val="center"/>
              <w:rPr>
                <w:rFonts w:asciiTheme="majorHAnsi" w:hAnsiTheme="majorHAnsi" w:cs="Arial"/>
                <w:sz w:val="22"/>
                <w:szCs w:val="22"/>
              </w:rPr>
            </w:pPr>
            <w:r w:rsidRPr="00773505">
              <w:rPr>
                <w:rFonts w:asciiTheme="majorHAnsi" w:hAnsiTheme="majorHAnsi" w:cs="Arial"/>
                <w:sz w:val="22"/>
                <w:szCs w:val="22"/>
              </w:rPr>
              <w:t>0%</w:t>
            </w:r>
          </w:p>
        </w:tc>
        <w:tc>
          <w:tcPr>
            <w:tcW w:w="1685" w:type="dxa"/>
            <w:noWrap/>
            <w:vAlign w:val="center"/>
            <w:hideMark/>
          </w:tcPr>
          <w:p w14:paraId="21AAFED5" w14:textId="2D2F9882" w:rsidR="00303AA4" w:rsidRPr="00773505" w:rsidRDefault="00303AA4" w:rsidP="00303AA4">
            <w:pPr>
              <w:jc w:val="center"/>
              <w:rPr>
                <w:rFonts w:asciiTheme="majorHAnsi" w:hAnsiTheme="majorHAnsi" w:cs="Arial"/>
                <w:sz w:val="22"/>
                <w:szCs w:val="22"/>
              </w:rPr>
            </w:pPr>
            <w:r w:rsidRPr="00773505">
              <w:rPr>
                <w:rFonts w:asciiTheme="majorHAnsi" w:hAnsiTheme="majorHAnsi" w:cs="Arial"/>
                <w:sz w:val="22"/>
                <w:szCs w:val="22"/>
              </w:rPr>
              <w:t>100%</w:t>
            </w:r>
          </w:p>
        </w:tc>
        <w:tc>
          <w:tcPr>
            <w:tcW w:w="1320" w:type="dxa"/>
            <w:noWrap/>
            <w:vAlign w:val="bottom"/>
          </w:tcPr>
          <w:p w14:paraId="37FEF7BD" w14:textId="416FECE5" w:rsidR="00303AA4" w:rsidRPr="00773505" w:rsidRDefault="00303AA4" w:rsidP="00303AA4">
            <w:pPr>
              <w:jc w:val="center"/>
              <w:rPr>
                <w:rFonts w:asciiTheme="majorHAnsi" w:hAnsiTheme="majorHAnsi" w:cs="Arial"/>
                <w:sz w:val="22"/>
                <w:szCs w:val="22"/>
                <w:highlight w:val="yellow"/>
              </w:rPr>
            </w:pPr>
            <w:r w:rsidRPr="00773505">
              <w:rPr>
                <w:rFonts w:asciiTheme="majorHAnsi" w:hAnsiTheme="majorHAnsi" w:cs="Arial"/>
                <w:sz w:val="22"/>
                <w:szCs w:val="22"/>
              </w:rPr>
              <w:t>245.28</w:t>
            </w:r>
          </w:p>
        </w:tc>
        <w:tc>
          <w:tcPr>
            <w:tcW w:w="1374" w:type="dxa"/>
            <w:noWrap/>
            <w:vAlign w:val="bottom"/>
          </w:tcPr>
          <w:p w14:paraId="4B72D6A4" w14:textId="29F7BA3F" w:rsidR="00303AA4" w:rsidRPr="00773505" w:rsidRDefault="00303AA4" w:rsidP="00303AA4">
            <w:pPr>
              <w:jc w:val="center"/>
              <w:rPr>
                <w:rFonts w:asciiTheme="majorHAnsi" w:hAnsiTheme="majorHAnsi" w:cs="Arial"/>
                <w:sz w:val="22"/>
                <w:szCs w:val="22"/>
                <w:highlight w:val="yellow"/>
              </w:rPr>
            </w:pPr>
            <w:r w:rsidRPr="00773505">
              <w:rPr>
                <w:rFonts w:asciiTheme="majorHAnsi" w:hAnsiTheme="majorHAnsi" w:cs="Arial"/>
                <w:sz w:val="22"/>
                <w:szCs w:val="22"/>
              </w:rPr>
              <w:t>4352.2</w:t>
            </w:r>
            <w:r w:rsidR="00557F76">
              <w:rPr>
                <w:rFonts w:asciiTheme="majorHAnsi" w:hAnsiTheme="majorHAnsi" w:cs="Arial"/>
                <w:sz w:val="22"/>
                <w:szCs w:val="22"/>
              </w:rPr>
              <w:t>6</w:t>
            </w:r>
          </w:p>
        </w:tc>
      </w:tr>
      <w:tr w:rsidR="00303AA4" w:rsidRPr="00773505" w14:paraId="6D1503E4" w14:textId="77777777" w:rsidTr="001F21DF">
        <w:trPr>
          <w:trHeight w:val="250"/>
        </w:trPr>
        <w:tc>
          <w:tcPr>
            <w:tcW w:w="2977" w:type="dxa"/>
            <w:noWrap/>
            <w:vAlign w:val="center"/>
            <w:hideMark/>
          </w:tcPr>
          <w:p w14:paraId="3492BEFA" w14:textId="77777777" w:rsidR="00303AA4" w:rsidRPr="00773505" w:rsidRDefault="00303AA4" w:rsidP="00303AA4">
            <w:pPr>
              <w:rPr>
                <w:rFonts w:asciiTheme="majorHAnsi" w:hAnsiTheme="majorHAnsi" w:cs="Arial"/>
                <w:sz w:val="22"/>
                <w:szCs w:val="22"/>
              </w:rPr>
            </w:pPr>
            <w:r w:rsidRPr="00773505">
              <w:rPr>
                <w:rFonts w:asciiTheme="majorHAnsi" w:hAnsiTheme="majorHAnsi" w:cs="Arial"/>
                <w:sz w:val="22"/>
                <w:szCs w:val="22"/>
              </w:rPr>
              <w:t>Transmission Charges</w:t>
            </w:r>
          </w:p>
        </w:tc>
        <w:tc>
          <w:tcPr>
            <w:tcW w:w="1310" w:type="dxa"/>
            <w:noWrap/>
            <w:vAlign w:val="bottom"/>
          </w:tcPr>
          <w:p w14:paraId="7CB54379" w14:textId="660791B7" w:rsidR="00303AA4" w:rsidRPr="00773505" w:rsidRDefault="00303AA4" w:rsidP="00303AA4">
            <w:pPr>
              <w:jc w:val="center"/>
              <w:rPr>
                <w:rFonts w:asciiTheme="majorHAnsi" w:hAnsiTheme="majorHAnsi" w:cs="Arial"/>
                <w:sz w:val="22"/>
                <w:szCs w:val="22"/>
                <w:highlight w:val="yellow"/>
              </w:rPr>
            </w:pPr>
            <w:r w:rsidRPr="00773505">
              <w:rPr>
                <w:rFonts w:asciiTheme="majorHAnsi" w:hAnsiTheme="majorHAnsi" w:cs="Arial"/>
                <w:sz w:val="22"/>
                <w:szCs w:val="22"/>
              </w:rPr>
              <w:t>304.41</w:t>
            </w:r>
          </w:p>
        </w:tc>
        <w:tc>
          <w:tcPr>
            <w:tcW w:w="1623" w:type="dxa"/>
            <w:noWrap/>
            <w:vAlign w:val="center"/>
            <w:hideMark/>
          </w:tcPr>
          <w:p w14:paraId="50EA842C" w14:textId="77615A7E" w:rsidR="00303AA4" w:rsidRPr="00773505" w:rsidRDefault="00303AA4" w:rsidP="00303AA4">
            <w:pPr>
              <w:jc w:val="center"/>
              <w:rPr>
                <w:rFonts w:asciiTheme="majorHAnsi" w:hAnsiTheme="majorHAnsi" w:cs="Arial"/>
                <w:sz w:val="22"/>
                <w:szCs w:val="22"/>
              </w:rPr>
            </w:pPr>
            <w:r w:rsidRPr="00773505">
              <w:rPr>
                <w:rFonts w:asciiTheme="majorHAnsi" w:hAnsiTheme="majorHAnsi" w:cs="Arial"/>
                <w:sz w:val="22"/>
                <w:szCs w:val="22"/>
              </w:rPr>
              <w:t>0%</w:t>
            </w:r>
          </w:p>
        </w:tc>
        <w:tc>
          <w:tcPr>
            <w:tcW w:w="1685" w:type="dxa"/>
            <w:noWrap/>
            <w:vAlign w:val="center"/>
            <w:hideMark/>
          </w:tcPr>
          <w:p w14:paraId="4FDD78B4" w14:textId="6F17D1B5" w:rsidR="00303AA4" w:rsidRPr="00773505" w:rsidRDefault="00303AA4" w:rsidP="00303AA4">
            <w:pPr>
              <w:jc w:val="center"/>
              <w:rPr>
                <w:rFonts w:asciiTheme="majorHAnsi" w:hAnsiTheme="majorHAnsi" w:cs="Arial"/>
                <w:sz w:val="22"/>
                <w:szCs w:val="22"/>
              </w:rPr>
            </w:pPr>
            <w:r w:rsidRPr="00773505">
              <w:rPr>
                <w:rFonts w:asciiTheme="majorHAnsi" w:hAnsiTheme="majorHAnsi" w:cs="Arial"/>
                <w:sz w:val="22"/>
                <w:szCs w:val="22"/>
              </w:rPr>
              <w:t>100%</w:t>
            </w:r>
          </w:p>
        </w:tc>
        <w:tc>
          <w:tcPr>
            <w:tcW w:w="1320" w:type="dxa"/>
            <w:noWrap/>
            <w:vAlign w:val="bottom"/>
          </w:tcPr>
          <w:p w14:paraId="7E6C80BB" w14:textId="5D4FAC23" w:rsidR="00303AA4" w:rsidRPr="00773505" w:rsidRDefault="00303AA4" w:rsidP="00303AA4">
            <w:pPr>
              <w:jc w:val="center"/>
              <w:rPr>
                <w:rFonts w:asciiTheme="majorHAnsi" w:hAnsiTheme="majorHAnsi" w:cs="Arial"/>
                <w:sz w:val="22"/>
                <w:szCs w:val="22"/>
                <w:highlight w:val="yellow"/>
              </w:rPr>
            </w:pPr>
            <w:r w:rsidRPr="00773505">
              <w:rPr>
                <w:rFonts w:asciiTheme="majorHAnsi" w:hAnsiTheme="majorHAnsi" w:cs="Arial"/>
                <w:sz w:val="22"/>
                <w:szCs w:val="22"/>
              </w:rPr>
              <w:t>16.25</w:t>
            </w:r>
          </w:p>
        </w:tc>
        <w:tc>
          <w:tcPr>
            <w:tcW w:w="1374" w:type="dxa"/>
            <w:noWrap/>
            <w:vAlign w:val="bottom"/>
          </w:tcPr>
          <w:p w14:paraId="239382FE" w14:textId="6D7F9E6B" w:rsidR="00303AA4" w:rsidRPr="00773505" w:rsidRDefault="00303AA4" w:rsidP="00303AA4">
            <w:pPr>
              <w:jc w:val="center"/>
              <w:rPr>
                <w:rFonts w:asciiTheme="majorHAnsi" w:hAnsiTheme="majorHAnsi" w:cs="Arial"/>
                <w:sz w:val="22"/>
                <w:szCs w:val="22"/>
                <w:highlight w:val="yellow"/>
              </w:rPr>
            </w:pPr>
            <w:r w:rsidRPr="00773505">
              <w:rPr>
                <w:rFonts w:asciiTheme="majorHAnsi" w:hAnsiTheme="majorHAnsi" w:cs="Arial"/>
                <w:sz w:val="22"/>
                <w:szCs w:val="22"/>
              </w:rPr>
              <w:t>288.1</w:t>
            </w:r>
            <w:r w:rsidR="00557F76">
              <w:rPr>
                <w:rFonts w:asciiTheme="majorHAnsi" w:hAnsiTheme="majorHAnsi" w:cs="Arial"/>
                <w:sz w:val="22"/>
                <w:szCs w:val="22"/>
              </w:rPr>
              <w:t>7</w:t>
            </w:r>
          </w:p>
        </w:tc>
      </w:tr>
      <w:tr w:rsidR="00303AA4" w:rsidRPr="00773505" w14:paraId="71FCA1D9" w14:textId="77777777" w:rsidTr="001F21DF">
        <w:trPr>
          <w:trHeight w:val="250"/>
        </w:trPr>
        <w:tc>
          <w:tcPr>
            <w:tcW w:w="2977" w:type="dxa"/>
            <w:noWrap/>
            <w:vAlign w:val="center"/>
            <w:hideMark/>
          </w:tcPr>
          <w:p w14:paraId="5A4335D1" w14:textId="77777777" w:rsidR="00303AA4" w:rsidRPr="00773505" w:rsidRDefault="00303AA4" w:rsidP="00303AA4">
            <w:pPr>
              <w:rPr>
                <w:rFonts w:asciiTheme="majorHAnsi" w:hAnsiTheme="majorHAnsi" w:cs="Arial"/>
                <w:sz w:val="22"/>
                <w:szCs w:val="22"/>
              </w:rPr>
            </w:pPr>
            <w:r w:rsidRPr="00773505">
              <w:rPr>
                <w:rFonts w:asciiTheme="majorHAnsi" w:hAnsiTheme="majorHAnsi" w:cs="Arial"/>
                <w:sz w:val="22"/>
                <w:szCs w:val="22"/>
              </w:rPr>
              <w:t>SLDC Charges</w:t>
            </w:r>
          </w:p>
        </w:tc>
        <w:tc>
          <w:tcPr>
            <w:tcW w:w="1310" w:type="dxa"/>
            <w:noWrap/>
            <w:vAlign w:val="bottom"/>
          </w:tcPr>
          <w:p w14:paraId="5F7473A8" w14:textId="59E1EB73" w:rsidR="00303AA4" w:rsidRPr="00773505" w:rsidRDefault="00303AA4" w:rsidP="00303AA4">
            <w:pPr>
              <w:jc w:val="center"/>
              <w:rPr>
                <w:rFonts w:asciiTheme="majorHAnsi" w:hAnsiTheme="majorHAnsi" w:cs="Arial"/>
                <w:sz w:val="22"/>
                <w:szCs w:val="22"/>
                <w:highlight w:val="yellow"/>
              </w:rPr>
            </w:pPr>
            <w:r w:rsidRPr="00773505">
              <w:rPr>
                <w:rFonts w:asciiTheme="majorHAnsi" w:hAnsiTheme="majorHAnsi" w:cs="Arial"/>
                <w:sz w:val="22"/>
                <w:szCs w:val="22"/>
              </w:rPr>
              <w:t>1.91</w:t>
            </w:r>
          </w:p>
        </w:tc>
        <w:tc>
          <w:tcPr>
            <w:tcW w:w="1623" w:type="dxa"/>
            <w:noWrap/>
            <w:vAlign w:val="center"/>
            <w:hideMark/>
          </w:tcPr>
          <w:p w14:paraId="1185E0FB" w14:textId="31B2C97C" w:rsidR="00303AA4" w:rsidRPr="00773505" w:rsidRDefault="00303AA4" w:rsidP="00303AA4">
            <w:pPr>
              <w:jc w:val="center"/>
              <w:rPr>
                <w:rFonts w:asciiTheme="majorHAnsi" w:hAnsiTheme="majorHAnsi" w:cs="Arial"/>
                <w:sz w:val="22"/>
                <w:szCs w:val="22"/>
              </w:rPr>
            </w:pPr>
            <w:r w:rsidRPr="00773505">
              <w:rPr>
                <w:rFonts w:asciiTheme="majorHAnsi" w:hAnsiTheme="majorHAnsi" w:cs="Arial"/>
                <w:sz w:val="22"/>
                <w:szCs w:val="22"/>
              </w:rPr>
              <w:t>100%</w:t>
            </w:r>
          </w:p>
        </w:tc>
        <w:tc>
          <w:tcPr>
            <w:tcW w:w="1685" w:type="dxa"/>
            <w:noWrap/>
            <w:vAlign w:val="center"/>
            <w:hideMark/>
          </w:tcPr>
          <w:p w14:paraId="5814B4B4" w14:textId="19904A34" w:rsidR="00303AA4" w:rsidRPr="00773505" w:rsidRDefault="00303AA4" w:rsidP="00303AA4">
            <w:pPr>
              <w:jc w:val="center"/>
              <w:rPr>
                <w:rFonts w:asciiTheme="majorHAnsi" w:hAnsiTheme="majorHAnsi" w:cs="Arial"/>
                <w:sz w:val="22"/>
                <w:szCs w:val="22"/>
              </w:rPr>
            </w:pPr>
            <w:r w:rsidRPr="00773505">
              <w:rPr>
                <w:rFonts w:asciiTheme="majorHAnsi" w:hAnsiTheme="majorHAnsi" w:cs="Arial"/>
                <w:sz w:val="22"/>
                <w:szCs w:val="22"/>
              </w:rPr>
              <w:t>0%</w:t>
            </w:r>
          </w:p>
        </w:tc>
        <w:tc>
          <w:tcPr>
            <w:tcW w:w="1320" w:type="dxa"/>
            <w:noWrap/>
            <w:vAlign w:val="bottom"/>
          </w:tcPr>
          <w:p w14:paraId="2D654E16" w14:textId="723CCE64" w:rsidR="00303AA4" w:rsidRPr="00773505" w:rsidRDefault="00303AA4" w:rsidP="00303AA4">
            <w:pPr>
              <w:jc w:val="center"/>
              <w:rPr>
                <w:rFonts w:asciiTheme="majorHAnsi" w:hAnsiTheme="majorHAnsi" w:cs="Arial"/>
                <w:sz w:val="22"/>
                <w:szCs w:val="22"/>
                <w:highlight w:val="yellow"/>
              </w:rPr>
            </w:pPr>
            <w:r w:rsidRPr="00773505">
              <w:rPr>
                <w:rFonts w:asciiTheme="majorHAnsi" w:hAnsiTheme="majorHAnsi" w:cs="Arial"/>
                <w:sz w:val="22"/>
                <w:szCs w:val="22"/>
              </w:rPr>
              <w:t>1.91</w:t>
            </w:r>
          </w:p>
        </w:tc>
        <w:tc>
          <w:tcPr>
            <w:tcW w:w="1374" w:type="dxa"/>
            <w:noWrap/>
            <w:vAlign w:val="bottom"/>
          </w:tcPr>
          <w:p w14:paraId="22715CAA" w14:textId="606E20D8" w:rsidR="00303AA4" w:rsidRPr="00773505" w:rsidRDefault="00303AA4" w:rsidP="00303AA4">
            <w:pPr>
              <w:jc w:val="center"/>
              <w:rPr>
                <w:rFonts w:asciiTheme="majorHAnsi" w:hAnsiTheme="majorHAnsi" w:cs="Arial"/>
                <w:sz w:val="22"/>
                <w:szCs w:val="22"/>
                <w:highlight w:val="yellow"/>
              </w:rPr>
            </w:pPr>
            <w:r w:rsidRPr="00773505">
              <w:rPr>
                <w:rFonts w:asciiTheme="majorHAnsi" w:hAnsiTheme="majorHAnsi" w:cs="Arial"/>
                <w:sz w:val="22"/>
                <w:szCs w:val="22"/>
              </w:rPr>
              <w:t>0</w:t>
            </w:r>
          </w:p>
        </w:tc>
      </w:tr>
      <w:tr w:rsidR="00303AA4" w:rsidRPr="00773505" w14:paraId="4FA99E48" w14:textId="77777777" w:rsidTr="00303AA4">
        <w:trPr>
          <w:trHeight w:val="260"/>
        </w:trPr>
        <w:tc>
          <w:tcPr>
            <w:tcW w:w="2977" w:type="dxa"/>
            <w:vAlign w:val="center"/>
            <w:hideMark/>
          </w:tcPr>
          <w:p w14:paraId="03D9F59A" w14:textId="77777777" w:rsidR="00303AA4" w:rsidRPr="00773505" w:rsidRDefault="00303AA4" w:rsidP="00303AA4">
            <w:pPr>
              <w:jc w:val="right"/>
              <w:rPr>
                <w:rFonts w:asciiTheme="majorHAnsi" w:hAnsiTheme="majorHAnsi" w:cs="Arial"/>
                <w:b/>
                <w:bCs/>
                <w:sz w:val="22"/>
                <w:szCs w:val="22"/>
              </w:rPr>
            </w:pPr>
            <w:r w:rsidRPr="00773505">
              <w:rPr>
                <w:rFonts w:asciiTheme="majorHAnsi" w:hAnsiTheme="majorHAnsi" w:cs="Arial"/>
                <w:b/>
                <w:bCs/>
                <w:sz w:val="22"/>
                <w:szCs w:val="22"/>
              </w:rPr>
              <w:t>Total power purchase cost *</w:t>
            </w:r>
          </w:p>
        </w:tc>
        <w:tc>
          <w:tcPr>
            <w:tcW w:w="1310" w:type="dxa"/>
            <w:noWrap/>
            <w:vAlign w:val="center"/>
          </w:tcPr>
          <w:p w14:paraId="5BAFBA7C" w14:textId="214F5DB3" w:rsidR="00303AA4" w:rsidRPr="00773505" w:rsidRDefault="00303AA4" w:rsidP="00303AA4">
            <w:pPr>
              <w:jc w:val="center"/>
              <w:rPr>
                <w:rFonts w:asciiTheme="majorHAnsi" w:hAnsiTheme="majorHAnsi" w:cs="Arial"/>
                <w:b/>
                <w:bCs/>
                <w:sz w:val="22"/>
                <w:szCs w:val="22"/>
                <w:highlight w:val="yellow"/>
              </w:rPr>
            </w:pPr>
            <w:r w:rsidRPr="00773505">
              <w:rPr>
                <w:rFonts w:asciiTheme="majorHAnsi" w:hAnsiTheme="majorHAnsi" w:cs="Arial"/>
                <w:b/>
                <w:bCs/>
                <w:sz w:val="22"/>
                <w:szCs w:val="22"/>
              </w:rPr>
              <w:t>4903.85</w:t>
            </w:r>
          </w:p>
        </w:tc>
        <w:tc>
          <w:tcPr>
            <w:tcW w:w="1623" w:type="dxa"/>
            <w:noWrap/>
            <w:vAlign w:val="center"/>
            <w:hideMark/>
          </w:tcPr>
          <w:p w14:paraId="7F9200F5" w14:textId="29D367EA" w:rsidR="00303AA4" w:rsidRPr="00773505" w:rsidRDefault="00303AA4" w:rsidP="00303AA4">
            <w:pPr>
              <w:jc w:val="center"/>
              <w:rPr>
                <w:rFonts w:asciiTheme="majorHAnsi" w:hAnsiTheme="majorHAnsi" w:cs="Arial"/>
                <w:b/>
                <w:bCs/>
                <w:sz w:val="22"/>
                <w:szCs w:val="22"/>
              </w:rPr>
            </w:pPr>
          </w:p>
        </w:tc>
        <w:tc>
          <w:tcPr>
            <w:tcW w:w="1685" w:type="dxa"/>
            <w:noWrap/>
            <w:vAlign w:val="center"/>
            <w:hideMark/>
          </w:tcPr>
          <w:p w14:paraId="1F3BB602" w14:textId="2E4654F3" w:rsidR="00303AA4" w:rsidRPr="00773505" w:rsidRDefault="00303AA4" w:rsidP="00303AA4">
            <w:pPr>
              <w:jc w:val="center"/>
              <w:rPr>
                <w:rFonts w:asciiTheme="majorHAnsi" w:hAnsiTheme="majorHAnsi" w:cs="Arial"/>
                <w:b/>
                <w:bCs/>
                <w:sz w:val="22"/>
                <w:szCs w:val="22"/>
              </w:rPr>
            </w:pPr>
          </w:p>
        </w:tc>
        <w:tc>
          <w:tcPr>
            <w:tcW w:w="1320" w:type="dxa"/>
            <w:noWrap/>
            <w:vAlign w:val="center"/>
          </w:tcPr>
          <w:p w14:paraId="50C24012" w14:textId="19A18A30" w:rsidR="00303AA4" w:rsidRPr="00773505" w:rsidRDefault="00303AA4" w:rsidP="00303AA4">
            <w:pPr>
              <w:jc w:val="center"/>
              <w:rPr>
                <w:rFonts w:asciiTheme="majorHAnsi" w:hAnsiTheme="majorHAnsi" w:cs="Arial"/>
                <w:b/>
                <w:bCs/>
                <w:sz w:val="22"/>
                <w:szCs w:val="22"/>
                <w:highlight w:val="yellow"/>
              </w:rPr>
            </w:pPr>
            <w:r w:rsidRPr="00773505">
              <w:rPr>
                <w:rFonts w:asciiTheme="majorHAnsi" w:hAnsiTheme="majorHAnsi" w:cs="Arial"/>
                <w:b/>
                <w:bCs/>
                <w:sz w:val="22"/>
                <w:szCs w:val="22"/>
              </w:rPr>
              <w:t>263.43</w:t>
            </w:r>
          </w:p>
        </w:tc>
        <w:tc>
          <w:tcPr>
            <w:tcW w:w="1374" w:type="dxa"/>
            <w:noWrap/>
            <w:vAlign w:val="center"/>
          </w:tcPr>
          <w:p w14:paraId="4720C81B" w14:textId="3DDC51F9" w:rsidR="00303AA4" w:rsidRPr="00773505" w:rsidRDefault="00303AA4" w:rsidP="00303AA4">
            <w:pPr>
              <w:jc w:val="center"/>
              <w:rPr>
                <w:rFonts w:asciiTheme="majorHAnsi" w:hAnsiTheme="majorHAnsi" w:cs="Arial"/>
                <w:b/>
                <w:bCs/>
                <w:sz w:val="22"/>
                <w:szCs w:val="22"/>
                <w:highlight w:val="yellow"/>
              </w:rPr>
            </w:pPr>
            <w:r w:rsidRPr="00773505">
              <w:rPr>
                <w:rFonts w:asciiTheme="majorHAnsi" w:hAnsiTheme="majorHAnsi" w:cs="Arial"/>
                <w:b/>
                <w:bCs/>
                <w:sz w:val="22"/>
                <w:szCs w:val="22"/>
              </w:rPr>
              <w:t>4640.42</w:t>
            </w:r>
          </w:p>
        </w:tc>
      </w:tr>
      <w:tr w:rsidR="0073010F" w:rsidRPr="00773505" w14:paraId="3626FAF4" w14:textId="77777777" w:rsidTr="00905040">
        <w:trPr>
          <w:trHeight w:val="290"/>
        </w:trPr>
        <w:tc>
          <w:tcPr>
            <w:tcW w:w="2977" w:type="dxa"/>
            <w:noWrap/>
            <w:vAlign w:val="center"/>
            <w:hideMark/>
          </w:tcPr>
          <w:p w14:paraId="392A0E44" w14:textId="77777777" w:rsidR="0073010F" w:rsidRPr="00773505" w:rsidRDefault="0073010F" w:rsidP="0073010F">
            <w:pPr>
              <w:rPr>
                <w:rFonts w:asciiTheme="majorHAnsi" w:hAnsiTheme="majorHAnsi" w:cs="Calibri"/>
                <w:b/>
                <w:bCs/>
                <w:color w:val="000000"/>
                <w:sz w:val="22"/>
                <w:szCs w:val="22"/>
              </w:rPr>
            </w:pPr>
            <w:r w:rsidRPr="00773505">
              <w:rPr>
                <w:rFonts w:asciiTheme="majorHAnsi" w:hAnsiTheme="majorHAnsi" w:cs="Calibri"/>
                <w:b/>
                <w:bCs/>
                <w:color w:val="000000"/>
                <w:sz w:val="22"/>
                <w:szCs w:val="22"/>
              </w:rPr>
              <w:t>O&amp;M</w:t>
            </w:r>
          </w:p>
        </w:tc>
        <w:tc>
          <w:tcPr>
            <w:tcW w:w="1310" w:type="dxa"/>
            <w:noWrap/>
            <w:vAlign w:val="center"/>
          </w:tcPr>
          <w:p w14:paraId="1D7225F0" w14:textId="60D9FF3B" w:rsidR="0073010F" w:rsidRPr="00773505" w:rsidRDefault="0073010F" w:rsidP="0073010F">
            <w:pPr>
              <w:jc w:val="center"/>
              <w:rPr>
                <w:rFonts w:asciiTheme="majorHAnsi" w:hAnsiTheme="majorHAnsi" w:cs="Calibri"/>
                <w:b/>
                <w:bCs/>
                <w:color w:val="000000"/>
                <w:sz w:val="22"/>
                <w:szCs w:val="22"/>
              </w:rPr>
            </w:pPr>
            <w:r w:rsidRPr="00773505">
              <w:rPr>
                <w:rFonts w:asciiTheme="majorHAnsi" w:hAnsiTheme="majorHAnsi" w:cs="Calibri"/>
                <w:b/>
                <w:bCs/>
                <w:color w:val="000000"/>
                <w:sz w:val="22"/>
                <w:szCs w:val="22"/>
              </w:rPr>
              <w:t> </w:t>
            </w:r>
          </w:p>
        </w:tc>
        <w:tc>
          <w:tcPr>
            <w:tcW w:w="1623" w:type="dxa"/>
            <w:noWrap/>
            <w:vAlign w:val="center"/>
            <w:hideMark/>
          </w:tcPr>
          <w:p w14:paraId="3F263CDB" w14:textId="6CF4B630" w:rsidR="0073010F" w:rsidRPr="00773505" w:rsidRDefault="0073010F" w:rsidP="0073010F">
            <w:pPr>
              <w:jc w:val="center"/>
              <w:rPr>
                <w:rFonts w:asciiTheme="majorHAnsi" w:hAnsiTheme="majorHAnsi" w:cs="Arial"/>
                <w:sz w:val="22"/>
                <w:szCs w:val="22"/>
              </w:rPr>
            </w:pPr>
            <w:r w:rsidRPr="00773505">
              <w:rPr>
                <w:rFonts w:asciiTheme="majorHAnsi" w:hAnsiTheme="majorHAnsi" w:cs="Arial"/>
                <w:sz w:val="22"/>
                <w:szCs w:val="22"/>
              </w:rPr>
              <w:t> </w:t>
            </w:r>
          </w:p>
        </w:tc>
        <w:tc>
          <w:tcPr>
            <w:tcW w:w="1685" w:type="dxa"/>
            <w:noWrap/>
            <w:vAlign w:val="center"/>
            <w:hideMark/>
          </w:tcPr>
          <w:p w14:paraId="38F98124" w14:textId="6DC42078" w:rsidR="0073010F" w:rsidRPr="00773505" w:rsidRDefault="0073010F" w:rsidP="0073010F">
            <w:pPr>
              <w:jc w:val="center"/>
              <w:rPr>
                <w:rFonts w:asciiTheme="majorHAnsi" w:hAnsiTheme="majorHAnsi" w:cs="Arial"/>
                <w:sz w:val="22"/>
                <w:szCs w:val="22"/>
              </w:rPr>
            </w:pPr>
            <w:r w:rsidRPr="00773505">
              <w:rPr>
                <w:rFonts w:asciiTheme="majorHAnsi" w:hAnsiTheme="majorHAnsi" w:cs="Arial"/>
                <w:sz w:val="22"/>
                <w:szCs w:val="22"/>
              </w:rPr>
              <w:t> </w:t>
            </w:r>
          </w:p>
        </w:tc>
        <w:tc>
          <w:tcPr>
            <w:tcW w:w="1320" w:type="dxa"/>
            <w:noWrap/>
            <w:vAlign w:val="center"/>
          </w:tcPr>
          <w:p w14:paraId="56DC04EA" w14:textId="181E84A6" w:rsidR="0073010F" w:rsidRPr="00773505" w:rsidRDefault="0073010F" w:rsidP="0073010F">
            <w:pPr>
              <w:jc w:val="center"/>
              <w:rPr>
                <w:rFonts w:asciiTheme="majorHAnsi" w:hAnsiTheme="majorHAnsi" w:cs="Arial"/>
                <w:sz w:val="22"/>
                <w:szCs w:val="22"/>
              </w:rPr>
            </w:pPr>
            <w:r w:rsidRPr="00773505">
              <w:rPr>
                <w:rFonts w:asciiTheme="majorHAnsi" w:hAnsiTheme="majorHAnsi" w:cs="Arial"/>
                <w:sz w:val="22"/>
                <w:szCs w:val="22"/>
              </w:rPr>
              <w:t> </w:t>
            </w:r>
          </w:p>
        </w:tc>
        <w:tc>
          <w:tcPr>
            <w:tcW w:w="1374" w:type="dxa"/>
            <w:noWrap/>
            <w:vAlign w:val="center"/>
          </w:tcPr>
          <w:p w14:paraId="51B55FBF" w14:textId="65D391D2" w:rsidR="0073010F" w:rsidRPr="00773505" w:rsidRDefault="0073010F" w:rsidP="0073010F">
            <w:pPr>
              <w:jc w:val="center"/>
              <w:rPr>
                <w:rFonts w:asciiTheme="majorHAnsi" w:hAnsiTheme="majorHAnsi" w:cs="Arial"/>
                <w:sz w:val="22"/>
                <w:szCs w:val="22"/>
              </w:rPr>
            </w:pPr>
            <w:r w:rsidRPr="00773505">
              <w:rPr>
                <w:rFonts w:asciiTheme="majorHAnsi" w:hAnsiTheme="majorHAnsi" w:cs="Arial"/>
                <w:sz w:val="22"/>
                <w:szCs w:val="22"/>
              </w:rPr>
              <w:t> </w:t>
            </w:r>
          </w:p>
        </w:tc>
      </w:tr>
      <w:tr w:rsidR="000A2B28" w:rsidRPr="00773505" w14:paraId="3DEE4879" w14:textId="77777777" w:rsidTr="000A2B28">
        <w:trPr>
          <w:trHeight w:val="250"/>
        </w:trPr>
        <w:tc>
          <w:tcPr>
            <w:tcW w:w="2977" w:type="dxa"/>
            <w:noWrap/>
            <w:vAlign w:val="center"/>
            <w:hideMark/>
          </w:tcPr>
          <w:p w14:paraId="107630F2" w14:textId="77777777" w:rsidR="000A2B28" w:rsidRPr="00773505" w:rsidRDefault="000A2B28" w:rsidP="000A2B28">
            <w:pPr>
              <w:rPr>
                <w:rFonts w:asciiTheme="majorHAnsi" w:hAnsiTheme="majorHAnsi" w:cs="Arial"/>
                <w:sz w:val="22"/>
                <w:szCs w:val="22"/>
              </w:rPr>
            </w:pPr>
            <w:r w:rsidRPr="00773505">
              <w:rPr>
                <w:rFonts w:asciiTheme="majorHAnsi" w:hAnsiTheme="majorHAnsi" w:cs="Arial"/>
                <w:sz w:val="22"/>
                <w:szCs w:val="22"/>
              </w:rPr>
              <w:t>Employee Cost</w:t>
            </w:r>
          </w:p>
        </w:tc>
        <w:tc>
          <w:tcPr>
            <w:tcW w:w="1310" w:type="dxa"/>
            <w:noWrap/>
            <w:vAlign w:val="bottom"/>
          </w:tcPr>
          <w:p w14:paraId="21406046" w14:textId="501C2546" w:rsidR="000A2B28" w:rsidRPr="00773505" w:rsidRDefault="00926305" w:rsidP="000A2B28">
            <w:pPr>
              <w:jc w:val="center"/>
              <w:rPr>
                <w:rFonts w:asciiTheme="majorHAnsi" w:hAnsiTheme="majorHAnsi" w:cs="Arial"/>
                <w:sz w:val="22"/>
                <w:szCs w:val="22"/>
              </w:rPr>
            </w:pPr>
            <w:r>
              <w:rPr>
                <w:rFonts w:asciiTheme="majorHAnsi" w:hAnsiTheme="majorHAnsi" w:cs="Arial"/>
                <w:sz w:val="22"/>
                <w:szCs w:val="22"/>
              </w:rPr>
              <w:t>596.40</w:t>
            </w:r>
          </w:p>
        </w:tc>
        <w:tc>
          <w:tcPr>
            <w:tcW w:w="1623" w:type="dxa"/>
            <w:noWrap/>
            <w:vAlign w:val="center"/>
            <w:hideMark/>
          </w:tcPr>
          <w:p w14:paraId="3DBA2549" w14:textId="72D867E3" w:rsidR="000A2B28" w:rsidRPr="00773505" w:rsidRDefault="000A2B28" w:rsidP="000A2B28">
            <w:pPr>
              <w:jc w:val="center"/>
              <w:rPr>
                <w:rFonts w:asciiTheme="majorHAnsi" w:hAnsiTheme="majorHAnsi" w:cs="Arial"/>
                <w:sz w:val="22"/>
                <w:szCs w:val="22"/>
              </w:rPr>
            </w:pPr>
            <w:r w:rsidRPr="00773505">
              <w:rPr>
                <w:rFonts w:asciiTheme="majorHAnsi" w:hAnsiTheme="majorHAnsi" w:cs="Arial"/>
                <w:sz w:val="22"/>
                <w:szCs w:val="22"/>
              </w:rPr>
              <w:t>60%</w:t>
            </w:r>
          </w:p>
        </w:tc>
        <w:tc>
          <w:tcPr>
            <w:tcW w:w="1685" w:type="dxa"/>
            <w:noWrap/>
            <w:vAlign w:val="center"/>
            <w:hideMark/>
          </w:tcPr>
          <w:p w14:paraId="293542C7" w14:textId="3BA7A8D2" w:rsidR="000A2B28" w:rsidRPr="00773505" w:rsidRDefault="000A2B28" w:rsidP="000A2B28">
            <w:pPr>
              <w:jc w:val="center"/>
              <w:rPr>
                <w:rFonts w:asciiTheme="majorHAnsi" w:hAnsiTheme="majorHAnsi" w:cs="Arial"/>
                <w:sz w:val="22"/>
                <w:szCs w:val="22"/>
              </w:rPr>
            </w:pPr>
            <w:r w:rsidRPr="00773505">
              <w:rPr>
                <w:rFonts w:asciiTheme="majorHAnsi" w:hAnsiTheme="majorHAnsi" w:cs="Arial"/>
                <w:sz w:val="22"/>
                <w:szCs w:val="22"/>
              </w:rPr>
              <w:t>40%</w:t>
            </w:r>
          </w:p>
        </w:tc>
        <w:tc>
          <w:tcPr>
            <w:tcW w:w="1320" w:type="dxa"/>
            <w:noWrap/>
            <w:vAlign w:val="center"/>
          </w:tcPr>
          <w:p w14:paraId="7B4F9D4A" w14:textId="2885D64E" w:rsidR="000A2B28" w:rsidRPr="00773505" w:rsidRDefault="000A2B28" w:rsidP="000A2B28">
            <w:pPr>
              <w:jc w:val="center"/>
              <w:rPr>
                <w:rFonts w:asciiTheme="majorHAnsi" w:hAnsiTheme="majorHAnsi" w:cs="Arial"/>
                <w:sz w:val="22"/>
                <w:szCs w:val="22"/>
              </w:rPr>
            </w:pPr>
            <w:r w:rsidRPr="00773505">
              <w:rPr>
                <w:rFonts w:asciiTheme="majorHAnsi" w:hAnsiTheme="majorHAnsi" w:cs="Arial"/>
                <w:sz w:val="22"/>
                <w:szCs w:val="22"/>
              </w:rPr>
              <w:t>3</w:t>
            </w:r>
            <w:r w:rsidR="00557F76">
              <w:rPr>
                <w:rFonts w:asciiTheme="majorHAnsi" w:hAnsiTheme="majorHAnsi" w:cs="Arial"/>
                <w:sz w:val="22"/>
                <w:szCs w:val="22"/>
              </w:rPr>
              <w:t>57.84</w:t>
            </w:r>
          </w:p>
        </w:tc>
        <w:tc>
          <w:tcPr>
            <w:tcW w:w="1374" w:type="dxa"/>
            <w:noWrap/>
            <w:vAlign w:val="center"/>
          </w:tcPr>
          <w:p w14:paraId="38520749" w14:textId="179B5982" w:rsidR="000A2B28" w:rsidRPr="00773505" w:rsidRDefault="000A2B28" w:rsidP="000A2B28">
            <w:pPr>
              <w:jc w:val="center"/>
              <w:rPr>
                <w:rFonts w:asciiTheme="majorHAnsi" w:hAnsiTheme="majorHAnsi" w:cs="Arial"/>
                <w:sz w:val="22"/>
                <w:szCs w:val="22"/>
              </w:rPr>
            </w:pPr>
            <w:r w:rsidRPr="00773505">
              <w:rPr>
                <w:rFonts w:asciiTheme="majorHAnsi" w:hAnsiTheme="majorHAnsi" w:cs="Arial"/>
                <w:sz w:val="22"/>
                <w:szCs w:val="22"/>
              </w:rPr>
              <w:t>2</w:t>
            </w:r>
            <w:r w:rsidR="00557F76">
              <w:rPr>
                <w:rFonts w:asciiTheme="majorHAnsi" w:hAnsiTheme="majorHAnsi" w:cs="Arial"/>
                <w:sz w:val="22"/>
                <w:szCs w:val="22"/>
              </w:rPr>
              <w:t>38.56</w:t>
            </w:r>
          </w:p>
        </w:tc>
      </w:tr>
      <w:tr w:rsidR="000A2B28" w:rsidRPr="00773505" w14:paraId="7CED3A8B" w14:textId="77777777" w:rsidTr="000A2B28">
        <w:trPr>
          <w:trHeight w:val="250"/>
        </w:trPr>
        <w:tc>
          <w:tcPr>
            <w:tcW w:w="2977" w:type="dxa"/>
            <w:noWrap/>
            <w:vAlign w:val="center"/>
            <w:hideMark/>
          </w:tcPr>
          <w:p w14:paraId="795F1256" w14:textId="77777777" w:rsidR="000A2B28" w:rsidRPr="00773505" w:rsidRDefault="000A2B28" w:rsidP="000A2B28">
            <w:pPr>
              <w:rPr>
                <w:rFonts w:asciiTheme="majorHAnsi" w:hAnsiTheme="majorHAnsi" w:cs="Arial"/>
                <w:sz w:val="22"/>
                <w:szCs w:val="22"/>
              </w:rPr>
            </w:pPr>
            <w:r w:rsidRPr="00773505">
              <w:rPr>
                <w:rFonts w:asciiTheme="majorHAnsi" w:hAnsiTheme="majorHAnsi" w:cs="Arial"/>
                <w:sz w:val="22"/>
                <w:szCs w:val="22"/>
              </w:rPr>
              <w:t>Repair &amp; Maintenance Cost</w:t>
            </w:r>
          </w:p>
        </w:tc>
        <w:tc>
          <w:tcPr>
            <w:tcW w:w="1310" w:type="dxa"/>
            <w:noWrap/>
            <w:vAlign w:val="bottom"/>
          </w:tcPr>
          <w:p w14:paraId="4F4F58EA" w14:textId="598DCC05" w:rsidR="000A2B28" w:rsidRPr="00773505" w:rsidRDefault="000A2B28" w:rsidP="000A2B28">
            <w:pPr>
              <w:jc w:val="center"/>
              <w:rPr>
                <w:rFonts w:asciiTheme="majorHAnsi" w:hAnsiTheme="majorHAnsi" w:cs="Arial"/>
                <w:sz w:val="22"/>
                <w:szCs w:val="22"/>
                <w:highlight w:val="yellow"/>
              </w:rPr>
            </w:pPr>
            <w:r w:rsidRPr="00773505">
              <w:rPr>
                <w:rFonts w:asciiTheme="majorHAnsi" w:hAnsiTheme="majorHAnsi" w:cs="Arial"/>
                <w:sz w:val="22"/>
                <w:szCs w:val="22"/>
              </w:rPr>
              <w:t>348.62</w:t>
            </w:r>
          </w:p>
        </w:tc>
        <w:tc>
          <w:tcPr>
            <w:tcW w:w="1623" w:type="dxa"/>
            <w:noWrap/>
            <w:vAlign w:val="center"/>
            <w:hideMark/>
          </w:tcPr>
          <w:p w14:paraId="3212E399" w14:textId="44B5E9BB" w:rsidR="000A2B28" w:rsidRPr="00773505" w:rsidRDefault="000A2B28" w:rsidP="000A2B28">
            <w:pPr>
              <w:jc w:val="center"/>
              <w:rPr>
                <w:rFonts w:asciiTheme="majorHAnsi" w:hAnsiTheme="majorHAnsi" w:cs="Arial"/>
                <w:sz w:val="22"/>
                <w:szCs w:val="22"/>
              </w:rPr>
            </w:pPr>
            <w:r w:rsidRPr="00773505">
              <w:rPr>
                <w:rFonts w:asciiTheme="majorHAnsi" w:hAnsiTheme="majorHAnsi" w:cs="Arial"/>
                <w:sz w:val="22"/>
                <w:szCs w:val="22"/>
              </w:rPr>
              <w:t>90%</w:t>
            </w:r>
          </w:p>
        </w:tc>
        <w:tc>
          <w:tcPr>
            <w:tcW w:w="1685" w:type="dxa"/>
            <w:noWrap/>
            <w:vAlign w:val="center"/>
            <w:hideMark/>
          </w:tcPr>
          <w:p w14:paraId="19B22F37" w14:textId="1E614F59" w:rsidR="000A2B28" w:rsidRPr="00773505" w:rsidRDefault="000A2B28" w:rsidP="000A2B28">
            <w:pPr>
              <w:jc w:val="center"/>
              <w:rPr>
                <w:rFonts w:asciiTheme="majorHAnsi" w:hAnsiTheme="majorHAnsi" w:cs="Arial"/>
                <w:sz w:val="22"/>
                <w:szCs w:val="22"/>
              </w:rPr>
            </w:pPr>
            <w:r w:rsidRPr="00773505">
              <w:rPr>
                <w:rFonts w:asciiTheme="majorHAnsi" w:hAnsiTheme="majorHAnsi" w:cs="Arial"/>
                <w:sz w:val="22"/>
                <w:szCs w:val="22"/>
              </w:rPr>
              <w:t>10%</w:t>
            </w:r>
          </w:p>
        </w:tc>
        <w:tc>
          <w:tcPr>
            <w:tcW w:w="1320" w:type="dxa"/>
            <w:noWrap/>
            <w:vAlign w:val="center"/>
          </w:tcPr>
          <w:p w14:paraId="63CA0128" w14:textId="1F99E3BE" w:rsidR="000A2B28" w:rsidRPr="00773505" w:rsidRDefault="000A2B28" w:rsidP="000A2B28">
            <w:pPr>
              <w:jc w:val="center"/>
              <w:rPr>
                <w:rFonts w:asciiTheme="majorHAnsi" w:hAnsiTheme="majorHAnsi" w:cs="Arial"/>
                <w:sz w:val="22"/>
                <w:szCs w:val="22"/>
                <w:highlight w:val="yellow"/>
              </w:rPr>
            </w:pPr>
            <w:r w:rsidRPr="00773505">
              <w:rPr>
                <w:rFonts w:asciiTheme="majorHAnsi" w:hAnsiTheme="majorHAnsi" w:cs="Arial"/>
                <w:sz w:val="22"/>
                <w:szCs w:val="22"/>
              </w:rPr>
              <w:t>313.76</w:t>
            </w:r>
          </w:p>
        </w:tc>
        <w:tc>
          <w:tcPr>
            <w:tcW w:w="1374" w:type="dxa"/>
            <w:noWrap/>
            <w:vAlign w:val="center"/>
          </w:tcPr>
          <w:p w14:paraId="579B53DD" w14:textId="09AA4525" w:rsidR="000A2B28" w:rsidRPr="00773505" w:rsidRDefault="000A2B28" w:rsidP="000A2B28">
            <w:pPr>
              <w:jc w:val="center"/>
              <w:rPr>
                <w:rFonts w:asciiTheme="majorHAnsi" w:hAnsiTheme="majorHAnsi" w:cs="Arial"/>
                <w:sz w:val="22"/>
                <w:szCs w:val="22"/>
                <w:highlight w:val="yellow"/>
              </w:rPr>
            </w:pPr>
            <w:r w:rsidRPr="00773505">
              <w:rPr>
                <w:rFonts w:asciiTheme="majorHAnsi" w:hAnsiTheme="majorHAnsi" w:cs="Arial"/>
                <w:sz w:val="22"/>
                <w:szCs w:val="22"/>
              </w:rPr>
              <w:t>34.86</w:t>
            </w:r>
          </w:p>
        </w:tc>
      </w:tr>
      <w:tr w:rsidR="000A2B28" w:rsidRPr="00773505" w14:paraId="4D06351C" w14:textId="77777777" w:rsidTr="000A2B28">
        <w:trPr>
          <w:trHeight w:val="250"/>
        </w:trPr>
        <w:tc>
          <w:tcPr>
            <w:tcW w:w="2977" w:type="dxa"/>
            <w:noWrap/>
            <w:vAlign w:val="center"/>
            <w:hideMark/>
          </w:tcPr>
          <w:p w14:paraId="33EBF0F7" w14:textId="77777777" w:rsidR="000A2B28" w:rsidRPr="00773505" w:rsidRDefault="000A2B28" w:rsidP="000A2B28">
            <w:pPr>
              <w:rPr>
                <w:rFonts w:asciiTheme="majorHAnsi" w:hAnsiTheme="majorHAnsi" w:cs="Arial"/>
                <w:sz w:val="22"/>
                <w:szCs w:val="22"/>
              </w:rPr>
            </w:pPr>
            <w:r w:rsidRPr="00773505">
              <w:rPr>
                <w:rFonts w:asciiTheme="majorHAnsi" w:hAnsiTheme="majorHAnsi" w:cs="Arial"/>
                <w:sz w:val="22"/>
                <w:szCs w:val="22"/>
              </w:rPr>
              <w:t>Administrative &amp; General Expenses</w:t>
            </w:r>
          </w:p>
        </w:tc>
        <w:tc>
          <w:tcPr>
            <w:tcW w:w="1310" w:type="dxa"/>
            <w:noWrap/>
            <w:vAlign w:val="bottom"/>
          </w:tcPr>
          <w:p w14:paraId="7D8800FA" w14:textId="6F5CFA56" w:rsidR="000A2B28" w:rsidRPr="00773505" w:rsidRDefault="000A2B28" w:rsidP="000A2B28">
            <w:pPr>
              <w:jc w:val="center"/>
              <w:rPr>
                <w:rFonts w:asciiTheme="majorHAnsi" w:hAnsiTheme="majorHAnsi" w:cs="Arial"/>
                <w:sz w:val="22"/>
                <w:szCs w:val="22"/>
                <w:highlight w:val="yellow"/>
              </w:rPr>
            </w:pPr>
            <w:r w:rsidRPr="00773505">
              <w:rPr>
                <w:rFonts w:asciiTheme="majorHAnsi" w:hAnsiTheme="majorHAnsi" w:cs="Arial"/>
                <w:sz w:val="22"/>
                <w:szCs w:val="22"/>
              </w:rPr>
              <w:t>2</w:t>
            </w:r>
            <w:r w:rsidR="00926305">
              <w:rPr>
                <w:rFonts w:asciiTheme="majorHAnsi" w:hAnsiTheme="majorHAnsi" w:cs="Arial"/>
                <w:sz w:val="22"/>
                <w:szCs w:val="22"/>
              </w:rPr>
              <w:t>72.14</w:t>
            </w:r>
          </w:p>
        </w:tc>
        <w:tc>
          <w:tcPr>
            <w:tcW w:w="1623" w:type="dxa"/>
            <w:noWrap/>
            <w:vAlign w:val="center"/>
            <w:hideMark/>
          </w:tcPr>
          <w:p w14:paraId="659A8170" w14:textId="3FE1DB88" w:rsidR="000A2B28" w:rsidRPr="00773505" w:rsidRDefault="000A2B28" w:rsidP="000A2B28">
            <w:pPr>
              <w:jc w:val="center"/>
              <w:rPr>
                <w:rFonts w:asciiTheme="majorHAnsi" w:hAnsiTheme="majorHAnsi" w:cs="Arial"/>
                <w:sz w:val="22"/>
                <w:szCs w:val="22"/>
                <w:highlight w:val="yellow"/>
              </w:rPr>
            </w:pPr>
            <w:r w:rsidRPr="00773505">
              <w:rPr>
                <w:rFonts w:asciiTheme="majorHAnsi" w:hAnsiTheme="majorHAnsi" w:cs="Arial"/>
                <w:sz w:val="22"/>
                <w:szCs w:val="22"/>
              </w:rPr>
              <w:t>50%</w:t>
            </w:r>
          </w:p>
        </w:tc>
        <w:tc>
          <w:tcPr>
            <w:tcW w:w="1685" w:type="dxa"/>
            <w:noWrap/>
            <w:vAlign w:val="center"/>
            <w:hideMark/>
          </w:tcPr>
          <w:p w14:paraId="73648106" w14:textId="2EFD5AEF" w:rsidR="000A2B28" w:rsidRPr="00773505" w:rsidRDefault="000A2B28" w:rsidP="000A2B28">
            <w:pPr>
              <w:jc w:val="center"/>
              <w:rPr>
                <w:rFonts w:asciiTheme="majorHAnsi" w:hAnsiTheme="majorHAnsi" w:cs="Arial"/>
                <w:sz w:val="22"/>
                <w:szCs w:val="22"/>
                <w:highlight w:val="yellow"/>
              </w:rPr>
            </w:pPr>
            <w:r w:rsidRPr="00773505">
              <w:rPr>
                <w:rFonts w:asciiTheme="majorHAnsi" w:hAnsiTheme="majorHAnsi" w:cs="Arial"/>
                <w:sz w:val="22"/>
                <w:szCs w:val="22"/>
              </w:rPr>
              <w:t>50%</w:t>
            </w:r>
          </w:p>
        </w:tc>
        <w:tc>
          <w:tcPr>
            <w:tcW w:w="1320" w:type="dxa"/>
            <w:noWrap/>
            <w:vAlign w:val="center"/>
          </w:tcPr>
          <w:p w14:paraId="71B6AD20" w14:textId="13743953" w:rsidR="000A2B28" w:rsidRPr="00773505" w:rsidRDefault="000A2B28" w:rsidP="000A2B28">
            <w:pPr>
              <w:jc w:val="center"/>
              <w:rPr>
                <w:rFonts w:asciiTheme="majorHAnsi" w:hAnsiTheme="majorHAnsi" w:cs="Arial"/>
                <w:sz w:val="22"/>
                <w:szCs w:val="22"/>
                <w:highlight w:val="yellow"/>
              </w:rPr>
            </w:pPr>
            <w:r w:rsidRPr="00773505">
              <w:rPr>
                <w:rFonts w:asciiTheme="majorHAnsi" w:hAnsiTheme="majorHAnsi" w:cs="Arial"/>
                <w:sz w:val="22"/>
                <w:szCs w:val="22"/>
              </w:rPr>
              <w:t>1</w:t>
            </w:r>
            <w:r w:rsidR="00557F76">
              <w:rPr>
                <w:rFonts w:asciiTheme="majorHAnsi" w:hAnsiTheme="majorHAnsi" w:cs="Arial"/>
                <w:sz w:val="22"/>
                <w:szCs w:val="22"/>
              </w:rPr>
              <w:t>36.07</w:t>
            </w:r>
          </w:p>
        </w:tc>
        <w:tc>
          <w:tcPr>
            <w:tcW w:w="1374" w:type="dxa"/>
            <w:noWrap/>
            <w:vAlign w:val="center"/>
          </w:tcPr>
          <w:p w14:paraId="081C9ED6" w14:textId="7F62BBE6" w:rsidR="000A2B28" w:rsidRPr="00773505" w:rsidRDefault="000A2B28" w:rsidP="000A2B28">
            <w:pPr>
              <w:jc w:val="center"/>
              <w:rPr>
                <w:rFonts w:asciiTheme="majorHAnsi" w:hAnsiTheme="majorHAnsi" w:cs="Arial"/>
                <w:sz w:val="22"/>
                <w:szCs w:val="22"/>
                <w:highlight w:val="yellow"/>
              </w:rPr>
            </w:pPr>
            <w:r w:rsidRPr="00773505">
              <w:rPr>
                <w:rFonts w:asciiTheme="majorHAnsi" w:hAnsiTheme="majorHAnsi" w:cs="Arial"/>
                <w:sz w:val="22"/>
                <w:szCs w:val="22"/>
              </w:rPr>
              <w:t>1</w:t>
            </w:r>
            <w:r w:rsidR="00557F76">
              <w:rPr>
                <w:rFonts w:asciiTheme="majorHAnsi" w:hAnsiTheme="majorHAnsi" w:cs="Arial"/>
                <w:sz w:val="22"/>
                <w:szCs w:val="22"/>
              </w:rPr>
              <w:t>36.07</w:t>
            </w:r>
          </w:p>
        </w:tc>
      </w:tr>
      <w:tr w:rsidR="000A2B28" w:rsidRPr="00773505" w14:paraId="4F615919" w14:textId="77777777" w:rsidTr="006741B6">
        <w:trPr>
          <w:trHeight w:val="250"/>
        </w:trPr>
        <w:tc>
          <w:tcPr>
            <w:tcW w:w="2977" w:type="dxa"/>
            <w:noWrap/>
            <w:vAlign w:val="center"/>
            <w:hideMark/>
          </w:tcPr>
          <w:p w14:paraId="023043F3" w14:textId="77777777" w:rsidR="000A2B28" w:rsidRPr="00773505" w:rsidRDefault="000A2B28" w:rsidP="000A2B28">
            <w:pPr>
              <w:rPr>
                <w:rFonts w:asciiTheme="majorHAnsi" w:hAnsiTheme="majorHAnsi" w:cs="Arial"/>
                <w:sz w:val="22"/>
                <w:szCs w:val="22"/>
              </w:rPr>
            </w:pPr>
            <w:r w:rsidRPr="00773505">
              <w:rPr>
                <w:rFonts w:asciiTheme="majorHAnsi" w:hAnsiTheme="majorHAnsi" w:cs="Arial"/>
                <w:sz w:val="22"/>
                <w:szCs w:val="22"/>
              </w:rPr>
              <w:t>Bad &amp; Doubtful Debt including Rebate</w:t>
            </w:r>
          </w:p>
        </w:tc>
        <w:tc>
          <w:tcPr>
            <w:tcW w:w="1310" w:type="dxa"/>
            <w:noWrap/>
            <w:vAlign w:val="center"/>
          </w:tcPr>
          <w:p w14:paraId="10AB6D6A" w14:textId="7C63DCAA" w:rsidR="000A2B28" w:rsidRPr="00773505" w:rsidRDefault="000A2B28" w:rsidP="006741B6">
            <w:pPr>
              <w:jc w:val="center"/>
              <w:rPr>
                <w:rFonts w:asciiTheme="majorHAnsi" w:hAnsiTheme="majorHAnsi" w:cs="Arial"/>
                <w:sz w:val="22"/>
                <w:szCs w:val="22"/>
                <w:highlight w:val="yellow"/>
              </w:rPr>
            </w:pPr>
            <w:r w:rsidRPr="00773505">
              <w:rPr>
                <w:rFonts w:asciiTheme="majorHAnsi" w:hAnsiTheme="majorHAnsi" w:cs="Arial"/>
                <w:sz w:val="22"/>
                <w:szCs w:val="22"/>
              </w:rPr>
              <w:t>62.</w:t>
            </w:r>
            <w:r w:rsidR="006741B6">
              <w:rPr>
                <w:rFonts w:asciiTheme="majorHAnsi" w:hAnsiTheme="majorHAnsi" w:cs="Arial"/>
                <w:sz w:val="22"/>
                <w:szCs w:val="22"/>
              </w:rPr>
              <w:t>84</w:t>
            </w:r>
          </w:p>
        </w:tc>
        <w:tc>
          <w:tcPr>
            <w:tcW w:w="1623" w:type="dxa"/>
            <w:noWrap/>
            <w:vAlign w:val="center"/>
            <w:hideMark/>
          </w:tcPr>
          <w:p w14:paraId="1B912E77" w14:textId="10C19F66" w:rsidR="000A2B28" w:rsidRPr="00773505" w:rsidRDefault="000A2B28" w:rsidP="000A2B28">
            <w:pPr>
              <w:jc w:val="center"/>
              <w:rPr>
                <w:rFonts w:asciiTheme="majorHAnsi" w:hAnsiTheme="majorHAnsi" w:cs="Arial"/>
                <w:sz w:val="22"/>
                <w:szCs w:val="22"/>
                <w:highlight w:val="yellow"/>
              </w:rPr>
            </w:pPr>
            <w:r w:rsidRPr="00773505">
              <w:rPr>
                <w:rFonts w:asciiTheme="majorHAnsi" w:hAnsiTheme="majorHAnsi" w:cs="Arial"/>
                <w:sz w:val="22"/>
                <w:szCs w:val="22"/>
              </w:rPr>
              <w:t>0%</w:t>
            </w:r>
          </w:p>
        </w:tc>
        <w:tc>
          <w:tcPr>
            <w:tcW w:w="1685" w:type="dxa"/>
            <w:noWrap/>
            <w:vAlign w:val="center"/>
            <w:hideMark/>
          </w:tcPr>
          <w:p w14:paraId="2BB04321" w14:textId="56BADA79" w:rsidR="000A2B28" w:rsidRPr="00773505" w:rsidRDefault="000A2B28" w:rsidP="000A2B28">
            <w:pPr>
              <w:jc w:val="center"/>
              <w:rPr>
                <w:rFonts w:asciiTheme="majorHAnsi" w:hAnsiTheme="majorHAnsi" w:cs="Arial"/>
                <w:sz w:val="22"/>
                <w:szCs w:val="22"/>
                <w:highlight w:val="yellow"/>
              </w:rPr>
            </w:pPr>
            <w:r w:rsidRPr="00773505">
              <w:rPr>
                <w:rFonts w:asciiTheme="majorHAnsi" w:hAnsiTheme="majorHAnsi" w:cs="Arial"/>
                <w:sz w:val="22"/>
                <w:szCs w:val="22"/>
              </w:rPr>
              <w:t>100%</w:t>
            </w:r>
          </w:p>
        </w:tc>
        <w:tc>
          <w:tcPr>
            <w:tcW w:w="1320" w:type="dxa"/>
            <w:noWrap/>
            <w:vAlign w:val="center"/>
          </w:tcPr>
          <w:p w14:paraId="240C0FCC" w14:textId="17973A46" w:rsidR="000A2B28" w:rsidRPr="00773505" w:rsidRDefault="000A2B28" w:rsidP="000A2B28">
            <w:pPr>
              <w:jc w:val="center"/>
              <w:rPr>
                <w:rFonts w:asciiTheme="majorHAnsi" w:hAnsiTheme="majorHAnsi" w:cs="Arial"/>
                <w:sz w:val="22"/>
                <w:szCs w:val="22"/>
                <w:highlight w:val="yellow"/>
              </w:rPr>
            </w:pPr>
            <w:r w:rsidRPr="00773505">
              <w:rPr>
                <w:rFonts w:asciiTheme="majorHAnsi" w:hAnsiTheme="majorHAnsi" w:cs="Arial"/>
                <w:sz w:val="22"/>
                <w:szCs w:val="22"/>
              </w:rPr>
              <w:t>0.00</w:t>
            </w:r>
          </w:p>
        </w:tc>
        <w:tc>
          <w:tcPr>
            <w:tcW w:w="1374" w:type="dxa"/>
            <w:noWrap/>
            <w:vAlign w:val="center"/>
          </w:tcPr>
          <w:p w14:paraId="7DC6D188" w14:textId="73705829" w:rsidR="000A2B28" w:rsidRPr="00773505" w:rsidRDefault="000A2B28" w:rsidP="000A2B28">
            <w:pPr>
              <w:jc w:val="center"/>
              <w:rPr>
                <w:rFonts w:asciiTheme="majorHAnsi" w:hAnsiTheme="majorHAnsi" w:cs="Arial"/>
                <w:sz w:val="22"/>
                <w:szCs w:val="22"/>
                <w:highlight w:val="yellow"/>
              </w:rPr>
            </w:pPr>
            <w:r w:rsidRPr="00773505">
              <w:rPr>
                <w:rFonts w:asciiTheme="majorHAnsi" w:hAnsiTheme="majorHAnsi" w:cs="Arial"/>
                <w:sz w:val="22"/>
                <w:szCs w:val="22"/>
              </w:rPr>
              <w:t>62.</w:t>
            </w:r>
            <w:r w:rsidR="006741B6">
              <w:rPr>
                <w:rFonts w:asciiTheme="majorHAnsi" w:hAnsiTheme="majorHAnsi" w:cs="Arial"/>
                <w:sz w:val="22"/>
                <w:szCs w:val="22"/>
              </w:rPr>
              <w:t>84</w:t>
            </w:r>
          </w:p>
        </w:tc>
      </w:tr>
      <w:tr w:rsidR="000A2B28" w:rsidRPr="00773505" w14:paraId="1DEA5EF1" w14:textId="77777777" w:rsidTr="000A2B28">
        <w:trPr>
          <w:trHeight w:val="250"/>
        </w:trPr>
        <w:tc>
          <w:tcPr>
            <w:tcW w:w="2977" w:type="dxa"/>
            <w:noWrap/>
            <w:vAlign w:val="center"/>
            <w:hideMark/>
          </w:tcPr>
          <w:p w14:paraId="64A3F650" w14:textId="77777777" w:rsidR="000A2B28" w:rsidRPr="00773505" w:rsidRDefault="000A2B28" w:rsidP="000A2B28">
            <w:pPr>
              <w:rPr>
                <w:rFonts w:asciiTheme="majorHAnsi" w:hAnsiTheme="majorHAnsi" w:cs="Arial"/>
                <w:sz w:val="22"/>
                <w:szCs w:val="22"/>
              </w:rPr>
            </w:pPr>
            <w:r w:rsidRPr="00773505">
              <w:rPr>
                <w:rFonts w:asciiTheme="majorHAnsi" w:hAnsiTheme="majorHAnsi" w:cs="Arial"/>
                <w:sz w:val="22"/>
                <w:szCs w:val="22"/>
              </w:rPr>
              <w:t>Depreciation</w:t>
            </w:r>
          </w:p>
        </w:tc>
        <w:tc>
          <w:tcPr>
            <w:tcW w:w="1310" w:type="dxa"/>
            <w:noWrap/>
            <w:vAlign w:val="bottom"/>
          </w:tcPr>
          <w:p w14:paraId="012D39ED" w14:textId="49B22FB0" w:rsidR="000A2B28" w:rsidRPr="00773505" w:rsidRDefault="000A2B28" w:rsidP="000A2B28">
            <w:pPr>
              <w:jc w:val="center"/>
              <w:rPr>
                <w:rFonts w:asciiTheme="majorHAnsi" w:hAnsiTheme="majorHAnsi" w:cs="Arial"/>
                <w:sz w:val="22"/>
                <w:szCs w:val="22"/>
                <w:highlight w:val="yellow"/>
              </w:rPr>
            </w:pPr>
            <w:r w:rsidRPr="00773505">
              <w:rPr>
                <w:rFonts w:asciiTheme="majorHAnsi" w:hAnsiTheme="majorHAnsi" w:cs="Arial"/>
                <w:sz w:val="22"/>
                <w:szCs w:val="22"/>
              </w:rPr>
              <w:t>191.68</w:t>
            </w:r>
          </w:p>
        </w:tc>
        <w:tc>
          <w:tcPr>
            <w:tcW w:w="1623" w:type="dxa"/>
            <w:noWrap/>
            <w:vAlign w:val="center"/>
            <w:hideMark/>
          </w:tcPr>
          <w:p w14:paraId="3F13EAED" w14:textId="5EB771FE" w:rsidR="000A2B28" w:rsidRPr="00773505" w:rsidRDefault="000A2B28" w:rsidP="000A2B28">
            <w:pPr>
              <w:jc w:val="center"/>
              <w:rPr>
                <w:rFonts w:asciiTheme="majorHAnsi" w:hAnsiTheme="majorHAnsi" w:cs="Arial"/>
                <w:sz w:val="22"/>
                <w:szCs w:val="22"/>
                <w:highlight w:val="yellow"/>
              </w:rPr>
            </w:pPr>
            <w:r w:rsidRPr="00773505">
              <w:rPr>
                <w:rFonts w:asciiTheme="majorHAnsi" w:hAnsiTheme="majorHAnsi" w:cs="Arial"/>
                <w:sz w:val="22"/>
                <w:szCs w:val="22"/>
              </w:rPr>
              <w:t>90%</w:t>
            </w:r>
          </w:p>
        </w:tc>
        <w:tc>
          <w:tcPr>
            <w:tcW w:w="1685" w:type="dxa"/>
            <w:noWrap/>
            <w:vAlign w:val="center"/>
            <w:hideMark/>
          </w:tcPr>
          <w:p w14:paraId="7A2857EB" w14:textId="27FA371D" w:rsidR="000A2B28" w:rsidRPr="00773505" w:rsidRDefault="000A2B28" w:rsidP="000A2B28">
            <w:pPr>
              <w:jc w:val="center"/>
              <w:rPr>
                <w:rFonts w:asciiTheme="majorHAnsi" w:hAnsiTheme="majorHAnsi" w:cs="Arial"/>
                <w:sz w:val="22"/>
                <w:szCs w:val="22"/>
                <w:highlight w:val="yellow"/>
              </w:rPr>
            </w:pPr>
            <w:r w:rsidRPr="00773505">
              <w:rPr>
                <w:rFonts w:asciiTheme="majorHAnsi" w:hAnsiTheme="majorHAnsi" w:cs="Arial"/>
                <w:sz w:val="22"/>
                <w:szCs w:val="22"/>
              </w:rPr>
              <w:t>10%</w:t>
            </w:r>
          </w:p>
        </w:tc>
        <w:tc>
          <w:tcPr>
            <w:tcW w:w="1320" w:type="dxa"/>
            <w:noWrap/>
            <w:vAlign w:val="center"/>
          </w:tcPr>
          <w:p w14:paraId="78C1C528" w14:textId="25957C58" w:rsidR="000A2B28" w:rsidRPr="00773505" w:rsidRDefault="000A2B28" w:rsidP="000A2B28">
            <w:pPr>
              <w:jc w:val="center"/>
              <w:rPr>
                <w:rFonts w:asciiTheme="majorHAnsi" w:hAnsiTheme="majorHAnsi" w:cs="Arial"/>
                <w:sz w:val="22"/>
                <w:szCs w:val="22"/>
                <w:highlight w:val="yellow"/>
              </w:rPr>
            </w:pPr>
            <w:r w:rsidRPr="00773505">
              <w:rPr>
                <w:rFonts w:asciiTheme="majorHAnsi" w:hAnsiTheme="majorHAnsi" w:cs="Arial"/>
                <w:sz w:val="22"/>
                <w:szCs w:val="22"/>
              </w:rPr>
              <w:t>172.51</w:t>
            </w:r>
          </w:p>
        </w:tc>
        <w:tc>
          <w:tcPr>
            <w:tcW w:w="1374" w:type="dxa"/>
            <w:noWrap/>
            <w:vAlign w:val="center"/>
          </w:tcPr>
          <w:p w14:paraId="3CB59A39" w14:textId="07C24B7A" w:rsidR="000A2B28" w:rsidRPr="00773505" w:rsidRDefault="000A2B28" w:rsidP="000A2B28">
            <w:pPr>
              <w:jc w:val="center"/>
              <w:rPr>
                <w:rFonts w:asciiTheme="majorHAnsi" w:hAnsiTheme="majorHAnsi" w:cs="Arial"/>
                <w:sz w:val="22"/>
                <w:szCs w:val="22"/>
                <w:highlight w:val="yellow"/>
              </w:rPr>
            </w:pPr>
            <w:r w:rsidRPr="00773505">
              <w:rPr>
                <w:rFonts w:asciiTheme="majorHAnsi" w:hAnsiTheme="majorHAnsi" w:cs="Arial"/>
                <w:sz w:val="22"/>
                <w:szCs w:val="22"/>
              </w:rPr>
              <w:t>19.17</w:t>
            </w:r>
          </w:p>
        </w:tc>
      </w:tr>
      <w:tr w:rsidR="0073010F" w:rsidRPr="00773505" w14:paraId="27BFE205" w14:textId="77777777" w:rsidTr="00905040">
        <w:trPr>
          <w:trHeight w:val="290"/>
        </w:trPr>
        <w:tc>
          <w:tcPr>
            <w:tcW w:w="2977" w:type="dxa"/>
            <w:noWrap/>
            <w:vAlign w:val="center"/>
            <w:hideMark/>
          </w:tcPr>
          <w:p w14:paraId="4348FC0C" w14:textId="77777777" w:rsidR="0073010F" w:rsidRPr="00773505" w:rsidRDefault="0073010F" w:rsidP="0073010F">
            <w:pPr>
              <w:rPr>
                <w:rFonts w:asciiTheme="majorHAnsi" w:hAnsiTheme="majorHAnsi" w:cs="Calibri"/>
                <w:b/>
                <w:bCs/>
                <w:color w:val="000000"/>
                <w:sz w:val="22"/>
                <w:szCs w:val="22"/>
              </w:rPr>
            </w:pPr>
            <w:r w:rsidRPr="00773505">
              <w:rPr>
                <w:rFonts w:asciiTheme="majorHAnsi" w:hAnsiTheme="majorHAnsi" w:cs="Calibri"/>
                <w:b/>
                <w:bCs/>
                <w:color w:val="000000"/>
                <w:sz w:val="22"/>
                <w:szCs w:val="22"/>
              </w:rPr>
              <w:t>Interest on Loans</w:t>
            </w:r>
          </w:p>
        </w:tc>
        <w:tc>
          <w:tcPr>
            <w:tcW w:w="1310" w:type="dxa"/>
            <w:noWrap/>
            <w:vAlign w:val="center"/>
          </w:tcPr>
          <w:p w14:paraId="61FA308C" w14:textId="37D58AEA" w:rsidR="0073010F" w:rsidRPr="00773505" w:rsidRDefault="0073010F" w:rsidP="0073010F">
            <w:pPr>
              <w:jc w:val="center"/>
              <w:rPr>
                <w:rFonts w:asciiTheme="majorHAnsi" w:hAnsiTheme="majorHAnsi" w:cs="Calibri"/>
                <w:b/>
                <w:bCs/>
                <w:color w:val="000000"/>
                <w:sz w:val="22"/>
                <w:szCs w:val="22"/>
                <w:highlight w:val="yellow"/>
              </w:rPr>
            </w:pPr>
            <w:r w:rsidRPr="00773505">
              <w:rPr>
                <w:rFonts w:asciiTheme="majorHAnsi" w:hAnsiTheme="majorHAnsi" w:cs="Calibri"/>
                <w:b/>
                <w:bCs/>
                <w:color w:val="000000"/>
                <w:sz w:val="22"/>
                <w:szCs w:val="22"/>
              </w:rPr>
              <w:t> </w:t>
            </w:r>
          </w:p>
        </w:tc>
        <w:tc>
          <w:tcPr>
            <w:tcW w:w="1623" w:type="dxa"/>
            <w:noWrap/>
            <w:vAlign w:val="center"/>
            <w:hideMark/>
          </w:tcPr>
          <w:p w14:paraId="5625630B" w14:textId="0AE57DA1"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 </w:t>
            </w:r>
          </w:p>
        </w:tc>
        <w:tc>
          <w:tcPr>
            <w:tcW w:w="1685" w:type="dxa"/>
            <w:noWrap/>
            <w:vAlign w:val="center"/>
            <w:hideMark/>
          </w:tcPr>
          <w:p w14:paraId="73558452" w14:textId="2EAA1267"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 </w:t>
            </w:r>
          </w:p>
        </w:tc>
        <w:tc>
          <w:tcPr>
            <w:tcW w:w="1320" w:type="dxa"/>
            <w:noWrap/>
            <w:vAlign w:val="center"/>
          </w:tcPr>
          <w:p w14:paraId="32C22A23" w14:textId="4D90C120"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 </w:t>
            </w:r>
          </w:p>
        </w:tc>
        <w:tc>
          <w:tcPr>
            <w:tcW w:w="1374" w:type="dxa"/>
            <w:noWrap/>
            <w:vAlign w:val="center"/>
          </w:tcPr>
          <w:p w14:paraId="5DD74D5D" w14:textId="454DBBF2"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 </w:t>
            </w:r>
          </w:p>
        </w:tc>
      </w:tr>
      <w:tr w:rsidR="00DC50EA" w:rsidRPr="00773505" w14:paraId="17AEDB84" w14:textId="77777777" w:rsidTr="001F21DF">
        <w:trPr>
          <w:trHeight w:val="250"/>
        </w:trPr>
        <w:tc>
          <w:tcPr>
            <w:tcW w:w="2977" w:type="dxa"/>
            <w:noWrap/>
            <w:vAlign w:val="center"/>
            <w:hideMark/>
          </w:tcPr>
          <w:p w14:paraId="074EAF9D" w14:textId="77777777" w:rsidR="00DC50EA" w:rsidRPr="00773505" w:rsidRDefault="00DC50EA" w:rsidP="00DC50EA">
            <w:pPr>
              <w:rPr>
                <w:rFonts w:asciiTheme="majorHAnsi" w:hAnsiTheme="majorHAnsi" w:cs="Arial"/>
                <w:sz w:val="22"/>
                <w:szCs w:val="22"/>
              </w:rPr>
            </w:pPr>
            <w:r w:rsidRPr="00773505">
              <w:rPr>
                <w:rFonts w:asciiTheme="majorHAnsi" w:hAnsiTheme="majorHAnsi" w:cs="Arial"/>
                <w:sz w:val="22"/>
                <w:szCs w:val="22"/>
              </w:rPr>
              <w:t>For Term Loan CAPEX</w:t>
            </w:r>
          </w:p>
        </w:tc>
        <w:tc>
          <w:tcPr>
            <w:tcW w:w="1310" w:type="dxa"/>
            <w:noWrap/>
            <w:vAlign w:val="bottom"/>
          </w:tcPr>
          <w:p w14:paraId="70B3CCAF" w14:textId="49EC0609"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1</w:t>
            </w:r>
            <w:r w:rsidR="00557F76">
              <w:rPr>
                <w:rFonts w:asciiTheme="majorHAnsi" w:hAnsiTheme="majorHAnsi" w:cs="Arial"/>
                <w:sz w:val="22"/>
                <w:szCs w:val="22"/>
              </w:rPr>
              <w:t>05.51</w:t>
            </w:r>
          </w:p>
        </w:tc>
        <w:tc>
          <w:tcPr>
            <w:tcW w:w="1623" w:type="dxa"/>
            <w:noWrap/>
            <w:vAlign w:val="center"/>
            <w:hideMark/>
          </w:tcPr>
          <w:p w14:paraId="3CC04DAF" w14:textId="6FC4C1BF"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90%</w:t>
            </w:r>
          </w:p>
        </w:tc>
        <w:tc>
          <w:tcPr>
            <w:tcW w:w="1685" w:type="dxa"/>
            <w:noWrap/>
            <w:vAlign w:val="center"/>
            <w:hideMark/>
          </w:tcPr>
          <w:p w14:paraId="38711302" w14:textId="26316881"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10%</w:t>
            </w:r>
          </w:p>
        </w:tc>
        <w:tc>
          <w:tcPr>
            <w:tcW w:w="1320" w:type="dxa"/>
            <w:noWrap/>
            <w:vAlign w:val="bottom"/>
          </w:tcPr>
          <w:p w14:paraId="64F304CC" w14:textId="3AC60C05" w:rsidR="00DC50EA" w:rsidRPr="00773505" w:rsidRDefault="00557F76" w:rsidP="00DC50EA">
            <w:pPr>
              <w:jc w:val="center"/>
              <w:rPr>
                <w:rFonts w:asciiTheme="majorHAnsi" w:hAnsiTheme="majorHAnsi" w:cs="Arial"/>
                <w:sz w:val="22"/>
                <w:szCs w:val="22"/>
                <w:highlight w:val="yellow"/>
              </w:rPr>
            </w:pPr>
            <w:r w:rsidRPr="00557F76">
              <w:rPr>
                <w:rFonts w:asciiTheme="majorHAnsi" w:hAnsiTheme="majorHAnsi" w:cs="Arial"/>
                <w:sz w:val="22"/>
                <w:szCs w:val="22"/>
              </w:rPr>
              <w:t>94.96</w:t>
            </w:r>
          </w:p>
        </w:tc>
        <w:tc>
          <w:tcPr>
            <w:tcW w:w="1374" w:type="dxa"/>
            <w:noWrap/>
            <w:vAlign w:val="bottom"/>
          </w:tcPr>
          <w:p w14:paraId="5A0BF47A" w14:textId="2E19919A"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1</w:t>
            </w:r>
            <w:r w:rsidR="00557F76">
              <w:rPr>
                <w:rFonts w:asciiTheme="majorHAnsi" w:hAnsiTheme="majorHAnsi" w:cs="Arial"/>
                <w:sz w:val="22"/>
                <w:szCs w:val="22"/>
              </w:rPr>
              <w:t>0.55</w:t>
            </w:r>
          </w:p>
        </w:tc>
      </w:tr>
      <w:tr w:rsidR="00DC50EA" w:rsidRPr="00773505" w14:paraId="706098DA" w14:textId="77777777" w:rsidTr="001F21DF">
        <w:trPr>
          <w:trHeight w:val="250"/>
        </w:trPr>
        <w:tc>
          <w:tcPr>
            <w:tcW w:w="2977" w:type="dxa"/>
            <w:noWrap/>
            <w:vAlign w:val="center"/>
            <w:hideMark/>
          </w:tcPr>
          <w:p w14:paraId="2A281FB6" w14:textId="77777777" w:rsidR="00DC50EA" w:rsidRPr="00773505" w:rsidRDefault="00DC50EA" w:rsidP="00DC50EA">
            <w:pPr>
              <w:rPr>
                <w:rFonts w:asciiTheme="majorHAnsi" w:hAnsiTheme="majorHAnsi" w:cs="Arial"/>
                <w:sz w:val="22"/>
                <w:szCs w:val="22"/>
              </w:rPr>
            </w:pPr>
            <w:r w:rsidRPr="00773505">
              <w:rPr>
                <w:rFonts w:asciiTheme="majorHAnsi" w:hAnsiTheme="majorHAnsi" w:cs="Arial"/>
                <w:sz w:val="22"/>
                <w:szCs w:val="22"/>
              </w:rPr>
              <w:t>for Working capital</w:t>
            </w:r>
          </w:p>
        </w:tc>
        <w:tc>
          <w:tcPr>
            <w:tcW w:w="1310" w:type="dxa"/>
            <w:noWrap/>
            <w:vAlign w:val="bottom"/>
          </w:tcPr>
          <w:p w14:paraId="60554AE7" w14:textId="39203E4A" w:rsidR="00DC50EA" w:rsidRPr="006741B6" w:rsidRDefault="006741B6" w:rsidP="00DC50EA">
            <w:pPr>
              <w:jc w:val="center"/>
              <w:rPr>
                <w:rFonts w:asciiTheme="majorHAnsi" w:hAnsiTheme="majorHAnsi" w:cs="Arial"/>
                <w:sz w:val="22"/>
                <w:szCs w:val="22"/>
              </w:rPr>
            </w:pPr>
            <w:r w:rsidRPr="006741B6">
              <w:rPr>
                <w:rFonts w:asciiTheme="majorHAnsi" w:hAnsiTheme="majorHAnsi" w:cs="Arial"/>
                <w:sz w:val="22"/>
                <w:szCs w:val="22"/>
              </w:rPr>
              <w:t>50.75</w:t>
            </w:r>
          </w:p>
        </w:tc>
        <w:tc>
          <w:tcPr>
            <w:tcW w:w="1623" w:type="dxa"/>
            <w:noWrap/>
            <w:vAlign w:val="center"/>
            <w:hideMark/>
          </w:tcPr>
          <w:p w14:paraId="43276C31" w14:textId="3D042E2C" w:rsidR="00DC50EA" w:rsidRPr="006741B6" w:rsidRDefault="00DC50EA" w:rsidP="00DC50EA">
            <w:pPr>
              <w:jc w:val="center"/>
              <w:rPr>
                <w:rFonts w:asciiTheme="majorHAnsi" w:hAnsiTheme="majorHAnsi" w:cs="Arial"/>
                <w:sz w:val="22"/>
                <w:szCs w:val="22"/>
              </w:rPr>
            </w:pPr>
            <w:r w:rsidRPr="006741B6">
              <w:rPr>
                <w:rFonts w:asciiTheme="majorHAnsi" w:hAnsiTheme="majorHAnsi" w:cs="Arial"/>
                <w:sz w:val="22"/>
                <w:szCs w:val="22"/>
              </w:rPr>
              <w:t>10%</w:t>
            </w:r>
          </w:p>
        </w:tc>
        <w:tc>
          <w:tcPr>
            <w:tcW w:w="1685" w:type="dxa"/>
            <w:noWrap/>
            <w:vAlign w:val="center"/>
            <w:hideMark/>
          </w:tcPr>
          <w:p w14:paraId="5A6E5955" w14:textId="231E4863" w:rsidR="00DC50EA" w:rsidRPr="006741B6" w:rsidRDefault="00DC50EA" w:rsidP="00DC50EA">
            <w:pPr>
              <w:jc w:val="center"/>
              <w:rPr>
                <w:rFonts w:asciiTheme="majorHAnsi" w:hAnsiTheme="majorHAnsi" w:cs="Arial"/>
                <w:sz w:val="22"/>
                <w:szCs w:val="22"/>
              </w:rPr>
            </w:pPr>
            <w:r w:rsidRPr="006741B6">
              <w:rPr>
                <w:rFonts w:asciiTheme="majorHAnsi" w:hAnsiTheme="majorHAnsi" w:cs="Arial"/>
                <w:sz w:val="22"/>
                <w:szCs w:val="22"/>
              </w:rPr>
              <w:t>90%</w:t>
            </w:r>
          </w:p>
        </w:tc>
        <w:tc>
          <w:tcPr>
            <w:tcW w:w="1320" w:type="dxa"/>
            <w:noWrap/>
            <w:vAlign w:val="bottom"/>
          </w:tcPr>
          <w:p w14:paraId="5666014C" w14:textId="645ADDDF" w:rsidR="00DC50EA" w:rsidRPr="006741B6" w:rsidRDefault="006741B6" w:rsidP="00DC50EA">
            <w:pPr>
              <w:jc w:val="center"/>
              <w:rPr>
                <w:rFonts w:asciiTheme="majorHAnsi" w:hAnsiTheme="majorHAnsi" w:cs="Arial"/>
                <w:sz w:val="22"/>
                <w:szCs w:val="22"/>
              </w:rPr>
            </w:pPr>
            <w:r w:rsidRPr="006741B6">
              <w:rPr>
                <w:rFonts w:asciiTheme="majorHAnsi" w:hAnsiTheme="majorHAnsi" w:cs="Arial"/>
                <w:sz w:val="22"/>
                <w:szCs w:val="22"/>
              </w:rPr>
              <w:t>5.07</w:t>
            </w:r>
          </w:p>
        </w:tc>
        <w:tc>
          <w:tcPr>
            <w:tcW w:w="1374" w:type="dxa"/>
            <w:noWrap/>
            <w:vAlign w:val="bottom"/>
          </w:tcPr>
          <w:p w14:paraId="224C9E46" w14:textId="5D99DAAC" w:rsidR="00DC50EA" w:rsidRPr="006741B6" w:rsidRDefault="006741B6" w:rsidP="00DC50EA">
            <w:pPr>
              <w:jc w:val="center"/>
              <w:rPr>
                <w:rFonts w:asciiTheme="majorHAnsi" w:hAnsiTheme="majorHAnsi" w:cs="Arial"/>
                <w:sz w:val="22"/>
                <w:szCs w:val="22"/>
              </w:rPr>
            </w:pPr>
            <w:r w:rsidRPr="006741B6">
              <w:rPr>
                <w:rFonts w:asciiTheme="majorHAnsi" w:hAnsiTheme="majorHAnsi" w:cs="Arial"/>
                <w:sz w:val="22"/>
                <w:szCs w:val="22"/>
              </w:rPr>
              <w:t>45.67</w:t>
            </w:r>
          </w:p>
        </w:tc>
      </w:tr>
      <w:tr w:rsidR="00DC50EA" w:rsidRPr="00773505" w14:paraId="1C05B671" w14:textId="77777777" w:rsidTr="001F21DF">
        <w:trPr>
          <w:trHeight w:val="250"/>
        </w:trPr>
        <w:tc>
          <w:tcPr>
            <w:tcW w:w="2977" w:type="dxa"/>
            <w:noWrap/>
            <w:vAlign w:val="center"/>
            <w:hideMark/>
          </w:tcPr>
          <w:p w14:paraId="44D4D097" w14:textId="77777777" w:rsidR="00DC50EA" w:rsidRPr="00773505" w:rsidRDefault="00DC50EA" w:rsidP="00DC50EA">
            <w:pPr>
              <w:rPr>
                <w:rFonts w:asciiTheme="majorHAnsi" w:hAnsiTheme="majorHAnsi" w:cs="Arial"/>
                <w:sz w:val="22"/>
                <w:szCs w:val="22"/>
              </w:rPr>
            </w:pPr>
            <w:r w:rsidRPr="00773505">
              <w:rPr>
                <w:rFonts w:asciiTheme="majorHAnsi" w:hAnsiTheme="majorHAnsi" w:cs="Arial"/>
                <w:sz w:val="22"/>
                <w:szCs w:val="22"/>
              </w:rPr>
              <w:t>Interest on Security Deposits</w:t>
            </w:r>
          </w:p>
        </w:tc>
        <w:tc>
          <w:tcPr>
            <w:tcW w:w="1310" w:type="dxa"/>
            <w:noWrap/>
            <w:vAlign w:val="bottom"/>
          </w:tcPr>
          <w:p w14:paraId="33531230" w14:textId="6AD61391"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89.41</w:t>
            </w:r>
          </w:p>
        </w:tc>
        <w:tc>
          <w:tcPr>
            <w:tcW w:w="1623" w:type="dxa"/>
            <w:noWrap/>
            <w:vAlign w:val="center"/>
            <w:hideMark/>
          </w:tcPr>
          <w:p w14:paraId="14ED9368" w14:textId="582C62AF"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0%</w:t>
            </w:r>
          </w:p>
        </w:tc>
        <w:tc>
          <w:tcPr>
            <w:tcW w:w="1685" w:type="dxa"/>
            <w:noWrap/>
            <w:vAlign w:val="center"/>
            <w:hideMark/>
          </w:tcPr>
          <w:p w14:paraId="793CB9B2" w14:textId="66DFB8CD"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100%</w:t>
            </w:r>
          </w:p>
        </w:tc>
        <w:tc>
          <w:tcPr>
            <w:tcW w:w="1320" w:type="dxa"/>
            <w:noWrap/>
            <w:vAlign w:val="bottom"/>
          </w:tcPr>
          <w:p w14:paraId="29ACD55B" w14:textId="2D70ADBA"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0.00</w:t>
            </w:r>
          </w:p>
        </w:tc>
        <w:tc>
          <w:tcPr>
            <w:tcW w:w="1374" w:type="dxa"/>
            <w:noWrap/>
            <w:vAlign w:val="bottom"/>
          </w:tcPr>
          <w:p w14:paraId="6681C8EA" w14:textId="701F2AE6"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89.41</w:t>
            </w:r>
          </w:p>
        </w:tc>
      </w:tr>
      <w:tr w:rsidR="00DC50EA" w:rsidRPr="00773505" w14:paraId="524C0AAE" w14:textId="77777777" w:rsidTr="001F21DF">
        <w:trPr>
          <w:trHeight w:val="250"/>
        </w:trPr>
        <w:tc>
          <w:tcPr>
            <w:tcW w:w="2977" w:type="dxa"/>
            <w:noWrap/>
            <w:vAlign w:val="center"/>
            <w:hideMark/>
          </w:tcPr>
          <w:p w14:paraId="2234C314" w14:textId="77777777" w:rsidR="00DC50EA" w:rsidRPr="00773505" w:rsidRDefault="00DC50EA" w:rsidP="00DC50EA">
            <w:pPr>
              <w:rPr>
                <w:rFonts w:asciiTheme="majorHAnsi" w:hAnsiTheme="majorHAnsi" w:cs="Arial"/>
                <w:sz w:val="22"/>
                <w:szCs w:val="22"/>
              </w:rPr>
            </w:pPr>
            <w:r w:rsidRPr="00773505">
              <w:rPr>
                <w:rFonts w:asciiTheme="majorHAnsi" w:hAnsiTheme="majorHAnsi" w:cs="Arial"/>
                <w:sz w:val="22"/>
                <w:szCs w:val="22"/>
              </w:rPr>
              <w:t>Return on Equity</w:t>
            </w:r>
          </w:p>
        </w:tc>
        <w:tc>
          <w:tcPr>
            <w:tcW w:w="1310" w:type="dxa"/>
            <w:noWrap/>
            <w:vAlign w:val="bottom"/>
          </w:tcPr>
          <w:p w14:paraId="5D2C8851" w14:textId="39110BA9"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174.89</w:t>
            </w:r>
          </w:p>
        </w:tc>
        <w:tc>
          <w:tcPr>
            <w:tcW w:w="1623" w:type="dxa"/>
            <w:noWrap/>
            <w:vAlign w:val="center"/>
            <w:hideMark/>
          </w:tcPr>
          <w:p w14:paraId="10767228" w14:textId="354941C2"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90%</w:t>
            </w:r>
          </w:p>
        </w:tc>
        <w:tc>
          <w:tcPr>
            <w:tcW w:w="1685" w:type="dxa"/>
            <w:noWrap/>
            <w:vAlign w:val="center"/>
            <w:hideMark/>
          </w:tcPr>
          <w:p w14:paraId="2B061D22" w14:textId="1A72B5E8"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10%</w:t>
            </w:r>
          </w:p>
        </w:tc>
        <w:tc>
          <w:tcPr>
            <w:tcW w:w="1320" w:type="dxa"/>
            <w:noWrap/>
            <w:vAlign w:val="bottom"/>
          </w:tcPr>
          <w:p w14:paraId="24986876" w14:textId="64365FB5"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157.40</w:t>
            </w:r>
          </w:p>
        </w:tc>
        <w:tc>
          <w:tcPr>
            <w:tcW w:w="1374" w:type="dxa"/>
            <w:noWrap/>
            <w:vAlign w:val="bottom"/>
          </w:tcPr>
          <w:p w14:paraId="05EC38CF" w14:textId="1CEE13D2"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17.49</w:t>
            </w:r>
          </w:p>
        </w:tc>
      </w:tr>
      <w:tr w:rsidR="00DC50EA" w:rsidRPr="00773505" w14:paraId="29F2A47E" w14:textId="77777777" w:rsidTr="001F21DF">
        <w:trPr>
          <w:trHeight w:val="250"/>
        </w:trPr>
        <w:tc>
          <w:tcPr>
            <w:tcW w:w="2977" w:type="dxa"/>
            <w:noWrap/>
            <w:vAlign w:val="center"/>
            <w:hideMark/>
          </w:tcPr>
          <w:p w14:paraId="4A4298DE" w14:textId="77777777" w:rsidR="00DC50EA" w:rsidRPr="00773505" w:rsidRDefault="00DC50EA" w:rsidP="00DC50EA">
            <w:pPr>
              <w:rPr>
                <w:rFonts w:asciiTheme="majorHAnsi" w:hAnsiTheme="majorHAnsi" w:cs="Arial"/>
                <w:sz w:val="22"/>
                <w:szCs w:val="22"/>
              </w:rPr>
            </w:pPr>
            <w:r w:rsidRPr="00773505">
              <w:rPr>
                <w:rFonts w:asciiTheme="majorHAnsi" w:hAnsiTheme="majorHAnsi" w:cs="Arial"/>
                <w:sz w:val="22"/>
                <w:szCs w:val="22"/>
              </w:rPr>
              <w:t>Tax on ROE</w:t>
            </w:r>
          </w:p>
        </w:tc>
        <w:tc>
          <w:tcPr>
            <w:tcW w:w="1310" w:type="dxa"/>
            <w:noWrap/>
            <w:vAlign w:val="bottom"/>
          </w:tcPr>
          <w:p w14:paraId="77EF4673" w14:textId="38120EC7"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58.82</w:t>
            </w:r>
          </w:p>
        </w:tc>
        <w:tc>
          <w:tcPr>
            <w:tcW w:w="1623" w:type="dxa"/>
            <w:noWrap/>
            <w:vAlign w:val="center"/>
            <w:hideMark/>
          </w:tcPr>
          <w:p w14:paraId="316EA6C2" w14:textId="2147BF04"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90%</w:t>
            </w:r>
          </w:p>
        </w:tc>
        <w:tc>
          <w:tcPr>
            <w:tcW w:w="1685" w:type="dxa"/>
            <w:noWrap/>
            <w:vAlign w:val="center"/>
            <w:hideMark/>
          </w:tcPr>
          <w:p w14:paraId="7D00396A" w14:textId="050673B8"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10%</w:t>
            </w:r>
          </w:p>
        </w:tc>
        <w:tc>
          <w:tcPr>
            <w:tcW w:w="1320" w:type="dxa"/>
            <w:noWrap/>
            <w:vAlign w:val="bottom"/>
          </w:tcPr>
          <w:p w14:paraId="0CA788A7" w14:textId="3531C556"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52.94</w:t>
            </w:r>
          </w:p>
        </w:tc>
        <w:tc>
          <w:tcPr>
            <w:tcW w:w="1374" w:type="dxa"/>
            <w:noWrap/>
            <w:vAlign w:val="bottom"/>
          </w:tcPr>
          <w:p w14:paraId="12322CF0" w14:textId="40336D60"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5.88</w:t>
            </w:r>
          </w:p>
        </w:tc>
      </w:tr>
      <w:tr w:rsidR="0073010F" w:rsidRPr="00773505" w14:paraId="3A7FB895" w14:textId="77777777" w:rsidTr="00905040">
        <w:trPr>
          <w:trHeight w:val="500"/>
        </w:trPr>
        <w:tc>
          <w:tcPr>
            <w:tcW w:w="2977" w:type="dxa"/>
            <w:vAlign w:val="center"/>
            <w:hideMark/>
          </w:tcPr>
          <w:p w14:paraId="5C9D3D2E" w14:textId="28F8AE62" w:rsidR="0073010F" w:rsidRPr="00773505" w:rsidRDefault="0073010F" w:rsidP="0073010F">
            <w:pPr>
              <w:rPr>
                <w:rFonts w:asciiTheme="majorHAnsi" w:hAnsiTheme="majorHAnsi" w:cs="Arial"/>
                <w:sz w:val="22"/>
                <w:szCs w:val="22"/>
              </w:rPr>
            </w:pPr>
            <w:r w:rsidRPr="00773505">
              <w:rPr>
                <w:rFonts w:asciiTheme="majorHAnsi" w:hAnsiTheme="majorHAnsi" w:cs="Arial"/>
                <w:sz w:val="22"/>
                <w:szCs w:val="22"/>
              </w:rPr>
              <w:t>Carrying cost on Regulatory Assets/Liabilities</w:t>
            </w:r>
          </w:p>
        </w:tc>
        <w:tc>
          <w:tcPr>
            <w:tcW w:w="1310" w:type="dxa"/>
            <w:noWrap/>
            <w:vAlign w:val="center"/>
          </w:tcPr>
          <w:p w14:paraId="1740EB86" w14:textId="21B34865" w:rsidR="0073010F" w:rsidRPr="00773505" w:rsidRDefault="0073010F" w:rsidP="0073010F">
            <w:pPr>
              <w:jc w:val="center"/>
              <w:rPr>
                <w:rFonts w:asciiTheme="majorHAnsi" w:hAnsiTheme="majorHAnsi" w:cs="Arial"/>
                <w:sz w:val="22"/>
                <w:szCs w:val="22"/>
                <w:highlight w:val="yellow"/>
              </w:rPr>
            </w:pPr>
          </w:p>
        </w:tc>
        <w:tc>
          <w:tcPr>
            <w:tcW w:w="1623" w:type="dxa"/>
            <w:noWrap/>
            <w:vAlign w:val="center"/>
            <w:hideMark/>
          </w:tcPr>
          <w:p w14:paraId="3098370B" w14:textId="2964B80B"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10%</w:t>
            </w:r>
          </w:p>
        </w:tc>
        <w:tc>
          <w:tcPr>
            <w:tcW w:w="1685" w:type="dxa"/>
            <w:noWrap/>
            <w:vAlign w:val="center"/>
            <w:hideMark/>
          </w:tcPr>
          <w:p w14:paraId="5A845FC9" w14:textId="39E4222A"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90%</w:t>
            </w:r>
          </w:p>
        </w:tc>
        <w:tc>
          <w:tcPr>
            <w:tcW w:w="1320" w:type="dxa"/>
            <w:noWrap/>
            <w:vAlign w:val="center"/>
          </w:tcPr>
          <w:p w14:paraId="235B841A" w14:textId="08540CE7"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0.00</w:t>
            </w:r>
          </w:p>
        </w:tc>
        <w:tc>
          <w:tcPr>
            <w:tcW w:w="1374" w:type="dxa"/>
            <w:noWrap/>
            <w:vAlign w:val="center"/>
          </w:tcPr>
          <w:p w14:paraId="08E7AA5F" w14:textId="0DE0B9B6"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0.00</w:t>
            </w:r>
          </w:p>
        </w:tc>
      </w:tr>
      <w:tr w:rsidR="0073010F" w:rsidRPr="00773505" w14:paraId="4D80C0BF" w14:textId="77777777" w:rsidTr="00905040">
        <w:trPr>
          <w:trHeight w:val="290"/>
        </w:trPr>
        <w:tc>
          <w:tcPr>
            <w:tcW w:w="2977" w:type="dxa"/>
            <w:noWrap/>
            <w:vAlign w:val="center"/>
            <w:hideMark/>
          </w:tcPr>
          <w:p w14:paraId="50D8FD33" w14:textId="77777777" w:rsidR="0073010F" w:rsidRPr="00773505" w:rsidRDefault="0073010F" w:rsidP="0073010F">
            <w:pPr>
              <w:rPr>
                <w:rFonts w:asciiTheme="majorHAnsi" w:hAnsiTheme="majorHAnsi" w:cs="Calibri"/>
                <w:b/>
                <w:bCs/>
                <w:color w:val="000000"/>
                <w:sz w:val="22"/>
                <w:szCs w:val="22"/>
              </w:rPr>
            </w:pPr>
            <w:r w:rsidRPr="00773505">
              <w:rPr>
                <w:rFonts w:asciiTheme="majorHAnsi" w:hAnsiTheme="majorHAnsi" w:cs="Calibri"/>
                <w:b/>
                <w:bCs/>
                <w:color w:val="000000"/>
                <w:sz w:val="22"/>
                <w:szCs w:val="22"/>
              </w:rPr>
              <w:t>Special Appropriation</w:t>
            </w:r>
          </w:p>
        </w:tc>
        <w:tc>
          <w:tcPr>
            <w:tcW w:w="1310" w:type="dxa"/>
            <w:noWrap/>
            <w:vAlign w:val="center"/>
          </w:tcPr>
          <w:p w14:paraId="2F767BE6" w14:textId="0141218F" w:rsidR="0073010F" w:rsidRPr="00773505" w:rsidRDefault="0073010F" w:rsidP="0073010F">
            <w:pPr>
              <w:jc w:val="center"/>
              <w:rPr>
                <w:rFonts w:asciiTheme="majorHAnsi" w:hAnsiTheme="majorHAnsi" w:cs="Calibri"/>
                <w:b/>
                <w:bCs/>
                <w:color w:val="000000"/>
                <w:sz w:val="22"/>
                <w:szCs w:val="22"/>
                <w:highlight w:val="yellow"/>
              </w:rPr>
            </w:pPr>
            <w:r w:rsidRPr="00773505">
              <w:rPr>
                <w:rFonts w:asciiTheme="majorHAnsi" w:hAnsiTheme="majorHAnsi" w:cs="Calibri"/>
                <w:b/>
                <w:bCs/>
                <w:color w:val="000000"/>
                <w:sz w:val="22"/>
                <w:szCs w:val="22"/>
              </w:rPr>
              <w:t> </w:t>
            </w:r>
          </w:p>
        </w:tc>
        <w:tc>
          <w:tcPr>
            <w:tcW w:w="1623" w:type="dxa"/>
            <w:noWrap/>
            <w:vAlign w:val="center"/>
            <w:hideMark/>
          </w:tcPr>
          <w:p w14:paraId="6F7BEF62" w14:textId="38F4613E"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 </w:t>
            </w:r>
          </w:p>
        </w:tc>
        <w:tc>
          <w:tcPr>
            <w:tcW w:w="1685" w:type="dxa"/>
            <w:noWrap/>
            <w:vAlign w:val="center"/>
            <w:hideMark/>
          </w:tcPr>
          <w:p w14:paraId="009B71B9" w14:textId="3FAFEACD"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 </w:t>
            </w:r>
          </w:p>
        </w:tc>
        <w:tc>
          <w:tcPr>
            <w:tcW w:w="1320" w:type="dxa"/>
            <w:noWrap/>
            <w:vAlign w:val="center"/>
          </w:tcPr>
          <w:p w14:paraId="66668811" w14:textId="5ACF8746"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 </w:t>
            </w:r>
          </w:p>
        </w:tc>
        <w:tc>
          <w:tcPr>
            <w:tcW w:w="1374" w:type="dxa"/>
            <w:noWrap/>
            <w:vAlign w:val="center"/>
          </w:tcPr>
          <w:p w14:paraId="067EE76C" w14:textId="6685693C"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 </w:t>
            </w:r>
          </w:p>
        </w:tc>
      </w:tr>
      <w:tr w:rsidR="0073010F" w:rsidRPr="00773505" w14:paraId="3C645BA4" w14:textId="77777777" w:rsidTr="00905040">
        <w:trPr>
          <w:trHeight w:val="250"/>
        </w:trPr>
        <w:tc>
          <w:tcPr>
            <w:tcW w:w="2977" w:type="dxa"/>
            <w:noWrap/>
            <w:vAlign w:val="center"/>
            <w:hideMark/>
          </w:tcPr>
          <w:p w14:paraId="5F6F4729" w14:textId="4F602513" w:rsidR="0073010F" w:rsidRPr="00773505" w:rsidRDefault="0073010F" w:rsidP="0073010F">
            <w:pPr>
              <w:rPr>
                <w:rFonts w:asciiTheme="majorHAnsi" w:hAnsiTheme="majorHAnsi" w:cs="Arial"/>
                <w:sz w:val="22"/>
                <w:szCs w:val="22"/>
              </w:rPr>
            </w:pPr>
            <w:r w:rsidRPr="00773505">
              <w:rPr>
                <w:rFonts w:asciiTheme="majorHAnsi" w:hAnsiTheme="majorHAnsi" w:cs="Arial"/>
                <w:sz w:val="22"/>
                <w:szCs w:val="22"/>
              </w:rPr>
              <w:t>Amortization of Regulatory Assets</w:t>
            </w:r>
          </w:p>
        </w:tc>
        <w:tc>
          <w:tcPr>
            <w:tcW w:w="1310" w:type="dxa"/>
            <w:noWrap/>
            <w:vAlign w:val="center"/>
          </w:tcPr>
          <w:p w14:paraId="4B09DFB0" w14:textId="082B1DE3"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0.00</w:t>
            </w:r>
          </w:p>
        </w:tc>
        <w:tc>
          <w:tcPr>
            <w:tcW w:w="1623" w:type="dxa"/>
            <w:noWrap/>
            <w:vAlign w:val="center"/>
            <w:hideMark/>
          </w:tcPr>
          <w:p w14:paraId="54D73D13" w14:textId="49518959"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25%</w:t>
            </w:r>
          </w:p>
        </w:tc>
        <w:tc>
          <w:tcPr>
            <w:tcW w:w="1685" w:type="dxa"/>
            <w:noWrap/>
            <w:vAlign w:val="center"/>
            <w:hideMark/>
          </w:tcPr>
          <w:p w14:paraId="604EEF72" w14:textId="4F147F59"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75%</w:t>
            </w:r>
          </w:p>
        </w:tc>
        <w:tc>
          <w:tcPr>
            <w:tcW w:w="1320" w:type="dxa"/>
            <w:noWrap/>
            <w:vAlign w:val="center"/>
          </w:tcPr>
          <w:p w14:paraId="4F44D7AF" w14:textId="51944504"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0.00</w:t>
            </w:r>
          </w:p>
        </w:tc>
        <w:tc>
          <w:tcPr>
            <w:tcW w:w="1374" w:type="dxa"/>
            <w:noWrap/>
            <w:vAlign w:val="center"/>
          </w:tcPr>
          <w:p w14:paraId="1F13244D" w14:textId="6F3F6DB5"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0.00</w:t>
            </w:r>
          </w:p>
        </w:tc>
      </w:tr>
      <w:tr w:rsidR="0073010F" w:rsidRPr="00773505" w14:paraId="4EC21C23" w14:textId="77777777" w:rsidTr="00905040">
        <w:trPr>
          <w:trHeight w:val="250"/>
        </w:trPr>
        <w:tc>
          <w:tcPr>
            <w:tcW w:w="2977" w:type="dxa"/>
            <w:noWrap/>
            <w:vAlign w:val="center"/>
            <w:hideMark/>
          </w:tcPr>
          <w:p w14:paraId="711C68DC" w14:textId="144449CB" w:rsidR="0073010F" w:rsidRPr="00773505" w:rsidRDefault="0073010F" w:rsidP="0073010F">
            <w:pPr>
              <w:rPr>
                <w:rFonts w:asciiTheme="majorHAnsi" w:hAnsiTheme="majorHAnsi" w:cs="Arial"/>
                <w:sz w:val="22"/>
                <w:szCs w:val="22"/>
              </w:rPr>
            </w:pPr>
            <w:r w:rsidRPr="00773505">
              <w:rPr>
                <w:rFonts w:asciiTheme="majorHAnsi" w:hAnsiTheme="majorHAnsi" w:cs="Arial"/>
                <w:sz w:val="22"/>
                <w:szCs w:val="22"/>
              </w:rPr>
              <w:t xml:space="preserve">True Up of Past years </w:t>
            </w:r>
          </w:p>
        </w:tc>
        <w:tc>
          <w:tcPr>
            <w:tcW w:w="1310" w:type="dxa"/>
            <w:noWrap/>
            <w:vAlign w:val="center"/>
          </w:tcPr>
          <w:p w14:paraId="69EFA84B" w14:textId="6906CA64"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0.00</w:t>
            </w:r>
          </w:p>
        </w:tc>
        <w:tc>
          <w:tcPr>
            <w:tcW w:w="1623" w:type="dxa"/>
            <w:noWrap/>
            <w:vAlign w:val="center"/>
            <w:hideMark/>
          </w:tcPr>
          <w:p w14:paraId="2A184680" w14:textId="49CBA8DB"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25%</w:t>
            </w:r>
          </w:p>
        </w:tc>
        <w:tc>
          <w:tcPr>
            <w:tcW w:w="1685" w:type="dxa"/>
            <w:noWrap/>
            <w:vAlign w:val="center"/>
            <w:hideMark/>
          </w:tcPr>
          <w:p w14:paraId="00555CA5" w14:textId="668E1B84"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75%</w:t>
            </w:r>
          </w:p>
        </w:tc>
        <w:tc>
          <w:tcPr>
            <w:tcW w:w="1320" w:type="dxa"/>
            <w:noWrap/>
            <w:vAlign w:val="center"/>
          </w:tcPr>
          <w:p w14:paraId="65CFC5A2" w14:textId="67367653"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0.00</w:t>
            </w:r>
          </w:p>
        </w:tc>
        <w:tc>
          <w:tcPr>
            <w:tcW w:w="1374" w:type="dxa"/>
            <w:noWrap/>
            <w:vAlign w:val="center"/>
          </w:tcPr>
          <w:p w14:paraId="6EDDD1AF" w14:textId="7E667DF1"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0.00</w:t>
            </w:r>
          </w:p>
        </w:tc>
      </w:tr>
      <w:tr w:rsidR="00DC50EA" w:rsidRPr="00773505" w14:paraId="31446D96" w14:textId="77777777" w:rsidTr="00DC50EA">
        <w:trPr>
          <w:trHeight w:val="250"/>
        </w:trPr>
        <w:tc>
          <w:tcPr>
            <w:tcW w:w="2977" w:type="dxa"/>
            <w:noWrap/>
            <w:vAlign w:val="center"/>
            <w:hideMark/>
          </w:tcPr>
          <w:p w14:paraId="07BE4468" w14:textId="77777777" w:rsidR="00DC50EA" w:rsidRPr="00773505" w:rsidRDefault="00DC50EA" w:rsidP="00DC50EA">
            <w:pPr>
              <w:rPr>
                <w:rFonts w:asciiTheme="majorHAnsi" w:hAnsiTheme="majorHAnsi" w:cs="Arial"/>
                <w:sz w:val="22"/>
                <w:szCs w:val="22"/>
              </w:rPr>
            </w:pPr>
            <w:r w:rsidRPr="00773505">
              <w:rPr>
                <w:rFonts w:asciiTheme="majorHAnsi" w:hAnsiTheme="majorHAnsi" w:cs="Arial"/>
                <w:sz w:val="22"/>
                <w:szCs w:val="22"/>
              </w:rPr>
              <w:t>Carrying cost towards ASL</w:t>
            </w:r>
          </w:p>
        </w:tc>
        <w:tc>
          <w:tcPr>
            <w:tcW w:w="1310" w:type="dxa"/>
            <w:noWrap/>
            <w:vAlign w:val="bottom"/>
          </w:tcPr>
          <w:p w14:paraId="29530D85" w14:textId="1B702E6D"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7.</w:t>
            </w:r>
            <w:r w:rsidR="00557F76">
              <w:rPr>
                <w:rFonts w:asciiTheme="majorHAnsi" w:hAnsiTheme="majorHAnsi" w:cs="Arial"/>
                <w:sz w:val="22"/>
                <w:szCs w:val="22"/>
              </w:rPr>
              <w:t>07</w:t>
            </w:r>
          </w:p>
        </w:tc>
        <w:tc>
          <w:tcPr>
            <w:tcW w:w="1623" w:type="dxa"/>
            <w:noWrap/>
            <w:vAlign w:val="center"/>
            <w:hideMark/>
          </w:tcPr>
          <w:p w14:paraId="723A6295" w14:textId="2D8E3E31"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10%</w:t>
            </w:r>
          </w:p>
        </w:tc>
        <w:tc>
          <w:tcPr>
            <w:tcW w:w="1685" w:type="dxa"/>
            <w:noWrap/>
            <w:vAlign w:val="center"/>
            <w:hideMark/>
          </w:tcPr>
          <w:p w14:paraId="44E4E1F8" w14:textId="7A6409B0"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90%</w:t>
            </w:r>
          </w:p>
        </w:tc>
        <w:tc>
          <w:tcPr>
            <w:tcW w:w="1320" w:type="dxa"/>
            <w:noWrap/>
            <w:vAlign w:val="center"/>
          </w:tcPr>
          <w:p w14:paraId="1BBDBA0B" w14:textId="1AA23001"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0.7</w:t>
            </w:r>
            <w:r w:rsidR="00557F76">
              <w:rPr>
                <w:rFonts w:asciiTheme="majorHAnsi" w:hAnsiTheme="majorHAnsi" w:cs="Arial"/>
                <w:sz w:val="22"/>
                <w:szCs w:val="22"/>
              </w:rPr>
              <w:t>1</w:t>
            </w:r>
          </w:p>
        </w:tc>
        <w:tc>
          <w:tcPr>
            <w:tcW w:w="1374" w:type="dxa"/>
            <w:noWrap/>
            <w:vAlign w:val="center"/>
          </w:tcPr>
          <w:p w14:paraId="5896EE65" w14:textId="3B59FECF"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6.</w:t>
            </w:r>
            <w:r w:rsidR="00557F76">
              <w:rPr>
                <w:rFonts w:asciiTheme="majorHAnsi" w:hAnsiTheme="majorHAnsi" w:cs="Arial"/>
                <w:sz w:val="22"/>
                <w:szCs w:val="22"/>
              </w:rPr>
              <w:t>36</w:t>
            </w:r>
          </w:p>
        </w:tc>
      </w:tr>
      <w:tr w:rsidR="00DC50EA" w:rsidRPr="00773505" w14:paraId="35DB0CA4" w14:textId="77777777" w:rsidTr="00DC50EA">
        <w:trPr>
          <w:trHeight w:val="260"/>
        </w:trPr>
        <w:tc>
          <w:tcPr>
            <w:tcW w:w="2977" w:type="dxa"/>
            <w:noWrap/>
            <w:vAlign w:val="center"/>
            <w:hideMark/>
          </w:tcPr>
          <w:p w14:paraId="292CE59E" w14:textId="77777777" w:rsidR="00DC50EA" w:rsidRPr="00773505" w:rsidRDefault="00DC50EA" w:rsidP="00DC50EA">
            <w:pPr>
              <w:jc w:val="right"/>
              <w:rPr>
                <w:rFonts w:asciiTheme="majorHAnsi" w:hAnsiTheme="majorHAnsi" w:cs="Arial"/>
                <w:b/>
                <w:bCs/>
                <w:sz w:val="22"/>
                <w:szCs w:val="22"/>
              </w:rPr>
            </w:pPr>
            <w:r w:rsidRPr="00773505">
              <w:rPr>
                <w:rFonts w:asciiTheme="majorHAnsi" w:hAnsiTheme="majorHAnsi" w:cs="Arial"/>
                <w:b/>
                <w:bCs/>
                <w:sz w:val="22"/>
                <w:szCs w:val="22"/>
              </w:rPr>
              <w:t>Grand Total</w:t>
            </w:r>
          </w:p>
        </w:tc>
        <w:tc>
          <w:tcPr>
            <w:tcW w:w="1310" w:type="dxa"/>
            <w:noWrap/>
            <w:vAlign w:val="bottom"/>
          </w:tcPr>
          <w:p w14:paraId="3A7194DF" w14:textId="512FEAB8" w:rsidR="00DC50EA" w:rsidRPr="00773505" w:rsidRDefault="00DC50EA" w:rsidP="00DC50EA">
            <w:pPr>
              <w:jc w:val="center"/>
              <w:rPr>
                <w:rFonts w:asciiTheme="majorHAnsi" w:hAnsiTheme="majorHAnsi" w:cs="Arial"/>
                <w:b/>
                <w:bCs/>
                <w:sz w:val="22"/>
                <w:szCs w:val="22"/>
                <w:highlight w:val="yellow"/>
              </w:rPr>
            </w:pPr>
            <w:r w:rsidRPr="00773505">
              <w:rPr>
                <w:rFonts w:asciiTheme="majorHAnsi" w:hAnsiTheme="majorHAnsi" w:cs="Arial"/>
                <w:b/>
                <w:bCs/>
                <w:sz w:val="22"/>
                <w:szCs w:val="22"/>
              </w:rPr>
              <w:t>68</w:t>
            </w:r>
            <w:r w:rsidR="006741B6">
              <w:rPr>
                <w:rFonts w:asciiTheme="majorHAnsi" w:hAnsiTheme="majorHAnsi" w:cs="Arial"/>
                <w:b/>
                <w:bCs/>
                <w:sz w:val="22"/>
                <w:szCs w:val="22"/>
              </w:rPr>
              <w:t>61.98</w:t>
            </w:r>
          </w:p>
        </w:tc>
        <w:tc>
          <w:tcPr>
            <w:tcW w:w="1623" w:type="dxa"/>
            <w:noWrap/>
            <w:vAlign w:val="center"/>
            <w:hideMark/>
          </w:tcPr>
          <w:p w14:paraId="32690AE0" w14:textId="5F0B2B53"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 </w:t>
            </w:r>
          </w:p>
        </w:tc>
        <w:tc>
          <w:tcPr>
            <w:tcW w:w="1685" w:type="dxa"/>
            <w:noWrap/>
            <w:vAlign w:val="center"/>
            <w:hideMark/>
          </w:tcPr>
          <w:p w14:paraId="02D30161" w14:textId="27FE46F9" w:rsidR="00DC50EA" w:rsidRPr="00773505" w:rsidRDefault="00DC50EA" w:rsidP="00DC50EA">
            <w:pPr>
              <w:jc w:val="center"/>
              <w:rPr>
                <w:rFonts w:asciiTheme="majorHAnsi" w:hAnsiTheme="majorHAnsi" w:cs="Arial"/>
                <w:sz w:val="22"/>
                <w:szCs w:val="22"/>
                <w:highlight w:val="yellow"/>
              </w:rPr>
            </w:pPr>
            <w:r w:rsidRPr="00773505">
              <w:rPr>
                <w:rFonts w:asciiTheme="majorHAnsi" w:hAnsiTheme="majorHAnsi" w:cs="Arial"/>
                <w:sz w:val="22"/>
                <w:szCs w:val="22"/>
              </w:rPr>
              <w:t> </w:t>
            </w:r>
          </w:p>
        </w:tc>
        <w:tc>
          <w:tcPr>
            <w:tcW w:w="1320" w:type="dxa"/>
            <w:noWrap/>
            <w:vAlign w:val="center"/>
          </w:tcPr>
          <w:p w14:paraId="73E89D15" w14:textId="0010363A" w:rsidR="00DC50EA" w:rsidRPr="00773505" w:rsidRDefault="00DC50EA" w:rsidP="00DC50EA">
            <w:pPr>
              <w:jc w:val="center"/>
              <w:rPr>
                <w:rFonts w:asciiTheme="majorHAnsi" w:hAnsiTheme="majorHAnsi" w:cs="Arial"/>
                <w:b/>
                <w:bCs/>
                <w:sz w:val="22"/>
                <w:szCs w:val="22"/>
                <w:highlight w:val="yellow"/>
              </w:rPr>
            </w:pPr>
            <w:r w:rsidRPr="00773505">
              <w:rPr>
                <w:rFonts w:asciiTheme="majorHAnsi" w:hAnsiTheme="majorHAnsi" w:cs="Arial"/>
                <w:b/>
                <w:bCs/>
                <w:sz w:val="22"/>
                <w:szCs w:val="22"/>
              </w:rPr>
              <w:t>15</w:t>
            </w:r>
            <w:r w:rsidR="00557F76">
              <w:rPr>
                <w:rFonts w:asciiTheme="majorHAnsi" w:hAnsiTheme="majorHAnsi" w:cs="Arial"/>
                <w:b/>
                <w:bCs/>
                <w:sz w:val="22"/>
                <w:szCs w:val="22"/>
              </w:rPr>
              <w:t>5</w:t>
            </w:r>
            <w:r w:rsidR="006741B6">
              <w:rPr>
                <w:rFonts w:asciiTheme="majorHAnsi" w:hAnsiTheme="majorHAnsi" w:cs="Arial"/>
                <w:b/>
                <w:bCs/>
                <w:sz w:val="22"/>
                <w:szCs w:val="22"/>
              </w:rPr>
              <w:t>4.69</w:t>
            </w:r>
          </w:p>
        </w:tc>
        <w:tc>
          <w:tcPr>
            <w:tcW w:w="1374" w:type="dxa"/>
            <w:noWrap/>
            <w:vAlign w:val="center"/>
          </w:tcPr>
          <w:p w14:paraId="3DDF2D56" w14:textId="132049F5" w:rsidR="00DC50EA" w:rsidRPr="00773505" w:rsidRDefault="00DC50EA" w:rsidP="00DC50EA">
            <w:pPr>
              <w:jc w:val="center"/>
              <w:rPr>
                <w:rFonts w:asciiTheme="majorHAnsi" w:hAnsiTheme="majorHAnsi" w:cs="Arial"/>
                <w:b/>
                <w:bCs/>
                <w:sz w:val="22"/>
                <w:szCs w:val="22"/>
                <w:highlight w:val="yellow"/>
              </w:rPr>
            </w:pPr>
            <w:r w:rsidRPr="00773505">
              <w:rPr>
                <w:rFonts w:asciiTheme="majorHAnsi" w:hAnsiTheme="majorHAnsi" w:cs="Arial"/>
                <w:b/>
                <w:bCs/>
                <w:sz w:val="22"/>
                <w:szCs w:val="22"/>
              </w:rPr>
              <w:t>5</w:t>
            </w:r>
            <w:r w:rsidR="006741B6">
              <w:rPr>
                <w:rFonts w:asciiTheme="majorHAnsi" w:hAnsiTheme="majorHAnsi" w:cs="Arial"/>
                <w:b/>
                <w:bCs/>
                <w:sz w:val="22"/>
                <w:szCs w:val="22"/>
              </w:rPr>
              <w:t>307.29</w:t>
            </w:r>
          </w:p>
        </w:tc>
      </w:tr>
      <w:tr w:rsidR="0073010F" w:rsidRPr="00773505" w14:paraId="5D1AFC39" w14:textId="77777777" w:rsidTr="00905040">
        <w:trPr>
          <w:trHeight w:val="290"/>
        </w:trPr>
        <w:tc>
          <w:tcPr>
            <w:tcW w:w="2977" w:type="dxa"/>
            <w:noWrap/>
            <w:vAlign w:val="center"/>
            <w:hideMark/>
          </w:tcPr>
          <w:p w14:paraId="2F80C599" w14:textId="77777777" w:rsidR="0073010F" w:rsidRPr="00773505" w:rsidRDefault="0073010F" w:rsidP="0073010F">
            <w:pPr>
              <w:rPr>
                <w:rFonts w:asciiTheme="majorHAnsi" w:hAnsiTheme="majorHAnsi" w:cs="Calibri"/>
                <w:b/>
                <w:bCs/>
                <w:color w:val="000000"/>
                <w:sz w:val="22"/>
                <w:szCs w:val="22"/>
              </w:rPr>
            </w:pPr>
            <w:r w:rsidRPr="00773505">
              <w:rPr>
                <w:rFonts w:asciiTheme="majorHAnsi" w:hAnsiTheme="majorHAnsi" w:cs="Calibri"/>
                <w:b/>
                <w:bCs/>
                <w:color w:val="000000"/>
                <w:sz w:val="22"/>
                <w:szCs w:val="22"/>
              </w:rPr>
              <w:t>Miscellaneous Receipt</w:t>
            </w:r>
          </w:p>
        </w:tc>
        <w:tc>
          <w:tcPr>
            <w:tcW w:w="1310" w:type="dxa"/>
            <w:noWrap/>
            <w:vAlign w:val="center"/>
            <w:hideMark/>
          </w:tcPr>
          <w:p w14:paraId="7A294623" w14:textId="71921558" w:rsidR="0073010F" w:rsidRPr="00773505" w:rsidRDefault="0073010F" w:rsidP="0073010F">
            <w:pPr>
              <w:jc w:val="center"/>
              <w:rPr>
                <w:rFonts w:asciiTheme="majorHAnsi" w:hAnsiTheme="majorHAnsi" w:cs="Calibri"/>
                <w:b/>
                <w:bCs/>
                <w:color w:val="000000"/>
                <w:sz w:val="22"/>
                <w:szCs w:val="22"/>
                <w:highlight w:val="yellow"/>
              </w:rPr>
            </w:pPr>
            <w:r w:rsidRPr="00773505">
              <w:rPr>
                <w:rFonts w:asciiTheme="majorHAnsi" w:hAnsiTheme="majorHAnsi" w:cs="Calibri"/>
                <w:b/>
                <w:bCs/>
                <w:color w:val="000000"/>
                <w:sz w:val="22"/>
                <w:szCs w:val="22"/>
              </w:rPr>
              <w:t> </w:t>
            </w:r>
          </w:p>
        </w:tc>
        <w:tc>
          <w:tcPr>
            <w:tcW w:w="1623" w:type="dxa"/>
            <w:noWrap/>
            <w:vAlign w:val="center"/>
          </w:tcPr>
          <w:p w14:paraId="1C749877" w14:textId="0C49C268"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 </w:t>
            </w:r>
          </w:p>
        </w:tc>
        <w:tc>
          <w:tcPr>
            <w:tcW w:w="1685" w:type="dxa"/>
            <w:noWrap/>
            <w:vAlign w:val="center"/>
          </w:tcPr>
          <w:p w14:paraId="4009C880" w14:textId="04B3B446"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 </w:t>
            </w:r>
          </w:p>
        </w:tc>
        <w:tc>
          <w:tcPr>
            <w:tcW w:w="1320" w:type="dxa"/>
            <w:noWrap/>
            <w:vAlign w:val="center"/>
          </w:tcPr>
          <w:p w14:paraId="525DA3FA" w14:textId="7D17A683"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 </w:t>
            </w:r>
          </w:p>
        </w:tc>
        <w:tc>
          <w:tcPr>
            <w:tcW w:w="1374" w:type="dxa"/>
            <w:noWrap/>
            <w:vAlign w:val="center"/>
          </w:tcPr>
          <w:p w14:paraId="6D68809D" w14:textId="0F5BDB91" w:rsidR="0073010F" w:rsidRPr="00773505" w:rsidRDefault="0073010F" w:rsidP="0073010F">
            <w:pPr>
              <w:jc w:val="center"/>
              <w:rPr>
                <w:rFonts w:asciiTheme="majorHAnsi" w:hAnsiTheme="majorHAnsi" w:cs="Arial"/>
                <w:sz w:val="22"/>
                <w:szCs w:val="22"/>
                <w:highlight w:val="yellow"/>
              </w:rPr>
            </w:pPr>
            <w:r w:rsidRPr="00773505">
              <w:rPr>
                <w:rFonts w:asciiTheme="majorHAnsi" w:hAnsiTheme="majorHAnsi" w:cs="Arial"/>
                <w:sz w:val="22"/>
                <w:szCs w:val="22"/>
              </w:rPr>
              <w:t> </w:t>
            </w:r>
          </w:p>
        </w:tc>
      </w:tr>
      <w:tr w:rsidR="00E65512" w:rsidRPr="00773505" w14:paraId="2B27DB53" w14:textId="77777777" w:rsidTr="00E65512">
        <w:trPr>
          <w:trHeight w:val="580"/>
        </w:trPr>
        <w:tc>
          <w:tcPr>
            <w:tcW w:w="2977" w:type="dxa"/>
            <w:noWrap/>
            <w:vAlign w:val="center"/>
            <w:hideMark/>
          </w:tcPr>
          <w:p w14:paraId="6F4AF3D7" w14:textId="77777777" w:rsidR="00E65512" w:rsidRPr="00773505" w:rsidRDefault="00E65512" w:rsidP="00E65512">
            <w:pPr>
              <w:rPr>
                <w:rFonts w:asciiTheme="majorHAnsi" w:hAnsiTheme="majorHAnsi" w:cs="Arial"/>
                <w:sz w:val="22"/>
                <w:szCs w:val="22"/>
              </w:rPr>
            </w:pPr>
            <w:r w:rsidRPr="00773505">
              <w:rPr>
                <w:rFonts w:asciiTheme="majorHAnsi" w:hAnsiTheme="majorHAnsi" w:cs="Arial"/>
                <w:sz w:val="22"/>
                <w:szCs w:val="22"/>
              </w:rPr>
              <w:t xml:space="preserve">Non-Tariff Income </w:t>
            </w:r>
          </w:p>
        </w:tc>
        <w:tc>
          <w:tcPr>
            <w:tcW w:w="1310" w:type="dxa"/>
            <w:noWrap/>
            <w:vAlign w:val="center"/>
            <w:hideMark/>
          </w:tcPr>
          <w:p w14:paraId="297976D8" w14:textId="53682CFE" w:rsidR="00E65512" w:rsidRPr="00773505" w:rsidRDefault="00E65512" w:rsidP="00E65512">
            <w:pPr>
              <w:jc w:val="center"/>
              <w:rPr>
                <w:rFonts w:asciiTheme="majorHAnsi" w:hAnsiTheme="majorHAnsi" w:cs="Arial"/>
                <w:sz w:val="22"/>
                <w:szCs w:val="22"/>
                <w:lang w:val="en-IN" w:eastAsia="en-IN"/>
              </w:rPr>
            </w:pPr>
            <w:r w:rsidRPr="00773505">
              <w:rPr>
                <w:rFonts w:asciiTheme="majorHAnsi" w:hAnsiTheme="majorHAnsi" w:cs="Arial"/>
                <w:sz w:val="22"/>
                <w:szCs w:val="22"/>
              </w:rPr>
              <w:t>417.42</w:t>
            </w:r>
          </w:p>
        </w:tc>
        <w:tc>
          <w:tcPr>
            <w:tcW w:w="1623" w:type="dxa"/>
            <w:vAlign w:val="center"/>
          </w:tcPr>
          <w:p w14:paraId="33D0FA23" w14:textId="1466EB01" w:rsidR="00E65512" w:rsidRPr="00773505" w:rsidRDefault="00E65512" w:rsidP="00E65512">
            <w:pPr>
              <w:jc w:val="center"/>
              <w:rPr>
                <w:rFonts w:asciiTheme="majorHAnsi" w:hAnsiTheme="majorHAnsi" w:cs="Calibri"/>
                <w:color w:val="000000"/>
                <w:sz w:val="22"/>
                <w:szCs w:val="22"/>
                <w:highlight w:val="yellow"/>
              </w:rPr>
            </w:pPr>
            <w:r w:rsidRPr="00773505">
              <w:rPr>
                <w:rFonts w:asciiTheme="majorHAnsi" w:hAnsiTheme="majorHAnsi" w:cs="Arial"/>
                <w:sz w:val="22"/>
                <w:szCs w:val="22"/>
              </w:rPr>
              <w:t>10%</w:t>
            </w:r>
          </w:p>
        </w:tc>
        <w:tc>
          <w:tcPr>
            <w:tcW w:w="1685" w:type="dxa"/>
            <w:vAlign w:val="center"/>
          </w:tcPr>
          <w:p w14:paraId="7318D6FF" w14:textId="2F9CFC46" w:rsidR="00E65512" w:rsidRPr="00773505" w:rsidRDefault="00E65512" w:rsidP="00E65512">
            <w:pPr>
              <w:jc w:val="center"/>
              <w:rPr>
                <w:rFonts w:asciiTheme="majorHAnsi" w:hAnsiTheme="majorHAnsi" w:cs="Calibri"/>
                <w:color w:val="000000"/>
                <w:sz w:val="22"/>
                <w:szCs w:val="22"/>
                <w:highlight w:val="yellow"/>
              </w:rPr>
            </w:pPr>
            <w:r w:rsidRPr="00773505">
              <w:rPr>
                <w:rFonts w:asciiTheme="majorHAnsi" w:hAnsiTheme="majorHAnsi" w:cs="Arial"/>
                <w:sz w:val="22"/>
                <w:szCs w:val="22"/>
              </w:rPr>
              <w:t>90%</w:t>
            </w:r>
          </w:p>
        </w:tc>
        <w:tc>
          <w:tcPr>
            <w:tcW w:w="1320" w:type="dxa"/>
            <w:noWrap/>
            <w:vAlign w:val="center"/>
          </w:tcPr>
          <w:p w14:paraId="1AFCDD04" w14:textId="7C547BC5" w:rsidR="00E65512" w:rsidRPr="00773505" w:rsidRDefault="00E65512" w:rsidP="00E65512">
            <w:pPr>
              <w:jc w:val="center"/>
              <w:rPr>
                <w:rFonts w:asciiTheme="majorHAnsi" w:hAnsiTheme="majorHAnsi" w:cs="Arial"/>
                <w:sz w:val="22"/>
                <w:szCs w:val="22"/>
                <w:highlight w:val="yellow"/>
              </w:rPr>
            </w:pPr>
            <w:r w:rsidRPr="00773505">
              <w:rPr>
                <w:rFonts w:asciiTheme="majorHAnsi" w:hAnsiTheme="majorHAnsi" w:cs="Arial"/>
                <w:sz w:val="22"/>
                <w:szCs w:val="22"/>
              </w:rPr>
              <w:t>41.74</w:t>
            </w:r>
          </w:p>
        </w:tc>
        <w:tc>
          <w:tcPr>
            <w:tcW w:w="1374" w:type="dxa"/>
            <w:noWrap/>
            <w:vAlign w:val="center"/>
          </w:tcPr>
          <w:p w14:paraId="71B796FA" w14:textId="0C41B286" w:rsidR="00E65512" w:rsidRPr="00773505" w:rsidRDefault="00E65512" w:rsidP="00E65512">
            <w:pPr>
              <w:jc w:val="center"/>
              <w:rPr>
                <w:rFonts w:asciiTheme="majorHAnsi" w:hAnsiTheme="majorHAnsi" w:cs="Arial"/>
                <w:sz w:val="22"/>
                <w:szCs w:val="22"/>
                <w:highlight w:val="yellow"/>
              </w:rPr>
            </w:pPr>
            <w:r w:rsidRPr="00773505">
              <w:rPr>
                <w:rFonts w:asciiTheme="majorHAnsi" w:hAnsiTheme="majorHAnsi" w:cs="Arial"/>
                <w:sz w:val="22"/>
                <w:szCs w:val="22"/>
              </w:rPr>
              <w:t>375.68</w:t>
            </w:r>
          </w:p>
        </w:tc>
      </w:tr>
    </w:tbl>
    <w:p w14:paraId="3315C536" w14:textId="77777777" w:rsidR="009A4EBA" w:rsidRPr="00773505" w:rsidRDefault="009A4EBA" w:rsidP="00773505">
      <w:pPr>
        <w:autoSpaceDE w:val="0"/>
        <w:autoSpaceDN w:val="0"/>
        <w:adjustRightInd w:val="0"/>
        <w:spacing w:line="360" w:lineRule="auto"/>
        <w:jc w:val="both"/>
        <w:rPr>
          <w:rFonts w:asciiTheme="majorHAnsi" w:hAnsiTheme="majorHAnsi"/>
          <w:i/>
        </w:rPr>
      </w:pPr>
      <w:r w:rsidRPr="004A3B22">
        <w:rPr>
          <w:rFonts w:asciiTheme="majorHAnsi" w:hAnsiTheme="majorHAnsi"/>
        </w:rPr>
        <w:t xml:space="preserve">* </w:t>
      </w:r>
      <w:r w:rsidRPr="00773505">
        <w:rPr>
          <w:rFonts w:asciiTheme="majorHAnsi" w:hAnsiTheme="majorHAnsi"/>
          <w:i/>
        </w:rPr>
        <w:t>Allocation of power purchase cost towards wheeling has been made considering 8% Loss on input after effecting EHT sale.</w:t>
      </w:r>
      <w:bookmarkStart w:id="149" w:name="_Toc278737567"/>
      <w:bookmarkEnd w:id="149"/>
    </w:p>
    <w:p w14:paraId="2B76CD9F" w14:textId="77777777" w:rsidR="00895DF6" w:rsidRPr="00773505" w:rsidRDefault="00895DF6" w:rsidP="00773505">
      <w:pPr>
        <w:rPr>
          <w:rFonts w:ascii="Cambria" w:hAnsi="Cambria" w:cs="Arial"/>
          <w:b/>
          <w:bCs/>
          <w:i/>
          <w:kern w:val="32"/>
        </w:rPr>
      </w:pPr>
      <w:bookmarkStart w:id="150" w:name="_Toc183204727"/>
      <w:r w:rsidRPr="00773505">
        <w:rPr>
          <w:rFonts w:ascii="Cambria" w:hAnsi="Cambria"/>
          <w:i/>
        </w:rPr>
        <w:br w:type="page"/>
      </w:r>
    </w:p>
    <w:p w14:paraId="1B65A872" w14:textId="26685921" w:rsidR="00031FA4" w:rsidRPr="00C62D16" w:rsidRDefault="00031FA4" w:rsidP="00904B4F">
      <w:pPr>
        <w:pStyle w:val="Heading1"/>
        <w:numPr>
          <w:ilvl w:val="0"/>
          <w:numId w:val="1"/>
        </w:numPr>
        <w:spacing w:line="360" w:lineRule="auto"/>
        <w:jc w:val="both"/>
        <w:rPr>
          <w:rFonts w:ascii="Cambria" w:hAnsi="Cambria"/>
          <w:color w:val="000000" w:themeColor="text1"/>
          <w:sz w:val="24"/>
          <w:szCs w:val="24"/>
        </w:rPr>
      </w:pPr>
      <w:bookmarkStart w:id="151" w:name="_Toc215250641"/>
      <w:r w:rsidRPr="00C62D16">
        <w:rPr>
          <w:rFonts w:ascii="Cambria" w:hAnsi="Cambria"/>
          <w:color w:val="000000" w:themeColor="text1"/>
          <w:sz w:val="24"/>
          <w:szCs w:val="24"/>
        </w:rPr>
        <w:t>Truing Up of FY 2</w:t>
      </w:r>
      <w:r w:rsidR="00927C31" w:rsidRPr="00C62D16">
        <w:rPr>
          <w:rFonts w:ascii="Cambria" w:hAnsi="Cambria"/>
          <w:color w:val="000000" w:themeColor="text1"/>
          <w:sz w:val="24"/>
          <w:szCs w:val="24"/>
        </w:rPr>
        <w:t>3</w:t>
      </w:r>
      <w:r w:rsidRPr="00C62D16">
        <w:rPr>
          <w:rFonts w:ascii="Cambria" w:hAnsi="Cambria"/>
          <w:color w:val="000000" w:themeColor="text1"/>
          <w:sz w:val="24"/>
          <w:szCs w:val="24"/>
        </w:rPr>
        <w:t>-2</w:t>
      </w:r>
      <w:r w:rsidR="00927C31" w:rsidRPr="00C62D16">
        <w:rPr>
          <w:rFonts w:ascii="Cambria" w:hAnsi="Cambria"/>
          <w:color w:val="000000" w:themeColor="text1"/>
          <w:sz w:val="24"/>
          <w:szCs w:val="24"/>
        </w:rPr>
        <w:t>4</w:t>
      </w:r>
      <w:r w:rsidR="009A4EBA" w:rsidRPr="00C62D16">
        <w:rPr>
          <w:rFonts w:ascii="Cambria" w:hAnsi="Cambria"/>
          <w:color w:val="000000" w:themeColor="text1"/>
          <w:sz w:val="24"/>
          <w:szCs w:val="24"/>
        </w:rPr>
        <w:t xml:space="preserve"> (Revised Submission)</w:t>
      </w:r>
      <w:r w:rsidRPr="00C62D16">
        <w:rPr>
          <w:rFonts w:ascii="Cambria" w:hAnsi="Cambria"/>
          <w:color w:val="000000" w:themeColor="text1"/>
          <w:sz w:val="24"/>
          <w:szCs w:val="24"/>
        </w:rPr>
        <w:t xml:space="preserve"> &amp; Truing Up for FY 2</w:t>
      </w:r>
      <w:r w:rsidR="00927C31" w:rsidRPr="00C62D16">
        <w:rPr>
          <w:rFonts w:ascii="Cambria" w:hAnsi="Cambria"/>
          <w:color w:val="000000" w:themeColor="text1"/>
          <w:sz w:val="24"/>
          <w:szCs w:val="24"/>
        </w:rPr>
        <w:t>4</w:t>
      </w:r>
      <w:r w:rsidRPr="00C62D16">
        <w:rPr>
          <w:rFonts w:ascii="Cambria" w:hAnsi="Cambria"/>
          <w:color w:val="000000" w:themeColor="text1"/>
          <w:sz w:val="24"/>
          <w:szCs w:val="24"/>
        </w:rPr>
        <w:t>-2</w:t>
      </w:r>
      <w:bookmarkEnd w:id="150"/>
      <w:r w:rsidR="00927C31" w:rsidRPr="00C62D16">
        <w:rPr>
          <w:rFonts w:ascii="Cambria" w:hAnsi="Cambria"/>
          <w:color w:val="000000" w:themeColor="text1"/>
          <w:sz w:val="24"/>
          <w:szCs w:val="24"/>
        </w:rPr>
        <w:t>5</w:t>
      </w:r>
      <w:bookmarkEnd w:id="151"/>
    </w:p>
    <w:p w14:paraId="246CD9B5" w14:textId="13ADFBB2" w:rsidR="00031FA4" w:rsidRPr="00031FA4" w:rsidRDefault="00031FA4" w:rsidP="00031FA4">
      <w:pPr>
        <w:autoSpaceDE w:val="0"/>
        <w:autoSpaceDN w:val="0"/>
        <w:adjustRightInd w:val="0"/>
        <w:spacing w:line="360" w:lineRule="auto"/>
        <w:jc w:val="both"/>
        <w:rPr>
          <w:rFonts w:asciiTheme="majorHAnsi" w:hAnsiTheme="majorHAnsi"/>
          <w:highlight w:val="yellow"/>
        </w:rPr>
      </w:pPr>
      <w:r w:rsidRPr="00031FA4">
        <w:rPr>
          <w:rFonts w:asciiTheme="majorHAnsi" w:hAnsiTheme="majorHAnsi"/>
        </w:rPr>
        <w:t>As per the existing regulation</w:t>
      </w:r>
      <w:r>
        <w:rPr>
          <w:rFonts w:asciiTheme="majorHAnsi" w:hAnsiTheme="majorHAnsi"/>
        </w:rPr>
        <w:t>,</w:t>
      </w:r>
      <w:r w:rsidRPr="00031FA4">
        <w:rPr>
          <w:rFonts w:asciiTheme="majorHAnsi" w:hAnsiTheme="majorHAnsi"/>
        </w:rPr>
        <w:t xml:space="preserve"> the licensee is mandated to file it’s truing up petition before 30</w:t>
      </w:r>
      <w:r w:rsidRPr="00031FA4">
        <w:rPr>
          <w:rFonts w:asciiTheme="majorHAnsi" w:hAnsiTheme="majorHAnsi"/>
          <w:vertAlign w:val="superscript"/>
        </w:rPr>
        <w:t>th</w:t>
      </w:r>
      <w:r w:rsidRPr="00031FA4">
        <w:rPr>
          <w:rFonts w:asciiTheme="majorHAnsi" w:hAnsiTheme="majorHAnsi"/>
        </w:rPr>
        <w:t xml:space="preserve"> Nov of each year for the previous year. Furthermore, the Hon’ble Commission in Order dated </w:t>
      </w:r>
      <w:r w:rsidR="00927C31">
        <w:rPr>
          <w:rFonts w:asciiTheme="majorHAnsi" w:hAnsiTheme="majorHAnsi"/>
        </w:rPr>
        <w:t>24</w:t>
      </w:r>
      <w:r w:rsidRPr="00031FA4">
        <w:rPr>
          <w:rFonts w:asciiTheme="majorHAnsi" w:hAnsiTheme="majorHAnsi"/>
        </w:rPr>
        <w:t>.0</w:t>
      </w:r>
      <w:r w:rsidR="00927C31">
        <w:rPr>
          <w:rFonts w:asciiTheme="majorHAnsi" w:hAnsiTheme="majorHAnsi"/>
        </w:rPr>
        <w:t>3</w:t>
      </w:r>
      <w:r w:rsidRPr="00031FA4">
        <w:rPr>
          <w:rFonts w:asciiTheme="majorHAnsi" w:hAnsiTheme="majorHAnsi"/>
        </w:rPr>
        <w:t>.202</w:t>
      </w:r>
      <w:r w:rsidR="00927C31">
        <w:rPr>
          <w:rFonts w:asciiTheme="majorHAnsi" w:hAnsiTheme="majorHAnsi"/>
        </w:rPr>
        <w:t>5</w:t>
      </w:r>
      <w:r w:rsidRPr="00031FA4">
        <w:rPr>
          <w:rFonts w:asciiTheme="majorHAnsi" w:hAnsiTheme="majorHAnsi"/>
        </w:rPr>
        <w:t xml:space="preserve"> had </w:t>
      </w:r>
      <w:r>
        <w:rPr>
          <w:rFonts w:asciiTheme="majorHAnsi" w:hAnsiTheme="majorHAnsi"/>
        </w:rPr>
        <w:t>finalized</w:t>
      </w:r>
      <w:r w:rsidRPr="00031FA4">
        <w:rPr>
          <w:rFonts w:asciiTheme="majorHAnsi" w:hAnsiTheme="majorHAnsi"/>
        </w:rPr>
        <w:t xml:space="preserve"> the truing-up of FY 2</w:t>
      </w:r>
      <w:r w:rsidR="00927C31">
        <w:rPr>
          <w:rFonts w:asciiTheme="majorHAnsi" w:hAnsiTheme="majorHAnsi"/>
        </w:rPr>
        <w:t>2</w:t>
      </w:r>
      <w:r w:rsidRPr="00031FA4">
        <w:rPr>
          <w:rFonts w:asciiTheme="majorHAnsi" w:hAnsiTheme="majorHAnsi"/>
        </w:rPr>
        <w:t>-2</w:t>
      </w:r>
      <w:r w:rsidR="00927C31">
        <w:rPr>
          <w:rFonts w:asciiTheme="majorHAnsi" w:hAnsiTheme="majorHAnsi"/>
        </w:rPr>
        <w:t>3</w:t>
      </w:r>
      <w:r>
        <w:rPr>
          <w:rFonts w:asciiTheme="majorHAnsi" w:hAnsiTheme="majorHAnsi"/>
        </w:rPr>
        <w:t xml:space="preserve"> and had </w:t>
      </w:r>
      <w:r w:rsidR="00927C31">
        <w:rPr>
          <w:rFonts w:asciiTheme="majorHAnsi" w:hAnsiTheme="majorHAnsi"/>
        </w:rPr>
        <w:t>held that truing up exercise for FY 23-24 would be finalized along with ARR and Tariff determination exercise for FY 26-27. Accordi</w:t>
      </w:r>
      <w:r w:rsidRPr="00031FA4">
        <w:rPr>
          <w:rFonts w:asciiTheme="majorHAnsi" w:hAnsiTheme="majorHAnsi"/>
        </w:rPr>
        <w:t xml:space="preserve">ngly, </w:t>
      </w:r>
      <w:r w:rsidR="00927C31">
        <w:rPr>
          <w:rFonts w:asciiTheme="majorHAnsi" w:hAnsiTheme="majorHAnsi"/>
        </w:rPr>
        <w:t xml:space="preserve">the Licensee has filed the </w:t>
      </w:r>
      <w:r w:rsidRPr="00031FA4">
        <w:rPr>
          <w:rFonts w:asciiTheme="majorHAnsi" w:hAnsiTheme="majorHAnsi"/>
        </w:rPr>
        <w:t>revised truing up for FY 2</w:t>
      </w:r>
      <w:r w:rsidR="00927C31">
        <w:rPr>
          <w:rFonts w:asciiTheme="majorHAnsi" w:hAnsiTheme="majorHAnsi"/>
        </w:rPr>
        <w:t>3</w:t>
      </w:r>
      <w:r w:rsidRPr="00031FA4">
        <w:rPr>
          <w:rFonts w:asciiTheme="majorHAnsi" w:hAnsiTheme="majorHAnsi"/>
        </w:rPr>
        <w:t>-2</w:t>
      </w:r>
      <w:r w:rsidR="00927C31">
        <w:rPr>
          <w:rFonts w:asciiTheme="majorHAnsi" w:hAnsiTheme="majorHAnsi"/>
        </w:rPr>
        <w:t>4</w:t>
      </w:r>
      <w:r w:rsidRPr="00031FA4">
        <w:rPr>
          <w:rFonts w:asciiTheme="majorHAnsi" w:hAnsiTheme="majorHAnsi"/>
        </w:rPr>
        <w:t xml:space="preserve"> along with Truing up for FY 2</w:t>
      </w:r>
      <w:r w:rsidR="00927C31">
        <w:rPr>
          <w:rFonts w:asciiTheme="majorHAnsi" w:hAnsiTheme="majorHAnsi"/>
        </w:rPr>
        <w:t>4</w:t>
      </w:r>
      <w:r w:rsidRPr="00031FA4">
        <w:rPr>
          <w:rFonts w:asciiTheme="majorHAnsi" w:hAnsiTheme="majorHAnsi"/>
        </w:rPr>
        <w:t>-2</w:t>
      </w:r>
      <w:r w:rsidR="00927C31">
        <w:rPr>
          <w:rFonts w:asciiTheme="majorHAnsi" w:hAnsiTheme="majorHAnsi"/>
        </w:rPr>
        <w:t>5</w:t>
      </w:r>
      <w:r w:rsidRPr="00031FA4">
        <w:rPr>
          <w:rFonts w:asciiTheme="majorHAnsi" w:hAnsiTheme="majorHAnsi"/>
        </w:rPr>
        <w:t>. An abstract is depicted below for kind reference:</w:t>
      </w:r>
    </w:p>
    <w:p w14:paraId="03BFC1C8" w14:textId="06DAABAC" w:rsidR="00031FA4" w:rsidRDefault="00031FA4" w:rsidP="00927C31">
      <w:pPr>
        <w:autoSpaceDE w:val="0"/>
        <w:autoSpaceDN w:val="0"/>
        <w:adjustRightInd w:val="0"/>
        <w:spacing w:line="360" w:lineRule="auto"/>
        <w:jc w:val="both"/>
        <w:rPr>
          <w:rFonts w:asciiTheme="majorHAnsi" w:hAnsiTheme="majorHAnsi"/>
          <w:b/>
          <w:bCs/>
          <w:u w:val="single"/>
        </w:rPr>
      </w:pPr>
      <w:r w:rsidRPr="00031FA4">
        <w:rPr>
          <w:rFonts w:asciiTheme="majorHAnsi" w:hAnsiTheme="majorHAnsi"/>
          <w:b/>
          <w:bCs/>
          <w:u w:val="single"/>
        </w:rPr>
        <w:t>Revised Truing up FY 2023-24:</w:t>
      </w:r>
    </w:p>
    <w:tbl>
      <w:tblPr>
        <w:tblW w:w="9485" w:type="dxa"/>
        <w:tblInd w:w="-436" w:type="dxa"/>
        <w:tblLook w:val="04A0" w:firstRow="1" w:lastRow="0" w:firstColumn="1" w:lastColumn="0" w:noHBand="0" w:noVBand="1"/>
      </w:tblPr>
      <w:tblGrid>
        <w:gridCol w:w="5335"/>
        <w:gridCol w:w="1312"/>
        <w:gridCol w:w="1397"/>
        <w:gridCol w:w="1441"/>
      </w:tblGrid>
      <w:tr w:rsidR="00557F76" w14:paraId="1BB5D996" w14:textId="77777777" w:rsidTr="00557F76">
        <w:trPr>
          <w:trHeight w:val="315"/>
          <w:tblHeader/>
        </w:trPr>
        <w:tc>
          <w:tcPr>
            <w:tcW w:w="9485" w:type="dxa"/>
            <w:gridSpan w:val="4"/>
            <w:tcBorders>
              <w:top w:val="single" w:sz="8" w:space="0" w:color="auto"/>
              <w:left w:val="single" w:sz="8" w:space="0" w:color="auto"/>
              <w:bottom w:val="single" w:sz="8" w:space="0" w:color="auto"/>
              <w:right w:val="single" w:sz="8" w:space="0" w:color="000000"/>
            </w:tcBorders>
            <w:shd w:val="clear" w:color="000000" w:fill="F8CBAD"/>
            <w:vAlign w:val="center"/>
            <w:hideMark/>
          </w:tcPr>
          <w:p w14:paraId="51148818" w14:textId="60D86E58" w:rsidR="00557F76" w:rsidRDefault="00557F76">
            <w:pPr>
              <w:rPr>
                <w:rFonts w:ascii="Calibri" w:hAnsi="Calibri" w:cs="Calibri"/>
                <w:b/>
                <w:bCs/>
                <w:color w:val="000000"/>
                <w:sz w:val="22"/>
                <w:szCs w:val="22"/>
                <w:lang w:val="en-IN" w:eastAsia="en-IN"/>
              </w:rPr>
            </w:pPr>
            <w:r>
              <w:rPr>
                <w:rFonts w:ascii="Calibri" w:hAnsi="Calibri" w:cs="Calibri"/>
                <w:b/>
                <w:bCs/>
                <w:color w:val="000000"/>
                <w:sz w:val="22"/>
                <w:szCs w:val="22"/>
              </w:rPr>
              <w:t>Statement of Truing up calculation for FY 2023-24                                                                            Rs. In Cr.</w:t>
            </w:r>
          </w:p>
        </w:tc>
      </w:tr>
      <w:tr w:rsidR="00557F76" w14:paraId="4038E99C" w14:textId="77777777" w:rsidTr="00557F76">
        <w:trPr>
          <w:trHeight w:val="1152"/>
          <w:tblHeader/>
        </w:trPr>
        <w:tc>
          <w:tcPr>
            <w:tcW w:w="5335" w:type="dxa"/>
            <w:tcBorders>
              <w:top w:val="nil"/>
              <w:left w:val="single" w:sz="8" w:space="0" w:color="auto"/>
              <w:bottom w:val="single" w:sz="8" w:space="0" w:color="auto"/>
              <w:right w:val="single" w:sz="8" w:space="0" w:color="auto"/>
            </w:tcBorders>
            <w:shd w:val="clear" w:color="000000" w:fill="F2F2F2"/>
            <w:vAlign w:val="center"/>
            <w:hideMark/>
          </w:tcPr>
          <w:p w14:paraId="2A69134E"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Particulars</w:t>
            </w:r>
          </w:p>
        </w:tc>
        <w:tc>
          <w:tcPr>
            <w:tcW w:w="1312" w:type="dxa"/>
            <w:tcBorders>
              <w:top w:val="nil"/>
              <w:left w:val="nil"/>
              <w:bottom w:val="single" w:sz="8" w:space="0" w:color="auto"/>
              <w:right w:val="single" w:sz="8" w:space="0" w:color="auto"/>
            </w:tcBorders>
            <w:shd w:val="clear" w:color="000000" w:fill="F2F2F2"/>
            <w:vAlign w:val="center"/>
            <w:hideMark/>
          </w:tcPr>
          <w:p w14:paraId="1C165993"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 xml:space="preserve">Approved in ARR </w:t>
            </w:r>
            <w:r>
              <w:rPr>
                <w:rFonts w:ascii="Calibri" w:hAnsi="Calibri" w:cs="Calibri"/>
                <w:b/>
                <w:bCs/>
                <w:color w:val="000000"/>
                <w:sz w:val="22"/>
                <w:szCs w:val="22"/>
              </w:rPr>
              <w:br/>
              <w:t>FY 23-24</w:t>
            </w:r>
          </w:p>
        </w:tc>
        <w:tc>
          <w:tcPr>
            <w:tcW w:w="1397" w:type="dxa"/>
            <w:tcBorders>
              <w:top w:val="nil"/>
              <w:left w:val="nil"/>
              <w:bottom w:val="single" w:sz="8" w:space="0" w:color="auto"/>
              <w:right w:val="single" w:sz="8" w:space="0" w:color="auto"/>
            </w:tcBorders>
            <w:shd w:val="clear" w:color="000000" w:fill="F2F2F2"/>
            <w:vAlign w:val="center"/>
            <w:hideMark/>
          </w:tcPr>
          <w:p w14:paraId="207725C2"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Audited (OERC Format)</w:t>
            </w:r>
            <w:r>
              <w:rPr>
                <w:rFonts w:ascii="Calibri" w:hAnsi="Calibri" w:cs="Calibri"/>
                <w:b/>
                <w:bCs/>
                <w:color w:val="000000"/>
                <w:sz w:val="22"/>
                <w:szCs w:val="22"/>
              </w:rPr>
              <w:br/>
              <w:t>FY 23- 24</w:t>
            </w:r>
          </w:p>
        </w:tc>
        <w:tc>
          <w:tcPr>
            <w:tcW w:w="1439" w:type="dxa"/>
            <w:tcBorders>
              <w:top w:val="nil"/>
              <w:left w:val="nil"/>
              <w:bottom w:val="nil"/>
              <w:right w:val="single" w:sz="8" w:space="0" w:color="auto"/>
            </w:tcBorders>
            <w:shd w:val="clear" w:color="000000" w:fill="F2F2F2"/>
            <w:vAlign w:val="center"/>
            <w:hideMark/>
          </w:tcPr>
          <w:p w14:paraId="15F056A6"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Considered for Truing Up FY 23-24</w:t>
            </w:r>
          </w:p>
        </w:tc>
      </w:tr>
      <w:tr w:rsidR="00557F76" w14:paraId="58FC2768" w14:textId="77777777" w:rsidTr="00557F76">
        <w:trPr>
          <w:trHeight w:val="315"/>
          <w:tblHeader/>
        </w:trPr>
        <w:tc>
          <w:tcPr>
            <w:tcW w:w="5335" w:type="dxa"/>
            <w:tcBorders>
              <w:top w:val="nil"/>
              <w:left w:val="single" w:sz="8" w:space="0" w:color="auto"/>
              <w:bottom w:val="single" w:sz="8" w:space="0" w:color="auto"/>
              <w:right w:val="single" w:sz="8" w:space="0" w:color="auto"/>
            </w:tcBorders>
            <w:shd w:val="clear" w:color="000000" w:fill="F2F2F2"/>
            <w:vAlign w:val="center"/>
            <w:hideMark/>
          </w:tcPr>
          <w:p w14:paraId="6266CE33"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 xml:space="preserve">Expenditure </w:t>
            </w:r>
          </w:p>
        </w:tc>
        <w:tc>
          <w:tcPr>
            <w:tcW w:w="1312" w:type="dxa"/>
            <w:tcBorders>
              <w:top w:val="nil"/>
              <w:left w:val="nil"/>
              <w:bottom w:val="single" w:sz="8" w:space="0" w:color="auto"/>
              <w:right w:val="single" w:sz="8" w:space="0" w:color="auto"/>
            </w:tcBorders>
            <w:shd w:val="clear" w:color="000000" w:fill="F2F2F2"/>
            <w:noWrap/>
            <w:vAlign w:val="center"/>
            <w:hideMark/>
          </w:tcPr>
          <w:p w14:paraId="1D017423" w14:textId="77777777" w:rsidR="00557F76" w:rsidRDefault="00557F76">
            <w:pPr>
              <w:rPr>
                <w:rFonts w:ascii="Calibri" w:hAnsi="Calibri" w:cs="Calibri"/>
                <w:color w:val="000000"/>
                <w:sz w:val="22"/>
                <w:szCs w:val="22"/>
              </w:rPr>
            </w:pPr>
            <w:r>
              <w:rPr>
                <w:rFonts w:ascii="Calibri" w:hAnsi="Calibri" w:cs="Calibri"/>
                <w:color w:val="000000"/>
                <w:sz w:val="22"/>
                <w:szCs w:val="22"/>
              </w:rPr>
              <w:t> </w:t>
            </w:r>
          </w:p>
        </w:tc>
        <w:tc>
          <w:tcPr>
            <w:tcW w:w="1397" w:type="dxa"/>
            <w:tcBorders>
              <w:top w:val="nil"/>
              <w:left w:val="nil"/>
              <w:bottom w:val="single" w:sz="8" w:space="0" w:color="auto"/>
              <w:right w:val="single" w:sz="8" w:space="0" w:color="auto"/>
            </w:tcBorders>
            <w:shd w:val="clear" w:color="000000" w:fill="F2F2F2"/>
            <w:noWrap/>
            <w:vAlign w:val="center"/>
            <w:hideMark/>
          </w:tcPr>
          <w:p w14:paraId="5BD134FC" w14:textId="77777777" w:rsidR="00557F76" w:rsidRDefault="00557F76">
            <w:pPr>
              <w:rPr>
                <w:rFonts w:ascii="Calibri" w:hAnsi="Calibri" w:cs="Calibri"/>
                <w:color w:val="000000"/>
                <w:sz w:val="22"/>
                <w:szCs w:val="22"/>
              </w:rPr>
            </w:pPr>
            <w:r>
              <w:rPr>
                <w:rFonts w:ascii="Calibri" w:hAnsi="Calibri" w:cs="Calibri"/>
                <w:color w:val="000000"/>
                <w:sz w:val="22"/>
                <w:szCs w:val="22"/>
              </w:rPr>
              <w:t> </w:t>
            </w:r>
          </w:p>
        </w:tc>
        <w:tc>
          <w:tcPr>
            <w:tcW w:w="1439" w:type="dxa"/>
            <w:tcBorders>
              <w:top w:val="single" w:sz="8" w:space="0" w:color="auto"/>
              <w:left w:val="nil"/>
              <w:bottom w:val="single" w:sz="8" w:space="0" w:color="auto"/>
              <w:right w:val="single" w:sz="8" w:space="0" w:color="auto"/>
            </w:tcBorders>
            <w:shd w:val="clear" w:color="000000" w:fill="F2F2F2"/>
            <w:noWrap/>
            <w:vAlign w:val="bottom"/>
            <w:hideMark/>
          </w:tcPr>
          <w:p w14:paraId="03EA9253" w14:textId="77777777" w:rsidR="00557F76" w:rsidRDefault="00557F76">
            <w:pPr>
              <w:rPr>
                <w:rFonts w:ascii="Calibri" w:hAnsi="Calibri" w:cs="Calibri"/>
                <w:color w:val="000000"/>
                <w:sz w:val="22"/>
                <w:szCs w:val="22"/>
              </w:rPr>
            </w:pPr>
            <w:r>
              <w:rPr>
                <w:rFonts w:ascii="Calibri" w:hAnsi="Calibri" w:cs="Calibri"/>
                <w:color w:val="000000"/>
                <w:sz w:val="22"/>
                <w:szCs w:val="22"/>
              </w:rPr>
              <w:t> </w:t>
            </w:r>
          </w:p>
        </w:tc>
      </w:tr>
      <w:tr w:rsidR="00557F76" w14:paraId="5B9ABDD2"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5C80B5E5" w14:textId="77777777" w:rsidR="00557F76" w:rsidRDefault="00557F76">
            <w:pPr>
              <w:rPr>
                <w:rFonts w:ascii="Calibri" w:hAnsi="Calibri" w:cs="Calibri"/>
                <w:color w:val="000000"/>
                <w:sz w:val="22"/>
                <w:szCs w:val="22"/>
              </w:rPr>
            </w:pPr>
            <w:r>
              <w:rPr>
                <w:rFonts w:ascii="Calibri" w:hAnsi="Calibri" w:cs="Calibri"/>
                <w:color w:val="000000"/>
                <w:sz w:val="22"/>
                <w:szCs w:val="22"/>
              </w:rPr>
              <w:t>Cost of Power Purchase - Gross</w:t>
            </w:r>
          </w:p>
        </w:tc>
        <w:tc>
          <w:tcPr>
            <w:tcW w:w="1312" w:type="dxa"/>
            <w:tcBorders>
              <w:top w:val="nil"/>
              <w:left w:val="nil"/>
              <w:bottom w:val="single" w:sz="8" w:space="0" w:color="auto"/>
              <w:right w:val="single" w:sz="8" w:space="0" w:color="auto"/>
            </w:tcBorders>
            <w:shd w:val="clear" w:color="auto" w:fill="auto"/>
            <w:noWrap/>
            <w:vAlign w:val="center"/>
            <w:hideMark/>
          </w:tcPr>
          <w:p w14:paraId="50CEE85C"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5528.46</w:t>
            </w:r>
          </w:p>
        </w:tc>
        <w:tc>
          <w:tcPr>
            <w:tcW w:w="1397" w:type="dxa"/>
            <w:tcBorders>
              <w:top w:val="nil"/>
              <w:left w:val="nil"/>
              <w:bottom w:val="single" w:sz="8" w:space="0" w:color="auto"/>
              <w:right w:val="single" w:sz="8" w:space="0" w:color="auto"/>
            </w:tcBorders>
            <w:shd w:val="clear" w:color="auto" w:fill="auto"/>
            <w:noWrap/>
            <w:vAlign w:val="center"/>
            <w:hideMark/>
          </w:tcPr>
          <w:p w14:paraId="2CB4E6EB"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5727.21</w:t>
            </w:r>
          </w:p>
        </w:tc>
        <w:tc>
          <w:tcPr>
            <w:tcW w:w="1439" w:type="dxa"/>
            <w:tcBorders>
              <w:top w:val="nil"/>
              <w:left w:val="nil"/>
              <w:bottom w:val="single" w:sz="8" w:space="0" w:color="auto"/>
              <w:right w:val="single" w:sz="8" w:space="0" w:color="auto"/>
            </w:tcBorders>
            <w:shd w:val="clear" w:color="auto" w:fill="auto"/>
            <w:noWrap/>
            <w:vAlign w:val="bottom"/>
            <w:hideMark/>
          </w:tcPr>
          <w:p w14:paraId="330B8284" w14:textId="77777777" w:rsidR="00557F76" w:rsidRPr="00557F76" w:rsidRDefault="00557F76">
            <w:pPr>
              <w:jc w:val="center"/>
              <w:rPr>
                <w:rFonts w:ascii="Calibri" w:hAnsi="Calibri" w:cs="Calibri"/>
                <w:color w:val="000000"/>
                <w:sz w:val="22"/>
                <w:szCs w:val="22"/>
              </w:rPr>
            </w:pPr>
            <w:r w:rsidRPr="00557F76">
              <w:rPr>
                <w:rFonts w:ascii="Calibri" w:hAnsi="Calibri" w:cs="Calibri"/>
                <w:color w:val="000000"/>
                <w:sz w:val="22"/>
                <w:szCs w:val="22"/>
              </w:rPr>
              <w:t>5828.24</w:t>
            </w:r>
          </w:p>
        </w:tc>
      </w:tr>
      <w:tr w:rsidR="00557F76" w14:paraId="3453F95D"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5A710026" w14:textId="77777777" w:rsidR="00557F76" w:rsidRDefault="00557F76">
            <w:pPr>
              <w:rPr>
                <w:rFonts w:ascii="Calibri" w:hAnsi="Calibri" w:cs="Calibri"/>
                <w:color w:val="000000"/>
                <w:sz w:val="22"/>
                <w:szCs w:val="22"/>
              </w:rPr>
            </w:pPr>
            <w:r>
              <w:rPr>
                <w:rFonts w:ascii="Calibri" w:hAnsi="Calibri" w:cs="Calibri"/>
                <w:color w:val="000000"/>
                <w:sz w:val="22"/>
                <w:szCs w:val="22"/>
              </w:rPr>
              <w:t>Employee costs (cash outgo basis)</w:t>
            </w:r>
          </w:p>
        </w:tc>
        <w:tc>
          <w:tcPr>
            <w:tcW w:w="1312" w:type="dxa"/>
            <w:tcBorders>
              <w:top w:val="nil"/>
              <w:left w:val="nil"/>
              <w:bottom w:val="single" w:sz="8" w:space="0" w:color="auto"/>
              <w:right w:val="single" w:sz="8" w:space="0" w:color="auto"/>
            </w:tcBorders>
            <w:shd w:val="clear" w:color="auto" w:fill="auto"/>
            <w:noWrap/>
            <w:vAlign w:val="center"/>
            <w:hideMark/>
          </w:tcPr>
          <w:p w14:paraId="3C1F89FF"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580.57</w:t>
            </w:r>
          </w:p>
        </w:tc>
        <w:tc>
          <w:tcPr>
            <w:tcW w:w="1397" w:type="dxa"/>
            <w:tcBorders>
              <w:top w:val="nil"/>
              <w:left w:val="nil"/>
              <w:bottom w:val="single" w:sz="8" w:space="0" w:color="auto"/>
              <w:right w:val="single" w:sz="8" w:space="0" w:color="auto"/>
            </w:tcBorders>
            <w:shd w:val="clear" w:color="auto" w:fill="auto"/>
            <w:noWrap/>
            <w:vAlign w:val="center"/>
            <w:hideMark/>
          </w:tcPr>
          <w:p w14:paraId="20FDCD76"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528.31</w:t>
            </w:r>
          </w:p>
        </w:tc>
        <w:tc>
          <w:tcPr>
            <w:tcW w:w="1439" w:type="dxa"/>
            <w:tcBorders>
              <w:top w:val="nil"/>
              <w:left w:val="nil"/>
              <w:bottom w:val="single" w:sz="8" w:space="0" w:color="auto"/>
              <w:right w:val="single" w:sz="8" w:space="0" w:color="auto"/>
            </w:tcBorders>
            <w:shd w:val="clear" w:color="auto" w:fill="auto"/>
            <w:noWrap/>
            <w:vAlign w:val="bottom"/>
            <w:hideMark/>
          </w:tcPr>
          <w:p w14:paraId="43BFE8D5" w14:textId="77777777" w:rsidR="00557F76" w:rsidRPr="00557F76" w:rsidRDefault="00557F76">
            <w:pPr>
              <w:jc w:val="center"/>
              <w:rPr>
                <w:rFonts w:ascii="Calibri" w:hAnsi="Calibri" w:cs="Calibri"/>
                <w:color w:val="000000"/>
                <w:sz w:val="22"/>
                <w:szCs w:val="22"/>
              </w:rPr>
            </w:pPr>
            <w:r w:rsidRPr="00557F76">
              <w:rPr>
                <w:rFonts w:ascii="Calibri" w:hAnsi="Calibri" w:cs="Calibri"/>
                <w:color w:val="000000"/>
                <w:sz w:val="22"/>
                <w:szCs w:val="22"/>
              </w:rPr>
              <w:t>534.03</w:t>
            </w:r>
          </w:p>
        </w:tc>
      </w:tr>
      <w:tr w:rsidR="00557F76" w14:paraId="4B160FA4"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1492314A" w14:textId="77777777" w:rsidR="00557F76" w:rsidRDefault="00557F76">
            <w:pPr>
              <w:rPr>
                <w:rFonts w:ascii="Calibri" w:hAnsi="Calibri" w:cs="Calibri"/>
                <w:color w:val="000000"/>
                <w:sz w:val="22"/>
                <w:szCs w:val="22"/>
              </w:rPr>
            </w:pPr>
            <w:r>
              <w:rPr>
                <w:rFonts w:ascii="Calibri" w:hAnsi="Calibri" w:cs="Calibri"/>
                <w:color w:val="000000"/>
                <w:sz w:val="22"/>
                <w:szCs w:val="22"/>
              </w:rPr>
              <w:t>R&amp;M Expenses</w:t>
            </w:r>
          </w:p>
        </w:tc>
        <w:tc>
          <w:tcPr>
            <w:tcW w:w="1312" w:type="dxa"/>
            <w:tcBorders>
              <w:top w:val="nil"/>
              <w:left w:val="nil"/>
              <w:bottom w:val="single" w:sz="8" w:space="0" w:color="auto"/>
              <w:right w:val="single" w:sz="8" w:space="0" w:color="auto"/>
            </w:tcBorders>
            <w:shd w:val="clear" w:color="auto" w:fill="auto"/>
            <w:noWrap/>
            <w:vAlign w:val="center"/>
            <w:hideMark/>
          </w:tcPr>
          <w:p w14:paraId="4779A8D1"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281.99</w:t>
            </w:r>
          </w:p>
        </w:tc>
        <w:tc>
          <w:tcPr>
            <w:tcW w:w="1397" w:type="dxa"/>
            <w:tcBorders>
              <w:top w:val="nil"/>
              <w:left w:val="nil"/>
              <w:bottom w:val="single" w:sz="8" w:space="0" w:color="auto"/>
              <w:right w:val="single" w:sz="8" w:space="0" w:color="auto"/>
            </w:tcBorders>
            <w:shd w:val="clear" w:color="auto" w:fill="auto"/>
            <w:noWrap/>
            <w:vAlign w:val="center"/>
            <w:hideMark/>
          </w:tcPr>
          <w:p w14:paraId="214E37F7"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244.35</w:t>
            </w:r>
          </w:p>
        </w:tc>
        <w:tc>
          <w:tcPr>
            <w:tcW w:w="1439" w:type="dxa"/>
            <w:tcBorders>
              <w:top w:val="nil"/>
              <w:left w:val="nil"/>
              <w:bottom w:val="single" w:sz="8" w:space="0" w:color="auto"/>
              <w:right w:val="single" w:sz="8" w:space="0" w:color="auto"/>
            </w:tcBorders>
            <w:shd w:val="clear" w:color="auto" w:fill="auto"/>
            <w:noWrap/>
            <w:vAlign w:val="bottom"/>
            <w:hideMark/>
          </w:tcPr>
          <w:p w14:paraId="50C5B0A2" w14:textId="77777777" w:rsidR="00557F76" w:rsidRPr="00557F76" w:rsidRDefault="00557F76">
            <w:pPr>
              <w:jc w:val="center"/>
              <w:rPr>
                <w:rFonts w:ascii="Calibri" w:hAnsi="Calibri" w:cs="Calibri"/>
                <w:color w:val="000000"/>
                <w:sz w:val="22"/>
                <w:szCs w:val="22"/>
              </w:rPr>
            </w:pPr>
            <w:r w:rsidRPr="00557F76">
              <w:rPr>
                <w:rFonts w:ascii="Calibri" w:hAnsi="Calibri" w:cs="Calibri"/>
                <w:color w:val="000000"/>
                <w:sz w:val="22"/>
                <w:szCs w:val="22"/>
              </w:rPr>
              <w:t>244.35</w:t>
            </w:r>
          </w:p>
        </w:tc>
      </w:tr>
      <w:tr w:rsidR="00557F76" w14:paraId="68C77BEB"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2862E9C9" w14:textId="77777777" w:rsidR="00557F76" w:rsidRDefault="00557F76">
            <w:pPr>
              <w:rPr>
                <w:rFonts w:ascii="Calibri" w:hAnsi="Calibri" w:cs="Calibri"/>
                <w:color w:val="000000"/>
                <w:sz w:val="22"/>
                <w:szCs w:val="22"/>
              </w:rPr>
            </w:pPr>
            <w:r>
              <w:rPr>
                <w:rFonts w:ascii="Calibri" w:hAnsi="Calibri" w:cs="Calibri"/>
                <w:color w:val="000000"/>
                <w:sz w:val="22"/>
                <w:szCs w:val="22"/>
              </w:rPr>
              <w:t xml:space="preserve">A&amp;G Expenses </w:t>
            </w:r>
          </w:p>
        </w:tc>
        <w:tc>
          <w:tcPr>
            <w:tcW w:w="1312" w:type="dxa"/>
            <w:tcBorders>
              <w:top w:val="nil"/>
              <w:left w:val="nil"/>
              <w:bottom w:val="single" w:sz="8" w:space="0" w:color="auto"/>
              <w:right w:val="single" w:sz="8" w:space="0" w:color="auto"/>
            </w:tcBorders>
            <w:shd w:val="clear" w:color="auto" w:fill="auto"/>
            <w:noWrap/>
            <w:vAlign w:val="center"/>
            <w:hideMark/>
          </w:tcPr>
          <w:p w14:paraId="75AF8A60"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158.12</w:t>
            </w:r>
          </w:p>
        </w:tc>
        <w:tc>
          <w:tcPr>
            <w:tcW w:w="1397" w:type="dxa"/>
            <w:tcBorders>
              <w:top w:val="nil"/>
              <w:left w:val="nil"/>
              <w:bottom w:val="single" w:sz="8" w:space="0" w:color="auto"/>
              <w:right w:val="single" w:sz="8" w:space="0" w:color="auto"/>
            </w:tcBorders>
            <w:shd w:val="clear" w:color="auto" w:fill="auto"/>
            <w:noWrap/>
            <w:vAlign w:val="center"/>
            <w:hideMark/>
          </w:tcPr>
          <w:p w14:paraId="6A5C7437"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169.42</w:t>
            </w:r>
          </w:p>
        </w:tc>
        <w:tc>
          <w:tcPr>
            <w:tcW w:w="1439" w:type="dxa"/>
            <w:tcBorders>
              <w:top w:val="nil"/>
              <w:left w:val="nil"/>
              <w:bottom w:val="single" w:sz="8" w:space="0" w:color="auto"/>
              <w:right w:val="single" w:sz="8" w:space="0" w:color="auto"/>
            </w:tcBorders>
            <w:shd w:val="clear" w:color="auto" w:fill="auto"/>
            <w:noWrap/>
            <w:vAlign w:val="bottom"/>
            <w:hideMark/>
          </w:tcPr>
          <w:p w14:paraId="77E35F2F" w14:textId="77777777" w:rsidR="00557F76" w:rsidRPr="00557F76" w:rsidRDefault="00557F76">
            <w:pPr>
              <w:jc w:val="center"/>
              <w:rPr>
                <w:rFonts w:ascii="Calibri" w:hAnsi="Calibri" w:cs="Calibri"/>
                <w:color w:val="000000"/>
                <w:sz w:val="22"/>
                <w:szCs w:val="22"/>
              </w:rPr>
            </w:pPr>
            <w:r w:rsidRPr="00557F76">
              <w:rPr>
                <w:rFonts w:ascii="Calibri" w:hAnsi="Calibri" w:cs="Calibri"/>
                <w:color w:val="000000"/>
                <w:sz w:val="22"/>
                <w:szCs w:val="22"/>
              </w:rPr>
              <w:t>169.42</w:t>
            </w:r>
          </w:p>
        </w:tc>
      </w:tr>
      <w:tr w:rsidR="00557F76" w14:paraId="693F5743"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47E9CB4D" w14:textId="77777777" w:rsidR="00557F76" w:rsidRDefault="00557F76">
            <w:pPr>
              <w:rPr>
                <w:rFonts w:ascii="Calibri" w:hAnsi="Calibri" w:cs="Calibri"/>
                <w:color w:val="000000"/>
                <w:sz w:val="22"/>
                <w:szCs w:val="22"/>
              </w:rPr>
            </w:pPr>
            <w:r>
              <w:rPr>
                <w:rFonts w:ascii="Calibri" w:hAnsi="Calibri" w:cs="Calibri"/>
                <w:color w:val="000000"/>
                <w:sz w:val="22"/>
                <w:szCs w:val="22"/>
              </w:rPr>
              <w:t>Provision for Bad &amp; Doubtful Debts</w:t>
            </w:r>
          </w:p>
        </w:tc>
        <w:tc>
          <w:tcPr>
            <w:tcW w:w="1312" w:type="dxa"/>
            <w:tcBorders>
              <w:top w:val="nil"/>
              <w:left w:val="nil"/>
              <w:bottom w:val="single" w:sz="8" w:space="0" w:color="auto"/>
              <w:right w:val="single" w:sz="8" w:space="0" w:color="auto"/>
            </w:tcBorders>
            <w:shd w:val="clear" w:color="auto" w:fill="auto"/>
            <w:noWrap/>
            <w:vAlign w:val="center"/>
            <w:hideMark/>
          </w:tcPr>
          <w:p w14:paraId="6F291625"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62.52</w:t>
            </w:r>
          </w:p>
        </w:tc>
        <w:tc>
          <w:tcPr>
            <w:tcW w:w="1397" w:type="dxa"/>
            <w:tcBorders>
              <w:top w:val="nil"/>
              <w:left w:val="nil"/>
              <w:bottom w:val="single" w:sz="8" w:space="0" w:color="auto"/>
              <w:right w:val="single" w:sz="8" w:space="0" w:color="auto"/>
            </w:tcBorders>
            <w:shd w:val="clear" w:color="auto" w:fill="auto"/>
            <w:noWrap/>
            <w:vAlign w:val="center"/>
            <w:hideMark/>
          </w:tcPr>
          <w:p w14:paraId="16438D18"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238.86</w:t>
            </w:r>
          </w:p>
        </w:tc>
        <w:tc>
          <w:tcPr>
            <w:tcW w:w="1439" w:type="dxa"/>
            <w:tcBorders>
              <w:top w:val="nil"/>
              <w:left w:val="nil"/>
              <w:bottom w:val="single" w:sz="8" w:space="0" w:color="auto"/>
              <w:right w:val="single" w:sz="8" w:space="0" w:color="auto"/>
            </w:tcBorders>
            <w:shd w:val="clear" w:color="auto" w:fill="auto"/>
            <w:noWrap/>
            <w:vAlign w:val="bottom"/>
            <w:hideMark/>
          </w:tcPr>
          <w:p w14:paraId="38888ABD" w14:textId="77777777" w:rsidR="00557F76" w:rsidRPr="00557F76" w:rsidRDefault="00557F76">
            <w:pPr>
              <w:jc w:val="center"/>
              <w:rPr>
                <w:rFonts w:ascii="Calibri" w:hAnsi="Calibri" w:cs="Calibri"/>
                <w:color w:val="000000"/>
                <w:sz w:val="22"/>
                <w:szCs w:val="22"/>
              </w:rPr>
            </w:pPr>
            <w:r w:rsidRPr="00557F76">
              <w:rPr>
                <w:rFonts w:ascii="Calibri" w:hAnsi="Calibri" w:cs="Calibri"/>
                <w:color w:val="000000"/>
                <w:sz w:val="22"/>
                <w:szCs w:val="22"/>
              </w:rPr>
              <w:t>62.86</w:t>
            </w:r>
          </w:p>
        </w:tc>
      </w:tr>
      <w:tr w:rsidR="00557F76" w14:paraId="3C5A358F"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3E03A70B" w14:textId="77777777" w:rsidR="00557F76" w:rsidRDefault="00557F76">
            <w:pPr>
              <w:rPr>
                <w:rFonts w:ascii="Calibri" w:hAnsi="Calibri" w:cs="Calibri"/>
                <w:color w:val="000000"/>
                <w:sz w:val="22"/>
                <w:szCs w:val="22"/>
              </w:rPr>
            </w:pPr>
            <w:r>
              <w:rPr>
                <w:rFonts w:ascii="Calibri" w:hAnsi="Calibri" w:cs="Calibri"/>
                <w:color w:val="000000"/>
                <w:sz w:val="22"/>
                <w:szCs w:val="22"/>
              </w:rPr>
              <w:t>Depreciation</w:t>
            </w:r>
          </w:p>
        </w:tc>
        <w:tc>
          <w:tcPr>
            <w:tcW w:w="1312" w:type="dxa"/>
            <w:tcBorders>
              <w:top w:val="nil"/>
              <w:left w:val="nil"/>
              <w:bottom w:val="single" w:sz="8" w:space="0" w:color="auto"/>
              <w:right w:val="single" w:sz="8" w:space="0" w:color="auto"/>
            </w:tcBorders>
            <w:shd w:val="clear" w:color="auto" w:fill="auto"/>
            <w:noWrap/>
            <w:vAlign w:val="center"/>
            <w:hideMark/>
          </w:tcPr>
          <w:p w14:paraId="2D2C1495"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72.93</w:t>
            </w:r>
          </w:p>
        </w:tc>
        <w:tc>
          <w:tcPr>
            <w:tcW w:w="1397" w:type="dxa"/>
            <w:tcBorders>
              <w:top w:val="nil"/>
              <w:left w:val="nil"/>
              <w:bottom w:val="single" w:sz="8" w:space="0" w:color="auto"/>
              <w:right w:val="single" w:sz="8" w:space="0" w:color="auto"/>
            </w:tcBorders>
            <w:shd w:val="clear" w:color="auto" w:fill="auto"/>
            <w:noWrap/>
            <w:vAlign w:val="center"/>
            <w:hideMark/>
          </w:tcPr>
          <w:p w14:paraId="0F1E6BD4"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106.08</w:t>
            </w:r>
          </w:p>
        </w:tc>
        <w:tc>
          <w:tcPr>
            <w:tcW w:w="1439" w:type="dxa"/>
            <w:tcBorders>
              <w:top w:val="nil"/>
              <w:left w:val="nil"/>
              <w:bottom w:val="single" w:sz="8" w:space="0" w:color="auto"/>
              <w:right w:val="single" w:sz="8" w:space="0" w:color="auto"/>
            </w:tcBorders>
            <w:shd w:val="clear" w:color="auto" w:fill="auto"/>
            <w:noWrap/>
            <w:vAlign w:val="bottom"/>
            <w:hideMark/>
          </w:tcPr>
          <w:p w14:paraId="1D1B535F" w14:textId="77777777" w:rsidR="00557F76" w:rsidRPr="00557F76" w:rsidRDefault="00557F76">
            <w:pPr>
              <w:jc w:val="center"/>
              <w:rPr>
                <w:rFonts w:ascii="Calibri" w:hAnsi="Calibri" w:cs="Calibri"/>
                <w:color w:val="000000"/>
                <w:sz w:val="22"/>
                <w:szCs w:val="22"/>
              </w:rPr>
            </w:pPr>
            <w:r w:rsidRPr="00557F76">
              <w:rPr>
                <w:rFonts w:ascii="Calibri" w:hAnsi="Calibri" w:cs="Calibri"/>
                <w:color w:val="000000"/>
                <w:sz w:val="22"/>
                <w:szCs w:val="22"/>
              </w:rPr>
              <w:t>90.48</w:t>
            </w:r>
          </w:p>
        </w:tc>
      </w:tr>
      <w:tr w:rsidR="00557F76" w14:paraId="13DC14F3" w14:textId="77777777" w:rsidTr="00557F76">
        <w:trPr>
          <w:trHeight w:val="289"/>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6BC584D1" w14:textId="77777777" w:rsidR="00557F76" w:rsidRDefault="00557F76">
            <w:pPr>
              <w:rPr>
                <w:rFonts w:ascii="Calibri" w:hAnsi="Calibri" w:cs="Calibri"/>
                <w:color w:val="000000"/>
                <w:sz w:val="22"/>
                <w:szCs w:val="22"/>
              </w:rPr>
            </w:pPr>
            <w:r>
              <w:rPr>
                <w:rFonts w:ascii="Calibri" w:hAnsi="Calibri" w:cs="Calibri"/>
                <w:color w:val="000000"/>
                <w:sz w:val="22"/>
                <w:szCs w:val="22"/>
              </w:rPr>
              <w:t>Interest on Consumer Security Deposit</w:t>
            </w:r>
          </w:p>
        </w:tc>
        <w:tc>
          <w:tcPr>
            <w:tcW w:w="1312" w:type="dxa"/>
            <w:tcBorders>
              <w:top w:val="nil"/>
              <w:left w:val="nil"/>
              <w:bottom w:val="single" w:sz="8" w:space="0" w:color="auto"/>
              <w:right w:val="single" w:sz="8" w:space="0" w:color="auto"/>
            </w:tcBorders>
            <w:shd w:val="clear" w:color="auto" w:fill="auto"/>
            <w:noWrap/>
            <w:vAlign w:val="center"/>
            <w:hideMark/>
          </w:tcPr>
          <w:p w14:paraId="138525E9"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72.06</w:t>
            </w:r>
          </w:p>
        </w:tc>
        <w:tc>
          <w:tcPr>
            <w:tcW w:w="1397" w:type="dxa"/>
            <w:tcBorders>
              <w:top w:val="nil"/>
              <w:left w:val="nil"/>
              <w:bottom w:val="single" w:sz="8" w:space="0" w:color="auto"/>
              <w:right w:val="single" w:sz="8" w:space="0" w:color="auto"/>
            </w:tcBorders>
            <w:shd w:val="clear" w:color="auto" w:fill="auto"/>
            <w:noWrap/>
            <w:vAlign w:val="center"/>
            <w:hideMark/>
          </w:tcPr>
          <w:p w14:paraId="760C2958"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74.73</w:t>
            </w:r>
          </w:p>
        </w:tc>
        <w:tc>
          <w:tcPr>
            <w:tcW w:w="1439" w:type="dxa"/>
            <w:tcBorders>
              <w:top w:val="nil"/>
              <w:left w:val="nil"/>
              <w:bottom w:val="single" w:sz="8" w:space="0" w:color="auto"/>
              <w:right w:val="single" w:sz="8" w:space="0" w:color="auto"/>
            </w:tcBorders>
            <w:shd w:val="clear" w:color="auto" w:fill="auto"/>
            <w:noWrap/>
            <w:vAlign w:val="bottom"/>
            <w:hideMark/>
          </w:tcPr>
          <w:p w14:paraId="4B9AFCAB" w14:textId="77777777" w:rsidR="00557F76" w:rsidRPr="00557F76" w:rsidRDefault="00557F76">
            <w:pPr>
              <w:jc w:val="center"/>
              <w:rPr>
                <w:rFonts w:ascii="Calibri" w:hAnsi="Calibri" w:cs="Calibri"/>
                <w:color w:val="000000"/>
                <w:sz w:val="22"/>
                <w:szCs w:val="22"/>
              </w:rPr>
            </w:pPr>
            <w:r w:rsidRPr="00557F76">
              <w:rPr>
                <w:rFonts w:ascii="Calibri" w:hAnsi="Calibri" w:cs="Calibri"/>
                <w:color w:val="000000"/>
                <w:sz w:val="22"/>
                <w:szCs w:val="22"/>
              </w:rPr>
              <w:t>74.73</w:t>
            </w:r>
          </w:p>
        </w:tc>
      </w:tr>
      <w:tr w:rsidR="00557F76" w14:paraId="55CCD0ED"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7D1C662C" w14:textId="77777777" w:rsidR="00557F76" w:rsidRDefault="00557F76">
            <w:pPr>
              <w:rPr>
                <w:rFonts w:ascii="Calibri" w:hAnsi="Calibri" w:cs="Calibri"/>
                <w:color w:val="000000"/>
                <w:sz w:val="22"/>
                <w:szCs w:val="22"/>
              </w:rPr>
            </w:pPr>
            <w:r>
              <w:rPr>
                <w:rFonts w:ascii="Calibri" w:hAnsi="Calibri" w:cs="Calibri"/>
                <w:color w:val="000000"/>
                <w:sz w:val="22"/>
                <w:szCs w:val="22"/>
              </w:rPr>
              <w:t>Interest on Working capital</w:t>
            </w:r>
          </w:p>
        </w:tc>
        <w:tc>
          <w:tcPr>
            <w:tcW w:w="1312" w:type="dxa"/>
            <w:tcBorders>
              <w:top w:val="nil"/>
              <w:left w:val="nil"/>
              <w:bottom w:val="single" w:sz="8" w:space="0" w:color="auto"/>
              <w:right w:val="single" w:sz="8" w:space="0" w:color="auto"/>
            </w:tcBorders>
            <w:shd w:val="clear" w:color="auto" w:fill="auto"/>
            <w:noWrap/>
            <w:vAlign w:val="center"/>
            <w:hideMark/>
          </w:tcPr>
          <w:p w14:paraId="45889328"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53.87</w:t>
            </w:r>
          </w:p>
        </w:tc>
        <w:tc>
          <w:tcPr>
            <w:tcW w:w="1397" w:type="dxa"/>
            <w:tcBorders>
              <w:top w:val="nil"/>
              <w:left w:val="nil"/>
              <w:bottom w:val="single" w:sz="8" w:space="0" w:color="auto"/>
              <w:right w:val="single" w:sz="8" w:space="0" w:color="auto"/>
            </w:tcBorders>
            <w:shd w:val="clear" w:color="auto" w:fill="auto"/>
            <w:noWrap/>
            <w:vAlign w:val="center"/>
            <w:hideMark/>
          </w:tcPr>
          <w:p w14:paraId="23823209"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3.13</w:t>
            </w:r>
          </w:p>
        </w:tc>
        <w:tc>
          <w:tcPr>
            <w:tcW w:w="1439" w:type="dxa"/>
            <w:tcBorders>
              <w:top w:val="nil"/>
              <w:left w:val="nil"/>
              <w:bottom w:val="single" w:sz="8" w:space="0" w:color="auto"/>
              <w:right w:val="single" w:sz="8" w:space="0" w:color="auto"/>
            </w:tcBorders>
            <w:shd w:val="clear" w:color="auto" w:fill="auto"/>
            <w:noWrap/>
            <w:vAlign w:val="bottom"/>
            <w:hideMark/>
          </w:tcPr>
          <w:p w14:paraId="54C64834" w14:textId="77777777" w:rsidR="00557F76" w:rsidRPr="00557F76" w:rsidRDefault="00557F76">
            <w:pPr>
              <w:jc w:val="center"/>
              <w:rPr>
                <w:rFonts w:ascii="Calibri" w:hAnsi="Calibri" w:cs="Calibri"/>
                <w:color w:val="000000"/>
                <w:sz w:val="22"/>
                <w:szCs w:val="22"/>
              </w:rPr>
            </w:pPr>
            <w:r w:rsidRPr="00557F76">
              <w:rPr>
                <w:rFonts w:ascii="Calibri" w:hAnsi="Calibri" w:cs="Calibri"/>
                <w:color w:val="000000"/>
                <w:sz w:val="22"/>
                <w:szCs w:val="22"/>
              </w:rPr>
              <w:t>16.36</w:t>
            </w:r>
          </w:p>
        </w:tc>
      </w:tr>
      <w:tr w:rsidR="00557F76" w14:paraId="2AC774E3"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2D77EC5D" w14:textId="77777777" w:rsidR="00557F76" w:rsidRDefault="00557F76">
            <w:pPr>
              <w:rPr>
                <w:rFonts w:ascii="Calibri" w:hAnsi="Calibri" w:cs="Calibri"/>
                <w:color w:val="000000"/>
                <w:sz w:val="22"/>
                <w:szCs w:val="22"/>
              </w:rPr>
            </w:pPr>
            <w:r>
              <w:rPr>
                <w:rFonts w:ascii="Calibri" w:hAnsi="Calibri" w:cs="Calibri"/>
                <w:color w:val="000000"/>
                <w:sz w:val="22"/>
                <w:szCs w:val="22"/>
              </w:rPr>
              <w:t>Interest on long term loan</w:t>
            </w:r>
          </w:p>
        </w:tc>
        <w:tc>
          <w:tcPr>
            <w:tcW w:w="1312" w:type="dxa"/>
            <w:tcBorders>
              <w:top w:val="nil"/>
              <w:left w:val="nil"/>
              <w:bottom w:val="single" w:sz="8" w:space="0" w:color="auto"/>
              <w:right w:val="single" w:sz="8" w:space="0" w:color="auto"/>
            </w:tcBorders>
            <w:shd w:val="clear" w:color="auto" w:fill="auto"/>
            <w:noWrap/>
            <w:vAlign w:val="center"/>
            <w:hideMark/>
          </w:tcPr>
          <w:p w14:paraId="6CB38493"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45.57</w:t>
            </w:r>
          </w:p>
        </w:tc>
        <w:tc>
          <w:tcPr>
            <w:tcW w:w="1397" w:type="dxa"/>
            <w:tcBorders>
              <w:top w:val="nil"/>
              <w:left w:val="nil"/>
              <w:bottom w:val="single" w:sz="8" w:space="0" w:color="auto"/>
              <w:right w:val="single" w:sz="8" w:space="0" w:color="auto"/>
            </w:tcBorders>
            <w:shd w:val="clear" w:color="auto" w:fill="auto"/>
            <w:noWrap/>
            <w:vAlign w:val="center"/>
            <w:hideMark/>
          </w:tcPr>
          <w:p w14:paraId="3DF1DE9C"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24.70</w:t>
            </w:r>
          </w:p>
        </w:tc>
        <w:tc>
          <w:tcPr>
            <w:tcW w:w="1439" w:type="dxa"/>
            <w:tcBorders>
              <w:top w:val="nil"/>
              <w:left w:val="nil"/>
              <w:bottom w:val="single" w:sz="8" w:space="0" w:color="auto"/>
              <w:right w:val="single" w:sz="8" w:space="0" w:color="auto"/>
            </w:tcBorders>
            <w:shd w:val="clear" w:color="auto" w:fill="auto"/>
            <w:noWrap/>
            <w:vAlign w:val="bottom"/>
            <w:hideMark/>
          </w:tcPr>
          <w:p w14:paraId="02F5CD09" w14:textId="77777777" w:rsidR="00557F76" w:rsidRPr="00557F76" w:rsidRDefault="00557F76">
            <w:pPr>
              <w:jc w:val="center"/>
              <w:rPr>
                <w:rFonts w:ascii="Calibri" w:hAnsi="Calibri" w:cs="Calibri"/>
                <w:color w:val="000000"/>
                <w:sz w:val="22"/>
                <w:szCs w:val="22"/>
              </w:rPr>
            </w:pPr>
            <w:r w:rsidRPr="00557F76">
              <w:rPr>
                <w:rFonts w:ascii="Calibri" w:hAnsi="Calibri" w:cs="Calibri"/>
                <w:color w:val="000000"/>
                <w:sz w:val="22"/>
                <w:szCs w:val="22"/>
              </w:rPr>
              <w:t>53.72</w:t>
            </w:r>
          </w:p>
        </w:tc>
      </w:tr>
      <w:tr w:rsidR="00557F76" w14:paraId="37C06B21"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40DBFF29"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Efficiency Gain to be shared:</w:t>
            </w:r>
          </w:p>
        </w:tc>
        <w:tc>
          <w:tcPr>
            <w:tcW w:w="1312" w:type="dxa"/>
            <w:tcBorders>
              <w:top w:val="nil"/>
              <w:left w:val="nil"/>
              <w:bottom w:val="single" w:sz="8" w:space="0" w:color="auto"/>
              <w:right w:val="single" w:sz="8" w:space="0" w:color="auto"/>
            </w:tcBorders>
            <w:shd w:val="clear" w:color="auto" w:fill="auto"/>
            <w:noWrap/>
            <w:vAlign w:val="center"/>
            <w:hideMark/>
          </w:tcPr>
          <w:p w14:paraId="52D89871"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 </w:t>
            </w:r>
          </w:p>
        </w:tc>
        <w:tc>
          <w:tcPr>
            <w:tcW w:w="1397" w:type="dxa"/>
            <w:tcBorders>
              <w:top w:val="nil"/>
              <w:left w:val="nil"/>
              <w:bottom w:val="single" w:sz="8" w:space="0" w:color="auto"/>
              <w:right w:val="single" w:sz="8" w:space="0" w:color="auto"/>
            </w:tcBorders>
            <w:shd w:val="clear" w:color="auto" w:fill="auto"/>
            <w:noWrap/>
            <w:vAlign w:val="center"/>
            <w:hideMark/>
          </w:tcPr>
          <w:p w14:paraId="5A5D0B01"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 </w:t>
            </w:r>
          </w:p>
        </w:tc>
        <w:tc>
          <w:tcPr>
            <w:tcW w:w="1439" w:type="dxa"/>
            <w:tcBorders>
              <w:top w:val="nil"/>
              <w:left w:val="nil"/>
              <w:bottom w:val="single" w:sz="8" w:space="0" w:color="auto"/>
              <w:right w:val="single" w:sz="8" w:space="0" w:color="auto"/>
            </w:tcBorders>
            <w:shd w:val="clear" w:color="auto" w:fill="auto"/>
            <w:noWrap/>
            <w:vAlign w:val="bottom"/>
            <w:hideMark/>
          </w:tcPr>
          <w:p w14:paraId="3E7C0B0B" w14:textId="77777777" w:rsidR="00557F76" w:rsidRPr="00557F76" w:rsidRDefault="00557F76">
            <w:pPr>
              <w:jc w:val="center"/>
              <w:rPr>
                <w:rFonts w:ascii="Calibri" w:hAnsi="Calibri" w:cs="Calibri"/>
                <w:color w:val="000000"/>
                <w:sz w:val="22"/>
                <w:szCs w:val="22"/>
              </w:rPr>
            </w:pPr>
            <w:r w:rsidRPr="00557F76">
              <w:rPr>
                <w:rFonts w:ascii="Calibri" w:hAnsi="Calibri" w:cs="Calibri"/>
                <w:color w:val="000000"/>
                <w:sz w:val="22"/>
                <w:szCs w:val="22"/>
              </w:rPr>
              <w:t> </w:t>
            </w:r>
          </w:p>
        </w:tc>
      </w:tr>
      <w:tr w:rsidR="00557F76" w14:paraId="5EA8A0A8"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6BDAAB6D" w14:textId="77777777" w:rsidR="00557F76" w:rsidRDefault="00557F76">
            <w:pPr>
              <w:rPr>
                <w:rFonts w:ascii="Calibri" w:hAnsi="Calibri" w:cs="Calibri"/>
                <w:color w:val="000000"/>
                <w:sz w:val="22"/>
                <w:szCs w:val="22"/>
              </w:rPr>
            </w:pPr>
            <w:r>
              <w:rPr>
                <w:rFonts w:ascii="Calibri" w:hAnsi="Calibri" w:cs="Calibri"/>
                <w:color w:val="000000"/>
                <w:sz w:val="22"/>
                <w:szCs w:val="22"/>
              </w:rPr>
              <w:t>Add-1/3rd to be declared as Dividend /Equity</w:t>
            </w:r>
          </w:p>
        </w:tc>
        <w:tc>
          <w:tcPr>
            <w:tcW w:w="1312" w:type="dxa"/>
            <w:tcBorders>
              <w:top w:val="nil"/>
              <w:left w:val="nil"/>
              <w:bottom w:val="single" w:sz="8" w:space="0" w:color="auto"/>
              <w:right w:val="single" w:sz="8" w:space="0" w:color="auto"/>
            </w:tcBorders>
            <w:shd w:val="clear" w:color="auto" w:fill="auto"/>
            <w:noWrap/>
            <w:vAlign w:val="center"/>
            <w:hideMark/>
          </w:tcPr>
          <w:p w14:paraId="3EEF57A7"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 </w:t>
            </w:r>
          </w:p>
        </w:tc>
        <w:tc>
          <w:tcPr>
            <w:tcW w:w="1397" w:type="dxa"/>
            <w:tcBorders>
              <w:top w:val="nil"/>
              <w:left w:val="nil"/>
              <w:bottom w:val="single" w:sz="8" w:space="0" w:color="auto"/>
              <w:right w:val="single" w:sz="8" w:space="0" w:color="auto"/>
            </w:tcBorders>
            <w:shd w:val="clear" w:color="auto" w:fill="auto"/>
            <w:noWrap/>
            <w:vAlign w:val="center"/>
            <w:hideMark/>
          </w:tcPr>
          <w:p w14:paraId="7F028099"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 </w:t>
            </w:r>
          </w:p>
        </w:tc>
        <w:tc>
          <w:tcPr>
            <w:tcW w:w="1439" w:type="dxa"/>
            <w:tcBorders>
              <w:top w:val="nil"/>
              <w:left w:val="nil"/>
              <w:bottom w:val="single" w:sz="8" w:space="0" w:color="auto"/>
              <w:right w:val="single" w:sz="8" w:space="0" w:color="auto"/>
            </w:tcBorders>
            <w:shd w:val="clear" w:color="auto" w:fill="auto"/>
            <w:noWrap/>
            <w:vAlign w:val="bottom"/>
            <w:hideMark/>
          </w:tcPr>
          <w:p w14:paraId="1E0C731B" w14:textId="77777777" w:rsidR="00557F76" w:rsidRPr="00557F76" w:rsidRDefault="00557F76">
            <w:pPr>
              <w:jc w:val="center"/>
              <w:rPr>
                <w:rFonts w:ascii="Calibri" w:hAnsi="Calibri" w:cs="Calibri"/>
                <w:color w:val="000000"/>
                <w:sz w:val="22"/>
                <w:szCs w:val="22"/>
              </w:rPr>
            </w:pPr>
            <w:r w:rsidRPr="00557F76">
              <w:rPr>
                <w:rFonts w:ascii="Calibri" w:hAnsi="Calibri" w:cs="Calibri"/>
                <w:color w:val="000000"/>
                <w:sz w:val="22"/>
                <w:szCs w:val="22"/>
              </w:rPr>
              <w:t>13.23</w:t>
            </w:r>
          </w:p>
        </w:tc>
      </w:tr>
      <w:tr w:rsidR="00557F76" w14:paraId="1D37E1BB"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062842AC" w14:textId="77777777" w:rsidR="00557F76" w:rsidRDefault="00557F76">
            <w:pPr>
              <w:rPr>
                <w:rFonts w:ascii="Calibri" w:hAnsi="Calibri" w:cs="Calibri"/>
                <w:color w:val="000000"/>
                <w:sz w:val="22"/>
                <w:szCs w:val="22"/>
              </w:rPr>
            </w:pPr>
            <w:r>
              <w:rPr>
                <w:rFonts w:ascii="Calibri" w:hAnsi="Calibri" w:cs="Calibri"/>
                <w:color w:val="000000"/>
                <w:sz w:val="22"/>
                <w:szCs w:val="22"/>
              </w:rPr>
              <w:t>Less-1/3rd to be passed on to consumer as rebate</w:t>
            </w:r>
          </w:p>
        </w:tc>
        <w:tc>
          <w:tcPr>
            <w:tcW w:w="1312" w:type="dxa"/>
            <w:tcBorders>
              <w:top w:val="nil"/>
              <w:left w:val="nil"/>
              <w:bottom w:val="single" w:sz="8" w:space="0" w:color="auto"/>
              <w:right w:val="single" w:sz="8" w:space="0" w:color="auto"/>
            </w:tcBorders>
            <w:shd w:val="clear" w:color="auto" w:fill="auto"/>
            <w:noWrap/>
            <w:vAlign w:val="center"/>
            <w:hideMark/>
          </w:tcPr>
          <w:p w14:paraId="51927AB4"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 </w:t>
            </w:r>
          </w:p>
        </w:tc>
        <w:tc>
          <w:tcPr>
            <w:tcW w:w="1397" w:type="dxa"/>
            <w:tcBorders>
              <w:top w:val="nil"/>
              <w:left w:val="nil"/>
              <w:bottom w:val="single" w:sz="8" w:space="0" w:color="auto"/>
              <w:right w:val="single" w:sz="8" w:space="0" w:color="auto"/>
            </w:tcBorders>
            <w:shd w:val="clear" w:color="auto" w:fill="auto"/>
            <w:noWrap/>
            <w:vAlign w:val="center"/>
            <w:hideMark/>
          </w:tcPr>
          <w:p w14:paraId="7B7A2A65"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 </w:t>
            </w:r>
          </w:p>
        </w:tc>
        <w:tc>
          <w:tcPr>
            <w:tcW w:w="1439" w:type="dxa"/>
            <w:tcBorders>
              <w:top w:val="nil"/>
              <w:left w:val="nil"/>
              <w:bottom w:val="single" w:sz="8" w:space="0" w:color="auto"/>
              <w:right w:val="single" w:sz="8" w:space="0" w:color="auto"/>
            </w:tcBorders>
            <w:shd w:val="clear" w:color="auto" w:fill="auto"/>
            <w:noWrap/>
            <w:vAlign w:val="bottom"/>
            <w:hideMark/>
          </w:tcPr>
          <w:p w14:paraId="18B9712F" w14:textId="77777777" w:rsidR="00557F76" w:rsidRPr="00557F76" w:rsidRDefault="00557F76">
            <w:pPr>
              <w:jc w:val="center"/>
              <w:rPr>
                <w:rFonts w:ascii="Calibri" w:hAnsi="Calibri" w:cs="Calibri"/>
                <w:color w:val="000000"/>
                <w:sz w:val="22"/>
                <w:szCs w:val="22"/>
              </w:rPr>
            </w:pPr>
            <w:r w:rsidRPr="00557F76">
              <w:rPr>
                <w:rFonts w:ascii="Calibri" w:hAnsi="Calibri" w:cs="Calibri"/>
                <w:color w:val="000000"/>
                <w:sz w:val="22"/>
                <w:szCs w:val="22"/>
              </w:rPr>
              <w:t>13.23</w:t>
            </w:r>
          </w:p>
        </w:tc>
      </w:tr>
      <w:tr w:rsidR="00557F76" w14:paraId="40924ED9"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03DB8B9E" w14:textId="77777777" w:rsidR="00557F76" w:rsidRDefault="00557F76">
            <w:pPr>
              <w:rPr>
                <w:rFonts w:ascii="Calibri" w:hAnsi="Calibri" w:cs="Calibri"/>
                <w:color w:val="000000"/>
                <w:sz w:val="22"/>
                <w:szCs w:val="22"/>
              </w:rPr>
            </w:pPr>
            <w:r>
              <w:rPr>
                <w:rFonts w:ascii="Calibri" w:hAnsi="Calibri" w:cs="Calibri"/>
                <w:color w:val="000000"/>
                <w:sz w:val="22"/>
                <w:szCs w:val="22"/>
              </w:rPr>
              <w:t>Add-1/3rd to be kept as tariff balancing reserve</w:t>
            </w:r>
          </w:p>
        </w:tc>
        <w:tc>
          <w:tcPr>
            <w:tcW w:w="1312" w:type="dxa"/>
            <w:tcBorders>
              <w:top w:val="nil"/>
              <w:left w:val="nil"/>
              <w:bottom w:val="single" w:sz="8" w:space="0" w:color="auto"/>
              <w:right w:val="single" w:sz="8" w:space="0" w:color="auto"/>
            </w:tcBorders>
            <w:shd w:val="clear" w:color="auto" w:fill="auto"/>
            <w:noWrap/>
            <w:vAlign w:val="center"/>
            <w:hideMark/>
          </w:tcPr>
          <w:p w14:paraId="1887E738"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 </w:t>
            </w:r>
          </w:p>
        </w:tc>
        <w:tc>
          <w:tcPr>
            <w:tcW w:w="1397" w:type="dxa"/>
            <w:tcBorders>
              <w:top w:val="nil"/>
              <w:left w:val="nil"/>
              <w:bottom w:val="single" w:sz="8" w:space="0" w:color="auto"/>
              <w:right w:val="single" w:sz="8" w:space="0" w:color="auto"/>
            </w:tcBorders>
            <w:shd w:val="clear" w:color="auto" w:fill="auto"/>
            <w:noWrap/>
            <w:vAlign w:val="center"/>
            <w:hideMark/>
          </w:tcPr>
          <w:p w14:paraId="30BE1960"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 </w:t>
            </w:r>
          </w:p>
        </w:tc>
        <w:tc>
          <w:tcPr>
            <w:tcW w:w="1439" w:type="dxa"/>
            <w:tcBorders>
              <w:top w:val="nil"/>
              <w:left w:val="nil"/>
              <w:bottom w:val="single" w:sz="8" w:space="0" w:color="auto"/>
              <w:right w:val="single" w:sz="8" w:space="0" w:color="auto"/>
            </w:tcBorders>
            <w:shd w:val="clear" w:color="auto" w:fill="auto"/>
            <w:noWrap/>
            <w:vAlign w:val="bottom"/>
            <w:hideMark/>
          </w:tcPr>
          <w:p w14:paraId="07E03D0A" w14:textId="77777777" w:rsidR="00557F76" w:rsidRPr="00557F76" w:rsidRDefault="00557F76">
            <w:pPr>
              <w:jc w:val="center"/>
              <w:rPr>
                <w:rFonts w:ascii="Calibri" w:hAnsi="Calibri" w:cs="Calibri"/>
                <w:color w:val="000000"/>
                <w:sz w:val="22"/>
                <w:szCs w:val="22"/>
              </w:rPr>
            </w:pPr>
            <w:r w:rsidRPr="00557F76">
              <w:rPr>
                <w:rFonts w:ascii="Calibri" w:hAnsi="Calibri" w:cs="Calibri"/>
                <w:color w:val="000000"/>
                <w:sz w:val="22"/>
                <w:szCs w:val="22"/>
              </w:rPr>
              <w:t>13.23</w:t>
            </w:r>
          </w:p>
        </w:tc>
      </w:tr>
      <w:tr w:rsidR="00557F76" w14:paraId="48D3887C"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47E7A6BC"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Sub-Total</w:t>
            </w:r>
          </w:p>
        </w:tc>
        <w:tc>
          <w:tcPr>
            <w:tcW w:w="1312" w:type="dxa"/>
            <w:tcBorders>
              <w:top w:val="nil"/>
              <w:left w:val="nil"/>
              <w:bottom w:val="single" w:sz="8" w:space="0" w:color="auto"/>
              <w:right w:val="single" w:sz="8" w:space="0" w:color="auto"/>
            </w:tcBorders>
            <w:shd w:val="clear" w:color="auto" w:fill="auto"/>
            <w:noWrap/>
            <w:vAlign w:val="center"/>
            <w:hideMark/>
          </w:tcPr>
          <w:p w14:paraId="1CF45437"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6856.09</w:t>
            </w:r>
          </w:p>
        </w:tc>
        <w:tc>
          <w:tcPr>
            <w:tcW w:w="1397" w:type="dxa"/>
            <w:tcBorders>
              <w:top w:val="nil"/>
              <w:left w:val="nil"/>
              <w:bottom w:val="single" w:sz="8" w:space="0" w:color="auto"/>
              <w:right w:val="single" w:sz="8" w:space="0" w:color="auto"/>
            </w:tcBorders>
            <w:shd w:val="clear" w:color="auto" w:fill="auto"/>
            <w:noWrap/>
            <w:vAlign w:val="center"/>
            <w:hideMark/>
          </w:tcPr>
          <w:p w14:paraId="644F7441"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7116.78</w:t>
            </w:r>
          </w:p>
        </w:tc>
        <w:tc>
          <w:tcPr>
            <w:tcW w:w="1439" w:type="dxa"/>
            <w:tcBorders>
              <w:top w:val="nil"/>
              <w:left w:val="nil"/>
              <w:bottom w:val="single" w:sz="8" w:space="0" w:color="auto"/>
              <w:right w:val="single" w:sz="8" w:space="0" w:color="auto"/>
            </w:tcBorders>
            <w:shd w:val="clear" w:color="auto" w:fill="auto"/>
            <w:noWrap/>
            <w:vAlign w:val="center"/>
            <w:hideMark/>
          </w:tcPr>
          <w:p w14:paraId="572BDD3E" w14:textId="77777777" w:rsidR="00557F76" w:rsidRPr="00557F76" w:rsidRDefault="00557F76">
            <w:pPr>
              <w:jc w:val="center"/>
              <w:rPr>
                <w:rFonts w:ascii="Calibri" w:hAnsi="Calibri" w:cs="Calibri"/>
                <w:b/>
                <w:bCs/>
                <w:color w:val="000000"/>
                <w:sz w:val="22"/>
                <w:szCs w:val="22"/>
              </w:rPr>
            </w:pPr>
            <w:r w:rsidRPr="00557F76">
              <w:rPr>
                <w:rFonts w:ascii="Calibri" w:hAnsi="Calibri" w:cs="Calibri"/>
                <w:b/>
                <w:bCs/>
                <w:color w:val="000000"/>
                <w:sz w:val="22"/>
                <w:szCs w:val="22"/>
              </w:rPr>
              <w:t>7087.41</w:t>
            </w:r>
          </w:p>
        </w:tc>
      </w:tr>
      <w:tr w:rsidR="00557F76" w14:paraId="4E8265FF"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7627EBA3" w14:textId="77777777" w:rsidR="00557F76" w:rsidRDefault="00557F76">
            <w:pPr>
              <w:rPr>
                <w:rFonts w:ascii="Calibri" w:hAnsi="Calibri" w:cs="Calibri"/>
                <w:color w:val="000000"/>
                <w:sz w:val="22"/>
                <w:szCs w:val="22"/>
              </w:rPr>
            </w:pPr>
            <w:r>
              <w:rPr>
                <w:rFonts w:ascii="Calibri" w:hAnsi="Calibri" w:cs="Calibri"/>
                <w:color w:val="000000"/>
                <w:sz w:val="22"/>
                <w:szCs w:val="22"/>
              </w:rPr>
              <w:t xml:space="preserve">Less: Employee cost </w:t>
            </w:r>
            <w:proofErr w:type="spellStart"/>
            <w:r>
              <w:rPr>
                <w:rFonts w:ascii="Calibri" w:hAnsi="Calibri" w:cs="Calibri"/>
                <w:color w:val="000000"/>
                <w:sz w:val="22"/>
                <w:szCs w:val="22"/>
              </w:rPr>
              <w:t>capitalised</w:t>
            </w:r>
            <w:proofErr w:type="spellEnd"/>
          </w:p>
        </w:tc>
        <w:tc>
          <w:tcPr>
            <w:tcW w:w="1312" w:type="dxa"/>
            <w:tcBorders>
              <w:top w:val="nil"/>
              <w:left w:val="nil"/>
              <w:bottom w:val="single" w:sz="8" w:space="0" w:color="auto"/>
              <w:right w:val="single" w:sz="8" w:space="0" w:color="auto"/>
            </w:tcBorders>
            <w:shd w:val="clear" w:color="auto" w:fill="auto"/>
            <w:noWrap/>
            <w:vAlign w:val="center"/>
            <w:hideMark/>
          </w:tcPr>
          <w:p w14:paraId="7487D04F"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25.67</w:t>
            </w:r>
          </w:p>
        </w:tc>
        <w:tc>
          <w:tcPr>
            <w:tcW w:w="1397" w:type="dxa"/>
            <w:tcBorders>
              <w:top w:val="nil"/>
              <w:left w:val="nil"/>
              <w:bottom w:val="single" w:sz="8" w:space="0" w:color="auto"/>
              <w:right w:val="single" w:sz="8" w:space="0" w:color="auto"/>
            </w:tcBorders>
            <w:shd w:val="clear" w:color="auto" w:fill="auto"/>
            <w:noWrap/>
            <w:vAlign w:val="center"/>
            <w:hideMark/>
          </w:tcPr>
          <w:p w14:paraId="194F6FE5"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25.66</w:t>
            </w:r>
          </w:p>
        </w:tc>
        <w:tc>
          <w:tcPr>
            <w:tcW w:w="1439" w:type="dxa"/>
            <w:tcBorders>
              <w:top w:val="nil"/>
              <w:left w:val="nil"/>
              <w:bottom w:val="single" w:sz="8" w:space="0" w:color="auto"/>
              <w:right w:val="single" w:sz="8" w:space="0" w:color="auto"/>
            </w:tcBorders>
            <w:shd w:val="clear" w:color="auto" w:fill="auto"/>
            <w:noWrap/>
            <w:vAlign w:val="center"/>
            <w:hideMark/>
          </w:tcPr>
          <w:p w14:paraId="17846E26" w14:textId="77777777" w:rsidR="00557F76" w:rsidRPr="00557F76" w:rsidRDefault="00557F76">
            <w:pPr>
              <w:jc w:val="center"/>
              <w:rPr>
                <w:rFonts w:ascii="Calibri" w:hAnsi="Calibri" w:cs="Calibri"/>
                <w:color w:val="000000"/>
                <w:sz w:val="22"/>
                <w:szCs w:val="22"/>
              </w:rPr>
            </w:pPr>
            <w:r w:rsidRPr="00557F76">
              <w:rPr>
                <w:rFonts w:ascii="Calibri" w:hAnsi="Calibri" w:cs="Calibri"/>
                <w:color w:val="000000"/>
                <w:sz w:val="22"/>
                <w:szCs w:val="22"/>
              </w:rPr>
              <w:t>25.66</w:t>
            </w:r>
          </w:p>
        </w:tc>
      </w:tr>
      <w:tr w:rsidR="00557F76" w14:paraId="0B22B649"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7B8FB855" w14:textId="77777777" w:rsidR="00557F76" w:rsidRDefault="00557F76">
            <w:pPr>
              <w:rPr>
                <w:rFonts w:ascii="Calibri" w:hAnsi="Calibri" w:cs="Calibri"/>
                <w:color w:val="000000"/>
                <w:sz w:val="22"/>
                <w:szCs w:val="22"/>
              </w:rPr>
            </w:pPr>
            <w:r>
              <w:rPr>
                <w:rFonts w:ascii="Calibri" w:hAnsi="Calibri" w:cs="Calibri"/>
                <w:color w:val="000000"/>
                <w:sz w:val="22"/>
                <w:szCs w:val="22"/>
              </w:rPr>
              <w:t xml:space="preserve">Less: Interest </w:t>
            </w:r>
            <w:proofErr w:type="spellStart"/>
            <w:r>
              <w:rPr>
                <w:rFonts w:ascii="Calibri" w:hAnsi="Calibri" w:cs="Calibri"/>
                <w:color w:val="000000"/>
                <w:sz w:val="22"/>
                <w:szCs w:val="22"/>
              </w:rPr>
              <w:t>capitalised</w:t>
            </w:r>
            <w:proofErr w:type="spellEnd"/>
          </w:p>
        </w:tc>
        <w:tc>
          <w:tcPr>
            <w:tcW w:w="1312" w:type="dxa"/>
            <w:tcBorders>
              <w:top w:val="nil"/>
              <w:left w:val="nil"/>
              <w:bottom w:val="single" w:sz="8" w:space="0" w:color="auto"/>
              <w:right w:val="single" w:sz="8" w:space="0" w:color="auto"/>
            </w:tcBorders>
            <w:shd w:val="clear" w:color="auto" w:fill="auto"/>
            <w:noWrap/>
            <w:vAlign w:val="center"/>
            <w:hideMark/>
          </w:tcPr>
          <w:p w14:paraId="539F86C5"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17.58</w:t>
            </w:r>
          </w:p>
        </w:tc>
        <w:tc>
          <w:tcPr>
            <w:tcW w:w="1397" w:type="dxa"/>
            <w:tcBorders>
              <w:top w:val="nil"/>
              <w:left w:val="nil"/>
              <w:bottom w:val="single" w:sz="8" w:space="0" w:color="auto"/>
              <w:right w:val="single" w:sz="8" w:space="0" w:color="auto"/>
            </w:tcBorders>
            <w:shd w:val="clear" w:color="auto" w:fill="auto"/>
            <w:noWrap/>
            <w:vAlign w:val="center"/>
            <w:hideMark/>
          </w:tcPr>
          <w:p w14:paraId="2A021101"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2.77</w:t>
            </w:r>
          </w:p>
        </w:tc>
        <w:tc>
          <w:tcPr>
            <w:tcW w:w="1439" w:type="dxa"/>
            <w:tcBorders>
              <w:top w:val="nil"/>
              <w:left w:val="nil"/>
              <w:bottom w:val="single" w:sz="8" w:space="0" w:color="auto"/>
              <w:right w:val="single" w:sz="8" w:space="0" w:color="auto"/>
            </w:tcBorders>
            <w:shd w:val="clear" w:color="auto" w:fill="auto"/>
            <w:noWrap/>
            <w:vAlign w:val="center"/>
            <w:hideMark/>
          </w:tcPr>
          <w:p w14:paraId="2C531A3F" w14:textId="77777777" w:rsidR="00557F76" w:rsidRPr="00557F76" w:rsidRDefault="00557F76">
            <w:pPr>
              <w:jc w:val="center"/>
              <w:rPr>
                <w:rFonts w:ascii="Calibri" w:hAnsi="Calibri" w:cs="Calibri"/>
                <w:color w:val="000000"/>
                <w:sz w:val="22"/>
                <w:szCs w:val="22"/>
              </w:rPr>
            </w:pPr>
            <w:r w:rsidRPr="00557F76">
              <w:rPr>
                <w:rFonts w:ascii="Calibri" w:hAnsi="Calibri" w:cs="Calibri"/>
                <w:color w:val="000000"/>
                <w:sz w:val="22"/>
                <w:szCs w:val="22"/>
              </w:rPr>
              <w:t>2.77</w:t>
            </w:r>
          </w:p>
        </w:tc>
      </w:tr>
      <w:tr w:rsidR="00557F76" w14:paraId="5D2ECB3F" w14:textId="77777777" w:rsidTr="00557F76">
        <w:trPr>
          <w:trHeight w:val="315"/>
        </w:trPr>
        <w:tc>
          <w:tcPr>
            <w:tcW w:w="5335" w:type="dxa"/>
            <w:tcBorders>
              <w:top w:val="nil"/>
              <w:left w:val="single" w:sz="8" w:space="0" w:color="auto"/>
              <w:bottom w:val="single" w:sz="8" w:space="0" w:color="auto"/>
              <w:right w:val="single" w:sz="8" w:space="0" w:color="auto"/>
            </w:tcBorders>
            <w:shd w:val="clear" w:color="000000" w:fill="B4C6E7"/>
            <w:vAlign w:val="center"/>
            <w:hideMark/>
          </w:tcPr>
          <w:p w14:paraId="4DB7C85D"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(A) Total expenses</w:t>
            </w:r>
          </w:p>
        </w:tc>
        <w:tc>
          <w:tcPr>
            <w:tcW w:w="1312" w:type="dxa"/>
            <w:tcBorders>
              <w:top w:val="nil"/>
              <w:left w:val="nil"/>
              <w:bottom w:val="single" w:sz="8" w:space="0" w:color="auto"/>
              <w:right w:val="single" w:sz="8" w:space="0" w:color="auto"/>
            </w:tcBorders>
            <w:shd w:val="clear" w:color="000000" w:fill="B4C6E7"/>
            <w:noWrap/>
            <w:vAlign w:val="center"/>
            <w:hideMark/>
          </w:tcPr>
          <w:p w14:paraId="1E8E7A51"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6812.84</w:t>
            </w:r>
          </w:p>
        </w:tc>
        <w:tc>
          <w:tcPr>
            <w:tcW w:w="1397" w:type="dxa"/>
            <w:tcBorders>
              <w:top w:val="nil"/>
              <w:left w:val="nil"/>
              <w:bottom w:val="single" w:sz="8" w:space="0" w:color="auto"/>
              <w:right w:val="single" w:sz="8" w:space="0" w:color="auto"/>
            </w:tcBorders>
            <w:shd w:val="clear" w:color="000000" w:fill="B4C6E7"/>
            <w:noWrap/>
            <w:vAlign w:val="center"/>
            <w:hideMark/>
          </w:tcPr>
          <w:p w14:paraId="5AF749CB"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7088.34</w:t>
            </w:r>
          </w:p>
        </w:tc>
        <w:tc>
          <w:tcPr>
            <w:tcW w:w="1439" w:type="dxa"/>
            <w:tcBorders>
              <w:top w:val="nil"/>
              <w:left w:val="nil"/>
              <w:bottom w:val="single" w:sz="8" w:space="0" w:color="auto"/>
              <w:right w:val="single" w:sz="8" w:space="0" w:color="auto"/>
            </w:tcBorders>
            <w:shd w:val="clear" w:color="000000" w:fill="B4C6E7"/>
            <w:noWrap/>
            <w:vAlign w:val="center"/>
            <w:hideMark/>
          </w:tcPr>
          <w:p w14:paraId="5BD6DED0"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7058.97</w:t>
            </w:r>
          </w:p>
        </w:tc>
      </w:tr>
      <w:tr w:rsidR="00557F76" w14:paraId="403A3A78"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67380920" w14:textId="77777777" w:rsidR="00557F76" w:rsidRDefault="00557F76">
            <w:pPr>
              <w:rPr>
                <w:rFonts w:ascii="Calibri" w:hAnsi="Calibri" w:cs="Calibri"/>
                <w:color w:val="000000"/>
                <w:sz w:val="22"/>
                <w:szCs w:val="22"/>
              </w:rPr>
            </w:pPr>
            <w:r>
              <w:rPr>
                <w:rFonts w:ascii="Calibri" w:hAnsi="Calibri" w:cs="Calibri"/>
                <w:color w:val="000000"/>
                <w:sz w:val="22"/>
                <w:szCs w:val="22"/>
              </w:rPr>
              <w:t>Add: Income Tax</w:t>
            </w:r>
          </w:p>
        </w:tc>
        <w:tc>
          <w:tcPr>
            <w:tcW w:w="1312" w:type="dxa"/>
            <w:tcBorders>
              <w:top w:val="nil"/>
              <w:left w:val="nil"/>
              <w:bottom w:val="single" w:sz="8" w:space="0" w:color="auto"/>
              <w:right w:val="single" w:sz="8" w:space="0" w:color="auto"/>
            </w:tcBorders>
            <w:shd w:val="clear" w:color="auto" w:fill="auto"/>
            <w:noWrap/>
            <w:vAlign w:val="center"/>
            <w:hideMark/>
          </w:tcPr>
          <w:p w14:paraId="6BC2F746"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 xml:space="preserve">                     -   </w:t>
            </w:r>
          </w:p>
        </w:tc>
        <w:tc>
          <w:tcPr>
            <w:tcW w:w="1397" w:type="dxa"/>
            <w:tcBorders>
              <w:top w:val="nil"/>
              <w:left w:val="nil"/>
              <w:bottom w:val="single" w:sz="8" w:space="0" w:color="auto"/>
              <w:right w:val="single" w:sz="8" w:space="0" w:color="auto"/>
            </w:tcBorders>
            <w:shd w:val="clear" w:color="auto" w:fill="auto"/>
            <w:noWrap/>
            <w:vAlign w:val="center"/>
            <w:hideMark/>
          </w:tcPr>
          <w:p w14:paraId="319532CA"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73.92</w:t>
            </w:r>
          </w:p>
        </w:tc>
        <w:tc>
          <w:tcPr>
            <w:tcW w:w="1439" w:type="dxa"/>
            <w:tcBorders>
              <w:top w:val="nil"/>
              <w:left w:val="nil"/>
              <w:bottom w:val="single" w:sz="8" w:space="0" w:color="auto"/>
              <w:right w:val="single" w:sz="8" w:space="0" w:color="auto"/>
            </w:tcBorders>
            <w:shd w:val="clear" w:color="auto" w:fill="auto"/>
            <w:noWrap/>
            <w:vAlign w:val="center"/>
            <w:hideMark/>
          </w:tcPr>
          <w:p w14:paraId="43CA3AB0"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30.95</w:t>
            </w:r>
          </w:p>
        </w:tc>
      </w:tr>
      <w:tr w:rsidR="00557F76" w14:paraId="56F5E0D9"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14E1E0D8" w14:textId="77777777" w:rsidR="00557F76" w:rsidRDefault="00557F76">
            <w:pPr>
              <w:rPr>
                <w:rFonts w:ascii="Calibri" w:hAnsi="Calibri" w:cs="Calibri"/>
                <w:color w:val="000000"/>
                <w:sz w:val="22"/>
                <w:szCs w:val="22"/>
              </w:rPr>
            </w:pPr>
            <w:r>
              <w:rPr>
                <w:rFonts w:ascii="Calibri" w:hAnsi="Calibri" w:cs="Calibri"/>
                <w:color w:val="000000"/>
                <w:sz w:val="22"/>
                <w:szCs w:val="22"/>
              </w:rPr>
              <w:t>Add: Return on Equity</w:t>
            </w:r>
          </w:p>
        </w:tc>
        <w:tc>
          <w:tcPr>
            <w:tcW w:w="1312" w:type="dxa"/>
            <w:tcBorders>
              <w:top w:val="nil"/>
              <w:left w:val="nil"/>
              <w:bottom w:val="single" w:sz="8" w:space="0" w:color="auto"/>
              <w:right w:val="single" w:sz="8" w:space="0" w:color="auto"/>
            </w:tcBorders>
            <w:shd w:val="clear" w:color="auto" w:fill="auto"/>
            <w:noWrap/>
            <w:vAlign w:val="center"/>
            <w:hideMark/>
          </w:tcPr>
          <w:p w14:paraId="387B6A61"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57.59</w:t>
            </w:r>
          </w:p>
        </w:tc>
        <w:tc>
          <w:tcPr>
            <w:tcW w:w="1397" w:type="dxa"/>
            <w:tcBorders>
              <w:top w:val="nil"/>
              <w:left w:val="nil"/>
              <w:bottom w:val="single" w:sz="8" w:space="0" w:color="auto"/>
              <w:right w:val="single" w:sz="8" w:space="0" w:color="auto"/>
            </w:tcBorders>
            <w:shd w:val="clear" w:color="auto" w:fill="auto"/>
            <w:noWrap/>
            <w:vAlign w:val="center"/>
            <w:hideMark/>
          </w:tcPr>
          <w:p w14:paraId="71ACCFA5"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92.03</w:t>
            </w:r>
          </w:p>
        </w:tc>
        <w:tc>
          <w:tcPr>
            <w:tcW w:w="1439" w:type="dxa"/>
            <w:tcBorders>
              <w:top w:val="nil"/>
              <w:left w:val="nil"/>
              <w:bottom w:val="single" w:sz="8" w:space="0" w:color="auto"/>
              <w:right w:val="single" w:sz="8" w:space="0" w:color="auto"/>
            </w:tcBorders>
            <w:shd w:val="clear" w:color="auto" w:fill="auto"/>
            <w:noWrap/>
            <w:vAlign w:val="center"/>
            <w:hideMark/>
          </w:tcPr>
          <w:p w14:paraId="0DA6E6EE"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92.02</w:t>
            </w:r>
          </w:p>
        </w:tc>
      </w:tr>
      <w:tr w:rsidR="00557F76" w14:paraId="6A4CF41D"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31BFBB00" w14:textId="77777777" w:rsidR="00557F76" w:rsidRDefault="00557F76">
            <w:pPr>
              <w:rPr>
                <w:rFonts w:ascii="Calibri" w:hAnsi="Calibri" w:cs="Calibri"/>
                <w:color w:val="000000"/>
                <w:sz w:val="22"/>
                <w:szCs w:val="22"/>
              </w:rPr>
            </w:pPr>
            <w:r>
              <w:rPr>
                <w:rFonts w:ascii="Calibri" w:hAnsi="Calibri" w:cs="Calibri"/>
                <w:color w:val="000000"/>
                <w:sz w:val="22"/>
                <w:szCs w:val="22"/>
              </w:rPr>
              <w:t>Add: Cumulative Carrying cost on ASL till FY 23-24</w:t>
            </w:r>
          </w:p>
        </w:tc>
        <w:tc>
          <w:tcPr>
            <w:tcW w:w="1312" w:type="dxa"/>
            <w:tcBorders>
              <w:top w:val="nil"/>
              <w:left w:val="nil"/>
              <w:bottom w:val="single" w:sz="8" w:space="0" w:color="auto"/>
              <w:right w:val="single" w:sz="8" w:space="0" w:color="auto"/>
            </w:tcBorders>
            <w:shd w:val="clear" w:color="auto" w:fill="auto"/>
            <w:noWrap/>
            <w:vAlign w:val="center"/>
            <w:hideMark/>
          </w:tcPr>
          <w:p w14:paraId="2375C47F"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 </w:t>
            </w:r>
          </w:p>
        </w:tc>
        <w:tc>
          <w:tcPr>
            <w:tcW w:w="1397" w:type="dxa"/>
            <w:tcBorders>
              <w:top w:val="nil"/>
              <w:left w:val="nil"/>
              <w:bottom w:val="single" w:sz="8" w:space="0" w:color="auto"/>
              <w:right w:val="single" w:sz="8" w:space="0" w:color="auto"/>
            </w:tcBorders>
            <w:shd w:val="clear" w:color="auto" w:fill="auto"/>
            <w:noWrap/>
            <w:vAlign w:val="center"/>
            <w:hideMark/>
          </w:tcPr>
          <w:p w14:paraId="77FFF946"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 </w:t>
            </w:r>
          </w:p>
        </w:tc>
        <w:tc>
          <w:tcPr>
            <w:tcW w:w="1439" w:type="dxa"/>
            <w:tcBorders>
              <w:top w:val="nil"/>
              <w:left w:val="nil"/>
              <w:bottom w:val="single" w:sz="8" w:space="0" w:color="auto"/>
              <w:right w:val="single" w:sz="8" w:space="0" w:color="auto"/>
            </w:tcBorders>
            <w:shd w:val="clear" w:color="auto" w:fill="auto"/>
            <w:noWrap/>
            <w:vAlign w:val="center"/>
            <w:hideMark/>
          </w:tcPr>
          <w:p w14:paraId="320AFB06"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13.37</w:t>
            </w:r>
          </w:p>
        </w:tc>
      </w:tr>
      <w:tr w:rsidR="00557F76" w14:paraId="3BACAE46" w14:textId="77777777" w:rsidTr="00557F76">
        <w:trPr>
          <w:trHeight w:val="315"/>
        </w:trPr>
        <w:tc>
          <w:tcPr>
            <w:tcW w:w="5335" w:type="dxa"/>
            <w:tcBorders>
              <w:top w:val="nil"/>
              <w:left w:val="single" w:sz="8" w:space="0" w:color="auto"/>
              <w:bottom w:val="single" w:sz="8" w:space="0" w:color="auto"/>
              <w:right w:val="single" w:sz="8" w:space="0" w:color="auto"/>
            </w:tcBorders>
            <w:shd w:val="clear" w:color="000000" w:fill="F8CBAD"/>
            <w:vAlign w:val="center"/>
            <w:hideMark/>
          </w:tcPr>
          <w:p w14:paraId="253DDBB2"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(B) Sub-Total</w:t>
            </w:r>
          </w:p>
        </w:tc>
        <w:tc>
          <w:tcPr>
            <w:tcW w:w="1312" w:type="dxa"/>
            <w:tcBorders>
              <w:top w:val="nil"/>
              <w:left w:val="nil"/>
              <w:bottom w:val="single" w:sz="8" w:space="0" w:color="auto"/>
              <w:right w:val="single" w:sz="8" w:space="0" w:color="auto"/>
            </w:tcBorders>
            <w:shd w:val="clear" w:color="000000" w:fill="F8CBAD"/>
            <w:noWrap/>
            <w:vAlign w:val="center"/>
            <w:hideMark/>
          </w:tcPr>
          <w:p w14:paraId="5122095D"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57.59</w:t>
            </w:r>
          </w:p>
        </w:tc>
        <w:tc>
          <w:tcPr>
            <w:tcW w:w="1397" w:type="dxa"/>
            <w:tcBorders>
              <w:top w:val="nil"/>
              <w:left w:val="nil"/>
              <w:bottom w:val="single" w:sz="8" w:space="0" w:color="auto"/>
              <w:right w:val="single" w:sz="8" w:space="0" w:color="auto"/>
            </w:tcBorders>
            <w:shd w:val="clear" w:color="000000" w:fill="F8CBAD"/>
            <w:noWrap/>
            <w:vAlign w:val="center"/>
            <w:hideMark/>
          </w:tcPr>
          <w:p w14:paraId="21CE1C7D"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165.95</w:t>
            </w:r>
          </w:p>
        </w:tc>
        <w:tc>
          <w:tcPr>
            <w:tcW w:w="1439" w:type="dxa"/>
            <w:tcBorders>
              <w:top w:val="nil"/>
              <w:left w:val="nil"/>
              <w:bottom w:val="single" w:sz="8" w:space="0" w:color="auto"/>
              <w:right w:val="single" w:sz="8" w:space="0" w:color="auto"/>
            </w:tcBorders>
            <w:shd w:val="clear" w:color="000000" w:fill="F8CBAD"/>
            <w:noWrap/>
            <w:vAlign w:val="center"/>
            <w:hideMark/>
          </w:tcPr>
          <w:p w14:paraId="7B27A9DE"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136.34</w:t>
            </w:r>
          </w:p>
        </w:tc>
      </w:tr>
      <w:tr w:rsidR="00557F76" w14:paraId="71F0660A" w14:textId="77777777" w:rsidTr="00557F76">
        <w:trPr>
          <w:trHeight w:val="315"/>
        </w:trPr>
        <w:tc>
          <w:tcPr>
            <w:tcW w:w="5335" w:type="dxa"/>
            <w:tcBorders>
              <w:top w:val="nil"/>
              <w:left w:val="single" w:sz="8" w:space="0" w:color="auto"/>
              <w:bottom w:val="single" w:sz="8" w:space="0" w:color="auto"/>
              <w:right w:val="single" w:sz="8" w:space="0" w:color="auto"/>
            </w:tcBorders>
            <w:shd w:val="clear" w:color="000000" w:fill="B4C6E7"/>
            <w:vAlign w:val="center"/>
            <w:hideMark/>
          </w:tcPr>
          <w:p w14:paraId="6AA67A62"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TOTAL (A+B)</w:t>
            </w:r>
          </w:p>
        </w:tc>
        <w:tc>
          <w:tcPr>
            <w:tcW w:w="1312" w:type="dxa"/>
            <w:tcBorders>
              <w:top w:val="nil"/>
              <w:left w:val="nil"/>
              <w:bottom w:val="single" w:sz="8" w:space="0" w:color="auto"/>
              <w:right w:val="single" w:sz="8" w:space="0" w:color="auto"/>
            </w:tcBorders>
            <w:shd w:val="clear" w:color="000000" w:fill="B4C6E7"/>
            <w:noWrap/>
            <w:vAlign w:val="center"/>
            <w:hideMark/>
          </w:tcPr>
          <w:p w14:paraId="0FB20255"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6870.43</w:t>
            </w:r>
          </w:p>
        </w:tc>
        <w:tc>
          <w:tcPr>
            <w:tcW w:w="1397" w:type="dxa"/>
            <w:tcBorders>
              <w:top w:val="nil"/>
              <w:left w:val="nil"/>
              <w:bottom w:val="single" w:sz="8" w:space="0" w:color="auto"/>
              <w:right w:val="single" w:sz="8" w:space="0" w:color="auto"/>
            </w:tcBorders>
            <w:shd w:val="clear" w:color="000000" w:fill="B4C6E7"/>
            <w:noWrap/>
            <w:vAlign w:val="center"/>
            <w:hideMark/>
          </w:tcPr>
          <w:p w14:paraId="3B102C9A"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7254.29</w:t>
            </w:r>
          </w:p>
        </w:tc>
        <w:tc>
          <w:tcPr>
            <w:tcW w:w="1439" w:type="dxa"/>
            <w:tcBorders>
              <w:top w:val="nil"/>
              <w:left w:val="nil"/>
              <w:bottom w:val="single" w:sz="8" w:space="0" w:color="auto"/>
              <w:right w:val="single" w:sz="8" w:space="0" w:color="auto"/>
            </w:tcBorders>
            <w:shd w:val="clear" w:color="000000" w:fill="B4C6E7"/>
            <w:noWrap/>
            <w:vAlign w:val="center"/>
            <w:hideMark/>
          </w:tcPr>
          <w:p w14:paraId="768BF2D9"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7195.31</w:t>
            </w:r>
          </w:p>
        </w:tc>
      </w:tr>
      <w:tr w:rsidR="00557F76" w14:paraId="45992723"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2E878D89" w14:textId="77777777" w:rsidR="00557F76" w:rsidRDefault="00557F76">
            <w:pPr>
              <w:rPr>
                <w:rFonts w:ascii="Calibri" w:hAnsi="Calibri" w:cs="Calibri"/>
                <w:color w:val="000000"/>
                <w:sz w:val="22"/>
                <w:szCs w:val="22"/>
              </w:rPr>
            </w:pPr>
            <w:r>
              <w:rPr>
                <w:rFonts w:ascii="Calibri" w:hAnsi="Calibri" w:cs="Calibri"/>
                <w:color w:val="000000"/>
                <w:sz w:val="22"/>
                <w:szCs w:val="22"/>
              </w:rPr>
              <w:t>Less: Non-Tariff Income &amp; CSS</w:t>
            </w:r>
          </w:p>
        </w:tc>
        <w:tc>
          <w:tcPr>
            <w:tcW w:w="1312" w:type="dxa"/>
            <w:tcBorders>
              <w:top w:val="nil"/>
              <w:left w:val="nil"/>
              <w:bottom w:val="single" w:sz="8" w:space="0" w:color="auto"/>
              <w:right w:val="single" w:sz="8" w:space="0" w:color="auto"/>
            </w:tcBorders>
            <w:shd w:val="clear" w:color="auto" w:fill="auto"/>
            <w:noWrap/>
            <w:vAlign w:val="center"/>
            <w:hideMark/>
          </w:tcPr>
          <w:p w14:paraId="214D9D02"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400.33</w:t>
            </w:r>
          </w:p>
        </w:tc>
        <w:tc>
          <w:tcPr>
            <w:tcW w:w="1397" w:type="dxa"/>
            <w:tcBorders>
              <w:top w:val="nil"/>
              <w:left w:val="nil"/>
              <w:bottom w:val="single" w:sz="8" w:space="0" w:color="auto"/>
              <w:right w:val="single" w:sz="8" w:space="0" w:color="auto"/>
            </w:tcBorders>
            <w:shd w:val="clear" w:color="auto" w:fill="auto"/>
            <w:noWrap/>
            <w:vAlign w:val="center"/>
            <w:hideMark/>
          </w:tcPr>
          <w:p w14:paraId="398D2035"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549.46</w:t>
            </w:r>
          </w:p>
        </w:tc>
        <w:tc>
          <w:tcPr>
            <w:tcW w:w="1439" w:type="dxa"/>
            <w:tcBorders>
              <w:top w:val="nil"/>
              <w:left w:val="nil"/>
              <w:bottom w:val="single" w:sz="8" w:space="0" w:color="auto"/>
              <w:right w:val="single" w:sz="8" w:space="0" w:color="auto"/>
            </w:tcBorders>
            <w:shd w:val="clear" w:color="auto" w:fill="auto"/>
            <w:noWrap/>
            <w:vAlign w:val="center"/>
            <w:hideMark/>
          </w:tcPr>
          <w:p w14:paraId="761959DB"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493.00</w:t>
            </w:r>
          </w:p>
        </w:tc>
      </w:tr>
      <w:tr w:rsidR="00557F76" w14:paraId="0A283A03" w14:textId="77777777" w:rsidTr="00557F76">
        <w:trPr>
          <w:trHeight w:val="315"/>
        </w:trPr>
        <w:tc>
          <w:tcPr>
            <w:tcW w:w="5335" w:type="dxa"/>
            <w:tcBorders>
              <w:top w:val="nil"/>
              <w:left w:val="single" w:sz="8" w:space="0" w:color="auto"/>
              <w:bottom w:val="single" w:sz="8" w:space="0" w:color="auto"/>
              <w:right w:val="single" w:sz="8" w:space="0" w:color="auto"/>
            </w:tcBorders>
            <w:shd w:val="clear" w:color="000000" w:fill="B4C6E7"/>
            <w:vAlign w:val="center"/>
            <w:hideMark/>
          </w:tcPr>
          <w:p w14:paraId="1F7F37DE"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Revenue Requirement</w:t>
            </w:r>
          </w:p>
        </w:tc>
        <w:tc>
          <w:tcPr>
            <w:tcW w:w="1312" w:type="dxa"/>
            <w:tcBorders>
              <w:top w:val="nil"/>
              <w:left w:val="nil"/>
              <w:bottom w:val="single" w:sz="8" w:space="0" w:color="auto"/>
              <w:right w:val="single" w:sz="8" w:space="0" w:color="auto"/>
            </w:tcBorders>
            <w:shd w:val="clear" w:color="000000" w:fill="B4C6E7"/>
            <w:noWrap/>
            <w:vAlign w:val="center"/>
            <w:hideMark/>
          </w:tcPr>
          <w:p w14:paraId="6E8F046E"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6470.10</w:t>
            </w:r>
          </w:p>
        </w:tc>
        <w:tc>
          <w:tcPr>
            <w:tcW w:w="1397" w:type="dxa"/>
            <w:tcBorders>
              <w:top w:val="nil"/>
              <w:left w:val="nil"/>
              <w:bottom w:val="single" w:sz="8" w:space="0" w:color="auto"/>
              <w:right w:val="single" w:sz="8" w:space="0" w:color="auto"/>
            </w:tcBorders>
            <w:shd w:val="clear" w:color="000000" w:fill="B4C6E7"/>
            <w:noWrap/>
            <w:vAlign w:val="center"/>
            <w:hideMark/>
          </w:tcPr>
          <w:p w14:paraId="7FA9E66B"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6704.83</w:t>
            </w:r>
          </w:p>
        </w:tc>
        <w:tc>
          <w:tcPr>
            <w:tcW w:w="1439" w:type="dxa"/>
            <w:tcBorders>
              <w:top w:val="nil"/>
              <w:left w:val="nil"/>
              <w:bottom w:val="single" w:sz="8" w:space="0" w:color="auto"/>
              <w:right w:val="single" w:sz="8" w:space="0" w:color="auto"/>
            </w:tcBorders>
            <w:shd w:val="clear" w:color="000000" w:fill="B4C6E7"/>
            <w:noWrap/>
            <w:vAlign w:val="center"/>
            <w:hideMark/>
          </w:tcPr>
          <w:p w14:paraId="33F99DD1"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6702.31</w:t>
            </w:r>
          </w:p>
        </w:tc>
      </w:tr>
      <w:tr w:rsidR="00557F76" w14:paraId="388309E9"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44464BD2" w14:textId="77777777" w:rsidR="00557F76" w:rsidRDefault="00557F76">
            <w:pPr>
              <w:rPr>
                <w:rFonts w:ascii="Calibri" w:hAnsi="Calibri" w:cs="Calibri"/>
                <w:color w:val="000000"/>
                <w:sz w:val="22"/>
                <w:szCs w:val="22"/>
              </w:rPr>
            </w:pPr>
            <w:r>
              <w:rPr>
                <w:rFonts w:ascii="Calibri" w:hAnsi="Calibri" w:cs="Calibri"/>
                <w:color w:val="000000"/>
                <w:sz w:val="22"/>
                <w:szCs w:val="22"/>
              </w:rPr>
              <w:t>Total Special Appropriation</w:t>
            </w:r>
          </w:p>
        </w:tc>
        <w:tc>
          <w:tcPr>
            <w:tcW w:w="1312" w:type="dxa"/>
            <w:tcBorders>
              <w:top w:val="nil"/>
              <w:left w:val="nil"/>
              <w:bottom w:val="single" w:sz="8" w:space="0" w:color="auto"/>
              <w:right w:val="single" w:sz="8" w:space="0" w:color="auto"/>
            </w:tcBorders>
            <w:shd w:val="clear" w:color="auto" w:fill="auto"/>
            <w:noWrap/>
            <w:vAlign w:val="center"/>
            <w:hideMark/>
          </w:tcPr>
          <w:p w14:paraId="57D7A31C"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277.38</w:t>
            </w:r>
          </w:p>
        </w:tc>
        <w:tc>
          <w:tcPr>
            <w:tcW w:w="1397" w:type="dxa"/>
            <w:tcBorders>
              <w:top w:val="nil"/>
              <w:left w:val="nil"/>
              <w:bottom w:val="single" w:sz="8" w:space="0" w:color="auto"/>
              <w:right w:val="single" w:sz="8" w:space="0" w:color="auto"/>
            </w:tcBorders>
            <w:shd w:val="clear" w:color="auto" w:fill="auto"/>
            <w:noWrap/>
            <w:vAlign w:val="center"/>
            <w:hideMark/>
          </w:tcPr>
          <w:p w14:paraId="069951A0"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 </w:t>
            </w:r>
          </w:p>
        </w:tc>
        <w:tc>
          <w:tcPr>
            <w:tcW w:w="1439" w:type="dxa"/>
            <w:tcBorders>
              <w:top w:val="nil"/>
              <w:left w:val="nil"/>
              <w:bottom w:val="single" w:sz="8" w:space="0" w:color="auto"/>
              <w:right w:val="single" w:sz="8" w:space="0" w:color="auto"/>
            </w:tcBorders>
            <w:shd w:val="clear" w:color="auto" w:fill="auto"/>
            <w:noWrap/>
            <w:vAlign w:val="center"/>
            <w:hideMark/>
          </w:tcPr>
          <w:p w14:paraId="42DD228B"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 </w:t>
            </w:r>
          </w:p>
        </w:tc>
      </w:tr>
      <w:tr w:rsidR="00557F76" w14:paraId="59A151A8" w14:textId="77777777" w:rsidTr="00557F76">
        <w:trPr>
          <w:trHeight w:val="315"/>
        </w:trPr>
        <w:tc>
          <w:tcPr>
            <w:tcW w:w="5335" w:type="dxa"/>
            <w:tcBorders>
              <w:top w:val="nil"/>
              <w:left w:val="single" w:sz="8" w:space="0" w:color="auto"/>
              <w:bottom w:val="single" w:sz="8" w:space="0" w:color="auto"/>
              <w:right w:val="single" w:sz="8" w:space="0" w:color="auto"/>
            </w:tcBorders>
            <w:shd w:val="clear" w:color="000000" w:fill="B4C6E7"/>
            <w:vAlign w:val="center"/>
            <w:hideMark/>
          </w:tcPr>
          <w:p w14:paraId="161FFA33"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Total Revenue Requirement</w:t>
            </w:r>
          </w:p>
        </w:tc>
        <w:tc>
          <w:tcPr>
            <w:tcW w:w="1312" w:type="dxa"/>
            <w:tcBorders>
              <w:top w:val="nil"/>
              <w:left w:val="nil"/>
              <w:bottom w:val="single" w:sz="8" w:space="0" w:color="auto"/>
              <w:right w:val="single" w:sz="8" w:space="0" w:color="auto"/>
            </w:tcBorders>
            <w:shd w:val="clear" w:color="000000" w:fill="B4C6E7"/>
            <w:noWrap/>
            <w:vAlign w:val="center"/>
            <w:hideMark/>
          </w:tcPr>
          <w:p w14:paraId="63CE4619"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6192.72</w:t>
            </w:r>
          </w:p>
        </w:tc>
        <w:tc>
          <w:tcPr>
            <w:tcW w:w="1397" w:type="dxa"/>
            <w:tcBorders>
              <w:top w:val="nil"/>
              <w:left w:val="nil"/>
              <w:bottom w:val="single" w:sz="8" w:space="0" w:color="auto"/>
              <w:right w:val="single" w:sz="8" w:space="0" w:color="auto"/>
            </w:tcBorders>
            <w:shd w:val="clear" w:color="000000" w:fill="B4C6E7"/>
            <w:noWrap/>
            <w:vAlign w:val="center"/>
            <w:hideMark/>
          </w:tcPr>
          <w:p w14:paraId="7B642989"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6704.83</w:t>
            </w:r>
          </w:p>
        </w:tc>
        <w:tc>
          <w:tcPr>
            <w:tcW w:w="1439" w:type="dxa"/>
            <w:tcBorders>
              <w:top w:val="nil"/>
              <w:left w:val="nil"/>
              <w:bottom w:val="single" w:sz="8" w:space="0" w:color="auto"/>
              <w:right w:val="single" w:sz="8" w:space="0" w:color="auto"/>
            </w:tcBorders>
            <w:shd w:val="clear" w:color="000000" w:fill="B4C6E7"/>
            <w:noWrap/>
            <w:vAlign w:val="center"/>
            <w:hideMark/>
          </w:tcPr>
          <w:p w14:paraId="4C9A61A8"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6702.31</w:t>
            </w:r>
          </w:p>
        </w:tc>
      </w:tr>
      <w:tr w:rsidR="00557F76" w14:paraId="0F91A53E" w14:textId="77777777" w:rsidTr="00557F76">
        <w:trPr>
          <w:trHeight w:val="315"/>
        </w:trPr>
        <w:tc>
          <w:tcPr>
            <w:tcW w:w="5335" w:type="dxa"/>
            <w:tcBorders>
              <w:top w:val="nil"/>
              <w:left w:val="single" w:sz="8" w:space="0" w:color="auto"/>
              <w:bottom w:val="single" w:sz="8" w:space="0" w:color="auto"/>
              <w:right w:val="single" w:sz="8" w:space="0" w:color="auto"/>
            </w:tcBorders>
            <w:shd w:val="clear" w:color="000000" w:fill="B4C6E7"/>
            <w:vAlign w:val="center"/>
            <w:hideMark/>
          </w:tcPr>
          <w:p w14:paraId="1CC67BE4"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 xml:space="preserve">Revenue from Sale of Power </w:t>
            </w:r>
          </w:p>
        </w:tc>
        <w:tc>
          <w:tcPr>
            <w:tcW w:w="1312" w:type="dxa"/>
            <w:tcBorders>
              <w:top w:val="nil"/>
              <w:left w:val="nil"/>
              <w:bottom w:val="single" w:sz="8" w:space="0" w:color="auto"/>
              <w:right w:val="single" w:sz="8" w:space="0" w:color="auto"/>
            </w:tcBorders>
            <w:shd w:val="clear" w:color="000000" w:fill="B4C6E7"/>
            <w:noWrap/>
            <w:vAlign w:val="center"/>
            <w:hideMark/>
          </w:tcPr>
          <w:p w14:paraId="058B95D9"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6251.99</w:t>
            </w:r>
          </w:p>
        </w:tc>
        <w:tc>
          <w:tcPr>
            <w:tcW w:w="1397" w:type="dxa"/>
            <w:tcBorders>
              <w:top w:val="nil"/>
              <w:left w:val="nil"/>
              <w:bottom w:val="single" w:sz="8" w:space="0" w:color="auto"/>
              <w:right w:val="single" w:sz="8" w:space="0" w:color="auto"/>
            </w:tcBorders>
            <w:shd w:val="clear" w:color="000000" w:fill="B4C6E7"/>
            <w:noWrap/>
            <w:vAlign w:val="center"/>
            <w:hideMark/>
          </w:tcPr>
          <w:p w14:paraId="57006C43"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6238.17</w:t>
            </w:r>
          </w:p>
        </w:tc>
        <w:tc>
          <w:tcPr>
            <w:tcW w:w="1439" w:type="dxa"/>
            <w:tcBorders>
              <w:top w:val="nil"/>
              <w:left w:val="nil"/>
              <w:bottom w:val="single" w:sz="8" w:space="0" w:color="auto"/>
              <w:right w:val="single" w:sz="8" w:space="0" w:color="auto"/>
            </w:tcBorders>
            <w:shd w:val="clear" w:color="000000" w:fill="B4C6E7"/>
            <w:noWrap/>
            <w:vAlign w:val="center"/>
            <w:hideMark/>
          </w:tcPr>
          <w:p w14:paraId="46463CA7"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6238.17</w:t>
            </w:r>
          </w:p>
        </w:tc>
      </w:tr>
      <w:tr w:rsidR="00557F76" w14:paraId="1584C796" w14:textId="77777777" w:rsidTr="00557F76">
        <w:trPr>
          <w:trHeight w:val="315"/>
        </w:trPr>
        <w:tc>
          <w:tcPr>
            <w:tcW w:w="5335" w:type="dxa"/>
            <w:tcBorders>
              <w:top w:val="nil"/>
              <w:left w:val="single" w:sz="8" w:space="0" w:color="auto"/>
              <w:bottom w:val="single" w:sz="8" w:space="0" w:color="auto"/>
              <w:right w:val="single" w:sz="8" w:space="0" w:color="auto"/>
            </w:tcBorders>
            <w:shd w:val="clear" w:color="000000" w:fill="F8CBAD"/>
            <w:vAlign w:val="center"/>
            <w:hideMark/>
          </w:tcPr>
          <w:p w14:paraId="617CF571"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(Gap)/ Surplus</w:t>
            </w:r>
          </w:p>
        </w:tc>
        <w:tc>
          <w:tcPr>
            <w:tcW w:w="1312" w:type="dxa"/>
            <w:tcBorders>
              <w:top w:val="nil"/>
              <w:left w:val="nil"/>
              <w:bottom w:val="single" w:sz="8" w:space="0" w:color="auto"/>
              <w:right w:val="single" w:sz="8" w:space="0" w:color="auto"/>
            </w:tcBorders>
            <w:shd w:val="clear" w:color="000000" w:fill="F8CBAD"/>
            <w:noWrap/>
            <w:vAlign w:val="center"/>
            <w:hideMark/>
          </w:tcPr>
          <w:p w14:paraId="11E0D98E"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59.27</w:t>
            </w:r>
          </w:p>
        </w:tc>
        <w:tc>
          <w:tcPr>
            <w:tcW w:w="1397" w:type="dxa"/>
            <w:tcBorders>
              <w:top w:val="nil"/>
              <w:left w:val="nil"/>
              <w:bottom w:val="single" w:sz="8" w:space="0" w:color="auto"/>
              <w:right w:val="single" w:sz="8" w:space="0" w:color="auto"/>
            </w:tcBorders>
            <w:shd w:val="clear" w:color="000000" w:fill="F8CBAD"/>
            <w:noWrap/>
            <w:vAlign w:val="center"/>
            <w:hideMark/>
          </w:tcPr>
          <w:p w14:paraId="7A06C678"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-466.66</w:t>
            </w:r>
          </w:p>
        </w:tc>
        <w:tc>
          <w:tcPr>
            <w:tcW w:w="1439" w:type="dxa"/>
            <w:tcBorders>
              <w:top w:val="nil"/>
              <w:left w:val="nil"/>
              <w:bottom w:val="single" w:sz="8" w:space="0" w:color="auto"/>
              <w:right w:val="single" w:sz="8" w:space="0" w:color="auto"/>
            </w:tcBorders>
            <w:shd w:val="clear" w:color="000000" w:fill="F8CBAD"/>
            <w:noWrap/>
            <w:vAlign w:val="center"/>
            <w:hideMark/>
          </w:tcPr>
          <w:p w14:paraId="70F8D809"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-464.14</w:t>
            </w:r>
          </w:p>
        </w:tc>
      </w:tr>
      <w:tr w:rsidR="00557F76" w14:paraId="1E4B15BF"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21E971C7"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Adjustment towards Power purchase Cost</w:t>
            </w:r>
          </w:p>
        </w:tc>
        <w:tc>
          <w:tcPr>
            <w:tcW w:w="1312" w:type="dxa"/>
            <w:tcBorders>
              <w:top w:val="nil"/>
              <w:left w:val="nil"/>
              <w:bottom w:val="single" w:sz="8" w:space="0" w:color="auto"/>
              <w:right w:val="single" w:sz="8" w:space="0" w:color="auto"/>
            </w:tcBorders>
            <w:shd w:val="clear" w:color="auto" w:fill="auto"/>
            <w:noWrap/>
            <w:vAlign w:val="center"/>
            <w:hideMark/>
          </w:tcPr>
          <w:p w14:paraId="13BEA02F"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 </w:t>
            </w:r>
          </w:p>
        </w:tc>
        <w:tc>
          <w:tcPr>
            <w:tcW w:w="1397" w:type="dxa"/>
            <w:tcBorders>
              <w:top w:val="nil"/>
              <w:left w:val="nil"/>
              <w:bottom w:val="single" w:sz="8" w:space="0" w:color="auto"/>
              <w:right w:val="single" w:sz="8" w:space="0" w:color="auto"/>
            </w:tcBorders>
            <w:shd w:val="clear" w:color="auto" w:fill="auto"/>
            <w:noWrap/>
            <w:vAlign w:val="center"/>
            <w:hideMark/>
          </w:tcPr>
          <w:p w14:paraId="1313EA18"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 </w:t>
            </w:r>
          </w:p>
        </w:tc>
        <w:tc>
          <w:tcPr>
            <w:tcW w:w="1439" w:type="dxa"/>
            <w:tcBorders>
              <w:top w:val="nil"/>
              <w:left w:val="nil"/>
              <w:bottom w:val="single" w:sz="8" w:space="0" w:color="auto"/>
              <w:right w:val="single" w:sz="8" w:space="0" w:color="auto"/>
            </w:tcBorders>
            <w:shd w:val="clear" w:color="auto" w:fill="auto"/>
            <w:noWrap/>
            <w:vAlign w:val="bottom"/>
            <w:hideMark/>
          </w:tcPr>
          <w:p w14:paraId="7E0844FA" w14:textId="77777777" w:rsidR="00557F76" w:rsidRDefault="00557F76">
            <w:pPr>
              <w:rPr>
                <w:rFonts w:ascii="Calibri" w:hAnsi="Calibri" w:cs="Calibri"/>
                <w:color w:val="000000"/>
                <w:sz w:val="22"/>
                <w:szCs w:val="22"/>
              </w:rPr>
            </w:pPr>
            <w:r>
              <w:rPr>
                <w:rFonts w:ascii="Calibri" w:hAnsi="Calibri" w:cs="Calibri"/>
                <w:color w:val="000000"/>
                <w:sz w:val="22"/>
                <w:szCs w:val="22"/>
              </w:rPr>
              <w:t> </w:t>
            </w:r>
          </w:p>
        </w:tc>
      </w:tr>
      <w:tr w:rsidR="00557F76" w14:paraId="15D0AF5F"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418DFBA8" w14:textId="77777777" w:rsidR="00557F76" w:rsidRDefault="00557F76">
            <w:pPr>
              <w:rPr>
                <w:rFonts w:ascii="Calibri" w:hAnsi="Calibri" w:cs="Calibri"/>
                <w:color w:val="000000"/>
                <w:sz w:val="22"/>
                <w:szCs w:val="22"/>
              </w:rPr>
            </w:pPr>
            <w:r>
              <w:rPr>
                <w:rFonts w:ascii="Calibri" w:hAnsi="Calibri" w:cs="Calibri"/>
                <w:color w:val="000000"/>
                <w:sz w:val="22"/>
                <w:szCs w:val="22"/>
              </w:rPr>
              <w:t>Approved AT &amp;C loss</w:t>
            </w:r>
          </w:p>
        </w:tc>
        <w:tc>
          <w:tcPr>
            <w:tcW w:w="1312" w:type="dxa"/>
            <w:tcBorders>
              <w:top w:val="nil"/>
              <w:left w:val="nil"/>
              <w:bottom w:val="single" w:sz="8" w:space="0" w:color="auto"/>
              <w:right w:val="single" w:sz="8" w:space="0" w:color="auto"/>
            </w:tcBorders>
            <w:shd w:val="clear" w:color="auto" w:fill="auto"/>
            <w:noWrap/>
            <w:vAlign w:val="center"/>
            <w:hideMark/>
          </w:tcPr>
          <w:p w14:paraId="7EFC2981"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 </w:t>
            </w:r>
          </w:p>
        </w:tc>
        <w:tc>
          <w:tcPr>
            <w:tcW w:w="1397" w:type="dxa"/>
            <w:tcBorders>
              <w:top w:val="nil"/>
              <w:left w:val="nil"/>
              <w:bottom w:val="single" w:sz="8" w:space="0" w:color="auto"/>
              <w:right w:val="single" w:sz="8" w:space="0" w:color="auto"/>
            </w:tcBorders>
            <w:shd w:val="clear" w:color="auto" w:fill="auto"/>
            <w:noWrap/>
            <w:vAlign w:val="center"/>
            <w:hideMark/>
          </w:tcPr>
          <w:p w14:paraId="2AD13306"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A</w:t>
            </w:r>
          </w:p>
        </w:tc>
        <w:tc>
          <w:tcPr>
            <w:tcW w:w="1439" w:type="dxa"/>
            <w:tcBorders>
              <w:top w:val="nil"/>
              <w:left w:val="nil"/>
              <w:bottom w:val="single" w:sz="8" w:space="0" w:color="auto"/>
              <w:right w:val="single" w:sz="8" w:space="0" w:color="auto"/>
            </w:tcBorders>
            <w:shd w:val="clear" w:color="auto" w:fill="auto"/>
            <w:noWrap/>
            <w:vAlign w:val="center"/>
            <w:hideMark/>
          </w:tcPr>
          <w:p w14:paraId="369F3C15"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18.90%</w:t>
            </w:r>
          </w:p>
        </w:tc>
      </w:tr>
      <w:tr w:rsidR="00557F76" w14:paraId="1E4AE97C"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01E49CC4" w14:textId="77777777" w:rsidR="00557F76" w:rsidRDefault="00557F76">
            <w:pPr>
              <w:rPr>
                <w:rFonts w:ascii="Calibri" w:hAnsi="Calibri" w:cs="Calibri"/>
                <w:color w:val="000000"/>
                <w:sz w:val="22"/>
                <w:szCs w:val="22"/>
              </w:rPr>
            </w:pPr>
            <w:r>
              <w:rPr>
                <w:rFonts w:ascii="Calibri" w:hAnsi="Calibri" w:cs="Calibri"/>
                <w:color w:val="000000"/>
                <w:sz w:val="22"/>
                <w:szCs w:val="22"/>
              </w:rPr>
              <w:t>Normative collection efficiency</w:t>
            </w:r>
          </w:p>
        </w:tc>
        <w:tc>
          <w:tcPr>
            <w:tcW w:w="1312" w:type="dxa"/>
            <w:tcBorders>
              <w:top w:val="nil"/>
              <w:left w:val="nil"/>
              <w:bottom w:val="single" w:sz="8" w:space="0" w:color="auto"/>
              <w:right w:val="single" w:sz="8" w:space="0" w:color="auto"/>
            </w:tcBorders>
            <w:shd w:val="clear" w:color="auto" w:fill="auto"/>
            <w:noWrap/>
            <w:vAlign w:val="center"/>
            <w:hideMark/>
          </w:tcPr>
          <w:p w14:paraId="3A5EC918"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 %</w:t>
            </w:r>
          </w:p>
        </w:tc>
        <w:tc>
          <w:tcPr>
            <w:tcW w:w="1397" w:type="dxa"/>
            <w:tcBorders>
              <w:top w:val="nil"/>
              <w:left w:val="nil"/>
              <w:bottom w:val="single" w:sz="8" w:space="0" w:color="auto"/>
              <w:right w:val="single" w:sz="8" w:space="0" w:color="auto"/>
            </w:tcBorders>
            <w:shd w:val="clear" w:color="auto" w:fill="auto"/>
            <w:noWrap/>
            <w:vAlign w:val="center"/>
            <w:hideMark/>
          </w:tcPr>
          <w:p w14:paraId="615578E8"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B</w:t>
            </w:r>
          </w:p>
        </w:tc>
        <w:tc>
          <w:tcPr>
            <w:tcW w:w="1439" w:type="dxa"/>
            <w:tcBorders>
              <w:top w:val="nil"/>
              <w:left w:val="nil"/>
              <w:bottom w:val="single" w:sz="8" w:space="0" w:color="auto"/>
              <w:right w:val="single" w:sz="8" w:space="0" w:color="auto"/>
            </w:tcBorders>
            <w:shd w:val="clear" w:color="auto" w:fill="auto"/>
            <w:noWrap/>
            <w:vAlign w:val="center"/>
            <w:hideMark/>
          </w:tcPr>
          <w:p w14:paraId="270C4F4C"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99%</w:t>
            </w:r>
          </w:p>
        </w:tc>
      </w:tr>
      <w:tr w:rsidR="00557F76" w14:paraId="4554B52C"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3AEBE97A" w14:textId="77777777" w:rsidR="00557F76" w:rsidRDefault="00557F76">
            <w:pPr>
              <w:rPr>
                <w:rFonts w:ascii="Calibri" w:hAnsi="Calibri" w:cs="Calibri"/>
                <w:color w:val="000000"/>
                <w:sz w:val="22"/>
                <w:szCs w:val="22"/>
              </w:rPr>
            </w:pPr>
            <w:r>
              <w:rPr>
                <w:rFonts w:ascii="Calibri" w:hAnsi="Calibri" w:cs="Calibri"/>
                <w:color w:val="000000"/>
                <w:sz w:val="22"/>
                <w:szCs w:val="22"/>
              </w:rPr>
              <w:t>Calculated distribution loss</w:t>
            </w:r>
          </w:p>
        </w:tc>
        <w:tc>
          <w:tcPr>
            <w:tcW w:w="1312" w:type="dxa"/>
            <w:tcBorders>
              <w:top w:val="nil"/>
              <w:left w:val="nil"/>
              <w:bottom w:val="single" w:sz="8" w:space="0" w:color="auto"/>
              <w:right w:val="single" w:sz="8" w:space="0" w:color="auto"/>
            </w:tcBorders>
            <w:shd w:val="clear" w:color="auto" w:fill="auto"/>
            <w:noWrap/>
            <w:vAlign w:val="center"/>
            <w:hideMark/>
          </w:tcPr>
          <w:p w14:paraId="0768C657"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 %</w:t>
            </w:r>
          </w:p>
        </w:tc>
        <w:tc>
          <w:tcPr>
            <w:tcW w:w="1397" w:type="dxa"/>
            <w:tcBorders>
              <w:top w:val="nil"/>
              <w:left w:val="nil"/>
              <w:bottom w:val="single" w:sz="8" w:space="0" w:color="auto"/>
              <w:right w:val="single" w:sz="8" w:space="0" w:color="auto"/>
            </w:tcBorders>
            <w:shd w:val="clear" w:color="auto" w:fill="auto"/>
            <w:noWrap/>
            <w:vAlign w:val="center"/>
            <w:hideMark/>
          </w:tcPr>
          <w:p w14:paraId="598DA2FD"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C=1-(1-A)/B</w:t>
            </w:r>
          </w:p>
        </w:tc>
        <w:tc>
          <w:tcPr>
            <w:tcW w:w="1439" w:type="dxa"/>
            <w:tcBorders>
              <w:top w:val="nil"/>
              <w:left w:val="nil"/>
              <w:bottom w:val="single" w:sz="8" w:space="0" w:color="auto"/>
              <w:right w:val="single" w:sz="8" w:space="0" w:color="auto"/>
            </w:tcBorders>
            <w:shd w:val="clear" w:color="auto" w:fill="auto"/>
            <w:noWrap/>
            <w:vAlign w:val="center"/>
            <w:hideMark/>
          </w:tcPr>
          <w:p w14:paraId="29B2A445"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18.08%</w:t>
            </w:r>
          </w:p>
        </w:tc>
      </w:tr>
      <w:tr w:rsidR="00557F76" w14:paraId="273DBD6F"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5DB7251C" w14:textId="77777777" w:rsidR="00557F76" w:rsidRDefault="00557F76">
            <w:pPr>
              <w:rPr>
                <w:rFonts w:ascii="Calibri" w:hAnsi="Calibri" w:cs="Calibri"/>
                <w:color w:val="000000"/>
                <w:sz w:val="22"/>
                <w:szCs w:val="22"/>
              </w:rPr>
            </w:pPr>
            <w:r>
              <w:rPr>
                <w:rFonts w:ascii="Calibri" w:hAnsi="Calibri" w:cs="Calibri"/>
                <w:color w:val="000000"/>
                <w:sz w:val="22"/>
                <w:szCs w:val="22"/>
              </w:rPr>
              <w:t>Actual sales</w:t>
            </w:r>
          </w:p>
        </w:tc>
        <w:tc>
          <w:tcPr>
            <w:tcW w:w="1312" w:type="dxa"/>
            <w:tcBorders>
              <w:top w:val="nil"/>
              <w:left w:val="nil"/>
              <w:bottom w:val="single" w:sz="8" w:space="0" w:color="auto"/>
              <w:right w:val="single" w:sz="8" w:space="0" w:color="auto"/>
            </w:tcBorders>
            <w:shd w:val="clear" w:color="auto" w:fill="auto"/>
            <w:noWrap/>
            <w:vAlign w:val="center"/>
            <w:hideMark/>
          </w:tcPr>
          <w:p w14:paraId="561791FD"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 MU</w:t>
            </w:r>
          </w:p>
        </w:tc>
        <w:tc>
          <w:tcPr>
            <w:tcW w:w="1397" w:type="dxa"/>
            <w:tcBorders>
              <w:top w:val="nil"/>
              <w:left w:val="nil"/>
              <w:bottom w:val="single" w:sz="8" w:space="0" w:color="auto"/>
              <w:right w:val="single" w:sz="8" w:space="0" w:color="auto"/>
            </w:tcBorders>
            <w:shd w:val="clear" w:color="auto" w:fill="auto"/>
            <w:noWrap/>
            <w:vAlign w:val="center"/>
            <w:hideMark/>
          </w:tcPr>
          <w:p w14:paraId="6148898C"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D</w:t>
            </w:r>
          </w:p>
        </w:tc>
        <w:tc>
          <w:tcPr>
            <w:tcW w:w="1439" w:type="dxa"/>
            <w:tcBorders>
              <w:top w:val="nil"/>
              <w:left w:val="nil"/>
              <w:bottom w:val="single" w:sz="8" w:space="0" w:color="auto"/>
              <w:right w:val="single" w:sz="8" w:space="0" w:color="auto"/>
            </w:tcBorders>
            <w:shd w:val="clear" w:color="auto" w:fill="auto"/>
            <w:noWrap/>
            <w:vAlign w:val="center"/>
            <w:hideMark/>
          </w:tcPr>
          <w:p w14:paraId="36D1BC9E"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10643.73</w:t>
            </w:r>
          </w:p>
        </w:tc>
      </w:tr>
      <w:tr w:rsidR="00557F76" w14:paraId="5CF142B4"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06992278" w14:textId="77777777" w:rsidR="00557F76" w:rsidRDefault="00557F76">
            <w:pPr>
              <w:rPr>
                <w:rFonts w:ascii="Calibri" w:hAnsi="Calibri" w:cs="Calibri"/>
                <w:color w:val="000000"/>
                <w:sz w:val="22"/>
                <w:szCs w:val="22"/>
              </w:rPr>
            </w:pPr>
            <w:r>
              <w:rPr>
                <w:rFonts w:ascii="Calibri" w:hAnsi="Calibri" w:cs="Calibri"/>
                <w:color w:val="000000"/>
                <w:sz w:val="22"/>
                <w:szCs w:val="22"/>
              </w:rPr>
              <w:t>Actual power purchase</w:t>
            </w:r>
          </w:p>
        </w:tc>
        <w:tc>
          <w:tcPr>
            <w:tcW w:w="1312" w:type="dxa"/>
            <w:tcBorders>
              <w:top w:val="nil"/>
              <w:left w:val="nil"/>
              <w:bottom w:val="single" w:sz="8" w:space="0" w:color="auto"/>
              <w:right w:val="single" w:sz="8" w:space="0" w:color="auto"/>
            </w:tcBorders>
            <w:shd w:val="clear" w:color="auto" w:fill="auto"/>
            <w:noWrap/>
            <w:vAlign w:val="center"/>
            <w:hideMark/>
          </w:tcPr>
          <w:p w14:paraId="3BCC1296"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 MU</w:t>
            </w:r>
          </w:p>
        </w:tc>
        <w:tc>
          <w:tcPr>
            <w:tcW w:w="1397" w:type="dxa"/>
            <w:tcBorders>
              <w:top w:val="nil"/>
              <w:left w:val="nil"/>
              <w:bottom w:val="single" w:sz="8" w:space="0" w:color="auto"/>
              <w:right w:val="single" w:sz="8" w:space="0" w:color="auto"/>
            </w:tcBorders>
            <w:shd w:val="clear" w:color="auto" w:fill="auto"/>
            <w:noWrap/>
            <w:vAlign w:val="center"/>
            <w:hideMark/>
          </w:tcPr>
          <w:p w14:paraId="1EF1D8CA"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E</w:t>
            </w:r>
          </w:p>
        </w:tc>
        <w:tc>
          <w:tcPr>
            <w:tcW w:w="1439" w:type="dxa"/>
            <w:tcBorders>
              <w:top w:val="nil"/>
              <w:left w:val="nil"/>
              <w:bottom w:val="single" w:sz="8" w:space="0" w:color="auto"/>
              <w:right w:val="single" w:sz="8" w:space="0" w:color="auto"/>
            </w:tcBorders>
            <w:shd w:val="clear" w:color="auto" w:fill="auto"/>
            <w:noWrap/>
            <w:vAlign w:val="center"/>
            <w:hideMark/>
          </w:tcPr>
          <w:p w14:paraId="3F167E1F"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12752.41</w:t>
            </w:r>
          </w:p>
        </w:tc>
      </w:tr>
      <w:tr w:rsidR="00557F76" w14:paraId="1C5BA912"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2E98CC42" w14:textId="77777777" w:rsidR="00557F76" w:rsidRDefault="00557F76">
            <w:pPr>
              <w:rPr>
                <w:rFonts w:ascii="Calibri" w:hAnsi="Calibri" w:cs="Calibri"/>
                <w:color w:val="000000"/>
                <w:sz w:val="22"/>
                <w:szCs w:val="22"/>
              </w:rPr>
            </w:pPr>
            <w:r>
              <w:rPr>
                <w:rFonts w:ascii="Calibri" w:hAnsi="Calibri" w:cs="Calibri"/>
                <w:color w:val="000000"/>
                <w:sz w:val="22"/>
                <w:szCs w:val="22"/>
              </w:rPr>
              <w:t>Normative power purchase</w:t>
            </w:r>
          </w:p>
        </w:tc>
        <w:tc>
          <w:tcPr>
            <w:tcW w:w="1312" w:type="dxa"/>
            <w:tcBorders>
              <w:top w:val="nil"/>
              <w:left w:val="nil"/>
              <w:bottom w:val="single" w:sz="8" w:space="0" w:color="auto"/>
              <w:right w:val="single" w:sz="8" w:space="0" w:color="auto"/>
            </w:tcBorders>
            <w:shd w:val="clear" w:color="auto" w:fill="auto"/>
            <w:noWrap/>
            <w:vAlign w:val="center"/>
            <w:hideMark/>
          </w:tcPr>
          <w:p w14:paraId="36E0C3CA"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 MU</w:t>
            </w:r>
          </w:p>
        </w:tc>
        <w:tc>
          <w:tcPr>
            <w:tcW w:w="1397" w:type="dxa"/>
            <w:tcBorders>
              <w:top w:val="nil"/>
              <w:left w:val="nil"/>
              <w:bottom w:val="single" w:sz="8" w:space="0" w:color="auto"/>
              <w:right w:val="single" w:sz="8" w:space="0" w:color="auto"/>
            </w:tcBorders>
            <w:shd w:val="clear" w:color="auto" w:fill="auto"/>
            <w:noWrap/>
            <w:vAlign w:val="center"/>
            <w:hideMark/>
          </w:tcPr>
          <w:p w14:paraId="67C3DE9E"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F=D/(1-C)</w:t>
            </w:r>
          </w:p>
        </w:tc>
        <w:tc>
          <w:tcPr>
            <w:tcW w:w="1439" w:type="dxa"/>
            <w:tcBorders>
              <w:top w:val="nil"/>
              <w:left w:val="nil"/>
              <w:bottom w:val="single" w:sz="8" w:space="0" w:color="auto"/>
              <w:right w:val="single" w:sz="8" w:space="0" w:color="auto"/>
            </w:tcBorders>
            <w:shd w:val="clear" w:color="auto" w:fill="auto"/>
            <w:noWrap/>
            <w:vAlign w:val="center"/>
            <w:hideMark/>
          </w:tcPr>
          <w:p w14:paraId="6040431D"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12992.97</w:t>
            </w:r>
          </w:p>
        </w:tc>
      </w:tr>
      <w:tr w:rsidR="00557F76" w14:paraId="3735304E"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0371E2D9" w14:textId="77777777" w:rsidR="00557F76" w:rsidRDefault="00557F76">
            <w:pPr>
              <w:rPr>
                <w:rFonts w:ascii="Calibri" w:hAnsi="Calibri" w:cs="Calibri"/>
                <w:color w:val="000000"/>
                <w:sz w:val="22"/>
                <w:szCs w:val="22"/>
              </w:rPr>
            </w:pPr>
            <w:r>
              <w:rPr>
                <w:rFonts w:ascii="Calibri" w:hAnsi="Calibri" w:cs="Calibri"/>
                <w:color w:val="000000"/>
                <w:sz w:val="22"/>
                <w:szCs w:val="22"/>
              </w:rPr>
              <w:t>Additional power purchase</w:t>
            </w:r>
          </w:p>
        </w:tc>
        <w:tc>
          <w:tcPr>
            <w:tcW w:w="1312" w:type="dxa"/>
            <w:tcBorders>
              <w:top w:val="nil"/>
              <w:left w:val="nil"/>
              <w:bottom w:val="single" w:sz="8" w:space="0" w:color="auto"/>
              <w:right w:val="single" w:sz="8" w:space="0" w:color="auto"/>
            </w:tcBorders>
            <w:shd w:val="clear" w:color="auto" w:fill="auto"/>
            <w:noWrap/>
            <w:vAlign w:val="center"/>
            <w:hideMark/>
          </w:tcPr>
          <w:p w14:paraId="43184100"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MU</w:t>
            </w:r>
          </w:p>
        </w:tc>
        <w:tc>
          <w:tcPr>
            <w:tcW w:w="1397" w:type="dxa"/>
            <w:tcBorders>
              <w:top w:val="nil"/>
              <w:left w:val="nil"/>
              <w:bottom w:val="single" w:sz="8" w:space="0" w:color="auto"/>
              <w:right w:val="single" w:sz="8" w:space="0" w:color="auto"/>
            </w:tcBorders>
            <w:shd w:val="clear" w:color="auto" w:fill="auto"/>
            <w:noWrap/>
            <w:vAlign w:val="center"/>
            <w:hideMark/>
          </w:tcPr>
          <w:p w14:paraId="14827040"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G=E-F</w:t>
            </w:r>
          </w:p>
        </w:tc>
        <w:tc>
          <w:tcPr>
            <w:tcW w:w="1439" w:type="dxa"/>
            <w:tcBorders>
              <w:top w:val="nil"/>
              <w:left w:val="nil"/>
              <w:bottom w:val="single" w:sz="8" w:space="0" w:color="auto"/>
              <w:right w:val="single" w:sz="8" w:space="0" w:color="auto"/>
            </w:tcBorders>
            <w:shd w:val="clear" w:color="auto" w:fill="auto"/>
            <w:noWrap/>
            <w:vAlign w:val="center"/>
            <w:hideMark/>
          </w:tcPr>
          <w:p w14:paraId="6B18F328"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-240.56</w:t>
            </w:r>
          </w:p>
        </w:tc>
      </w:tr>
      <w:tr w:rsidR="00557F76" w14:paraId="5F0DAC2D" w14:textId="77777777" w:rsidTr="00557F76">
        <w:trPr>
          <w:trHeight w:val="3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0E8AF409" w14:textId="77777777" w:rsidR="00557F76" w:rsidRDefault="00557F76">
            <w:pPr>
              <w:rPr>
                <w:rFonts w:ascii="Calibri" w:hAnsi="Calibri" w:cs="Calibri"/>
                <w:color w:val="000000"/>
                <w:sz w:val="22"/>
                <w:szCs w:val="22"/>
              </w:rPr>
            </w:pPr>
            <w:r>
              <w:rPr>
                <w:rFonts w:ascii="Calibri" w:hAnsi="Calibri" w:cs="Calibri"/>
                <w:color w:val="000000"/>
                <w:sz w:val="22"/>
                <w:szCs w:val="22"/>
              </w:rPr>
              <w:t>Approved BSP (incl. BSP Surcharge)</w:t>
            </w:r>
          </w:p>
        </w:tc>
        <w:tc>
          <w:tcPr>
            <w:tcW w:w="1312" w:type="dxa"/>
            <w:tcBorders>
              <w:top w:val="nil"/>
              <w:left w:val="nil"/>
              <w:bottom w:val="single" w:sz="8" w:space="0" w:color="auto"/>
              <w:right w:val="single" w:sz="8" w:space="0" w:color="auto"/>
            </w:tcBorders>
            <w:shd w:val="clear" w:color="auto" w:fill="auto"/>
            <w:noWrap/>
            <w:vAlign w:val="center"/>
            <w:hideMark/>
          </w:tcPr>
          <w:p w14:paraId="03C0ACA1" w14:textId="77777777" w:rsidR="00557F76" w:rsidRDefault="00557F76">
            <w:pPr>
              <w:jc w:val="center"/>
              <w:rPr>
                <w:rFonts w:ascii="Calibri" w:hAnsi="Calibri" w:cs="Calibri"/>
                <w:color w:val="000000"/>
                <w:sz w:val="22"/>
                <w:szCs w:val="22"/>
              </w:rPr>
            </w:pPr>
            <w:proofErr w:type="spellStart"/>
            <w:r>
              <w:rPr>
                <w:rFonts w:ascii="Calibri" w:hAnsi="Calibri" w:cs="Calibri"/>
                <w:color w:val="000000"/>
                <w:sz w:val="22"/>
                <w:szCs w:val="22"/>
              </w:rPr>
              <w:t>Paise</w:t>
            </w:r>
            <w:proofErr w:type="spellEnd"/>
            <w:r>
              <w:rPr>
                <w:rFonts w:ascii="Calibri" w:hAnsi="Calibri" w:cs="Calibri"/>
                <w:color w:val="000000"/>
                <w:sz w:val="22"/>
                <w:szCs w:val="22"/>
              </w:rPr>
              <w:t>/ Unit</w:t>
            </w:r>
          </w:p>
        </w:tc>
        <w:tc>
          <w:tcPr>
            <w:tcW w:w="1397" w:type="dxa"/>
            <w:tcBorders>
              <w:top w:val="nil"/>
              <w:left w:val="nil"/>
              <w:bottom w:val="single" w:sz="8" w:space="0" w:color="auto"/>
              <w:right w:val="single" w:sz="8" w:space="0" w:color="auto"/>
            </w:tcBorders>
            <w:shd w:val="clear" w:color="auto" w:fill="auto"/>
            <w:noWrap/>
            <w:vAlign w:val="center"/>
            <w:hideMark/>
          </w:tcPr>
          <w:p w14:paraId="11AB482D"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H</w:t>
            </w:r>
          </w:p>
        </w:tc>
        <w:tc>
          <w:tcPr>
            <w:tcW w:w="1439" w:type="dxa"/>
            <w:tcBorders>
              <w:top w:val="nil"/>
              <w:left w:val="nil"/>
              <w:bottom w:val="single" w:sz="8" w:space="0" w:color="auto"/>
              <w:right w:val="single" w:sz="8" w:space="0" w:color="auto"/>
            </w:tcBorders>
            <w:shd w:val="clear" w:color="auto" w:fill="auto"/>
            <w:noWrap/>
            <w:vAlign w:val="center"/>
            <w:hideMark/>
          </w:tcPr>
          <w:p w14:paraId="72FC95D9"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420</w:t>
            </w:r>
          </w:p>
        </w:tc>
      </w:tr>
      <w:tr w:rsidR="00557F76" w14:paraId="3D706CE8" w14:textId="77777777" w:rsidTr="00557F76">
        <w:trPr>
          <w:trHeight w:val="6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2A932E6A" w14:textId="77777777" w:rsidR="00557F76" w:rsidRDefault="00557F76">
            <w:pPr>
              <w:rPr>
                <w:rFonts w:ascii="Calibri" w:hAnsi="Calibri" w:cs="Calibri"/>
                <w:color w:val="000000"/>
                <w:sz w:val="22"/>
                <w:szCs w:val="22"/>
              </w:rPr>
            </w:pPr>
            <w:r>
              <w:rPr>
                <w:rFonts w:ascii="Calibri" w:hAnsi="Calibri" w:cs="Calibri"/>
                <w:color w:val="000000"/>
                <w:sz w:val="22"/>
                <w:szCs w:val="22"/>
              </w:rPr>
              <w:t>Additional power purchase cost incurred towards deviation from calculated distribution loss</w:t>
            </w:r>
          </w:p>
        </w:tc>
        <w:tc>
          <w:tcPr>
            <w:tcW w:w="1312" w:type="dxa"/>
            <w:tcBorders>
              <w:top w:val="nil"/>
              <w:left w:val="nil"/>
              <w:bottom w:val="single" w:sz="8" w:space="0" w:color="auto"/>
              <w:right w:val="single" w:sz="8" w:space="0" w:color="auto"/>
            </w:tcBorders>
            <w:shd w:val="clear" w:color="auto" w:fill="auto"/>
            <w:noWrap/>
            <w:vAlign w:val="center"/>
            <w:hideMark/>
          </w:tcPr>
          <w:p w14:paraId="6B6859D8"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Rs. Cr.</w:t>
            </w:r>
          </w:p>
        </w:tc>
        <w:tc>
          <w:tcPr>
            <w:tcW w:w="1397" w:type="dxa"/>
            <w:tcBorders>
              <w:top w:val="nil"/>
              <w:left w:val="nil"/>
              <w:bottom w:val="single" w:sz="8" w:space="0" w:color="auto"/>
              <w:right w:val="single" w:sz="8" w:space="0" w:color="auto"/>
            </w:tcBorders>
            <w:shd w:val="clear" w:color="auto" w:fill="auto"/>
            <w:noWrap/>
            <w:vAlign w:val="center"/>
            <w:hideMark/>
          </w:tcPr>
          <w:p w14:paraId="1D4B9C4C"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I=G*H/1000</w:t>
            </w:r>
          </w:p>
        </w:tc>
        <w:tc>
          <w:tcPr>
            <w:tcW w:w="1439" w:type="dxa"/>
            <w:tcBorders>
              <w:top w:val="nil"/>
              <w:left w:val="nil"/>
              <w:bottom w:val="single" w:sz="8" w:space="0" w:color="auto"/>
              <w:right w:val="single" w:sz="8" w:space="0" w:color="auto"/>
            </w:tcBorders>
            <w:shd w:val="clear" w:color="auto" w:fill="auto"/>
            <w:noWrap/>
            <w:vAlign w:val="center"/>
            <w:hideMark/>
          </w:tcPr>
          <w:p w14:paraId="78B7C794"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-101.03</w:t>
            </w:r>
          </w:p>
        </w:tc>
      </w:tr>
      <w:tr w:rsidR="00557F76" w14:paraId="0CD3AD67" w14:textId="77777777" w:rsidTr="00557F76">
        <w:trPr>
          <w:trHeight w:val="615"/>
        </w:trPr>
        <w:tc>
          <w:tcPr>
            <w:tcW w:w="5335" w:type="dxa"/>
            <w:tcBorders>
              <w:top w:val="nil"/>
              <w:left w:val="single" w:sz="8" w:space="0" w:color="auto"/>
              <w:bottom w:val="single" w:sz="8" w:space="0" w:color="auto"/>
              <w:right w:val="single" w:sz="8" w:space="0" w:color="auto"/>
            </w:tcBorders>
            <w:shd w:val="clear" w:color="auto" w:fill="auto"/>
            <w:vAlign w:val="center"/>
            <w:hideMark/>
          </w:tcPr>
          <w:p w14:paraId="1D0EC8BD" w14:textId="77777777" w:rsidR="00557F76" w:rsidRDefault="00557F76">
            <w:pPr>
              <w:rPr>
                <w:rFonts w:ascii="Calibri" w:hAnsi="Calibri" w:cs="Calibri"/>
                <w:color w:val="000000"/>
                <w:sz w:val="22"/>
                <w:szCs w:val="22"/>
              </w:rPr>
            </w:pPr>
            <w:r>
              <w:rPr>
                <w:rFonts w:ascii="Calibri" w:hAnsi="Calibri" w:cs="Calibri"/>
                <w:color w:val="000000"/>
                <w:sz w:val="22"/>
                <w:szCs w:val="22"/>
              </w:rPr>
              <w:t>Amount eligible for loss or gain to be borne by distribution licensee</w:t>
            </w:r>
          </w:p>
        </w:tc>
        <w:tc>
          <w:tcPr>
            <w:tcW w:w="1312" w:type="dxa"/>
            <w:tcBorders>
              <w:top w:val="nil"/>
              <w:left w:val="nil"/>
              <w:bottom w:val="single" w:sz="8" w:space="0" w:color="auto"/>
              <w:right w:val="single" w:sz="8" w:space="0" w:color="auto"/>
            </w:tcBorders>
            <w:shd w:val="clear" w:color="auto" w:fill="auto"/>
            <w:noWrap/>
            <w:vAlign w:val="center"/>
            <w:hideMark/>
          </w:tcPr>
          <w:p w14:paraId="5B37C6F0"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Rs. Cr.</w:t>
            </w:r>
          </w:p>
        </w:tc>
        <w:tc>
          <w:tcPr>
            <w:tcW w:w="1397" w:type="dxa"/>
            <w:tcBorders>
              <w:top w:val="nil"/>
              <w:left w:val="nil"/>
              <w:bottom w:val="single" w:sz="8" w:space="0" w:color="auto"/>
              <w:right w:val="single" w:sz="8" w:space="0" w:color="auto"/>
            </w:tcBorders>
            <w:shd w:val="clear" w:color="auto" w:fill="auto"/>
            <w:noWrap/>
            <w:vAlign w:val="center"/>
            <w:hideMark/>
          </w:tcPr>
          <w:p w14:paraId="05D7BB95"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J</w:t>
            </w:r>
          </w:p>
        </w:tc>
        <w:tc>
          <w:tcPr>
            <w:tcW w:w="1439" w:type="dxa"/>
            <w:tcBorders>
              <w:top w:val="nil"/>
              <w:left w:val="nil"/>
              <w:bottom w:val="single" w:sz="8" w:space="0" w:color="auto"/>
              <w:right w:val="single" w:sz="8" w:space="0" w:color="auto"/>
            </w:tcBorders>
            <w:shd w:val="clear" w:color="auto" w:fill="auto"/>
            <w:noWrap/>
            <w:vAlign w:val="center"/>
            <w:hideMark/>
          </w:tcPr>
          <w:p w14:paraId="4044072A" w14:textId="77777777" w:rsidR="00557F76" w:rsidRDefault="00557F76">
            <w:pPr>
              <w:jc w:val="center"/>
              <w:rPr>
                <w:rFonts w:ascii="Calibri" w:hAnsi="Calibri" w:cs="Calibri"/>
                <w:color w:val="000000"/>
                <w:sz w:val="22"/>
                <w:szCs w:val="22"/>
              </w:rPr>
            </w:pPr>
            <w:r>
              <w:rPr>
                <w:rFonts w:ascii="Calibri" w:hAnsi="Calibri" w:cs="Calibri"/>
                <w:color w:val="000000"/>
                <w:sz w:val="22"/>
                <w:szCs w:val="22"/>
              </w:rPr>
              <w:t>-101.03</w:t>
            </w:r>
          </w:p>
        </w:tc>
      </w:tr>
    </w:tbl>
    <w:p w14:paraId="0DF88914" w14:textId="3A61CF4F" w:rsidR="00557F76" w:rsidRDefault="00557F76" w:rsidP="00927C31">
      <w:pPr>
        <w:autoSpaceDE w:val="0"/>
        <w:autoSpaceDN w:val="0"/>
        <w:adjustRightInd w:val="0"/>
        <w:spacing w:line="360" w:lineRule="auto"/>
        <w:jc w:val="both"/>
      </w:pPr>
    </w:p>
    <w:p w14:paraId="22EC1AA8" w14:textId="4BE1D5B5" w:rsidR="00927C31" w:rsidRDefault="00927C31" w:rsidP="00927C31">
      <w:pPr>
        <w:autoSpaceDE w:val="0"/>
        <w:autoSpaceDN w:val="0"/>
        <w:adjustRightInd w:val="0"/>
        <w:spacing w:line="360" w:lineRule="auto"/>
        <w:ind w:hanging="709"/>
        <w:jc w:val="both"/>
        <w:rPr>
          <w:rFonts w:asciiTheme="majorHAnsi" w:hAnsiTheme="majorHAnsi"/>
          <w:b/>
          <w:bCs/>
          <w:u w:val="single"/>
        </w:rPr>
      </w:pPr>
      <w:bookmarkStart w:id="152" w:name="_Toc278737550"/>
      <w:bookmarkStart w:id="153" w:name="_Toc278737554"/>
      <w:bookmarkStart w:id="154" w:name="_Toc278737556"/>
      <w:bookmarkStart w:id="155" w:name="_Toc278737557"/>
      <w:bookmarkStart w:id="156" w:name="_Toc278737558"/>
      <w:bookmarkStart w:id="157" w:name="_Toc278737559"/>
      <w:bookmarkStart w:id="158" w:name="_Toc278737560"/>
      <w:bookmarkStart w:id="159" w:name="_Toc152180127"/>
      <w:bookmarkStart w:id="160" w:name="_Toc183204738"/>
      <w:bookmarkStart w:id="161" w:name="_Hlk120636389"/>
      <w:bookmarkEnd w:id="77"/>
      <w:bookmarkEnd w:id="78"/>
      <w:bookmarkEnd w:id="94"/>
      <w:bookmarkEnd w:id="152"/>
      <w:bookmarkEnd w:id="153"/>
      <w:bookmarkEnd w:id="154"/>
      <w:bookmarkEnd w:id="155"/>
      <w:bookmarkEnd w:id="156"/>
      <w:bookmarkEnd w:id="157"/>
      <w:bookmarkEnd w:id="158"/>
      <w:r w:rsidRPr="00031FA4">
        <w:rPr>
          <w:rFonts w:asciiTheme="majorHAnsi" w:hAnsiTheme="majorHAnsi"/>
          <w:b/>
          <w:bCs/>
          <w:u w:val="single"/>
        </w:rPr>
        <w:t>Truing up FY 202</w:t>
      </w:r>
      <w:r>
        <w:rPr>
          <w:rFonts w:asciiTheme="majorHAnsi" w:hAnsiTheme="majorHAnsi"/>
          <w:b/>
          <w:bCs/>
          <w:u w:val="single"/>
        </w:rPr>
        <w:t>4</w:t>
      </w:r>
      <w:r w:rsidRPr="00031FA4">
        <w:rPr>
          <w:rFonts w:asciiTheme="majorHAnsi" w:hAnsiTheme="majorHAnsi"/>
          <w:b/>
          <w:bCs/>
          <w:u w:val="single"/>
        </w:rPr>
        <w:t>-2</w:t>
      </w:r>
      <w:r>
        <w:rPr>
          <w:rFonts w:asciiTheme="majorHAnsi" w:hAnsiTheme="majorHAnsi"/>
          <w:b/>
          <w:bCs/>
          <w:u w:val="single"/>
        </w:rPr>
        <w:t>5</w:t>
      </w:r>
      <w:r w:rsidRPr="00031FA4">
        <w:rPr>
          <w:rFonts w:asciiTheme="majorHAnsi" w:hAnsiTheme="majorHAnsi"/>
          <w:b/>
          <w:bCs/>
          <w:u w:val="single"/>
        </w:rPr>
        <w:t>:</w:t>
      </w:r>
    </w:p>
    <w:p w14:paraId="31D06336" w14:textId="227ADC05" w:rsidR="00557F76" w:rsidRDefault="00557F76" w:rsidP="00927C31">
      <w:pPr>
        <w:autoSpaceDE w:val="0"/>
        <w:autoSpaceDN w:val="0"/>
        <w:adjustRightInd w:val="0"/>
        <w:spacing w:line="360" w:lineRule="auto"/>
        <w:ind w:hanging="709"/>
        <w:jc w:val="both"/>
      </w:pPr>
    </w:p>
    <w:tbl>
      <w:tblPr>
        <w:tblW w:w="9820" w:type="dxa"/>
        <w:tblInd w:w="-572" w:type="dxa"/>
        <w:tblLook w:val="04A0" w:firstRow="1" w:lastRow="0" w:firstColumn="1" w:lastColumn="0" w:noHBand="0" w:noVBand="1"/>
      </w:tblPr>
      <w:tblGrid>
        <w:gridCol w:w="5260"/>
        <w:gridCol w:w="1480"/>
        <w:gridCol w:w="1700"/>
        <w:gridCol w:w="1380"/>
      </w:tblGrid>
      <w:tr w:rsidR="00557F76" w14:paraId="27C52E4C" w14:textId="77777777" w:rsidTr="00557F76">
        <w:trPr>
          <w:trHeight w:val="450"/>
          <w:tblHeader/>
        </w:trPr>
        <w:tc>
          <w:tcPr>
            <w:tcW w:w="9820" w:type="dxa"/>
            <w:gridSpan w:val="4"/>
            <w:tcBorders>
              <w:top w:val="single" w:sz="4" w:space="0" w:color="auto"/>
              <w:left w:val="single" w:sz="4" w:space="0" w:color="auto"/>
              <w:bottom w:val="single" w:sz="4" w:space="0" w:color="auto"/>
              <w:right w:val="nil"/>
            </w:tcBorders>
            <w:shd w:val="clear" w:color="000000" w:fill="E2EFDA"/>
            <w:vAlign w:val="center"/>
            <w:hideMark/>
          </w:tcPr>
          <w:p w14:paraId="1A396ADC" w14:textId="77777777" w:rsidR="00557F76" w:rsidRDefault="00557F76">
            <w:pPr>
              <w:jc w:val="center"/>
              <w:rPr>
                <w:rFonts w:ascii="Calibri" w:hAnsi="Calibri" w:cs="Calibri"/>
                <w:b/>
                <w:bCs/>
                <w:color w:val="000000"/>
                <w:sz w:val="22"/>
                <w:szCs w:val="22"/>
                <w:lang w:val="en-IN" w:eastAsia="en-IN"/>
              </w:rPr>
            </w:pPr>
            <w:r>
              <w:rPr>
                <w:rFonts w:ascii="Calibri" w:hAnsi="Calibri" w:cs="Calibri"/>
                <w:b/>
                <w:bCs/>
                <w:color w:val="000000"/>
                <w:sz w:val="22"/>
                <w:szCs w:val="22"/>
              </w:rPr>
              <w:t>Statement of Truing up calculation for FY 24-25                                                                                        Rs. In Cr.</w:t>
            </w:r>
          </w:p>
        </w:tc>
      </w:tr>
      <w:tr w:rsidR="00557F76" w14:paraId="225D0751" w14:textId="77777777" w:rsidTr="00557F76">
        <w:trPr>
          <w:trHeight w:val="1200"/>
          <w:tblHeader/>
        </w:trPr>
        <w:tc>
          <w:tcPr>
            <w:tcW w:w="5260" w:type="dxa"/>
            <w:tcBorders>
              <w:top w:val="nil"/>
              <w:left w:val="single" w:sz="4" w:space="0" w:color="auto"/>
              <w:bottom w:val="single" w:sz="4" w:space="0" w:color="auto"/>
              <w:right w:val="single" w:sz="4" w:space="0" w:color="auto"/>
            </w:tcBorders>
            <w:shd w:val="clear" w:color="000000" w:fill="AEAAAA"/>
            <w:vAlign w:val="center"/>
            <w:hideMark/>
          </w:tcPr>
          <w:p w14:paraId="528DF22C"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Expenditure</w:t>
            </w:r>
          </w:p>
        </w:tc>
        <w:tc>
          <w:tcPr>
            <w:tcW w:w="1480" w:type="dxa"/>
            <w:tcBorders>
              <w:top w:val="nil"/>
              <w:left w:val="nil"/>
              <w:bottom w:val="single" w:sz="4" w:space="0" w:color="auto"/>
              <w:right w:val="single" w:sz="4" w:space="0" w:color="auto"/>
            </w:tcBorders>
            <w:shd w:val="clear" w:color="000000" w:fill="FCE4D6"/>
            <w:vAlign w:val="center"/>
            <w:hideMark/>
          </w:tcPr>
          <w:p w14:paraId="2A9076A6"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 xml:space="preserve">OERC Approved in ARR of </w:t>
            </w:r>
            <w:r>
              <w:rPr>
                <w:rFonts w:ascii="Calibri" w:hAnsi="Calibri" w:cs="Calibri"/>
                <w:b/>
                <w:bCs/>
                <w:color w:val="000000"/>
                <w:sz w:val="22"/>
                <w:szCs w:val="22"/>
              </w:rPr>
              <w:br/>
              <w:t>FY 24-25</w:t>
            </w:r>
          </w:p>
        </w:tc>
        <w:tc>
          <w:tcPr>
            <w:tcW w:w="1700" w:type="dxa"/>
            <w:tcBorders>
              <w:top w:val="nil"/>
              <w:left w:val="nil"/>
              <w:bottom w:val="single" w:sz="4" w:space="0" w:color="auto"/>
              <w:right w:val="single" w:sz="4" w:space="0" w:color="auto"/>
            </w:tcBorders>
            <w:shd w:val="clear" w:color="000000" w:fill="B4C6E7"/>
            <w:vAlign w:val="center"/>
            <w:hideMark/>
          </w:tcPr>
          <w:p w14:paraId="03249108"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 xml:space="preserve">TPWODL </w:t>
            </w:r>
            <w:r>
              <w:rPr>
                <w:rFonts w:ascii="Calibri" w:hAnsi="Calibri" w:cs="Calibri"/>
                <w:b/>
                <w:bCs/>
                <w:color w:val="000000"/>
                <w:sz w:val="22"/>
                <w:szCs w:val="22"/>
              </w:rPr>
              <w:br/>
              <w:t xml:space="preserve">FY 24-25 </w:t>
            </w:r>
            <w:r>
              <w:rPr>
                <w:rFonts w:ascii="Calibri" w:hAnsi="Calibri" w:cs="Calibri"/>
                <w:b/>
                <w:bCs/>
                <w:color w:val="000000"/>
                <w:sz w:val="22"/>
                <w:szCs w:val="22"/>
              </w:rPr>
              <w:br/>
              <w:t xml:space="preserve">(Audited - </w:t>
            </w:r>
            <w:r>
              <w:rPr>
                <w:rFonts w:ascii="Calibri" w:hAnsi="Calibri" w:cs="Calibri"/>
                <w:b/>
                <w:bCs/>
                <w:sz w:val="22"/>
                <w:szCs w:val="22"/>
              </w:rPr>
              <w:t>OERC Format</w:t>
            </w:r>
            <w:r>
              <w:rPr>
                <w:rFonts w:ascii="Calibri" w:hAnsi="Calibri" w:cs="Calibri"/>
                <w:b/>
                <w:bCs/>
                <w:color w:val="000000"/>
                <w:sz w:val="22"/>
                <w:szCs w:val="22"/>
              </w:rPr>
              <w:t>)</w:t>
            </w:r>
          </w:p>
        </w:tc>
        <w:tc>
          <w:tcPr>
            <w:tcW w:w="1380" w:type="dxa"/>
            <w:tcBorders>
              <w:top w:val="nil"/>
              <w:left w:val="nil"/>
              <w:bottom w:val="single" w:sz="4" w:space="0" w:color="auto"/>
              <w:right w:val="single" w:sz="4" w:space="0" w:color="auto"/>
            </w:tcBorders>
            <w:shd w:val="clear" w:color="000000" w:fill="FFF2CC"/>
            <w:vAlign w:val="center"/>
            <w:hideMark/>
          </w:tcPr>
          <w:p w14:paraId="2CDC8167" w14:textId="77777777" w:rsidR="00557F76" w:rsidRDefault="00557F76">
            <w:pPr>
              <w:jc w:val="center"/>
              <w:rPr>
                <w:rFonts w:ascii="Calibri" w:hAnsi="Calibri" w:cs="Calibri"/>
                <w:b/>
                <w:bCs/>
                <w:color w:val="000000"/>
                <w:sz w:val="22"/>
                <w:szCs w:val="22"/>
              </w:rPr>
            </w:pPr>
            <w:r>
              <w:rPr>
                <w:rFonts w:ascii="Calibri" w:hAnsi="Calibri" w:cs="Calibri"/>
                <w:b/>
                <w:bCs/>
                <w:color w:val="000000"/>
                <w:sz w:val="22"/>
                <w:szCs w:val="22"/>
              </w:rPr>
              <w:t xml:space="preserve">Considered for True-up </w:t>
            </w:r>
            <w:r>
              <w:rPr>
                <w:rFonts w:ascii="Calibri" w:hAnsi="Calibri" w:cs="Calibri"/>
                <w:b/>
                <w:bCs/>
                <w:color w:val="000000"/>
                <w:sz w:val="22"/>
                <w:szCs w:val="22"/>
              </w:rPr>
              <w:br/>
              <w:t>FY 24-25</w:t>
            </w:r>
          </w:p>
        </w:tc>
      </w:tr>
      <w:tr w:rsidR="00557F76" w14:paraId="7E752E06"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65EE7010" w14:textId="77777777" w:rsidR="00557F76" w:rsidRDefault="00557F76">
            <w:pPr>
              <w:rPr>
                <w:rFonts w:ascii="Calibri" w:hAnsi="Calibri" w:cs="Calibri"/>
                <w:color w:val="000000"/>
                <w:sz w:val="22"/>
                <w:szCs w:val="22"/>
              </w:rPr>
            </w:pPr>
            <w:r>
              <w:rPr>
                <w:rFonts w:ascii="Calibri" w:hAnsi="Calibri" w:cs="Calibri"/>
                <w:color w:val="000000"/>
                <w:sz w:val="22"/>
                <w:szCs w:val="22"/>
              </w:rPr>
              <w:t>Cost of Power Purchase (net of Rebate)</w:t>
            </w:r>
          </w:p>
        </w:tc>
        <w:tc>
          <w:tcPr>
            <w:tcW w:w="1480" w:type="dxa"/>
            <w:tcBorders>
              <w:top w:val="nil"/>
              <w:left w:val="nil"/>
              <w:bottom w:val="single" w:sz="4" w:space="0" w:color="auto"/>
              <w:right w:val="single" w:sz="4" w:space="0" w:color="auto"/>
            </w:tcBorders>
            <w:shd w:val="clear" w:color="auto" w:fill="auto"/>
            <w:vAlign w:val="center"/>
            <w:hideMark/>
          </w:tcPr>
          <w:p w14:paraId="074DF427"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4555.95</w:t>
            </w:r>
          </w:p>
        </w:tc>
        <w:tc>
          <w:tcPr>
            <w:tcW w:w="1700" w:type="dxa"/>
            <w:tcBorders>
              <w:top w:val="nil"/>
              <w:left w:val="nil"/>
              <w:bottom w:val="single" w:sz="4" w:space="0" w:color="auto"/>
              <w:right w:val="single" w:sz="4" w:space="0" w:color="auto"/>
            </w:tcBorders>
            <w:shd w:val="clear" w:color="auto" w:fill="auto"/>
            <w:vAlign w:val="center"/>
            <w:hideMark/>
          </w:tcPr>
          <w:p w14:paraId="549C2394"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4935.93</w:t>
            </w:r>
          </w:p>
        </w:tc>
        <w:tc>
          <w:tcPr>
            <w:tcW w:w="1380" w:type="dxa"/>
            <w:tcBorders>
              <w:top w:val="nil"/>
              <w:left w:val="nil"/>
              <w:bottom w:val="single" w:sz="4" w:space="0" w:color="auto"/>
              <w:right w:val="single" w:sz="4" w:space="0" w:color="auto"/>
            </w:tcBorders>
            <w:shd w:val="clear" w:color="auto" w:fill="auto"/>
            <w:vAlign w:val="center"/>
            <w:hideMark/>
          </w:tcPr>
          <w:p w14:paraId="050DD370"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4956.23</w:t>
            </w:r>
          </w:p>
        </w:tc>
      </w:tr>
      <w:tr w:rsidR="00557F76" w14:paraId="79AAFA69"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7073A12D" w14:textId="77777777" w:rsidR="00557F76" w:rsidRDefault="00557F76">
            <w:pPr>
              <w:rPr>
                <w:rFonts w:ascii="Calibri" w:hAnsi="Calibri" w:cs="Calibri"/>
                <w:color w:val="000000"/>
                <w:sz w:val="22"/>
                <w:szCs w:val="22"/>
              </w:rPr>
            </w:pPr>
            <w:r>
              <w:rPr>
                <w:rFonts w:ascii="Calibri" w:hAnsi="Calibri" w:cs="Calibri"/>
                <w:color w:val="000000"/>
                <w:sz w:val="22"/>
                <w:szCs w:val="22"/>
              </w:rPr>
              <w:t>Transmission Cost</w:t>
            </w:r>
          </w:p>
        </w:tc>
        <w:tc>
          <w:tcPr>
            <w:tcW w:w="1480" w:type="dxa"/>
            <w:tcBorders>
              <w:top w:val="nil"/>
              <w:left w:val="nil"/>
              <w:bottom w:val="single" w:sz="4" w:space="0" w:color="auto"/>
              <w:right w:val="single" w:sz="4" w:space="0" w:color="auto"/>
            </w:tcBorders>
            <w:shd w:val="clear" w:color="auto" w:fill="auto"/>
            <w:vAlign w:val="center"/>
            <w:hideMark/>
          </w:tcPr>
          <w:p w14:paraId="1EFB2513"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286.56</w:t>
            </w:r>
          </w:p>
        </w:tc>
        <w:tc>
          <w:tcPr>
            <w:tcW w:w="1700" w:type="dxa"/>
            <w:tcBorders>
              <w:top w:val="nil"/>
              <w:left w:val="nil"/>
              <w:bottom w:val="single" w:sz="4" w:space="0" w:color="auto"/>
              <w:right w:val="single" w:sz="4" w:space="0" w:color="auto"/>
            </w:tcBorders>
            <w:shd w:val="clear" w:color="auto" w:fill="auto"/>
            <w:vAlign w:val="center"/>
            <w:hideMark/>
          </w:tcPr>
          <w:p w14:paraId="23CA08C5"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276.32</w:t>
            </w:r>
          </w:p>
        </w:tc>
        <w:tc>
          <w:tcPr>
            <w:tcW w:w="1380" w:type="dxa"/>
            <w:tcBorders>
              <w:top w:val="nil"/>
              <w:left w:val="nil"/>
              <w:bottom w:val="single" w:sz="4" w:space="0" w:color="auto"/>
              <w:right w:val="single" w:sz="4" w:space="0" w:color="auto"/>
            </w:tcBorders>
            <w:shd w:val="clear" w:color="auto" w:fill="auto"/>
            <w:vAlign w:val="center"/>
            <w:hideMark/>
          </w:tcPr>
          <w:p w14:paraId="18BF3041"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276.32</w:t>
            </w:r>
          </w:p>
        </w:tc>
      </w:tr>
      <w:tr w:rsidR="00557F76" w14:paraId="69819D2D"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2F559551" w14:textId="77777777" w:rsidR="00557F76" w:rsidRDefault="00557F76">
            <w:pPr>
              <w:rPr>
                <w:rFonts w:ascii="Calibri" w:hAnsi="Calibri" w:cs="Calibri"/>
                <w:color w:val="000000"/>
                <w:sz w:val="22"/>
                <w:szCs w:val="22"/>
              </w:rPr>
            </w:pPr>
            <w:r>
              <w:rPr>
                <w:rFonts w:ascii="Calibri" w:hAnsi="Calibri" w:cs="Calibri"/>
                <w:color w:val="000000"/>
                <w:sz w:val="22"/>
                <w:szCs w:val="22"/>
              </w:rPr>
              <w:t>SLDC Cost</w:t>
            </w:r>
          </w:p>
        </w:tc>
        <w:tc>
          <w:tcPr>
            <w:tcW w:w="1480" w:type="dxa"/>
            <w:tcBorders>
              <w:top w:val="nil"/>
              <w:left w:val="nil"/>
              <w:bottom w:val="single" w:sz="4" w:space="0" w:color="auto"/>
              <w:right w:val="single" w:sz="4" w:space="0" w:color="auto"/>
            </w:tcBorders>
            <w:shd w:val="clear" w:color="auto" w:fill="auto"/>
            <w:vAlign w:val="center"/>
            <w:hideMark/>
          </w:tcPr>
          <w:p w14:paraId="014E11FB"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2.33</w:t>
            </w:r>
          </w:p>
        </w:tc>
        <w:tc>
          <w:tcPr>
            <w:tcW w:w="1700" w:type="dxa"/>
            <w:tcBorders>
              <w:top w:val="nil"/>
              <w:left w:val="nil"/>
              <w:bottom w:val="single" w:sz="4" w:space="0" w:color="auto"/>
              <w:right w:val="single" w:sz="4" w:space="0" w:color="auto"/>
            </w:tcBorders>
            <w:shd w:val="clear" w:color="auto" w:fill="auto"/>
            <w:vAlign w:val="center"/>
            <w:hideMark/>
          </w:tcPr>
          <w:p w14:paraId="2B147D96"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2.34</w:t>
            </w:r>
          </w:p>
        </w:tc>
        <w:tc>
          <w:tcPr>
            <w:tcW w:w="1380" w:type="dxa"/>
            <w:tcBorders>
              <w:top w:val="nil"/>
              <w:left w:val="nil"/>
              <w:bottom w:val="single" w:sz="4" w:space="0" w:color="auto"/>
              <w:right w:val="single" w:sz="4" w:space="0" w:color="auto"/>
            </w:tcBorders>
            <w:shd w:val="clear" w:color="auto" w:fill="auto"/>
            <w:vAlign w:val="center"/>
            <w:hideMark/>
          </w:tcPr>
          <w:p w14:paraId="4C22AE32"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2.34</w:t>
            </w:r>
          </w:p>
        </w:tc>
      </w:tr>
      <w:tr w:rsidR="00557F76" w14:paraId="35D6A8CD"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2C77A3D0"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Total Power Purchase, Transmission &amp; SLDC Cost(A)</w:t>
            </w:r>
          </w:p>
        </w:tc>
        <w:tc>
          <w:tcPr>
            <w:tcW w:w="1480" w:type="dxa"/>
            <w:tcBorders>
              <w:top w:val="nil"/>
              <w:left w:val="nil"/>
              <w:bottom w:val="single" w:sz="4" w:space="0" w:color="auto"/>
              <w:right w:val="single" w:sz="4" w:space="0" w:color="auto"/>
            </w:tcBorders>
            <w:shd w:val="clear" w:color="auto" w:fill="auto"/>
            <w:vAlign w:val="center"/>
            <w:hideMark/>
          </w:tcPr>
          <w:p w14:paraId="04D41B96" w14:textId="77777777" w:rsidR="00557F76" w:rsidRDefault="00557F76">
            <w:pPr>
              <w:jc w:val="right"/>
              <w:rPr>
                <w:rFonts w:ascii="Calibri" w:hAnsi="Calibri" w:cs="Calibri"/>
                <w:b/>
                <w:bCs/>
                <w:color w:val="000000"/>
                <w:sz w:val="22"/>
                <w:szCs w:val="22"/>
              </w:rPr>
            </w:pPr>
            <w:r>
              <w:rPr>
                <w:rFonts w:ascii="Calibri" w:hAnsi="Calibri" w:cs="Calibri"/>
                <w:b/>
                <w:bCs/>
                <w:color w:val="000000"/>
                <w:sz w:val="22"/>
                <w:szCs w:val="22"/>
              </w:rPr>
              <w:t>4844.84</w:t>
            </w:r>
          </w:p>
        </w:tc>
        <w:tc>
          <w:tcPr>
            <w:tcW w:w="1700" w:type="dxa"/>
            <w:tcBorders>
              <w:top w:val="nil"/>
              <w:left w:val="nil"/>
              <w:bottom w:val="single" w:sz="4" w:space="0" w:color="auto"/>
              <w:right w:val="single" w:sz="4" w:space="0" w:color="auto"/>
            </w:tcBorders>
            <w:shd w:val="clear" w:color="auto" w:fill="auto"/>
            <w:vAlign w:val="center"/>
            <w:hideMark/>
          </w:tcPr>
          <w:p w14:paraId="583305BC" w14:textId="77777777" w:rsidR="00557F76" w:rsidRDefault="00557F76">
            <w:pPr>
              <w:jc w:val="right"/>
              <w:rPr>
                <w:rFonts w:ascii="Calibri" w:hAnsi="Calibri" w:cs="Calibri"/>
                <w:b/>
                <w:bCs/>
                <w:color w:val="000000"/>
                <w:sz w:val="22"/>
                <w:szCs w:val="22"/>
              </w:rPr>
            </w:pPr>
            <w:r>
              <w:rPr>
                <w:rFonts w:ascii="Calibri" w:hAnsi="Calibri" w:cs="Calibri"/>
                <w:b/>
                <w:bCs/>
                <w:color w:val="000000"/>
                <w:sz w:val="22"/>
                <w:szCs w:val="22"/>
              </w:rPr>
              <w:t>5214.59</w:t>
            </w:r>
          </w:p>
        </w:tc>
        <w:tc>
          <w:tcPr>
            <w:tcW w:w="1380" w:type="dxa"/>
            <w:tcBorders>
              <w:top w:val="nil"/>
              <w:left w:val="nil"/>
              <w:bottom w:val="single" w:sz="4" w:space="0" w:color="auto"/>
              <w:right w:val="single" w:sz="4" w:space="0" w:color="auto"/>
            </w:tcBorders>
            <w:shd w:val="clear" w:color="auto" w:fill="auto"/>
            <w:vAlign w:val="center"/>
            <w:hideMark/>
          </w:tcPr>
          <w:p w14:paraId="386FD8A3" w14:textId="77777777" w:rsidR="00557F76" w:rsidRDefault="00557F76">
            <w:pPr>
              <w:jc w:val="right"/>
              <w:rPr>
                <w:rFonts w:ascii="Calibri" w:hAnsi="Calibri" w:cs="Calibri"/>
                <w:b/>
                <w:bCs/>
                <w:sz w:val="22"/>
                <w:szCs w:val="22"/>
              </w:rPr>
            </w:pPr>
            <w:r>
              <w:rPr>
                <w:rFonts w:ascii="Calibri" w:hAnsi="Calibri" w:cs="Calibri"/>
                <w:b/>
                <w:bCs/>
                <w:sz w:val="22"/>
                <w:szCs w:val="22"/>
              </w:rPr>
              <w:t>5234.88</w:t>
            </w:r>
          </w:p>
        </w:tc>
      </w:tr>
      <w:tr w:rsidR="00557F76" w14:paraId="54597DE7"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0716942C" w14:textId="77777777" w:rsidR="00557F76" w:rsidRDefault="00557F76">
            <w:pPr>
              <w:rPr>
                <w:rFonts w:ascii="Calibri" w:hAnsi="Calibri" w:cs="Calibri"/>
                <w:color w:val="000000"/>
                <w:sz w:val="22"/>
                <w:szCs w:val="22"/>
              </w:rPr>
            </w:pPr>
            <w:r>
              <w:rPr>
                <w:rFonts w:ascii="Calibri" w:hAnsi="Calibri" w:cs="Calibri"/>
                <w:color w:val="000000"/>
                <w:sz w:val="22"/>
                <w:szCs w:val="22"/>
              </w:rPr>
              <w:t>Employee Cost</w:t>
            </w:r>
          </w:p>
        </w:tc>
        <w:tc>
          <w:tcPr>
            <w:tcW w:w="1480" w:type="dxa"/>
            <w:tcBorders>
              <w:top w:val="nil"/>
              <w:left w:val="nil"/>
              <w:bottom w:val="single" w:sz="4" w:space="0" w:color="auto"/>
              <w:right w:val="single" w:sz="4" w:space="0" w:color="auto"/>
            </w:tcBorders>
            <w:shd w:val="clear" w:color="auto" w:fill="auto"/>
            <w:vAlign w:val="center"/>
            <w:hideMark/>
          </w:tcPr>
          <w:p w14:paraId="083F0B58"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543.75</w:t>
            </w:r>
          </w:p>
        </w:tc>
        <w:tc>
          <w:tcPr>
            <w:tcW w:w="1700" w:type="dxa"/>
            <w:tcBorders>
              <w:top w:val="nil"/>
              <w:left w:val="nil"/>
              <w:bottom w:val="single" w:sz="4" w:space="0" w:color="auto"/>
              <w:right w:val="single" w:sz="4" w:space="0" w:color="auto"/>
            </w:tcBorders>
            <w:shd w:val="clear" w:color="auto" w:fill="auto"/>
            <w:vAlign w:val="center"/>
            <w:hideMark/>
          </w:tcPr>
          <w:p w14:paraId="75A2DAA6"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563.14</w:t>
            </w:r>
          </w:p>
        </w:tc>
        <w:tc>
          <w:tcPr>
            <w:tcW w:w="1380" w:type="dxa"/>
            <w:tcBorders>
              <w:top w:val="nil"/>
              <w:left w:val="nil"/>
              <w:bottom w:val="single" w:sz="4" w:space="0" w:color="auto"/>
              <w:right w:val="single" w:sz="4" w:space="0" w:color="auto"/>
            </w:tcBorders>
            <w:shd w:val="clear" w:color="auto" w:fill="auto"/>
            <w:vAlign w:val="center"/>
            <w:hideMark/>
          </w:tcPr>
          <w:p w14:paraId="03AB0E8A" w14:textId="77777777" w:rsidR="00557F76" w:rsidRDefault="00557F76">
            <w:pPr>
              <w:jc w:val="right"/>
              <w:rPr>
                <w:rFonts w:ascii="Calibri" w:hAnsi="Calibri" w:cs="Calibri"/>
                <w:sz w:val="22"/>
                <w:szCs w:val="22"/>
              </w:rPr>
            </w:pPr>
            <w:r>
              <w:rPr>
                <w:rFonts w:ascii="Calibri" w:hAnsi="Calibri" w:cs="Calibri"/>
                <w:sz w:val="22"/>
                <w:szCs w:val="22"/>
              </w:rPr>
              <w:t>563.14</w:t>
            </w:r>
          </w:p>
        </w:tc>
      </w:tr>
      <w:tr w:rsidR="00557F76" w14:paraId="519C3491"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083FE27C" w14:textId="77777777" w:rsidR="00557F76" w:rsidRDefault="00557F76">
            <w:pPr>
              <w:rPr>
                <w:rFonts w:ascii="Calibri" w:hAnsi="Calibri" w:cs="Calibri"/>
                <w:color w:val="000000"/>
                <w:sz w:val="22"/>
                <w:szCs w:val="22"/>
              </w:rPr>
            </w:pPr>
            <w:r>
              <w:rPr>
                <w:rFonts w:ascii="Calibri" w:hAnsi="Calibri" w:cs="Calibri"/>
                <w:color w:val="000000"/>
                <w:sz w:val="22"/>
                <w:szCs w:val="22"/>
              </w:rPr>
              <w:t>Repair &amp; Maintenance</w:t>
            </w:r>
          </w:p>
        </w:tc>
        <w:tc>
          <w:tcPr>
            <w:tcW w:w="1480" w:type="dxa"/>
            <w:tcBorders>
              <w:top w:val="nil"/>
              <w:left w:val="nil"/>
              <w:bottom w:val="single" w:sz="4" w:space="0" w:color="auto"/>
              <w:right w:val="single" w:sz="4" w:space="0" w:color="auto"/>
            </w:tcBorders>
            <w:shd w:val="clear" w:color="auto" w:fill="auto"/>
            <w:vAlign w:val="center"/>
            <w:hideMark/>
          </w:tcPr>
          <w:p w14:paraId="15E0612D"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244.24</w:t>
            </w:r>
          </w:p>
        </w:tc>
        <w:tc>
          <w:tcPr>
            <w:tcW w:w="1700" w:type="dxa"/>
            <w:tcBorders>
              <w:top w:val="nil"/>
              <w:left w:val="nil"/>
              <w:bottom w:val="single" w:sz="4" w:space="0" w:color="auto"/>
              <w:right w:val="single" w:sz="4" w:space="0" w:color="auto"/>
            </w:tcBorders>
            <w:shd w:val="clear" w:color="auto" w:fill="auto"/>
            <w:vAlign w:val="center"/>
            <w:hideMark/>
          </w:tcPr>
          <w:p w14:paraId="5BFCC2AE"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296.11</w:t>
            </w:r>
          </w:p>
        </w:tc>
        <w:tc>
          <w:tcPr>
            <w:tcW w:w="1380" w:type="dxa"/>
            <w:tcBorders>
              <w:top w:val="nil"/>
              <w:left w:val="nil"/>
              <w:bottom w:val="single" w:sz="4" w:space="0" w:color="auto"/>
              <w:right w:val="single" w:sz="4" w:space="0" w:color="auto"/>
            </w:tcBorders>
            <w:shd w:val="clear" w:color="auto" w:fill="auto"/>
            <w:vAlign w:val="center"/>
            <w:hideMark/>
          </w:tcPr>
          <w:p w14:paraId="0AC5640E" w14:textId="77777777" w:rsidR="00557F76" w:rsidRDefault="00557F76">
            <w:pPr>
              <w:jc w:val="right"/>
              <w:rPr>
                <w:rFonts w:ascii="Calibri" w:hAnsi="Calibri" w:cs="Calibri"/>
                <w:sz w:val="22"/>
                <w:szCs w:val="22"/>
              </w:rPr>
            </w:pPr>
            <w:r>
              <w:rPr>
                <w:rFonts w:ascii="Calibri" w:hAnsi="Calibri" w:cs="Calibri"/>
                <w:sz w:val="22"/>
                <w:szCs w:val="22"/>
              </w:rPr>
              <w:t>296.11</w:t>
            </w:r>
          </w:p>
        </w:tc>
      </w:tr>
      <w:tr w:rsidR="00557F76" w14:paraId="4757A27D"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70998374" w14:textId="77777777" w:rsidR="00557F76" w:rsidRDefault="00557F76">
            <w:pPr>
              <w:rPr>
                <w:rFonts w:ascii="Calibri" w:hAnsi="Calibri" w:cs="Calibri"/>
                <w:color w:val="000000"/>
                <w:sz w:val="22"/>
                <w:szCs w:val="22"/>
              </w:rPr>
            </w:pPr>
            <w:r>
              <w:rPr>
                <w:rFonts w:ascii="Calibri" w:hAnsi="Calibri" w:cs="Calibri"/>
                <w:color w:val="000000"/>
                <w:sz w:val="22"/>
                <w:szCs w:val="22"/>
              </w:rPr>
              <w:t>Administrative and General Expenses</w:t>
            </w:r>
          </w:p>
        </w:tc>
        <w:tc>
          <w:tcPr>
            <w:tcW w:w="1480" w:type="dxa"/>
            <w:tcBorders>
              <w:top w:val="nil"/>
              <w:left w:val="nil"/>
              <w:bottom w:val="single" w:sz="4" w:space="0" w:color="auto"/>
              <w:right w:val="single" w:sz="4" w:space="0" w:color="auto"/>
            </w:tcBorders>
            <w:shd w:val="clear" w:color="auto" w:fill="auto"/>
            <w:vAlign w:val="center"/>
            <w:hideMark/>
          </w:tcPr>
          <w:p w14:paraId="4C54DEBE"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169.19</w:t>
            </w:r>
          </w:p>
        </w:tc>
        <w:tc>
          <w:tcPr>
            <w:tcW w:w="1700" w:type="dxa"/>
            <w:tcBorders>
              <w:top w:val="nil"/>
              <w:left w:val="nil"/>
              <w:bottom w:val="single" w:sz="4" w:space="0" w:color="auto"/>
              <w:right w:val="single" w:sz="4" w:space="0" w:color="auto"/>
            </w:tcBorders>
            <w:shd w:val="clear" w:color="auto" w:fill="auto"/>
            <w:vAlign w:val="center"/>
            <w:hideMark/>
          </w:tcPr>
          <w:p w14:paraId="6EF2048C"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231.02</w:t>
            </w:r>
          </w:p>
        </w:tc>
        <w:tc>
          <w:tcPr>
            <w:tcW w:w="1380" w:type="dxa"/>
            <w:tcBorders>
              <w:top w:val="nil"/>
              <w:left w:val="nil"/>
              <w:bottom w:val="single" w:sz="4" w:space="0" w:color="auto"/>
              <w:right w:val="single" w:sz="4" w:space="0" w:color="auto"/>
            </w:tcBorders>
            <w:shd w:val="clear" w:color="auto" w:fill="auto"/>
            <w:vAlign w:val="center"/>
            <w:hideMark/>
          </w:tcPr>
          <w:p w14:paraId="55A573C8" w14:textId="77777777" w:rsidR="00557F76" w:rsidRDefault="00557F76">
            <w:pPr>
              <w:jc w:val="right"/>
              <w:rPr>
                <w:rFonts w:ascii="Calibri" w:hAnsi="Calibri" w:cs="Calibri"/>
                <w:sz w:val="22"/>
                <w:szCs w:val="22"/>
              </w:rPr>
            </w:pPr>
            <w:r>
              <w:rPr>
                <w:rFonts w:ascii="Calibri" w:hAnsi="Calibri" w:cs="Calibri"/>
                <w:sz w:val="22"/>
                <w:szCs w:val="22"/>
              </w:rPr>
              <w:t>235.65</w:t>
            </w:r>
          </w:p>
        </w:tc>
      </w:tr>
      <w:tr w:rsidR="00557F76" w14:paraId="416FB05A"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08015F4B" w14:textId="77777777" w:rsidR="00557F76" w:rsidRDefault="00557F76">
            <w:pPr>
              <w:rPr>
                <w:rFonts w:ascii="Calibri" w:hAnsi="Calibri" w:cs="Calibri"/>
                <w:color w:val="000000"/>
                <w:sz w:val="22"/>
                <w:szCs w:val="22"/>
              </w:rPr>
            </w:pPr>
            <w:r>
              <w:rPr>
                <w:rFonts w:ascii="Calibri" w:hAnsi="Calibri" w:cs="Calibri"/>
                <w:color w:val="000000"/>
                <w:sz w:val="22"/>
                <w:szCs w:val="22"/>
              </w:rPr>
              <w:t>Provision for Bad &amp; Doubtful Debts</w:t>
            </w:r>
          </w:p>
        </w:tc>
        <w:tc>
          <w:tcPr>
            <w:tcW w:w="1480" w:type="dxa"/>
            <w:tcBorders>
              <w:top w:val="nil"/>
              <w:left w:val="nil"/>
              <w:bottom w:val="single" w:sz="4" w:space="0" w:color="auto"/>
              <w:right w:val="single" w:sz="4" w:space="0" w:color="auto"/>
            </w:tcBorders>
            <w:shd w:val="clear" w:color="auto" w:fill="auto"/>
            <w:vAlign w:val="center"/>
            <w:hideMark/>
          </w:tcPr>
          <w:p w14:paraId="37B17778"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57.39</w:t>
            </w:r>
          </w:p>
        </w:tc>
        <w:tc>
          <w:tcPr>
            <w:tcW w:w="1700" w:type="dxa"/>
            <w:tcBorders>
              <w:top w:val="nil"/>
              <w:left w:val="nil"/>
              <w:bottom w:val="single" w:sz="4" w:space="0" w:color="auto"/>
              <w:right w:val="single" w:sz="4" w:space="0" w:color="auto"/>
            </w:tcBorders>
            <w:shd w:val="clear" w:color="auto" w:fill="auto"/>
            <w:vAlign w:val="center"/>
            <w:hideMark/>
          </w:tcPr>
          <w:p w14:paraId="2E410B6A"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187.96</w:t>
            </w:r>
          </w:p>
        </w:tc>
        <w:tc>
          <w:tcPr>
            <w:tcW w:w="1380" w:type="dxa"/>
            <w:tcBorders>
              <w:top w:val="nil"/>
              <w:left w:val="nil"/>
              <w:bottom w:val="single" w:sz="4" w:space="0" w:color="auto"/>
              <w:right w:val="single" w:sz="4" w:space="0" w:color="auto"/>
            </w:tcBorders>
            <w:shd w:val="clear" w:color="auto" w:fill="auto"/>
            <w:vAlign w:val="center"/>
            <w:hideMark/>
          </w:tcPr>
          <w:p w14:paraId="105FACAA" w14:textId="77777777" w:rsidR="00557F76" w:rsidRDefault="00557F76">
            <w:pPr>
              <w:jc w:val="right"/>
              <w:rPr>
                <w:rFonts w:ascii="Calibri" w:hAnsi="Calibri" w:cs="Calibri"/>
                <w:sz w:val="22"/>
                <w:szCs w:val="22"/>
              </w:rPr>
            </w:pPr>
            <w:r>
              <w:rPr>
                <w:rFonts w:ascii="Calibri" w:hAnsi="Calibri" w:cs="Calibri"/>
                <w:sz w:val="22"/>
                <w:szCs w:val="22"/>
              </w:rPr>
              <w:t>59.46</w:t>
            </w:r>
          </w:p>
        </w:tc>
      </w:tr>
      <w:tr w:rsidR="00557F76" w14:paraId="12BE9CAB"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74CD482E" w14:textId="77777777" w:rsidR="00557F76" w:rsidRDefault="00557F76">
            <w:pPr>
              <w:rPr>
                <w:rFonts w:ascii="Calibri" w:hAnsi="Calibri" w:cs="Calibri"/>
                <w:color w:val="000000"/>
                <w:sz w:val="22"/>
                <w:szCs w:val="22"/>
              </w:rPr>
            </w:pPr>
            <w:r>
              <w:rPr>
                <w:rFonts w:ascii="Calibri" w:hAnsi="Calibri" w:cs="Calibri"/>
                <w:color w:val="000000"/>
                <w:sz w:val="22"/>
                <w:szCs w:val="22"/>
              </w:rPr>
              <w:t>Depreciation</w:t>
            </w:r>
          </w:p>
        </w:tc>
        <w:tc>
          <w:tcPr>
            <w:tcW w:w="1480" w:type="dxa"/>
            <w:tcBorders>
              <w:top w:val="nil"/>
              <w:left w:val="nil"/>
              <w:bottom w:val="single" w:sz="4" w:space="0" w:color="auto"/>
              <w:right w:val="single" w:sz="4" w:space="0" w:color="auto"/>
            </w:tcBorders>
            <w:shd w:val="clear" w:color="auto" w:fill="auto"/>
            <w:vAlign w:val="center"/>
            <w:hideMark/>
          </w:tcPr>
          <w:p w14:paraId="0257049A"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82.35</w:t>
            </w:r>
          </w:p>
        </w:tc>
        <w:tc>
          <w:tcPr>
            <w:tcW w:w="1700" w:type="dxa"/>
            <w:tcBorders>
              <w:top w:val="nil"/>
              <w:left w:val="nil"/>
              <w:bottom w:val="single" w:sz="4" w:space="0" w:color="auto"/>
              <w:right w:val="single" w:sz="4" w:space="0" w:color="auto"/>
            </w:tcBorders>
            <w:shd w:val="clear" w:color="auto" w:fill="auto"/>
            <w:vAlign w:val="center"/>
            <w:hideMark/>
          </w:tcPr>
          <w:p w14:paraId="5F582D09"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160.27</w:t>
            </w:r>
          </w:p>
        </w:tc>
        <w:tc>
          <w:tcPr>
            <w:tcW w:w="1380" w:type="dxa"/>
            <w:tcBorders>
              <w:top w:val="nil"/>
              <w:left w:val="nil"/>
              <w:bottom w:val="single" w:sz="4" w:space="0" w:color="auto"/>
              <w:right w:val="single" w:sz="4" w:space="0" w:color="auto"/>
            </w:tcBorders>
            <w:shd w:val="clear" w:color="auto" w:fill="auto"/>
            <w:vAlign w:val="center"/>
            <w:hideMark/>
          </w:tcPr>
          <w:p w14:paraId="54C488BD" w14:textId="77777777" w:rsidR="00557F76" w:rsidRDefault="00557F76">
            <w:pPr>
              <w:jc w:val="right"/>
              <w:rPr>
                <w:rFonts w:ascii="Calibri" w:hAnsi="Calibri" w:cs="Calibri"/>
                <w:sz w:val="22"/>
                <w:szCs w:val="22"/>
              </w:rPr>
            </w:pPr>
            <w:r>
              <w:rPr>
                <w:rFonts w:ascii="Calibri" w:hAnsi="Calibri" w:cs="Calibri"/>
                <w:sz w:val="22"/>
                <w:szCs w:val="22"/>
              </w:rPr>
              <w:t>124.72</w:t>
            </w:r>
          </w:p>
        </w:tc>
      </w:tr>
      <w:tr w:rsidR="00557F76" w14:paraId="6F63F7C5"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358D1614" w14:textId="77777777" w:rsidR="00557F76" w:rsidRDefault="00557F76">
            <w:pPr>
              <w:rPr>
                <w:rFonts w:ascii="Calibri" w:hAnsi="Calibri" w:cs="Calibri"/>
                <w:color w:val="000000"/>
                <w:sz w:val="22"/>
                <w:szCs w:val="22"/>
              </w:rPr>
            </w:pPr>
            <w:r>
              <w:rPr>
                <w:rFonts w:ascii="Calibri" w:hAnsi="Calibri" w:cs="Calibri"/>
                <w:color w:val="000000"/>
                <w:sz w:val="22"/>
                <w:szCs w:val="22"/>
              </w:rPr>
              <w:t>Interest on Consumer Security Deposit</w:t>
            </w:r>
          </w:p>
        </w:tc>
        <w:tc>
          <w:tcPr>
            <w:tcW w:w="1480" w:type="dxa"/>
            <w:tcBorders>
              <w:top w:val="nil"/>
              <w:left w:val="nil"/>
              <w:bottom w:val="single" w:sz="4" w:space="0" w:color="auto"/>
              <w:right w:val="single" w:sz="4" w:space="0" w:color="auto"/>
            </w:tcBorders>
            <w:shd w:val="clear" w:color="auto" w:fill="auto"/>
            <w:vAlign w:val="center"/>
            <w:hideMark/>
          </w:tcPr>
          <w:p w14:paraId="0094BB76"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83.70</w:t>
            </w:r>
          </w:p>
        </w:tc>
        <w:tc>
          <w:tcPr>
            <w:tcW w:w="1700" w:type="dxa"/>
            <w:tcBorders>
              <w:top w:val="nil"/>
              <w:left w:val="nil"/>
              <w:bottom w:val="single" w:sz="4" w:space="0" w:color="auto"/>
              <w:right w:val="single" w:sz="4" w:space="0" w:color="auto"/>
            </w:tcBorders>
            <w:shd w:val="clear" w:color="auto" w:fill="auto"/>
            <w:vAlign w:val="center"/>
            <w:hideMark/>
          </w:tcPr>
          <w:p w14:paraId="64E84833"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79.91</w:t>
            </w:r>
          </w:p>
        </w:tc>
        <w:tc>
          <w:tcPr>
            <w:tcW w:w="1380" w:type="dxa"/>
            <w:tcBorders>
              <w:top w:val="nil"/>
              <w:left w:val="nil"/>
              <w:bottom w:val="single" w:sz="4" w:space="0" w:color="auto"/>
              <w:right w:val="single" w:sz="4" w:space="0" w:color="auto"/>
            </w:tcBorders>
            <w:shd w:val="clear" w:color="auto" w:fill="auto"/>
            <w:vAlign w:val="center"/>
            <w:hideMark/>
          </w:tcPr>
          <w:p w14:paraId="3E26BE6C" w14:textId="77777777" w:rsidR="00557F76" w:rsidRDefault="00557F76">
            <w:pPr>
              <w:jc w:val="right"/>
              <w:rPr>
                <w:rFonts w:ascii="Calibri" w:hAnsi="Calibri" w:cs="Calibri"/>
                <w:sz w:val="22"/>
                <w:szCs w:val="22"/>
              </w:rPr>
            </w:pPr>
            <w:r>
              <w:rPr>
                <w:rFonts w:ascii="Calibri" w:hAnsi="Calibri" w:cs="Calibri"/>
                <w:sz w:val="22"/>
                <w:szCs w:val="22"/>
              </w:rPr>
              <w:t>79.91</w:t>
            </w:r>
          </w:p>
        </w:tc>
      </w:tr>
      <w:tr w:rsidR="00557F76" w14:paraId="190AE5F9"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692525CB" w14:textId="77777777" w:rsidR="00557F76" w:rsidRDefault="00557F76">
            <w:pPr>
              <w:rPr>
                <w:rFonts w:ascii="Calibri" w:hAnsi="Calibri" w:cs="Calibri"/>
                <w:color w:val="000000"/>
                <w:sz w:val="22"/>
                <w:szCs w:val="22"/>
              </w:rPr>
            </w:pPr>
            <w:r>
              <w:rPr>
                <w:rFonts w:ascii="Calibri" w:hAnsi="Calibri" w:cs="Calibri"/>
                <w:color w:val="000000"/>
                <w:sz w:val="22"/>
                <w:szCs w:val="22"/>
              </w:rPr>
              <w:t>Interest on Working Capital</w:t>
            </w:r>
          </w:p>
        </w:tc>
        <w:tc>
          <w:tcPr>
            <w:tcW w:w="1480" w:type="dxa"/>
            <w:tcBorders>
              <w:top w:val="nil"/>
              <w:left w:val="nil"/>
              <w:bottom w:val="single" w:sz="4" w:space="0" w:color="auto"/>
              <w:right w:val="single" w:sz="4" w:space="0" w:color="auto"/>
            </w:tcBorders>
            <w:shd w:val="clear" w:color="auto" w:fill="auto"/>
            <w:vAlign w:val="center"/>
            <w:hideMark/>
          </w:tcPr>
          <w:p w14:paraId="5127C5DF"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50.40</w:t>
            </w:r>
          </w:p>
        </w:tc>
        <w:tc>
          <w:tcPr>
            <w:tcW w:w="1700" w:type="dxa"/>
            <w:tcBorders>
              <w:top w:val="nil"/>
              <w:left w:val="nil"/>
              <w:bottom w:val="single" w:sz="4" w:space="0" w:color="auto"/>
              <w:right w:val="single" w:sz="4" w:space="0" w:color="auto"/>
            </w:tcBorders>
            <w:shd w:val="clear" w:color="auto" w:fill="auto"/>
            <w:vAlign w:val="center"/>
            <w:hideMark/>
          </w:tcPr>
          <w:p w14:paraId="7DDECFC7"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6.03</w:t>
            </w:r>
          </w:p>
        </w:tc>
        <w:tc>
          <w:tcPr>
            <w:tcW w:w="1380" w:type="dxa"/>
            <w:tcBorders>
              <w:top w:val="nil"/>
              <w:left w:val="nil"/>
              <w:bottom w:val="single" w:sz="4" w:space="0" w:color="auto"/>
              <w:right w:val="single" w:sz="4" w:space="0" w:color="auto"/>
            </w:tcBorders>
            <w:shd w:val="clear" w:color="auto" w:fill="auto"/>
            <w:vAlign w:val="center"/>
            <w:hideMark/>
          </w:tcPr>
          <w:p w14:paraId="67D60857" w14:textId="77777777" w:rsidR="00557F76" w:rsidRDefault="00557F76">
            <w:pPr>
              <w:jc w:val="right"/>
              <w:rPr>
                <w:rFonts w:ascii="Calibri" w:hAnsi="Calibri" w:cs="Calibri"/>
                <w:sz w:val="22"/>
                <w:szCs w:val="22"/>
              </w:rPr>
            </w:pPr>
            <w:r>
              <w:rPr>
                <w:rFonts w:ascii="Calibri" w:hAnsi="Calibri" w:cs="Calibri"/>
                <w:sz w:val="22"/>
                <w:szCs w:val="22"/>
              </w:rPr>
              <w:t>18.11</w:t>
            </w:r>
          </w:p>
        </w:tc>
      </w:tr>
      <w:tr w:rsidR="00557F76" w14:paraId="50AC4A2A"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5225384E" w14:textId="77777777" w:rsidR="00557F76" w:rsidRDefault="00557F76">
            <w:pPr>
              <w:rPr>
                <w:rFonts w:ascii="Calibri" w:hAnsi="Calibri" w:cs="Calibri"/>
                <w:color w:val="000000"/>
                <w:sz w:val="22"/>
                <w:szCs w:val="22"/>
              </w:rPr>
            </w:pPr>
            <w:r>
              <w:rPr>
                <w:rFonts w:ascii="Calibri" w:hAnsi="Calibri" w:cs="Calibri"/>
                <w:color w:val="000000"/>
                <w:sz w:val="22"/>
                <w:szCs w:val="22"/>
              </w:rPr>
              <w:t xml:space="preserve">Interest on long term loan </w:t>
            </w:r>
          </w:p>
        </w:tc>
        <w:tc>
          <w:tcPr>
            <w:tcW w:w="1480" w:type="dxa"/>
            <w:tcBorders>
              <w:top w:val="nil"/>
              <w:left w:val="nil"/>
              <w:bottom w:val="single" w:sz="4" w:space="0" w:color="auto"/>
              <w:right w:val="single" w:sz="4" w:space="0" w:color="auto"/>
            </w:tcBorders>
            <w:shd w:val="clear" w:color="auto" w:fill="auto"/>
            <w:vAlign w:val="center"/>
            <w:hideMark/>
          </w:tcPr>
          <w:p w14:paraId="78EDE0AC"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55.95</w:t>
            </w:r>
          </w:p>
        </w:tc>
        <w:tc>
          <w:tcPr>
            <w:tcW w:w="1700" w:type="dxa"/>
            <w:tcBorders>
              <w:top w:val="nil"/>
              <w:left w:val="nil"/>
              <w:bottom w:val="single" w:sz="4" w:space="0" w:color="auto"/>
              <w:right w:val="single" w:sz="4" w:space="0" w:color="auto"/>
            </w:tcBorders>
            <w:shd w:val="clear" w:color="auto" w:fill="auto"/>
            <w:vAlign w:val="center"/>
            <w:hideMark/>
          </w:tcPr>
          <w:p w14:paraId="58D12C9B"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55.97</w:t>
            </w:r>
          </w:p>
        </w:tc>
        <w:tc>
          <w:tcPr>
            <w:tcW w:w="1380" w:type="dxa"/>
            <w:tcBorders>
              <w:top w:val="nil"/>
              <w:left w:val="nil"/>
              <w:bottom w:val="single" w:sz="4" w:space="0" w:color="auto"/>
              <w:right w:val="single" w:sz="4" w:space="0" w:color="auto"/>
            </w:tcBorders>
            <w:shd w:val="clear" w:color="auto" w:fill="auto"/>
            <w:vAlign w:val="center"/>
            <w:hideMark/>
          </w:tcPr>
          <w:p w14:paraId="6BA9158A" w14:textId="77777777" w:rsidR="00557F76" w:rsidRDefault="00557F76">
            <w:pPr>
              <w:jc w:val="right"/>
              <w:rPr>
                <w:rFonts w:ascii="Calibri" w:hAnsi="Calibri" w:cs="Calibri"/>
                <w:sz w:val="22"/>
                <w:szCs w:val="22"/>
              </w:rPr>
            </w:pPr>
            <w:r>
              <w:rPr>
                <w:rFonts w:ascii="Calibri" w:hAnsi="Calibri" w:cs="Calibri"/>
                <w:sz w:val="22"/>
                <w:szCs w:val="22"/>
              </w:rPr>
              <w:t>76.47</w:t>
            </w:r>
          </w:p>
        </w:tc>
      </w:tr>
      <w:tr w:rsidR="00557F76" w14:paraId="3FD709BF" w14:textId="77777777" w:rsidTr="00557F76">
        <w:trPr>
          <w:trHeight w:val="300"/>
        </w:trPr>
        <w:tc>
          <w:tcPr>
            <w:tcW w:w="5260" w:type="dxa"/>
            <w:tcBorders>
              <w:top w:val="nil"/>
              <w:left w:val="single" w:sz="4" w:space="0" w:color="auto"/>
              <w:bottom w:val="single" w:sz="4" w:space="0" w:color="auto"/>
              <w:right w:val="single" w:sz="4" w:space="0" w:color="auto"/>
            </w:tcBorders>
            <w:shd w:val="clear" w:color="auto" w:fill="auto"/>
            <w:vAlign w:val="center"/>
            <w:hideMark/>
          </w:tcPr>
          <w:p w14:paraId="7CA610FC"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Efficiency Gain to be shared:</w:t>
            </w:r>
          </w:p>
        </w:tc>
        <w:tc>
          <w:tcPr>
            <w:tcW w:w="1480" w:type="dxa"/>
            <w:tcBorders>
              <w:top w:val="nil"/>
              <w:left w:val="nil"/>
              <w:bottom w:val="single" w:sz="4" w:space="0" w:color="auto"/>
              <w:right w:val="single" w:sz="4" w:space="0" w:color="auto"/>
            </w:tcBorders>
            <w:shd w:val="clear" w:color="auto" w:fill="auto"/>
            <w:vAlign w:val="center"/>
            <w:hideMark/>
          </w:tcPr>
          <w:p w14:paraId="09E68AB0"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 </w:t>
            </w:r>
          </w:p>
        </w:tc>
        <w:tc>
          <w:tcPr>
            <w:tcW w:w="1700" w:type="dxa"/>
            <w:tcBorders>
              <w:top w:val="nil"/>
              <w:left w:val="nil"/>
              <w:bottom w:val="single" w:sz="4" w:space="0" w:color="auto"/>
              <w:right w:val="single" w:sz="4" w:space="0" w:color="auto"/>
            </w:tcBorders>
            <w:shd w:val="clear" w:color="auto" w:fill="auto"/>
            <w:vAlign w:val="center"/>
            <w:hideMark/>
          </w:tcPr>
          <w:p w14:paraId="6C632E38"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4" w:space="0" w:color="auto"/>
              <w:right w:val="single" w:sz="4" w:space="0" w:color="auto"/>
            </w:tcBorders>
            <w:shd w:val="clear" w:color="auto" w:fill="auto"/>
            <w:vAlign w:val="center"/>
            <w:hideMark/>
          </w:tcPr>
          <w:p w14:paraId="33F10199" w14:textId="77777777" w:rsidR="00557F76" w:rsidRDefault="00557F76">
            <w:pPr>
              <w:jc w:val="right"/>
              <w:rPr>
                <w:rFonts w:ascii="Calibri" w:hAnsi="Calibri" w:cs="Calibri"/>
                <w:sz w:val="22"/>
                <w:szCs w:val="22"/>
              </w:rPr>
            </w:pPr>
            <w:r>
              <w:rPr>
                <w:rFonts w:ascii="Calibri" w:hAnsi="Calibri" w:cs="Calibri"/>
                <w:sz w:val="22"/>
                <w:szCs w:val="22"/>
              </w:rPr>
              <w:t> </w:t>
            </w:r>
          </w:p>
        </w:tc>
      </w:tr>
      <w:tr w:rsidR="00557F76" w14:paraId="757AF24B" w14:textId="77777777" w:rsidTr="00557F76">
        <w:trPr>
          <w:trHeight w:val="300"/>
        </w:trPr>
        <w:tc>
          <w:tcPr>
            <w:tcW w:w="5260" w:type="dxa"/>
            <w:tcBorders>
              <w:top w:val="nil"/>
              <w:left w:val="single" w:sz="4" w:space="0" w:color="auto"/>
              <w:bottom w:val="single" w:sz="4" w:space="0" w:color="auto"/>
              <w:right w:val="single" w:sz="4" w:space="0" w:color="auto"/>
            </w:tcBorders>
            <w:shd w:val="clear" w:color="auto" w:fill="auto"/>
            <w:vAlign w:val="center"/>
            <w:hideMark/>
          </w:tcPr>
          <w:p w14:paraId="379DC2F2" w14:textId="77777777" w:rsidR="00557F76" w:rsidRDefault="00557F76">
            <w:pPr>
              <w:rPr>
                <w:rFonts w:ascii="Calibri" w:hAnsi="Calibri" w:cs="Calibri"/>
                <w:color w:val="000000"/>
                <w:sz w:val="22"/>
                <w:szCs w:val="22"/>
              </w:rPr>
            </w:pPr>
            <w:r>
              <w:rPr>
                <w:rFonts w:ascii="Calibri" w:hAnsi="Calibri" w:cs="Calibri"/>
                <w:color w:val="000000"/>
                <w:sz w:val="22"/>
                <w:szCs w:val="22"/>
              </w:rPr>
              <w:t>Add-1/3rd to be declared as Dividend /Equity</w:t>
            </w:r>
          </w:p>
        </w:tc>
        <w:tc>
          <w:tcPr>
            <w:tcW w:w="1480" w:type="dxa"/>
            <w:tcBorders>
              <w:top w:val="nil"/>
              <w:left w:val="nil"/>
              <w:bottom w:val="single" w:sz="4" w:space="0" w:color="auto"/>
              <w:right w:val="single" w:sz="4" w:space="0" w:color="auto"/>
            </w:tcBorders>
            <w:shd w:val="clear" w:color="auto" w:fill="auto"/>
            <w:vAlign w:val="center"/>
            <w:hideMark/>
          </w:tcPr>
          <w:p w14:paraId="3A4CA098"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 </w:t>
            </w:r>
          </w:p>
        </w:tc>
        <w:tc>
          <w:tcPr>
            <w:tcW w:w="1700" w:type="dxa"/>
            <w:tcBorders>
              <w:top w:val="nil"/>
              <w:left w:val="nil"/>
              <w:bottom w:val="single" w:sz="4" w:space="0" w:color="auto"/>
              <w:right w:val="single" w:sz="4" w:space="0" w:color="auto"/>
            </w:tcBorders>
            <w:shd w:val="clear" w:color="auto" w:fill="auto"/>
            <w:vAlign w:val="center"/>
            <w:hideMark/>
          </w:tcPr>
          <w:p w14:paraId="28B9C987"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4" w:space="0" w:color="auto"/>
              <w:right w:val="single" w:sz="4" w:space="0" w:color="auto"/>
            </w:tcBorders>
            <w:shd w:val="clear" w:color="auto" w:fill="auto"/>
            <w:vAlign w:val="center"/>
            <w:hideMark/>
          </w:tcPr>
          <w:p w14:paraId="7A74FF81" w14:textId="77777777" w:rsidR="00557F76" w:rsidRDefault="00557F76">
            <w:pPr>
              <w:jc w:val="right"/>
              <w:rPr>
                <w:rFonts w:ascii="Calibri" w:hAnsi="Calibri" w:cs="Calibri"/>
                <w:sz w:val="22"/>
                <w:szCs w:val="22"/>
              </w:rPr>
            </w:pPr>
            <w:r>
              <w:rPr>
                <w:rFonts w:ascii="Calibri" w:hAnsi="Calibri" w:cs="Calibri"/>
                <w:sz w:val="22"/>
                <w:szCs w:val="22"/>
              </w:rPr>
              <w:t>12.08</w:t>
            </w:r>
          </w:p>
        </w:tc>
      </w:tr>
      <w:tr w:rsidR="00557F76" w14:paraId="24B9F7E4" w14:textId="77777777" w:rsidTr="00557F76">
        <w:trPr>
          <w:trHeight w:val="300"/>
        </w:trPr>
        <w:tc>
          <w:tcPr>
            <w:tcW w:w="5260" w:type="dxa"/>
            <w:tcBorders>
              <w:top w:val="nil"/>
              <w:left w:val="single" w:sz="4" w:space="0" w:color="auto"/>
              <w:bottom w:val="single" w:sz="4" w:space="0" w:color="auto"/>
              <w:right w:val="single" w:sz="4" w:space="0" w:color="auto"/>
            </w:tcBorders>
            <w:shd w:val="clear" w:color="auto" w:fill="auto"/>
            <w:vAlign w:val="center"/>
            <w:hideMark/>
          </w:tcPr>
          <w:p w14:paraId="08AE1FF6" w14:textId="77777777" w:rsidR="00557F76" w:rsidRDefault="00557F76">
            <w:pPr>
              <w:rPr>
                <w:rFonts w:ascii="Calibri" w:hAnsi="Calibri" w:cs="Calibri"/>
                <w:color w:val="000000"/>
                <w:sz w:val="22"/>
                <w:szCs w:val="22"/>
              </w:rPr>
            </w:pPr>
            <w:r>
              <w:rPr>
                <w:rFonts w:ascii="Calibri" w:hAnsi="Calibri" w:cs="Calibri"/>
                <w:color w:val="000000"/>
                <w:sz w:val="22"/>
                <w:szCs w:val="22"/>
              </w:rPr>
              <w:t>Less-1/3rd to be passed on to consumer as rebate</w:t>
            </w:r>
          </w:p>
        </w:tc>
        <w:tc>
          <w:tcPr>
            <w:tcW w:w="1480" w:type="dxa"/>
            <w:tcBorders>
              <w:top w:val="nil"/>
              <w:left w:val="nil"/>
              <w:bottom w:val="single" w:sz="4" w:space="0" w:color="auto"/>
              <w:right w:val="single" w:sz="4" w:space="0" w:color="auto"/>
            </w:tcBorders>
            <w:shd w:val="clear" w:color="auto" w:fill="auto"/>
            <w:vAlign w:val="center"/>
            <w:hideMark/>
          </w:tcPr>
          <w:p w14:paraId="1B0CC576"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 </w:t>
            </w:r>
          </w:p>
        </w:tc>
        <w:tc>
          <w:tcPr>
            <w:tcW w:w="1700" w:type="dxa"/>
            <w:tcBorders>
              <w:top w:val="nil"/>
              <w:left w:val="nil"/>
              <w:bottom w:val="single" w:sz="4" w:space="0" w:color="auto"/>
              <w:right w:val="single" w:sz="4" w:space="0" w:color="auto"/>
            </w:tcBorders>
            <w:shd w:val="clear" w:color="auto" w:fill="auto"/>
            <w:vAlign w:val="center"/>
            <w:hideMark/>
          </w:tcPr>
          <w:p w14:paraId="53FFEFF8"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4" w:space="0" w:color="auto"/>
              <w:right w:val="single" w:sz="4" w:space="0" w:color="auto"/>
            </w:tcBorders>
            <w:shd w:val="clear" w:color="auto" w:fill="auto"/>
            <w:vAlign w:val="center"/>
            <w:hideMark/>
          </w:tcPr>
          <w:p w14:paraId="1CA5EE76" w14:textId="77777777" w:rsidR="00557F76" w:rsidRDefault="00557F76">
            <w:pPr>
              <w:jc w:val="right"/>
              <w:rPr>
                <w:rFonts w:ascii="Calibri" w:hAnsi="Calibri" w:cs="Calibri"/>
                <w:sz w:val="22"/>
                <w:szCs w:val="22"/>
              </w:rPr>
            </w:pPr>
            <w:r>
              <w:rPr>
                <w:rFonts w:ascii="Calibri" w:hAnsi="Calibri" w:cs="Calibri"/>
                <w:sz w:val="22"/>
                <w:szCs w:val="22"/>
              </w:rPr>
              <w:t>12.08</w:t>
            </w:r>
          </w:p>
        </w:tc>
      </w:tr>
      <w:tr w:rsidR="00557F76" w14:paraId="4C45E616" w14:textId="77777777" w:rsidTr="00557F76">
        <w:trPr>
          <w:trHeight w:val="300"/>
        </w:trPr>
        <w:tc>
          <w:tcPr>
            <w:tcW w:w="5260" w:type="dxa"/>
            <w:tcBorders>
              <w:top w:val="nil"/>
              <w:left w:val="single" w:sz="4" w:space="0" w:color="auto"/>
              <w:bottom w:val="single" w:sz="4" w:space="0" w:color="auto"/>
              <w:right w:val="single" w:sz="4" w:space="0" w:color="auto"/>
            </w:tcBorders>
            <w:shd w:val="clear" w:color="auto" w:fill="auto"/>
            <w:vAlign w:val="center"/>
            <w:hideMark/>
          </w:tcPr>
          <w:p w14:paraId="0D67A333" w14:textId="77777777" w:rsidR="00557F76" w:rsidRDefault="00557F76">
            <w:pPr>
              <w:rPr>
                <w:rFonts w:ascii="Calibri" w:hAnsi="Calibri" w:cs="Calibri"/>
                <w:color w:val="000000"/>
                <w:sz w:val="22"/>
                <w:szCs w:val="22"/>
              </w:rPr>
            </w:pPr>
            <w:r>
              <w:rPr>
                <w:rFonts w:ascii="Calibri" w:hAnsi="Calibri" w:cs="Calibri"/>
                <w:color w:val="000000"/>
                <w:sz w:val="22"/>
                <w:szCs w:val="22"/>
              </w:rPr>
              <w:t>Add-1/3rd to be kept as tariff balancing reserve</w:t>
            </w:r>
          </w:p>
        </w:tc>
        <w:tc>
          <w:tcPr>
            <w:tcW w:w="1480" w:type="dxa"/>
            <w:tcBorders>
              <w:top w:val="nil"/>
              <w:left w:val="nil"/>
              <w:bottom w:val="single" w:sz="4" w:space="0" w:color="auto"/>
              <w:right w:val="single" w:sz="4" w:space="0" w:color="auto"/>
            </w:tcBorders>
            <w:shd w:val="clear" w:color="auto" w:fill="auto"/>
            <w:vAlign w:val="center"/>
            <w:hideMark/>
          </w:tcPr>
          <w:p w14:paraId="5BEC85EF"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 </w:t>
            </w:r>
          </w:p>
        </w:tc>
        <w:tc>
          <w:tcPr>
            <w:tcW w:w="1700" w:type="dxa"/>
            <w:tcBorders>
              <w:top w:val="nil"/>
              <w:left w:val="nil"/>
              <w:bottom w:val="single" w:sz="4" w:space="0" w:color="auto"/>
              <w:right w:val="single" w:sz="4" w:space="0" w:color="auto"/>
            </w:tcBorders>
            <w:shd w:val="clear" w:color="auto" w:fill="auto"/>
            <w:vAlign w:val="center"/>
            <w:hideMark/>
          </w:tcPr>
          <w:p w14:paraId="1BDB1AB0"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4" w:space="0" w:color="auto"/>
              <w:right w:val="single" w:sz="4" w:space="0" w:color="auto"/>
            </w:tcBorders>
            <w:shd w:val="clear" w:color="auto" w:fill="auto"/>
            <w:vAlign w:val="center"/>
            <w:hideMark/>
          </w:tcPr>
          <w:p w14:paraId="3F9B84E4" w14:textId="77777777" w:rsidR="00557F76" w:rsidRDefault="00557F76">
            <w:pPr>
              <w:jc w:val="right"/>
              <w:rPr>
                <w:rFonts w:ascii="Calibri" w:hAnsi="Calibri" w:cs="Calibri"/>
                <w:sz w:val="22"/>
                <w:szCs w:val="22"/>
              </w:rPr>
            </w:pPr>
            <w:r>
              <w:rPr>
                <w:rFonts w:ascii="Calibri" w:hAnsi="Calibri" w:cs="Calibri"/>
                <w:sz w:val="22"/>
                <w:szCs w:val="22"/>
              </w:rPr>
              <w:t>12.08</w:t>
            </w:r>
          </w:p>
        </w:tc>
      </w:tr>
      <w:tr w:rsidR="00557F76" w14:paraId="28E9EE85"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3098A9DE"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Total Operation &amp; Maintenance and Other Cost</w:t>
            </w:r>
          </w:p>
        </w:tc>
        <w:tc>
          <w:tcPr>
            <w:tcW w:w="1480" w:type="dxa"/>
            <w:tcBorders>
              <w:top w:val="nil"/>
              <w:left w:val="nil"/>
              <w:bottom w:val="single" w:sz="4" w:space="0" w:color="auto"/>
              <w:right w:val="single" w:sz="4" w:space="0" w:color="auto"/>
            </w:tcBorders>
            <w:shd w:val="clear" w:color="auto" w:fill="auto"/>
            <w:vAlign w:val="center"/>
            <w:hideMark/>
          </w:tcPr>
          <w:p w14:paraId="6BB97540" w14:textId="77777777" w:rsidR="00557F76" w:rsidRDefault="00557F76">
            <w:pPr>
              <w:jc w:val="right"/>
              <w:rPr>
                <w:rFonts w:ascii="Calibri" w:hAnsi="Calibri" w:cs="Calibri"/>
                <w:b/>
                <w:bCs/>
                <w:color w:val="000000"/>
                <w:sz w:val="22"/>
                <w:szCs w:val="22"/>
              </w:rPr>
            </w:pPr>
            <w:r>
              <w:rPr>
                <w:rFonts w:ascii="Calibri" w:hAnsi="Calibri" w:cs="Calibri"/>
                <w:b/>
                <w:bCs/>
                <w:color w:val="000000"/>
                <w:sz w:val="22"/>
                <w:szCs w:val="22"/>
              </w:rPr>
              <w:t>1286.97</w:t>
            </w:r>
          </w:p>
        </w:tc>
        <w:tc>
          <w:tcPr>
            <w:tcW w:w="1700" w:type="dxa"/>
            <w:tcBorders>
              <w:top w:val="nil"/>
              <w:left w:val="nil"/>
              <w:bottom w:val="single" w:sz="4" w:space="0" w:color="auto"/>
              <w:right w:val="single" w:sz="4" w:space="0" w:color="auto"/>
            </w:tcBorders>
            <w:shd w:val="clear" w:color="auto" w:fill="auto"/>
            <w:vAlign w:val="center"/>
            <w:hideMark/>
          </w:tcPr>
          <w:p w14:paraId="44D3FCA7" w14:textId="77777777" w:rsidR="00557F76" w:rsidRDefault="00557F76">
            <w:pPr>
              <w:jc w:val="right"/>
              <w:rPr>
                <w:rFonts w:ascii="Calibri" w:hAnsi="Calibri" w:cs="Calibri"/>
                <w:b/>
                <w:bCs/>
                <w:color w:val="000000"/>
                <w:sz w:val="22"/>
                <w:szCs w:val="22"/>
              </w:rPr>
            </w:pPr>
            <w:r>
              <w:rPr>
                <w:rFonts w:ascii="Calibri" w:hAnsi="Calibri" w:cs="Calibri"/>
                <w:b/>
                <w:bCs/>
                <w:color w:val="000000"/>
                <w:sz w:val="22"/>
                <w:szCs w:val="22"/>
              </w:rPr>
              <w:t>1580.41</w:t>
            </w:r>
          </w:p>
        </w:tc>
        <w:tc>
          <w:tcPr>
            <w:tcW w:w="1380" w:type="dxa"/>
            <w:tcBorders>
              <w:top w:val="nil"/>
              <w:left w:val="nil"/>
              <w:bottom w:val="single" w:sz="4" w:space="0" w:color="auto"/>
              <w:right w:val="single" w:sz="4" w:space="0" w:color="auto"/>
            </w:tcBorders>
            <w:shd w:val="clear" w:color="auto" w:fill="auto"/>
            <w:vAlign w:val="center"/>
            <w:hideMark/>
          </w:tcPr>
          <w:p w14:paraId="13907BCC" w14:textId="77777777" w:rsidR="00557F76" w:rsidRDefault="00557F76">
            <w:pPr>
              <w:jc w:val="right"/>
              <w:rPr>
                <w:rFonts w:ascii="Calibri" w:hAnsi="Calibri" w:cs="Calibri"/>
                <w:b/>
                <w:bCs/>
                <w:color w:val="000000"/>
                <w:sz w:val="22"/>
                <w:szCs w:val="22"/>
              </w:rPr>
            </w:pPr>
            <w:r>
              <w:rPr>
                <w:rFonts w:ascii="Calibri" w:hAnsi="Calibri" w:cs="Calibri"/>
                <w:b/>
                <w:bCs/>
                <w:color w:val="000000"/>
                <w:sz w:val="22"/>
                <w:szCs w:val="22"/>
              </w:rPr>
              <w:t>1465.64</w:t>
            </w:r>
          </w:p>
        </w:tc>
      </w:tr>
      <w:tr w:rsidR="00557F76" w14:paraId="792A6099"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31701AA4" w14:textId="77777777" w:rsidR="00557F76" w:rsidRDefault="00557F76">
            <w:pPr>
              <w:rPr>
                <w:rFonts w:ascii="Calibri" w:hAnsi="Calibri" w:cs="Calibri"/>
                <w:color w:val="000000"/>
                <w:sz w:val="22"/>
                <w:szCs w:val="22"/>
              </w:rPr>
            </w:pPr>
            <w:r>
              <w:rPr>
                <w:rFonts w:ascii="Calibri" w:hAnsi="Calibri" w:cs="Calibri"/>
                <w:color w:val="000000"/>
                <w:sz w:val="22"/>
                <w:szCs w:val="22"/>
              </w:rPr>
              <w:t xml:space="preserve">Less: Employee Cost </w:t>
            </w:r>
            <w:proofErr w:type="spellStart"/>
            <w:r>
              <w:rPr>
                <w:rFonts w:ascii="Calibri" w:hAnsi="Calibri" w:cs="Calibri"/>
                <w:color w:val="000000"/>
                <w:sz w:val="22"/>
                <w:szCs w:val="22"/>
              </w:rPr>
              <w:t>Capitalised</w:t>
            </w:r>
            <w:proofErr w:type="spellEnd"/>
          </w:p>
        </w:tc>
        <w:tc>
          <w:tcPr>
            <w:tcW w:w="1480" w:type="dxa"/>
            <w:tcBorders>
              <w:top w:val="nil"/>
              <w:left w:val="nil"/>
              <w:bottom w:val="single" w:sz="4" w:space="0" w:color="auto"/>
              <w:right w:val="single" w:sz="4" w:space="0" w:color="auto"/>
            </w:tcBorders>
            <w:shd w:val="clear" w:color="auto" w:fill="auto"/>
            <w:vAlign w:val="center"/>
            <w:hideMark/>
          </w:tcPr>
          <w:p w14:paraId="34BAD381"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20.09</w:t>
            </w:r>
          </w:p>
        </w:tc>
        <w:tc>
          <w:tcPr>
            <w:tcW w:w="1700" w:type="dxa"/>
            <w:tcBorders>
              <w:top w:val="nil"/>
              <w:left w:val="nil"/>
              <w:bottom w:val="single" w:sz="4" w:space="0" w:color="auto"/>
              <w:right w:val="single" w:sz="4" w:space="0" w:color="auto"/>
            </w:tcBorders>
            <w:shd w:val="clear" w:color="auto" w:fill="auto"/>
            <w:vAlign w:val="center"/>
            <w:hideMark/>
          </w:tcPr>
          <w:p w14:paraId="7E50D21A"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20.09</w:t>
            </w:r>
          </w:p>
        </w:tc>
        <w:tc>
          <w:tcPr>
            <w:tcW w:w="1380" w:type="dxa"/>
            <w:tcBorders>
              <w:top w:val="nil"/>
              <w:left w:val="nil"/>
              <w:bottom w:val="single" w:sz="4" w:space="0" w:color="auto"/>
              <w:right w:val="single" w:sz="4" w:space="0" w:color="auto"/>
            </w:tcBorders>
            <w:shd w:val="clear" w:color="auto" w:fill="auto"/>
            <w:vAlign w:val="center"/>
            <w:hideMark/>
          </w:tcPr>
          <w:p w14:paraId="7D993244" w14:textId="77777777" w:rsidR="00557F76" w:rsidRDefault="00557F76">
            <w:pPr>
              <w:jc w:val="right"/>
              <w:rPr>
                <w:rFonts w:ascii="Calibri" w:hAnsi="Calibri" w:cs="Calibri"/>
                <w:sz w:val="22"/>
                <w:szCs w:val="22"/>
              </w:rPr>
            </w:pPr>
            <w:r>
              <w:rPr>
                <w:rFonts w:ascii="Calibri" w:hAnsi="Calibri" w:cs="Calibri"/>
                <w:sz w:val="22"/>
                <w:szCs w:val="22"/>
              </w:rPr>
              <w:t>20.09</w:t>
            </w:r>
          </w:p>
        </w:tc>
      </w:tr>
      <w:tr w:rsidR="00557F76" w14:paraId="5E4D823F"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69C8BE32" w14:textId="77777777" w:rsidR="00557F76" w:rsidRDefault="00557F76">
            <w:pPr>
              <w:rPr>
                <w:rFonts w:ascii="Calibri" w:hAnsi="Calibri" w:cs="Calibri"/>
                <w:color w:val="000000"/>
                <w:sz w:val="22"/>
                <w:szCs w:val="22"/>
              </w:rPr>
            </w:pPr>
            <w:r>
              <w:rPr>
                <w:rFonts w:ascii="Calibri" w:hAnsi="Calibri" w:cs="Calibri"/>
                <w:color w:val="000000"/>
                <w:sz w:val="22"/>
                <w:szCs w:val="22"/>
              </w:rPr>
              <w:t xml:space="preserve">Less: Interest </w:t>
            </w:r>
            <w:proofErr w:type="spellStart"/>
            <w:r>
              <w:rPr>
                <w:rFonts w:ascii="Calibri" w:hAnsi="Calibri" w:cs="Calibri"/>
                <w:color w:val="000000"/>
                <w:sz w:val="22"/>
                <w:szCs w:val="22"/>
              </w:rPr>
              <w:t>Capitalised</w:t>
            </w:r>
            <w:proofErr w:type="spellEnd"/>
          </w:p>
        </w:tc>
        <w:tc>
          <w:tcPr>
            <w:tcW w:w="1480" w:type="dxa"/>
            <w:tcBorders>
              <w:top w:val="nil"/>
              <w:left w:val="nil"/>
              <w:bottom w:val="single" w:sz="4" w:space="0" w:color="auto"/>
              <w:right w:val="single" w:sz="4" w:space="0" w:color="auto"/>
            </w:tcBorders>
            <w:shd w:val="clear" w:color="auto" w:fill="auto"/>
            <w:vAlign w:val="center"/>
            <w:hideMark/>
          </w:tcPr>
          <w:p w14:paraId="553584AA"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13.53</w:t>
            </w:r>
          </w:p>
        </w:tc>
        <w:tc>
          <w:tcPr>
            <w:tcW w:w="1700" w:type="dxa"/>
            <w:tcBorders>
              <w:top w:val="nil"/>
              <w:left w:val="nil"/>
              <w:bottom w:val="single" w:sz="4" w:space="0" w:color="auto"/>
              <w:right w:val="single" w:sz="4" w:space="0" w:color="auto"/>
            </w:tcBorders>
            <w:shd w:val="clear" w:color="auto" w:fill="auto"/>
            <w:vAlign w:val="center"/>
            <w:hideMark/>
          </w:tcPr>
          <w:p w14:paraId="012F5B4F"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1.37</w:t>
            </w:r>
          </w:p>
        </w:tc>
        <w:tc>
          <w:tcPr>
            <w:tcW w:w="1380" w:type="dxa"/>
            <w:tcBorders>
              <w:top w:val="nil"/>
              <w:left w:val="nil"/>
              <w:bottom w:val="single" w:sz="4" w:space="0" w:color="auto"/>
              <w:right w:val="single" w:sz="4" w:space="0" w:color="auto"/>
            </w:tcBorders>
            <w:shd w:val="clear" w:color="auto" w:fill="auto"/>
            <w:vAlign w:val="center"/>
            <w:hideMark/>
          </w:tcPr>
          <w:p w14:paraId="10CE883F" w14:textId="77777777" w:rsidR="00557F76" w:rsidRDefault="00557F76">
            <w:pPr>
              <w:jc w:val="right"/>
              <w:rPr>
                <w:rFonts w:ascii="Calibri" w:hAnsi="Calibri" w:cs="Calibri"/>
                <w:sz w:val="22"/>
                <w:szCs w:val="22"/>
              </w:rPr>
            </w:pPr>
            <w:r>
              <w:rPr>
                <w:rFonts w:ascii="Calibri" w:hAnsi="Calibri" w:cs="Calibri"/>
                <w:sz w:val="22"/>
                <w:szCs w:val="22"/>
              </w:rPr>
              <w:t>1.37</w:t>
            </w:r>
          </w:p>
        </w:tc>
      </w:tr>
      <w:tr w:rsidR="00557F76" w14:paraId="2F9B35FA"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5E8A9A6A" w14:textId="77777777" w:rsidR="00557F76" w:rsidRDefault="00557F76">
            <w:pPr>
              <w:rPr>
                <w:rFonts w:ascii="Calibri" w:hAnsi="Calibri" w:cs="Calibri"/>
                <w:color w:val="000000"/>
                <w:sz w:val="22"/>
                <w:szCs w:val="22"/>
              </w:rPr>
            </w:pPr>
            <w:r>
              <w:rPr>
                <w:rFonts w:ascii="Calibri" w:hAnsi="Calibri" w:cs="Calibri"/>
                <w:color w:val="000000"/>
                <w:sz w:val="22"/>
                <w:szCs w:val="22"/>
              </w:rPr>
              <w:t>Add: Return on Equity</w:t>
            </w:r>
          </w:p>
        </w:tc>
        <w:tc>
          <w:tcPr>
            <w:tcW w:w="1480" w:type="dxa"/>
            <w:tcBorders>
              <w:top w:val="nil"/>
              <w:left w:val="nil"/>
              <w:bottom w:val="single" w:sz="4" w:space="0" w:color="auto"/>
              <w:right w:val="single" w:sz="4" w:space="0" w:color="auto"/>
            </w:tcBorders>
            <w:shd w:val="clear" w:color="auto" w:fill="auto"/>
            <w:vAlign w:val="center"/>
            <w:hideMark/>
          </w:tcPr>
          <w:p w14:paraId="0652CFD8"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94.87</w:t>
            </w:r>
          </w:p>
        </w:tc>
        <w:tc>
          <w:tcPr>
            <w:tcW w:w="1700" w:type="dxa"/>
            <w:tcBorders>
              <w:top w:val="nil"/>
              <w:left w:val="nil"/>
              <w:bottom w:val="single" w:sz="4" w:space="0" w:color="auto"/>
              <w:right w:val="single" w:sz="4" w:space="0" w:color="auto"/>
            </w:tcBorders>
            <w:shd w:val="clear" w:color="auto" w:fill="auto"/>
            <w:vAlign w:val="center"/>
            <w:hideMark/>
          </w:tcPr>
          <w:p w14:paraId="31FC4432"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120.43</w:t>
            </w:r>
          </w:p>
        </w:tc>
        <w:tc>
          <w:tcPr>
            <w:tcW w:w="1380" w:type="dxa"/>
            <w:tcBorders>
              <w:top w:val="nil"/>
              <w:left w:val="nil"/>
              <w:bottom w:val="single" w:sz="4" w:space="0" w:color="auto"/>
              <w:right w:val="single" w:sz="4" w:space="0" w:color="auto"/>
            </w:tcBorders>
            <w:shd w:val="clear" w:color="auto" w:fill="auto"/>
            <w:vAlign w:val="center"/>
            <w:hideMark/>
          </w:tcPr>
          <w:p w14:paraId="35D10AE1" w14:textId="77777777" w:rsidR="00557F76" w:rsidRDefault="00557F76">
            <w:pPr>
              <w:jc w:val="right"/>
              <w:rPr>
                <w:rFonts w:ascii="Calibri" w:hAnsi="Calibri" w:cs="Calibri"/>
                <w:sz w:val="22"/>
                <w:szCs w:val="22"/>
              </w:rPr>
            </w:pPr>
            <w:r>
              <w:rPr>
                <w:rFonts w:ascii="Calibri" w:hAnsi="Calibri" w:cs="Calibri"/>
                <w:sz w:val="22"/>
                <w:szCs w:val="22"/>
              </w:rPr>
              <w:t>120.42</w:t>
            </w:r>
          </w:p>
        </w:tc>
      </w:tr>
      <w:tr w:rsidR="00557F76" w14:paraId="07950BCB"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7072824C" w14:textId="77777777" w:rsidR="00557F76" w:rsidRDefault="00557F76">
            <w:pPr>
              <w:rPr>
                <w:rFonts w:ascii="Calibri" w:hAnsi="Calibri" w:cs="Calibri"/>
                <w:color w:val="000000"/>
                <w:sz w:val="22"/>
                <w:szCs w:val="22"/>
              </w:rPr>
            </w:pPr>
            <w:r>
              <w:rPr>
                <w:rFonts w:ascii="Calibri" w:hAnsi="Calibri" w:cs="Calibri"/>
                <w:color w:val="000000"/>
                <w:sz w:val="22"/>
                <w:szCs w:val="22"/>
              </w:rPr>
              <w:t>Add: Tax Income</w:t>
            </w:r>
          </w:p>
        </w:tc>
        <w:tc>
          <w:tcPr>
            <w:tcW w:w="1480" w:type="dxa"/>
            <w:tcBorders>
              <w:top w:val="nil"/>
              <w:left w:val="nil"/>
              <w:bottom w:val="single" w:sz="4" w:space="0" w:color="auto"/>
              <w:right w:val="single" w:sz="4" w:space="0" w:color="auto"/>
            </w:tcBorders>
            <w:shd w:val="clear" w:color="auto" w:fill="auto"/>
            <w:vAlign w:val="center"/>
            <w:hideMark/>
          </w:tcPr>
          <w:p w14:paraId="73FD8C93"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 xml:space="preserve">                   26.09 </w:t>
            </w:r>
          </w:p>
        </w:tc>
        <w:tc>
          <w:tcPr>
            <w:tcW w:w="1700" w:type="dxa"/>
            <w:tcBorders>
              <w:top w:val="nil"/>
              <w:left w:val="nil"/>
              <w:bottom w:val="single" w:sz="4" w:space="0" w:color="auto"/>
              <w:right w:val="single" w:sz="4" w:space="0" w:color="auto"/>
            </w:tcBorders>
            <w:shd w:val="clear" w:color="auto" w:fill="auto"/>
            <w:vAlign w:val="center"/>
            <w:hideMark/>
          </w:tcPr>
          <w:p w14:paraId="6106E40D"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60.64</w:t>
            </w:r>
          </w:p>
        </w:tc>
        <w:tc>
          <w:tcPr>
            <w:tcW w:w="1380" w:type="dxa"/>
            <w:tcBorders>
              <w:top w:val="nil"/>
              <w:left w:val="nil"/>
              <w:bottom w:val="single" w:sz="4" w:space="0" w:color="auto"/>
              <w:right w:val="single" w:sz="4" w:space="0" w:color="auto"/>
            </w:tcBorders>
            <w:shd w:val="clear" w:color="auto" w:fill="auto"/>
            <w:vAlign w:val="center"/>
            <w:hideMark/>
          </w:tcPr>
          <w:p w14:paraId="6067C247" w14:textId="77777777" w:rsidR="00557F76" w:rsidRDefault="00557F76">
            <w:pPr>
              <w:jc w:val="right"/>
              <w:rPr>
                <w:rFonts w:ascii="Calibri" w:hAnsi="Calibri" w:cs="Calibri"/>
                <w:sz w:val="22"/>
                <w:szCs w:val="22"/>
              </w:rPr>
            </w:pPr>
            <w:r>
              <w:rPr>
                <w:rFonts w:ascii="Calibri" w:hAnsi="Calibri" w:cs="Calibri"/>
                <w:sz w:val="22"/>
                <w:szCs w:val="22"/>
              </w:rPr>
              <w:t>40.50</w:t>
            </w:r>
          </w:p>
        </w:tc>
      </w:tr>
      <w:tr w:rsidR="00557F76" w14:paraId="2A3D4F99"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7BF210BB" w14:textId="77777777" w:rsidR="00557F76" w:rsidRDefault="00557F76">
            <w:pPr>
              <w:rPr>
                <w:rFonts w:ascii="Calibri" w:hAnsi="Calibri" w:cs="Calibri"/>
                <w:color w:val="000000"/>
                <w:sz w:val="22"/>
                <w:szCs w:val="22"/>
              </w:rPr>
            </w:pPr>
            <w:r>
              <w:rPr>
                <w:rFonts w:ascii="Calibri" w:hAnsi="Calibri" w:cs="Calibri"/>
                <w:color w:val="000000"/>
                <w:sz w:val="22"/>
                <w:szCs w:val="22"/>
              </w:rPr>
              <w:t>Add: Carrying cost on ASL</w:t>
            </w:r>
          </w:p>
        </w:tc>
        <w:tc>
          <w:tcPr>
            <w:tcW w:w="1480" w:type="dxa"/>
            <w:tcBorders>
              <w:top w:val="nil"/>
              <w:left w:val="nil"/>
              <w:bottom w:val="single" w:sz="4" w:space="0" w:color="auto"/>
              <w:right w:val="single" w:sz="4" w:space="0" w:color="auto"/>
            </w:tcBorders>
            <w:shd w:val="clear" w:color="auto" w:fill="auto"/>
            <w:vAlign w:val="center"/>
            <w:hideMark/>
          </w:tcPr>
          <w:p w14:paraId="1078D9A9"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 </w:t>
            </w:r>
          </w:p>
        </w:tc>
        <w:tc>
          <w:tcPr>
            <w:tcW w:w="1700" w:type="dxa"/>
            <w:tcBorders>
              <w:top w:val="nil"/>
              <w:left w:val="nil"/>
              <w:bottom w:val="single" w:sz="4" w:space="0" w:color="auto"/>
              <w:right w:val="single" w:sz="4" w:space="0" w:color="auto"/>
            </w:tcBorders>
            <w:shd w:val="clear" w:color="auto" w:fill="auto"/>
            <w:vAlign w:val="center"/>
            <w:hideMark/>
          </w:tcPr>
          <w:p w14:paraId="0742E876"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4" w:space="0" w:color="auto"/>
              <w:right w:val="single" w:sz="4" w:space="0" w:color="auto"/>
            </w:tcBorders>
            <w:shd w:val="clear" w:color="auto" w:fill="auto"/>
            <w:vAlign w:val="center"/>
            <w:hideMark/>
          </w:tcPr>
          <w:p w14:paraId="2CDCB5F5" w14:textId="77777777" w:rsidR="00557F76" w:rsidRDefault="00557F76">
            <w:pPr>
              <w:jc w:val="right"/>
              <w:rPr>
                <w:rFonts w:ascii="Calibri" w:hAnsi="Calibri" w:cs="Calibri"/>
                <w:sz w:val="22"/>
                <w:szCs w:val="22"/>
              </w:rPr>
            </w:pPr>
            <w:r>
              <w:rPr>
                <w:rFonts w:ascii="Calibri" w:hAnsi="Calibri" w:cs="Calibri"/>
                <w:sz w:val="22"/>
                <w:szCs w:val="22"/>
              </w:rPr>
              <w:t>8.31</w:t>
            </w:r>
          </w:p>
        </w:tc>
      </w:tr>
      <w:tr w:rsidR="00557F76" w14:paraId="7D0F82C7"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0D236106"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Total Distribution Cost</w:t>
            </w:r>
          </w:p>
        </w:tc>
        <w:tc>
          <w:tcPr>
            <w:tcW w:w="1480" w:type="dxa"/>
            <w:tcBorders>
              <w:top w:val="nil"/>
              <w:left w:val="nil"/>
              <w:bottom w:val="single" w:sz="4" w:space="0" w:color="auto"/>
              <w:right w:val="single" w:sz="4" w:space="0" w:color="auto"/>
            </w:tcBorders>
            <w:shd w:val="clear" w:color="auto" w:fill="auto"/>
            <w:vAlign w:val="center"/>
            <w:hideMark/>
          </w:tcPr>
          <w:p w14:paraId="214DDEC0" w14:textId="77777777" w:rsidR="00557F76" w:rsidRDefault="00557F76">
            <w:pPr>
              <w:jc w:val="right"/>
              <w:rPr>
                <w:rFonts w:ascii="Calibri" w:hAnsi="Calibri" w:cs="Calibri"/>
                <w:b/>
                <w:bCs/>
                <w:color w:val="000000"/>
                <w:sz w:val="22"/>
                <w:szCs w:val="22"/>
              </w:rPr>
            </w:pPr>
            <w:r>
              <w:rPr>
                <w:rFonts w:ascii="Calibri" w:hAnsi="Calibri" w:cs="Calibri"/>
                <w:b/>
                <w:bCs/>
                <w:color w:val="000000"/>
                <w:sz w:val="22"/>
                <w:szCs w:val="22"/>
              </w:rPr>
              <w:t>1374.31</w:t>
            </w:r>
          </w:p>
        </w:tc>
        <w:tc>
          <w:tcPr>
            <w:tcW w:w="1700" w:type="dxa"/>
            <w:tcBorders>
              <w:top w:val="nil"/>
              <w:left w:val="nil"/>
              <w:bottom w:val="single" w:sz="4" w:space="0" w:color="auto"/>
              <w:right w:val="single" w:sz="4" w:space="0" w:color="auto"/>
            </w:tcBorders>
            <w:shd w:val="clear" w:color="auto" w:fill="auto"/>
            <w:vAlign w:val="center"/>
            <w:hideMark/>
          </w:tcPr>
          <w:p w14:paraId="43672EBC" w14:textId="77777777" w:rsidR="00557F76" w:rsidRDefault="00557F76">
            <w:pPr>
              <w:jc w:val="right"/>
              <w:rPr>
                <w:rFonts w:ascii="Calibri" w:hAnsi="Calibri" w:cs="Calibri"/>
                <w:b/>
                <w:bCs/>
                <w:color w:val="000000"/>
                <w:sz w:val="22"/>
                <w:szCs w:val="22"/>
              </w:rPr>
            </w:pPr>
            <w:r>
              <w:rPr>
                <w:rFonts w:ascii="Calibri" w:hAnsi="Calibri" w:cs="Calibri"/>
                <w:b/>
                <w:bCs/>
                <w:color w:val="000000"/>
                <w:sz w:val="22"/>
                <w:szCs w:val="22"/>
              </w:rPr>
              <w:t>1740.02</w:t>
            </w:r>
          </w:p>
        </w:tc>
        <w:tc>
          <w:tcPr>
            <w:tcW w:w="1380" w:type="dxa"/>
            <w:tcBorders>
              <w:top w:val="nil"/>
              <w:left w:val="nil"/>
              <w:bottom w:val="single" w:sz="4" w:space="0" w:color="auto"/>
              <w:right w:val="single" w:sz="4" w:space="0" w:color="auto"/>
            </w:tcBorders>
            <w:shd w:val="clear" w:color="auto" w:fill="auto"/>
            <w:vAlign w:val="center"/>
            <w:hideMark/>
          </w:tcPr>
          <w:p w14:paraId="6878CAF8" w14:textId="77777777" w:rsidR="00557F76" w:rsidRDefault="00557F76">
            <w:pPr>
              <w:jc w:val="right"/>
              <w:rPr>
                <w:rFonts w:ascii="Calibri" w:hAnsi="Calibri" w:cs="Calibri"/>
                <w:b/>
                <w:bCs/>
                <w:sz w:val="22"/>
                <w:szCs w:val="22"/>
              </w:rPr>
            </w:pPr>
            <w:r>
              <w:rPr>
                <w:rFonts w:ascii="Calibri" w:hAnsi="Calibri" w:cs="Calibri"/>
                <w:b/>
                <w:bCs/>
                <w:sz w:val="22"/>
                <w:szCs w:val="22"/>
              </w:rPr>
              <w:t>1613.40</w:t>
            </w:r>
          </w:p>
        </w:tc>
      </w:tr>
      <w:tr w:rsidR="00557F76" w14:paraId="50078644"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571901B4" w14:textId="77777777" w:rsidR="00557F76" w:rsidRDefault="00557F76">
            <w:pPr>
              <w:rPr>
                <w:rFonts w:ascii="Calibri" w:hAnsi="Calibri" w:cs="Calibri"/>
                <w:color w:val="000000"/>
                <w:sz w:val="22"/>
                <w:szCs w:val="22"/>
              </w:rPr>
            </w:pPr>
            <w:r>
              <w:rPr>
                <w:rFonts w:ascii="Calibri" w:hAnsi="Calibri" w:cs="Calibri"/>
                <w:color w:val="000000"/>
                <w:sz w:val="22"/>
                <w:szCs w:val="22"/>
              </w:rPr>
              <w:t>Less: Non-Tariff Income &amp; CSS</w:t>
            </w:r>
          </w:p>
        </w:tc>
        <w:tc>
          <w:tcPr>
            <w:tcW w:w="1480" w:type="dxa"/>
            <w:tcBorders>
              <w:top w:val="nil"/>
              <w:left w:val="nil"/>
              <w:bottom w:val="single" w:sz="4" w:space="0" w:color="auto"/>
              <w:right w:val="single" w:sz="4" w:space="0" w:color="auto"/>
            </w:tcBorders>
            <w:shd w:val="clear" w:color="auto" w:fill="auto"/>
            <w:vAlign w:val="center"/>
            <w:hideMark/>
          </w:tcPr>
          <w:p w14:paraId="75634881"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386.02</w:t>
            </w:r>
          </w:p>
        </w:tc>
        <w:tc>
          <w:tcPr>
            <w:tcW w:w="1700" w:type="dxa"/>
            <w:tcBorders>
              <w:top w:val="nil"/>
              <w:left w:val="nil"/>
              <w:bottom w:val="single" w:sz="4" w:space="0" w:color="auto"/>
              <w:right w:val="single" w:sz="4" w:space="0" w:color="auto"/>
            </w:tcBorders>
            <w:shd w:val="clear" w:color="auto" w:fill="auto"/>
            <w:vAlign w:val="center"/>
            <w:hideMark/>
          </w:tcPr>
          <w:p w14:paraId="7CE16F33"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564.63</w:t>
            </w:r>
          </w:p>
        </w:tc>
        <w:tc>
          <w:tcPr>
            <w:tcW w:w="1380" w:type="dxa"/>
            <w:tcBorders>
              <w:top w:val="nil"/>
              <w:left w:val="nil"/>
              <w:bottom w:val="single" w:sz="4" w:space="0" w:color="auto"/>
              <w:right w:val="single" w:sz="4" w:space="0" w:color="auto"/>
            </w:tcBorders>
            <w:shd w:val="clear" w:color="auto" w:fill="auto"/>
            <w:vAlign w:val="center"/>
            <w:hideMark/>
          </w:tcPr>
          <w:p w14:paraId="6F73FEEC" w14:textId="77777777" w:rsidR="00557F76" w:rsidRDefault="00557F76">
            <w:pPr>
              <w:jc w:val="right"/>
              <w:rPr>
                <w:rFonts w:ascii="Calibri" w:hAnsi="Calibri" w:cs="Calibri"/>
                <w:sz w:val="22"/>
                <w:szCs w:val="22"/>
              </w:rPr>
            </w:pPr>
            <w:r>
              <w:rPr>
                <w:rFonts w:ascii="Calibri" w:hAnsi="Calibri" w:cs="Calibri"/>
                <w:sz w:val="22"/>
                <w:szCs w:val="22"/>
              </w:rPr>
              <w:t>502.54</w:t>
            </w:r>
          </w:p>
        </w:tc>
      </w:tr>
      <w:tr w:rsidR="00557F76" w14:paraId="7664529C"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4BB6B326"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Net Distribution Cost (B)</w:t>
            </w:r>
          </w:p>
        </w:tc>
        <w:tc>
          <w:tcPr>
            <w:tcW w:w="1480" w:type="dxa"/>
            <w:tcBorders>
              <w:top w:val="nil"/>
              <w:left w:val="nil"/>
              <w:bottom w:val="single" w:sz="4" w:space="0" w:color="auto"/>
              <w:right w:val="single" w:sz="4" w:space="0" w:color="auto"/>
            </w:tcBorders>
            <w:shd w:val="clear" w:color="auto" w:fill="auto"/>
            <w:vAlign w:val="center"/>
            <w:hideMark/>
          </w:tcPr>
          <w:p w14:paraId="3B03877B" w14:textId="77777777" w:rsidR="00557F76" w:rsidRDefault="00557F76">
            <w:pPr>
              <w:jc w:val="right"/>
              <w:rPr>
                <w:rFonts w:ascii="Calibri" w:hAnsi="Calibri" w:cs="Calibri"/>
                <w:b/>
                <w:bCs/>
                <w:color w:val="000000"/>
                <w:sz w:val="22"/>
                <w:szCs w:val="22"/>
              </w:rPr>
            </w:pPr>
            <w:r>
              <w:rPr>
                <w:rFonts w:ascii="Calibri" w:hAnsi="Calibri" w:cs="Calibri"/>
                <w:b/>
                <w:bCs/>
                <w:color w:val="000000"/>
                <w:sz w:val="22"/>
                <w:szCs w:val="22"/>
              </w:rPr>
              <w:t>988.29</w:t>
            </w:r>
          </w:p>
        </w:tc>
        <w:tc>
          <w:tcPr>
            <w:tcW w:w="1700" w:type="dxa"/>
            <w:tcBorders>
              <w:top w:val="nil"/>
              <w:left w:val="nil"/>
              <w:bottom w:val="single" w:sz="4" w:space="0" w:color="auto"/>
              <w:right w:val="single" w:sz="4" w:space="0" w:color="auto"/>
            </w:tcBorders>
            <w:shd w:val="clear" w:color="auto" w:fill="auto"/>
            <w:vAlign w:val="center"/>
            <w:hideMark/>
          </w:tcPr>
          <w:p w14:paraId="117148E3" w14:textId="77777777" w:rsidR="00557F76" w:rsidRDefault="00557F76">
            <w:pPr>
              <w:jc w:val="right"/>
              <w:rPr>
                <w:rFonts w:ascii="Calibri" w:hAnsi="Calibri" w:cs="Calibri"/>
                <w:b/>
                <w:bCs/>
                <w:color w:val="000000"/>
                <w:sz w:val="22"/>
                <w:szCs w:val="22"/>
              </w:rPr>
            </w:pPr>
            <w:r>
              <w:rPr>
                <w:rFonts w:ascii="Calibri" w:hAnsi="Calibri" w:cs="Calibri"/>
                <w:b/>
                <w:bCs/>
                <w:color w:val="000000"/>
                <w:sz w:val="22"/>
                <w:szCs w:val="22"/>
              </w:rPr>
              <w:t>1175.39</w:t>
            </w:r>
          </w:p>
        </w:tc>
        <w:tc>
          <w:tcPr>
            <w:tcW w:w="1380" w:type="dxa"/>
            <w:tcBorders>
              <w:top w:val="nil"/>
              <w:left w:val="nil"/>
              <w:bottom w:val="single" w:sz="4" w:space="0" w:color="auto"/>
              <w:right w:val="single" w:sz="4" w:space="0" w:color="auto"/>
            </w:tcBorders>
            <w:shd w:val="clear" w:color="auto" w:fill="auto"/>
            <w:vAlign w:val="center"/>
            <w:hideMark/>
          </w:tcPr>
          <w:p w14:paraId="4205DFB7" w14:textId="77777777" w:rsidR="00557F76" w:rsidRDefault="00557F76">
            <w:pPr>
              <w:jc w:val="right"/>
              <w:rPr>
                <w:rFonts w:ascii="Calibri" w:hAnsi="Calibri" w:cs="Calibri"/>
                <w:b/>
                <w:bCs/>
                <w:color w:val="000000"/>
                <w:sz w:val="22"/>
                <w:szCs w:val="22"/>
              </w:rPr>
            </w:pPr>
            <w:r>
              <w:rPr>
                <w:rFonts w:ascii="Calibri" w:hAnsi="Calibri" w:cs="Calibri"/>
                <w:b/>
                <w:bCs/>
                <w:color w:val="000000"/>
                <w:sz w:val="22"/>
                <w:szCs w:val="22"/>
              </w:rPr>
              <w:t>1110.86</w:t>
            </w:r>
          </w:p>
        </w:tc>
      </w:tr>
      <w:tr w:rsidR="00557F76" w14:paraId="615B3302" w14:textId="77777777" w:rsidTr="00557F76">
        <w:trPr>
          <w:trHeight w:val="6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01C2106E"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 xml:space="preserve">Less: </w:t>
            </w:r>
            <w:proofErr w:type="spellStart"/>
            <w:r>
              <w:rPr>
                <w:rFonts w:ascii="Calibri" w:hAnsi="Calibri" w:cs="Calibri"/>
                <w:b/>
                <w:bCs/>
                <w:color w:val="000000"/>
                <w:sz w:val="22"/>
                <w:szCs w:val="22"/>
              </w:rPr>
              <w:t>Cummulative</w:t>
            </w:r>
            <w:proofErr w:type="spellEnd"/>
            <w:r>
              <w:rPr>
                <w:rFonts w:ascii="Calibri" w:hAnsi="Calibri" w:cs="Calibri"/>
                <w:b/>
                <w:bCs/>
                <w:color w:val="000000"/>
                <w:sz w:val="22"/>
                <w:szCs w:val="22"/>
              </w:rPr>
              <w:t xml:space="preserve"> true up surplus available </w:t>
            </w:r>
            <w:proofErr w:type="spellStart"/>
            <w:r>
              <w:rPr>
                <w:rFonts w:ascii="Calibri" w:hAnsi="Calibri" w:cs="Calibri"/>
                <w:b/>
                <w:bCs/>
                <w:color w:val="000000"/>
                <w:sz w:val="22"/>
                <w:szCs w:val="22"/>
              </w:rPr>
              <w:t>Upto</w:t>
            </w:r>
            <w:proofErr w:type="spellEnd"/>
            <w:r>
              <w:rPr>
                <w:rFonts w:ascii="Calibri" w:hAnsi="Calibri" w:cs="Calibri"/>
                <w:b/>
                <w:bCs/>
                <w:color w:val="000000"/>
                <w:sz w:val="22"/>
                <w:szCs w:val="22"/>
              </w:rPr>
              <w:t xml:space="preserve"> FY 22-23 &amp; BSP Surcharge</w:t>
            </w:r>
          </w:p>
        </w:tc>
        <w:tc>
          <w:tcPr>
            <w:tcW w:w="1480" w:type="dxa"/>
            <w:tcBorders>
              <w:top w:val="nil"/>
              <w:left w:val="nil"/>
              <w:bottom w:val="single" w:sz="4" w:space="0" w:color="auto"/>
              <w:right w:val="single" w:sz="4" w:space="0" w:color="auto"/>
            </w:tcBorders>
            <w:shd w:val="clear" w:color="auto" w:fill="auto"/>
            <w:vAlign w:val="center"/>
            <w:hideMark/>
          </w:tcPr>
          <w:p w14:paraId="0CFCF2DA" w14:textId="77777777" w:rsidR="00557F76" w:rsidRDefault="00557F76">
            <w:pPr>
              <w:jc w:val="right"/>
              <w:rPr>
                <w:rFonts w:ascii="Calibri" w:hAnsi="Calibri" w:cs="Calibri"/>
                <w:b/>
                <w:bCs/>
                <w:color w:val="000000"/>
                <w:sz w:val="22"/>
                <w:szCs w:val="22"/>
              </w:rPr>
            </w:pPr>
            <w:r>
              <w:rPr>
                <w:rFonts w:ascii="Calibri" w:hAnsi="Calibri" w:cs="Calibri"/>
                <w:b/>
                <w:bCs/>
                <w:color w:val="000000"/>
                <w:sz w:val="22"/>
                <w:szCs w:val="22"/>
              </w:rPr>
              <w:t>100.85</w:t>
            </w:r>
          </w:p>
        </w:tc>
        <w:tc>
          <w:tcPr>
            <w:tcW w:w="1700" w:type="dxa"/>
            <w:tcBorders>
              <w:top w:val="nil"/>
              <w:left w:val="nil"/>
              <w:bottom w:val="single" w:sz="4" w:space="0" w:color="auto"/>
              <w:right w:val="single" w:sz="4" w:space="0" w:color="auto"/>
            </w:tcBorders>
            <w:shd w:val="clear" w:color="auto" w:fill="auto"/>
            <w:vAlign w:val="center"/>
            <w:hideMark/>
          </w:tcPr>
          <w:p w14:paraId="5EFD5316" w14:textId="77777777" w:rsidR="00557F76" w:rsidRDefault="00557F76">
            <w:pPr>
              <w:jc w:val="right"/>
              <w:rPr>
                <w:rFonts w:ascii="Calibri" w:hAnsi="Calibri" w:cs="Calibri"/>
                <w:b/>
                <w:bCs/>
                <w:color w:val="000000"/>
                <w:sz w:val="22"/>
                <w:szCs w:val="22"/>
              </w:rPr>
            </w:pPr>
            <w:r>
              <w:rPr>
                <w:rFonts w:ascii="Calibri" w:hAnsi="Calibri" w:cs="Calibri"/>
                <w:b/>
                <w:bCs/>
                <w:color w:val="000000"/>
                <w:sz w:val="22"/>
                <w:szCs w:val="22"/>
              </w:rPr>
              <w:t> </w:t>
            </w:r>
          </w:p>
        </w:tc>
        <w:tc>
          <w:tcPr>
            <w:tcW w:w="1380" w:type="dxa"/>
            <w:tcBorders>
              <w:top w:val="nil"/>
              <w:left w:val="nil"/>
              <w:bottom w:val="single" w:sz="4" w:space="0" w:color="auto"/>
              <w:right w:val="single" w:sz="4" w:space="0" w:color="auto"/>
            </w:tcBorders>
            <w:shd w:val="clear" w:color="auto" w:fill="auto"/>
            <w:vAlign w:val="center"/>
            <w:hideMark/>
          </w:tcPr>
          <w:p w14:paraId="3769652D" w14:textId="77777777" w:rsidR="00557F76" w:rsidRDefault="00557F76">
            <w:pPr>
              <w:jc w:val="right"/>
              <w:rPr>
                <w:rFonts w:ascii="Calibri" w:hAnsi="Calibri" w:cs="Calibri"/>
                <w:b/>
                <w:bCs/>
                <w:sz w:val="22"/>
                <w:szCs w:val="22"/>
              </w:rPr>
            </w:pPr>
            <w:r>
              <w:rPr>
                <w:rFonts w:ascii="Calibri" w:hAnsi="Calibri" w:cs="Calibri"/>
                <w:b/>
                <w:bCs/>
                <w:sz w:val="22"/>
                <w:szCs w:val="22"/>
              </w:rPr>
              <w:t> </w:t>
            </w:r>
          </w:p>
        </w:tc>
      </w:tr>
      <w:tr w:rsidR="00557F76" w14:paraId="4473126F" w14:textId="77777777" w:rsidTr="00557F76">
        <w:trPr>
          <w:trHeight w:val="319"/>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02C0AE65"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Total Special Appropriation (C)</w:t>
            </w:r>
          </w:p>
        </w:tc>
        <w:tc>
          <w:tcPr>
            <w:tcW w:w="1480" w:type="dxa"/>
            <w:tcBorders>
              <w:top w:val="nil"/>
              <w:left w:val="nil"/>
              <w:bottom w:val="single" w:sz="4" w:space="0" w:color="auto"/>
              <w:right w:val="single" w:sz="4" w:space="0" w:color="auto"/>
            </w:tcBorders>
            <w:shd w:val="clear" w:color="auto" w:fill="auto"/>
            <w:vAlign w:val="center"/>
            <w:hideMark/>
          </w:tcPr>
          <w:p w14:paraId="34EF03ED" w14:textId="77777777" w:rsidR="00557F76" w:rsidRDefault="00557F76">
            <w:pPr>
              <w:jc w:val="right"/>
              <w:rPr>
                <w:rFonts w:ascii="Calibri" w:hAnsi="Calibri" w:cs="Calibri"/>
                <w:b/>
                <w:bCs/>
                <w:color w:val="000000"/>
                <w:sz w:val="22"/>
                <w:szCs w:val="22"/>
              </w:rPr>
            </w:pPr>
            <w:r>
              <w:rPr>
                <w:rFonts w:ascii="Calibri" w:hAnsi="Calibri" w:cs="Calibri"/>
                <w:b/>
                <w:bCs/>
                <w:color w:val="000000"/>
                <w:sz w:val="22"/>
                <w:szCs w:val="22"/>
              </w:rPr>
              <w:t>-100.85</w:t>
            </w:r>
          </w:p>
        </w:tc>
        <w:tc>
          <w:tcPr>
            <w:tcW w:w="1700" w:type="dxa"/>
            <w:tcBorders>
              <w:top w:val="nil"/>
              <w:left w:val="nil"/>
              <w:bottom w:val="single" w:sz="4" w:space="0" w:color="auto"/>
              <w:right w:val="single" w:sz="4" w:space="0" w:color="auto"/>
            </w:tcBorders>
            <w:shd w:val="clear" w:color="auto" w:fill="auto"/>
            <w:vAlign w:val="center"/>
            <w:hideMark/>
          </w:tcPr>
          <w:p w14:paraId="50766D85"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 </w:t>
            </w:r>
          </w:p>
        </w:tc>
        <w:tc>
          <w:tcPr>
            <w:tcW w:w="1380" w:type="dxa"/>
            <w:tcBorders>
              <w:top w:val="nil"/>
              <w:left w:val="nil"/>
              <w:bottom w:val="single" w:sz="4" w:space="0" w:color="auto"/>
              <w:right w:val="single" w:sz="4" w:space="0" w:color="auto"/>
            </w:tcBorders>
            <w:shd w:val="clear" w:color="auto" w:fill="auto"/>
            <w:vAlign w:val="center"/>
            <w:hideMark/>
          </w:tcPr>
          <w:p w14:paraId="6A5470AA" w14:textId="77777777" w:rsidR="00557F76" w:rsidRDefault="00557F76">
            <w:pPr>
              <w:rPr>
                <w:rFonts w:ascii="Calibri" w:hAnsi="Calibri" w:cs="Calibri"/>
                <w:b/>
                <w:bCs/>
                <w:sz w:val="22"/>
                <w:szCs w:val="22"/>
              </w:rPr>
            </w:pPr>
            <w:r>
              <w:rPr>
                <w:rFonts w:ascii="Calibri" w:hAnsi="Calibri" w:cs="Calibri"/>
                <w:b/>
                <w:bCs/>
                <w:sz w:val="22"/>
                <w:szCs w:val="22"/>
              </w:rPr>
              <w:t> </w:t>
            </w:r>
          </w:p>
        </w:tc>
      </w:tr>
      <w:tr w:rsidR="00557F76" w14:paraId="7C9624DD" w14:textId="77777777" w:rsidTr="00557F76">
        <w:trPr>
          <w:trHeight w:val="282"/>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0D96FCA7"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Total Revenue Requirement (A+B+C)</w:t>
            </w:r>
          </w:p>
        </w:tc>
        <w:tc>
          <w:tcPr>
            <w:tcW w:w="1480" w:type="dxa"/>
            <w:tcBorders>
              <w:top w:val="nil"/>
              <w:left w:val="nil"/>
              <w:bottom w:val="single" w:sz="4" w:space="0" w:color="auto"/>
              <w:right w:val="single" w:sz="4" w:space="0" w:color="auto"/>
            </w:tcBorders>
            <w:shd w:val="clear" w:color="auto" w:fill="auto"/>
            <w:vAlign w:val="center"/>
            <w:hideMark/>
          </w:tcPr>
          <w:p w14:paraId="74673B5A" w14:textId="77777777" w:rsidR="00557F76" w:rsidRDefault="00557F76">
            <w:pPr>
              <w:jc w:val="right"/>
              <w:rPr>
                <w:rFonts w:ascii="Calibri" w:hAnsi="Calibri" w:cs="Calibri"/>
                <w:b/>
                <w:bCs/>
                <w:color w:val="000000"/>
                <w:sz w:val="22"/>
                <w:szCs w:val="22"/>
              </w:rPr>
            </w:pPr>
            <w:r>
              <w:rPr>
                <w:rFonts w:ascii="Calibri" w:hAnsi="Calibri" w:cs="Calibri"/>
                <w:b/>
                <w:bCs/>
                <w:color w:val="000000"/>
                <w:sz w:val="22"/>
                <w:szCs w:val="22"/>
              </w:rPr>
              <w:t>5732.28</w:t>
            </w:r>
          </w:p>
        </w:tc>
        <w:tc>
          <w:tcPr>
            <w:tcW w:w="1700" w:type="dxa"/>
            <w:tcBorders>
              <w:top w:val="nil"/>
              <w:left w:val="nil"/>
              <w:bottom w:val="single" w:sz="4" w:space="0" w:color="auto"/>
              <w:right w:val="single" w:sz="4" w:space="0" w:color="auto"/>
            </w:tcBorders>
            <w:shd w:val="clear" w:color="auto" w:fill="auto"/>
            <w:vAlign w:val="center"/>
            <w:hideMark/>
          </w:tcPr>
          <w:p w14:paraId="375CDDBD" w14:textId="77777777" w:rsidR="00557F76" w:rsidRDefault="00557F76">
            <w:pPr>
              <w:jc w:val="right"/>
              <w:rPr>
                <w:rFonts w:ascii="Calibri" w:hAnsi="Calibri" w:cs="Calibri"/>
                <w:b/>
                <w:bCs/>
                <w:color w:val="000000"/>
                <w:sz w:val="22"/>
                <w:szCs w:val="22"/>
              </w:rPr>
            </w:pPr>
            <w:r>
              <w:rPr>
                <w:rFonts w:ascii="Calibri" w:hAnsi="Calibri" w:cs="Calibri"/>
                <w:b/>
                <w:bCs/>
                <w:color w:val="000000"/>
                <w:sz w:val="22"/>
                <w:szCs w:val="22"/>
              </w:rPr>
              <w:t>6389.98</w:t>
            </w:r>
          </w:p>
        </w:tc>
        <w:tc>
          <w:tcPr>
            <w:tcW w:w="1380" w:type="dxa"/>
            <w:tcBorders>
              <w:top w:val="nil"/>
              <w:left w:val="nil"/>
              <w:bottom w:val="single" w:sz="4" w:space="0" w:color="auto"/>
              <w:right w:val="single" w:sz="4" w:space="0" w:color="auto"/>
            </w:tcBorders>
            <w:shd w:val="clear" w:color="auto" w:fill="auto"/>
            <w:vAlign w:val="center"/>
            <w:hideMark/>
          </w:tcPr>
          <w:p w14:paraId="00B360D3" w14:textId="77777777" w:rsidR="00557F76" w:rsidRDefault="00557F76">
            <w:pPr>
              <w:jc w:val="right"/>
              <w:rPr>
                <w:rFonts w:ascii="Calibri" w:hAnsi="Calibri" w:cs="Calibri"/>
                <w:b/>
                <w:bCs/>
                <w:sz w:val="22"/>
                <w:szCs w:val="22"/>
              </w:rPr>
            </w:pPr>
            <w:r>
              <w:rPr>
                <w:rFonts w:ascii="Calibri" w:hAnsi="Calibri" w:cs="Calibri"/>
                <w:b/>
                <w:bCs/>
                <w:sz w:val="22"/>
                <w:szCs w:val="22"/>
              </w:rPr>
              <w:t>6345.75</w:t>
            </w:r>
          </w:p>
        </w:tc>
      </w:tr>
      <w:tr w:rsidR="00557F76" w14:paraId="6526E68B"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2711248E"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Total Revenue (Full year) on accrual basis</w:t>
            </w:r>
          </w:p>
        </w:tc>
        <w:tc>
          <w:tcPr>
            <w:tcW w:w="1480" w:type="dxa"/>
            <w:tcBorders>
              <w:top w:val="nil"/>
              <w:left w:val="nil"/>
              <w:bottom w:val="single" w:sz="4" w:space="0" w:color="auto"/>
              <w:right w:val="single" w:sz="4" w:space="0" w:color="auto"/>
            </w:tcBorders>
            <w:shd w:val="clear" w:color="auto" w:fill="auto"/>
            <w:vAlign w:val="center"/>
            <w:hideMark/>
          </w:tcPr>
          <w:p w14:paraId="57B41AC0" w14:textId="77777777" w:rsidR="00557F76" w:rsidRDefault="00557F76">
            <w:pPr>
              <w:jc w:val="right"/>
              <w:rPr>
                <w:rFonts w:ascii="Calibri" w:hAnsi="Calibri" w:cs="Calibri"/>
                <w:b/>
                <w:bCs/>
                <w:color w:val="000000"/>
                <w:sz w:val="22"/>
                <w:szCs w:val="22"/>
              </w:rPr>
            </w:pPr>
            <w:r>
              <w:rPr>
                <w:rFonts w:ascii="Calibri" w:hAnsi="Calibri" w:cs="Calibri"/>
                <w:b/>
                <w:bCs/>
                <w:color w:val="000000"/>
                <w:sz w:val="22"/>
                <w:szCs w:val="22"/>
              </w:rPr>
              <w:t>5738.59</w:t>
            </w:r>
          </w:p>
        </w:tc>
        <w:tc>
          <w:tcPr>
            <w:tcW w:w="1700" w:type="dxa"/>
            <w:tcBorders>
              <w:top w:val="nil"/>
              <w:left w:val="nil"/>
              <w:bottom w:val="single" w:sz="4" w:space="0" w:color="auto"/>
              <w:right w:val="single" w:sz="4" w:space="0" w:color="auto"/>
            </w:tcBorders>
            <w:shd w:val="clear" w:color="auto" w:fill="auto"/>
            <w:vAlign w:val="center"/>
            <w:hideMark/>
          </w:tcPr>
          <w:p w14:paraId="33731650" w14:textId="77777777" w:rsidR="00557F76" w:rsidRDefault="00557F76">
            <w:pPr>
              <w:jc w:val="right"/>
              <w:rPr>
                <w:rFonts w:ascii="Calibri" w:hAnsi="Calibri" w:cs="Calibri"/>
                <w:b/>
                <w:bCs/>
                <w:color w:val="000000"/>
                <w:sz w:val="22"/>
                <w:szCs w:val="22"/>
              </w:rPr>
            </w:pPr>
            <w:r>
              <w:rPr>
                <w:rFonts w:ascii="Calibri" w:hAnsi="Calibri" w:cs="Calibri"/>
                <w:b/>
                <w:bCs/>
                <w:color w:val="000000"/>
                <w:sz w:val="22"/>
                <w:szCs w:val="22"/>
              </w:rPr>
              <w:t>5880.11</w:t>
            </w:r>
          </w:p>
        </w:tc>
        <w:tc>
          <w:tcPr>
            <w:tcW w:w="1380" w:type="dxa"/>
            <w:tcBorders>
              <w:top w:val="nil"/>
              <w:left w:val="nil"/>
              <w:bottom w:val="single" w:sz="4" w:space="0" w:color="auto"/>
              <w:right w:val="single" w:sz="4" w:space="0" w:color="auto"/>
            </w:tcBorders>
            <w:shd w:val="clear" w:color="auto" w:fill="auto"/>
            <w:vAlign w:val="center"/>
            <w:hideMark/>
          </w:tcPr>
          <w:p w14:paraId="612BB761" w14:textId="77777777" w:rsidR="00557F76" w:rsidRDefault="00557F76">
            <w:pPr>
              <w:jc w:val="right"/>
              <w:rPr>
                <w:rFonts w:ascii="Calibri" w:hAnsi="Calibri" w:cs="Calibri"/>
                <w:b/>
                <w:bCs/>
                <w:sz w:val="22"/>
                <w:szCs w:val="22"/>
              </w:rPr>
            </w:pPr>
            <w:r>
              <w:rPr>
                <w:rFonts w:ascii="Calibri" w:hAnsi="Calibri" w:cs="Calibri"/>
                <w:b/>
                <w:bCs/>
                <w:sz w:val="22"/>
                <w:szCs w:val="22"/>
              </w:rPr>
              <w:t>5880.11</w:t>
            </w:r>
          </w:p>
        </w:tc>
      </w:tr>
      <w:tr w:rsidR="00557F76" w14:paraId="0829C5F4"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20674853"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GAP at existing (+/-) on accrual basis</w:t>
            </w:r>
          </w:p>
        </w:tc>
        <w:tc>
          <w:tcPr>
            <w:tcW w:w="1480" w:type="dxa"/>
            <w:tcBorders>
              <w:top w:val="nil"/>
              <w:left w:val="nil"/>
              <w:bottom w:val="single" w:sz="4" w:space="0" w:color="auto"/>
              <w:right w:val="single" w:sz="4" w:space="0" w:color="auto"/>
            </w:tcBorders>
            <w:shd w:val="clear" w:color="auto" w:fill="auto"/>
            <w:vAlign w:val="center"/>
            <w:hideMark/>
          </w:tcPr>
          <w:p w14:paraId="354E6C39" w14:textId="77777777" w:rsidR="00557F76" w:rsidRDefault="00557F76">
            <w:pPr>
              <w:jc w:val="right"/>
              <w:rPr>
                <w:rFonts w:ascii="Calibri" w:hAnsi="Calibri" w:cs="Calibri"/>
                <w:b/>
                <w:bCs/>
                <w:color w:val="000000"/>
                <w:sz w:val="22"/>
                <w:szCs w:val="22"/>
              </w:rPr>
            </w:pPr>
            <w:r>
              <w:rPr>
                <w:rFonts w:ascii="Calibri" w:hAnsi="Calibri" w:cs="Calibri"/>
                <w:b/>
                <w:bCs/>
                <w:color w:val="000000"/>
                <w:sz w:val="22"/>
                <w:szCs w:val="22"/>
              </w:rPr>
              <w:t>6.32</w:t>
            </w:r>
          </w:p>
        </w:tc>
        <w:tc>
          <w:tcPr>
            <w:tcW w:w="1700" w:type="dxa"/>
            <w:tcBorders>
              <w:top w:val="nil"/>
              <w:left w:val="nil"/>
              <w:bottom w:val="single" w:sz="4" w:space="0" w:color="auto"/>
              <w:right w:val="single" w:sz="4" w:space="0" w:color="auto"/>
            </w:tcBorders>
            <w:shd w:val="clear" w:color="auto" w:fill="auto"/>
            <w:vAlign w:val="center"/>
            <w:hideMark/>
          </w:tcPr>
          <w:p w14:paraId="1C9A98E8" w14:textId="77777777" w:rsidR="00557F76" w:rsidRDefault="00557F76">
            <w:pPr>
              <w:jc w:val="right"/>
              <w:rPr>
                <w:rFonts w:ascii="Calibri" w:hAnsi="Calibri" w:cs="Calibri"/>
                <w:b/>
                <w:bCs/>
                <w:color w:val="000000"/>
                <w:sz w:val="22"/>
                <w:szCs w:val="22"/>
              </w:rPr>
            </w:pPr>
            <w:r>
              <w:rPr>
                <w:rFonts w:ascii="Calibri" w:hAnsi="Calibri" w:cs="Calibri"/>
                <w:b/>
                <w:bCs/>
                <w:color w:val="000000"/>
                <w:sz w:val="22"/>
                <w:szCs w:val="22"/>
              </w:rPr>
              <w:t>-509.87</w:t>
            </w:r>
          </w:p>
        </w:tc>
        <w:tc>
          <w:tcPr>
            <w:tcW w:w="1380" w:type="dxa"/>
            <w:tcBorders>
              <w:top w:val="nil"/>
              <w:left w:val="nil"/>
              <w:bottom w:val="single" w:sz="4" w:space="0" w:color="auto"/>
              <w:right w:val="single" w:sz="4" w:space="0" w:color="auto"/>
            </w:tcBorders>
            <w:shd w:val="clear" w:color="auto" w:fill="auto"/>
            <w:vAlign w:val="center"/>
            <w:hideMark/>
          </w:tcPr>
          <w:p w14:paraId="71E8B9B8" w14:textId="77777777" w:rsidR="00557F76" w:rsidRDefault="00557F76">
            <w:pPr>
              <w:jc w:val="right"/>
              <w:rPr>
                <w:rFonts w:ascii="Calibri" w:hAnsi="Calibri" w:cs="Calibri"/>
                <w:b/>
                <w:bCs/>
                <w:color w:val="000000"/>
                <w:sz w:val="22"/>
                <w:szCs w:val="22"/>
              </w:rPr>
            </w:pPr>
            <w:r>
              <w:rPr>
                <w:rFonts w:ascii="Calibri" w:hAnsi="Calibri" w:cs="Calibri"/>
                <w:b/>
                <w:bCs/>
                <w:color w:val="000000"/>
                <w:sz w:val="22"/>
                <w:szCs w:val="22"/>
              </w:rPr>
              <w:t>-465.64</w:t>
            </w:r>
          </w:p>
        </w:tc>
      </w:tr>
      <w:tr w:rsidR="00557F76" w14:paraId="3A8C7E1A" w14:textId="77777777" w:rsidTr="00557F76">
        <w:trPr>
          <w:trHeight w:val="282"/>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459BC9BA"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(GAP)/ Surplus carried forward from past years:</w:t>
            </w:r>
          </w:p>
        </w:tc>
        <w:tc>
          <w:tcPr>
            <w:tcW w:w="1480" w:type="dxa"/>
            <w:tcBorders>
              <w:top w:val="nil"/>
              <w:left w:val="nil"/>
              <w:bottom w:val="single" w:sz="4" w:space="0" w:color="auto"/>
              <w:right w:val="single" w:sz="4" w:space="0" w:color="auto"/>
            </w:tcBorders>
            <w:shd w:val="clear" w:color="auto" w:fill="auto"/>
            <w:noWrap/>
            <w:vAlign w:val="bottom"/>
            <w:hideMark/>
          </w:tcPr>
          <w:p w14:paraId="0496C53B" w14:textId="77777777" w:rsidR="00557F76" w:rsidRDefault="00557F76">
            <w:pPr>
              <w:rPr>
                <w:rFonts w:ascii="Calibri" w:hAnsi="Calibri" w:cs="Calibri"/>
                <w:color w:val="000000"/>
                <w:sz w:val="22"/>
                <w:szCs w:val="22"/>
              </w:rPr>
            </w:pPr>
            <w:r>
              <w:rPr>
                <w:rFonts w:ascii="Calibri" w:hAnsi="Calibri" w:cs="Calibri"/>
                <w:color w:val="000000"/>
                <w:sz w:val="22"/>
                <w:szCs w:val="22"/>
              </w:rPr>
              <w:t> </w:t>
            </w:r>
          </w:p>
        </w:tc>
        <w:tc>
          <w:tcPr>
            <w:tcW w:w="1700" w:type="dxa"/>
            <w:tcBorders>
              <w:top w:val="nil"/>
              <w:left w:val="nil"/>
              <w:bottom w:val="single" w:sz="4" w:space="0" w:color="auto"/>
              <w:right w:val="single" w:sz="4" w:space="0" w:color="auto"/>
            </w:tcBorders>
            <w:shd w:val="clear" w:color="auto" w:fill="auto"/>
            <w:noWrap/>
            <w:vAlign w:val="bottom"/>
            <w:hideMark/>
          </w:tcPr>
          <w:p w14:paraId="2719280D" w14:textId="77777777" w:rsidR="00557F76" w:rsidRDefault="00557F76">
            <w:pP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14:paraId="0B22365E" w14:textId="77777777" w:rsidR="00557F76" w:rsidRDefault="00557F76">
            <w:pPr>
              <w:rPr>
                <w:rFonts w:ascii="Calibri" w:hAnsi="Calibri" w:cs="Calibri"/>
                <w:color w:val="000000"/>
                <w:sz w:val="22"/>
                <w:szCs w:val="22"/>
              </w:rPr>
            </w:pPr>
            <w:r>
              <w:rPr>
                <w:rFonts w:ascii="Calibri" w:hAnsi="Calibri" w:cs="Calibri"/>
                <w:color w:val="000000"/>
                <w:sz w:val="22"/>
                <w:szCs w:val="22"/>
              </w:rPr>
              <w:t> </w:t>
            </w:r>
          </w:p>
        </w:tc>
      </w:tr>
      <w:tr w:rsidR="00557F76" w14:paraId="1407CC24" w14:textId="77777777" w:rsidTr="00557F76">
        <w:trPr>
          <w:trHeight w:val="6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3ACE9000"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Surplus for FY 20-21 (Jan'21 to Mar'21) (OERC Approved)</w:t>
            </w:r>
          </w:p>
        </w:tc>
        <w:tc>
          <w:tcPr>
            <w:tcW w:w="1480" w:type="dxa"/>
            <w:tcBorders>
              <w:top w:val="nil"/>
              <w:left w:val="nil"/>
              <w:bottom w:val="single" w:sz="4" w:space="0" w:color="auto"/>
              <w:right w:val="single" w:sz="4" w:space="0" w:color="auto"/>
            </w:tcBorders>
            <w:shd w:val="clear" w:color="auto" w:fill="auto"/>
            <w:noWrap/>
            <w:vAlign w:val="bottom"/>
            <w:hideMark/>
          </w:tcPr>
          <w:p w14:paraId="217720B3" w14:textId="77777777" w:rsidR="00557F76" w:rsidRDefault="00557F76">
            <w:pPr>
              <w:rPr>
                <w:rFonts w:ascii="Calibri" w:hAnsi="Calibri" w:cs="Calibri"/>
                <w:color w:val="000000"/>
                <w:sz w:val="22"/>
                <w:szCs w:val="22"/>
              </w:rPr>
            </w:pPr>
            <w:r>
              <w:rPr>
                <w:rFonts w:ascii="Calibri" w:hAnsi="Calibri" w:cs="Calibri"/>
                <w:color w:val="000000"/>
                <w:sz w:val="22"/>
                <w:szCs w:val="22"/>
              </w:rPr>
              <w:t> </w:t>
            </w:r>
          </w:p>
        </w:tc>
        <w:tc>
          <w:tcPr>
            <w:tcW w:w="1700" w:type="dxa"/>
            <w:tcBorders>
              <w:top w:val="nil"/>
              <w:left w:val="nil"/>
              <w:bottom w:val="single" w:sz="4" w:space="0" w:color="auto"/>
              <w:right w:val="single" w:sz="4" w:space="0" w:color="auto"/>
            </w:tcBorders>
            <w:shd w:val="clear" w:color="auto" w:fill="auto"/>
            <w:noWrap/>
            <w:vAlign w:val="bottom"/>
            <w:hideMark/>
          </w:tcPr>
          <w:p w14:paraId="722E3E8D" w14:textId="77777777" w:rsidR="00557F76" w:rsidRDefault="00557F76">
            <w:pP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14:paraId="7322AB05"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94.86</w:t>
            </w:r>
          </w:p>
        </w:tc>
      </w:tr>
      <w:tr w:rsidR="00557F76" w14:paraId="4CCA1394"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0A2F3528"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Surplus for FY 21-22 (OERC Approved)</w:t>
            </w:r>
          </w:p>
        </w:tc>
        <w:tc>
          <w:tcPr>
            <w:tcW w:w="1480" w:type="dxa"/>
            <w:tcBorders>
              <w:top w:val="nil"/>
              <w:left w:val="nil"/>
              <w:bottom w:val="single" w:sz="4" w:space="0" w:color="auto"/>
              <w:right w:val="single" w:sz="4" w:space="0" w:color="auto"/>
            </w:tcBorders>
            <w:shd w:val="clear" w:color="auto" w:fill="auto"/>
            <w:noWrap/>
            <w:vAlign w:val="bottom"/>
            <w:hideMark/>
          </w:tcPr>
          <w:p w14:paraId="5016FC39" w14:textId="77777777" w:rsidR="00557F76" w:rsidRDefault="00557F76">
            <w:pPr>
              <w:rPr>
                <w:rFonts w:ascii="Calibri" w:hAnsi="Calibri" w:cs="Calibri"/>
                <w:color w:val="000000"/>
                <w:sz w:val="22"/>
                <w:szCs w:val="22"/>
              </w:rPr>
            </w:pPr>
            <w:r>
              <w:rPr>
                <w:rFonts w:ascii="Calibri" w:hAnsi="Calibri" w:cs="Calibri"/>
                <w:color w:val="000000"/>
                <w:sz w:val="22"/>
                <w:szCs w:val="22"/>
              </w:rPr>
              <w:t> </w:t>
            </w:r>
          </w:p>
        </w:tc>
        <w:tc>
          <w:tcPr>
            <w:tcW w:w="1700" w:type="dxa"/>
            <w:tcBorders>
              <w:top w:val="nil"/>
              <w:left w:val="nil"/>
              <w:bottom w:val="single" w:sz="4" w:space="0" w:color="auto"/>
              <w:right w:val="single" w:sz="4" w:space="0" w:color="auto"/>
            </w:tcBorders>
            <w:shd w:val="clear" w:color="auto" w:fill="auto"/>
            <w:noWrap/>
            <w:vAlign w:val="bottom"/>
            <w:hideMark/>
          </w:tcPr>
          <w:p w14:paraId="1CD6F57E" w14:textId="77777777" w:rsidR="00557F76" w:rsidRDefault="00557F76">
            <w:pP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14:paraId="7D94B3FE"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609.96</w:t>
            </w:r>
          </w:p>
        </w:tc>
      </w:tr>
      <w:tr w:rsidR="00557F76" w14:paraId="7B055CF6"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7F5DFBCA"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Surplus for FY 22-23 (OERC Approved)</w:t>
            </w:r>
          </w:p>
        </w:tc>
        <w:tc>
          <w:tcPr>
            <w:tcW w:w="1480" w:type="dxa"/>
            <w:tcBorders>
              <w:top w:val="nil"/>
              <w:left w:val="nil"/>
              <w:bottom w:val="single" w:sz="4" w:space="0" w:color="auto"/>
              <w:right w:val="single" w:sz="4" w:space="0" w:color="auto"/>
            </w:tcBorders>
            <w:shd w:val="clear" w:color="auto" w:fill="auto"/>
            <w:noWrap/>
            <w:vAlign w:val="bottom"/>
            <w:hideMark/>
          </w:tcPr>
          <w:p w14:paraId="53916B38" w14:textId="77777777" w:rsidR="00557F76" w:rsidRDefault="00557F76">
            <w:pPr>
              <w:rPr>
                <w:rFonts w:ascii="Calibri" w:hAnsi="Calibri" w:cs="Calibri"/>
                <w:color w:val="000000"/>
                <w:sz w:val="22"/>
                <w:szCs w:val="22"/>
              </w:rPr>
            </w:pPr>
            <w:r>
              <w:rPr>
                <w:rFonts w:ascii="Calibri" w:hAnsi="Calibri" w:cs="Calibri"/>
                <w:color w:val="000000"/>
                <w:sz w:val="22"/>
                <w:szCs w:val="22"/>
              </w:rPr>
              <w:t> </w:t>
            </w:r>
          </w:p>
        </w:tc>
        <w:tc>
          <w:tcPr>
            <w:tcW w:w="1700" w:type="dxa"/>
            <w:tcBorders>
              <w:top w:val="nil"/>
              <w:left w:val="nil"/>
              <w:bottom w:val="single" w:sz="4" w:space="0" w:color="auto"/>
              <w:right w:val="single" w:sz="4" w:space="0" w:color="auto"/>
            </w:tcBorders>
            <w:shd w:val="clear" w:color="auto" w:fill="auto"/>
            <w:noWrap/>
            <w:vAlign w:val="bottom"/>
            <w:hideMark/>
          </w:tcPr>
          <w:p w14:paraId="0CCB207C" w14:textId="77777777" w:rsidR="00557F76" w:rsidRDefault="00557F76">
            <w:pP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14:paraId="67A9E00E"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649.76</w:t>
            </w:r>
          </w:p>
        </w:tc>
      </w:tr>
      <w:tr w:rsidR="00557F76" w14:paraId="19CCCBE1"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17CC4E71"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(Gap) for FY 23-24</w:t>
            </w:r>
          </w:p>
        </w:tc>
        <w:tc>
          <w:tcPr>
            <w:tcW w:w="1480" w:type="dxa"/>
            <w:tcBorders>
              <w:top w:val="nil"/>
              <w:left w:val="nil"/>
              <w:bottom w:val="single" w:sz="4" w:space="0" w:color="auto"/>
              <w:right w:val="single" w:sz="4" w:space="0" w:color="auto"/>
            </w:tcBorders>
            <w:shd w:val="clear" w:color="auto" w:fill="auto"/>
            <w:noWrap/>
            <w:vAlign w:val="bottom"/>
            <w:hideMark/>
          </w:tcPr>
          <w:p w14:paraId="13EA0F4F" w14:textId="77777777" w:rsidR="00557F76" w:rsidRDefault="00557F76">
            <w:pPr>
              <w:rPr>
                <w:rFonts w:ascii="Calibri" w:hAnsi="Calibri" w:cs="Calibri"/>
                <w:color w:val="000000"/>
                <w:sz w:val="22"/>
                <w:szCs w:val="22"/>
              </w:rPr>
            </w:pPr>
            <w:r>
              <w:rPr>
                <w:rFonts w:ascii="Calibri" w:hAnsi="Calibri" w:cs="Calibri"/>
                <w:color w:val="000000"/>
                <w:sz w:val="22"/>
                <w:szCs w:val="22"/>
              </w:rPr>
              <w:t> </w:t>
            </w:r>
          </w:p>
        </w:tc>
        <w:tc>
          <w:tcPr>
            <w:tcW w:w="1700" w:type="dxa"/>
            <w:tcBorders>
              <w:top w:val="nil"/>
              <w:left w:val="nil"/>
              <w:bottom w:val="single" w:sz="4" w:space="0" w:color="auto"/>
              <w:right w:val="single" w:sz="4" w:space="0" w:color="auto"/>
            </w:tcBorders>
            <w:shd w:val="clear" w:color="auto" w:fill="auto"/>
            <w:noWrap/>
            <w:vAlign w:val="bottom"/>
            <w:hideMark/>
          </w:tcPr>
          <w:p w14:paraId="1559FD67" w14:textId="77777777" w:rsidR="00557F76" w:rsidRDefault="00557F76">
            <w:pP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14:paraId="385B18A2"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-464.14</w:t>
            </w:r>
          </w:p>
        </w:tc>
      </w:tr>
      <w:tr w:rsidR="00557F76" w14:paraId="0C21DBDF"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60B64616"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(Gap) for FY 24-25</w:t>
            </w:r>
          </w:p>
        </w:tc>
        <w:tc>
          <w:tcPr>
            <w:tcW w:w="1480" w:type="dxa"/>
            <w:tcBorders>
              <w:top w:val="nil"/>
              <w:left w:val="nil"/>
              <w:bottom w:val="single" w:sz="4" w:space="0" w:color="auto"/>
              <w:right w:val="single" w:sz="4" w:space="0" w:color="auto"/>
            </w:tcBorders>
            <w:shd w:val="clear" w:color="auto" w:fill="auto"/>
            <w:noWrap/>
            <w:vAlign w:val="bottom"/>
            <w:hideMark/>
          </w:tcPr>
          <w:p w14:paraId="4BABA18B" w14:textId="77777777" w:rsidR="00557F76" w:rsidRDefault="00557F76">
            <w:pPr>
              <w:rPr>
                <w:rFonts w:ascii="Calibri" w:hAnsi="Calibri" w:cs="Calibri"/>
                <w:color w:val="000000"/>
                <w:sz w:val="22"/>
                <w:szCs w:val="22"/>
              </w:rPr>
            </w:pPr>
            <w:r>
              <w:rPr>
                <w:rFonts w:ascii="Calibri" w:hAnsi="Calibri" w:cs="Calibri"/>
                <w:color w:val="000000"/>
                <w:sz w:val="22"/>
                <w:szCs w:val="22"/>
              </w:rPr>
              <w:t> </w:t>
            </w:r>
          </w:p>
        </w:tc>
        <w:tc>
          <w:tcPr>
            <w:tcW w:w="1700" w:type="dxa"/>
            <w:tcBorders>
              <w:top w:val="nil"/>
              <w:left w:val="nil"/>
              <w:bottom w:val="single" w:sz="4" w:space="0" w:color="auto"/>
              <w:right w:val="single" w:sz="4" w:space="0" w:color="auto"/>
            </w:tcBorders>
            <w:shd w:val="clear" w:color="auto" w:fill="auto"/>
            <w:noWrap/>
            <w:vAlign w:val="bottom"/>
            <w:hideMark/>
          </w:tcPr>
          <w:p w14:paraId="12612C63" w14:textId="77777777" w:rsidR="00557F76" w:rsidRDefault="00557F76">
            <w:pP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14:paraId="34F0921B" w14:textId="77777777" w:rsidR="00557F76" w:rsidRDefault="00557F76">
            <w:pPr>
              <w:jc w:val="right"/>
              <w:rPr>
                <w:rFonts w:ascii="Calibri" w:hAnsi="Calibri" w:cs="Calibri"/>
                <w:color w:val="000000"/>
                <w:sz w:val="22"/>
                <w:szCs w:val="22"/>
              </w:rPr>
            </w:pPr>
            <w:r>
              <w:rPr>
                <w:rFonts w:ascii="Calibri" w:hAnsi="Calibri" w:cs="Calibri"/>
                <w:color w:val="000000"/>
                <w:sz w:val="22"/>
                <w:szCs w:val="22"/>
              </w:rPr>
              <w:t>-465.64</w:t>
            </w:r>
          </w:p>
        </w:tc>
      </w:tr>
      <w:tr w:rsidR="00557F76" w14:paraId="6423BA75" w14:textId="77777777" w:rsidTr="00557F76">
        <w:trPr>
          <w:trHeight w:val="300"/>
        </w:trPr>
        <w:tc>
          <w:tcPr>
            <w:tcW w:w="5260" w:type="dxa"/>
            <w:tcBorders>
              <w:top w:val="nil"/>
              <w:left w:val="single" w:sz="4" w:space="0" w:color="auto"/>
              <w:bottom w:val="single" w:sz="4" w:space="0" w:color="auto"/>
              <w:right w:val="single" w:sz="4" w:space="0" w:color="auto"/>
            </w:tcBorders>
            <w:shd w:val="clear" w:color="000000" w:fill="F2F2F2"/>
            <w:vAlign w:val="center"/>
            <w:hideMark/>
          </w:tcPr>
          <w:p w14:paraId="09FCA71F" w14:textId="77777777" w:rsidR="00557F76" w:rsidRDefault="00557F76">
            <w:pPr>
              <w:rPr>
                <w:rFonts w:ascii="Calibri" w:hAnsi="Calibri" w:cs="Calibri"/>
                <w:b/>
                <w:bCs/>
                <w:color w:val="000000"/>
                <w:sz w:val="22"/>
                <w:szCs w:val="22"/>
              </w:rPr>
            </w:pPr>
            <w:r>
              <w:rPr>
                <w:rFonts w:ascii="Calibri" w:hAnsi="Calibri" w:cs="Calibri"/>
                <w:b/>
                <w:bCs/>
                <w:color w:val="000000"/>
                <w:sz w:val="22"/>
                <w:szCs w:val="22"/>
              </w:rPr>
              <w:t>Cumulative Surplus till FY 24-25</w:t>
            </w:r>
          </w:p>
        </w:tc>
        <w:tc>
          <w:tcPr>
            <w:tcW w:w="1480" w:type="dxa"/>
            <w:tcBorders>
              <w:top w:val="nil"/>
              <w:left w:val="nil"/>
              <w:bottom w:val="single" w:sz="4" w:space="0" w:color="auto"/>
              <w:right w:val="single" w:sz="4" w:space="0" w:color="auto"/>
            </w:tcBorders>
            <w:shd w:val="clear" w:color="auto" w:fill="auto"/>
            <w:noWrap/>
            <w:vAlign w:val="bottom"/>
            <w:hideMark/>
          </w:tcPr>
          <w:p w14:paraId="3CA41113" w14:textId="77777777" w:rsidR="00557F76" w:rsidRDefault="00557F76">
            <w:pPr>
              <w:rPr>
                <w:rFonts w:ascii="Calibri" w:hAnsi="Calibri" w:cs="Calibri"/>
                <w:color w:val="000000"/>
                <w:sz w:val="22"/>
                <w:szCs w:val="22"/>
              </w:rPr>
            </w:pPr>
            <w:r>
              <w:rPr>
                <w:rFonts w:ascii="Calibri" w:hAnsi="Calibri" w:cs="Calibri"/>
                <w:color w:val="000000"/>
                <w:sz w:val="22"/>
                <w:szCs w:val="22"/>
              </w:rPr>
              <w:t> </w:t>
            </w:r>
          </w:p>
        </w:tc>
        <w:tc>
          <w:tcPr>
            <w:tcW w:w="1700" w:type="dxa"/>
            <w:tcBorders>
              <w:top w:val="nil"/>
              <w:left w:val="nil"/>
              <w:bottom w:val="single" w:sz="4" w:space="0" w:color="auto"/>
              <w:right w:val="single" w:sz="4" w:space="0" w:color="auto"/>
            </w:tcBorders>
            <w:shd w:val="clear" w:color="auto" w:fill="auto"/>
            <w:noWrap/>
            <w:vAlign w:val="bottom"/>
            <w:hideMark/>
          </w:tcPr>
          <w:p w14:paraId="7D2FE44F" w14:textId="77777777" w:rsidR="00557F76" w:rsidRDefault="00557F76">
            <w:pPr>
              <w:rPr>
                <w:rFonts w:ascii="Calibri" w:hAnsi="Calibri" w:cs="Calibri"/>
                <w:color w:val="000000"/>
                <w:sz w:val="22"/>
                <w:szCs w:val="22"/>
              </w:rPr>
            </w:pPr>
            <w:r>
              <w:rPr>
                <w:rFonts w:ascii="Calibri" w:hAnsi="Calibri" w:cs="Calibri"/>
                <w:color w:val="000000"/>
                <w:sz w:val="22"/>
                <w:szCs w:val="22"/>
              </w:rPr>
              <w:t> </w:t>
            </w:r>
          </w:p>
        </w:tc>
        <w:tc>
          <w:tcPr>
            <w:tcW w:w="1380" w:type="dxa"/>
            <w:tcBorders>
              <w:top w:val="nil"/>
              <w:left w:val="nil"/>
              <w:bottom w:val="single" w:sz="4" w:space="0" w:color="auto"/>
              <w:right w:val="single" w:sz="4" w:space="0" w:color="auto"/>
            </w:tcBorders>
            <w:shd w:val="clear" w:color="auto" w:fill="auto"/>
            <w:noWrap/>
            <w:vAlign w:val="bottom"/>
            <w:hideMark/>
          </w:tcPr>
          <w:p w14:paraId="3156A5CF" w14:textId="77777777" w:rsidR="00557F76" w:rsidRDefault="00557F76">
            <w:pPr>
              <w:jc w:val="right"/>
              <w:rPr>
                <w:rFonts w:ascii="Calibri" w:hAnsi="Calibri" w:cs="Calibri"/>
                <w:b/>
                <w:bCs/>
                <w:color w:val="000000"/>
                <w:sz w:val="22"/>
                <w:szCs w:val="22"/>
              </w:rPr>
            </w:pPr>
            <w:r>
              <w:rPr>
                <w:rFonts w:ascii="Calibri" w:hAnsi="Calibri" w:cs="Calibri"/>
                <w:b/>
                <w:bCs/>
                <w:color w:val="000000"/>
                <w:sz w:val="22"/>
                <w:szCs w:val="22"/>
              </w:rPr>
              <w:t>424.81</w:t>
            </w:r>
          </w:p>
        </w:tc>
      </w:tr>
    </w:tbl>
    <w:p w14:paraId="5E5777A4" w14:textId="77777777" w:rsidR="00557F76" w:rsidRPr="00031FA4" w:rsidRDefault="00557F76" w:rsidP="00927C31">
      <w:pPr>
        <w:autoSpaceDE w:val="0"/>
        <w:autoSpaceDN w:val="0"/>
        <w:adjustRightInd w:val="0"/>
        <w:spacing w:line="360" w:lineRule="auto"/>
        <w:ind w:hanging="709"/>
        <w:jc w:val="both"/>
      </w:pPr>
    </w:p>
    <w:p w14:paraId="6B0C4F0D" w14:textId="77777777" w:rsidR="00927C31" w:rsidRDefault="00927C31">
      <w:pPr>
        <w:rPr>
          <w:rFonts w:ascii="Cambria" w:hAnsi="Cambria"/>
        </w:rPr>
      </w:pPr>
    </w:p>
    <w:p w14:paraId="145C988A" w14:textId="67921A6A" w:rsidR="003A7FF5" w:rsidRDefault="003A7FF5">
      <w:pPr>
        <w:rPr>
          <w:rFonts w:ascii="Cambria" w:hAnsi="Cambria" w:cs="Arial"/>
          <w:b/>
          <w:bCs/>
          <w:kern w:val="32"/>
        </w:rPr>
      </w:pPr>
      <w:r>
        <w:rPr>
          <w:rFonts w:ascii="Cambria" w:hAnsi="Cambria"/>
        </w:rPr>
        <w:br w:type="page"/>
      </w:r>
    </w:p>
    <w:p w14:paraId="3CEABF3B" w14:textId="5F8626B4" w:rsidR="009E0A9B" w:rsidRPr="00C62D16" w:rsidRDefault="00184D82" w:rsidP="00904B4F">
      <w:pPr>
        <w:pStyle w:val="Heading1"/>
        <w:numPr>
          <w:ilvl w:val="0"/>
          <w:numId w:val="1"/>
        </w:numPr>
        <w:spacing w:line="360" w:lineRule="auto"/>
        <w:jc w:val="both"/>
        <w:rPr>
          <w:rFonts w:ascii="Cambria" w:hAnsi="Cambria"/>
          <w:color w:val="000000" w:themeColor="text1"/>
          <w:sz w:val="24"/>
          <w:szCs w:val="24"/>
        </w:rPr>
      </w:pPr>
      <w:bookmarkStart w:id="162" w:name="_Hlk214726926"/>
      <w:bookmarkStart w:id="163" w:name="_Toc215250642"/>
      <w:r w:rsidRPr="00C62D16">
        <w:rPr>
          <w:rFonts w:ascii="Cambria" w:hAnsi="Cambria"/>
          <w:color w:val="000000" w:themeColor="text1"/>
          <w:sz w:val="24"/>
          <w:szCs w:val="24"/>
        </w:rPr>
        <w:t xml:space="preserve">Tariff Proposals and </w:t>
      </w:r>
      <w:r w:rsidR="009E0A9B" w:rsidRPr="00C62D16">
        <w:rPr>
          <w:rFonts w:ascii="Cambria" w:hAnsi="Cambria"/>
          <w:color w:val="000000" w:themeColor="text1"/>
          <w:sz w:val="24"/>
          <w:szCs w:val="24"/>
        </w:rPr>
        <w:t>Rationalization Measures</w:t>
      </w:r>
      <w:bookmarkEnd w:id="159"/>
      <w:bookmarkEnd w:id="160"/>
      <w:bookmarkEnd w:id="163"/>
    </w:p>
    <w:p w14:paraId="14B6FD7F" w14:textId="77777777" w:rsidR="00E87D7A" w:rsidRPr="00DE064F" w:rsidRDefault="00E87D7A" w:rsidP="004F0D72">
      <w:pPr>
        <w:rPr>
          <w:b/>
        </w:rPr>
      </w:pPr>
    </w:p>
    <w:p w14:paraId="1911F9C6" w14:textId="5AA11E5D" w:rsidR="002D5647" w:rsidRPr="00DE064F" w:rsidRDefault="002D5647" w:rsidP="002D5647">
      <w:pPr>
        <w:spacing w:line="360" w:lineRule="auto"/>
        <w:jc w:val="both"/>
        <w:rPr>
          <w:rFonts w:asciiTheme="majorHAnsi" w:hAnsiTheme="majorHAnsi"/>
        </w:rPr>
      </w:pPr>
      <w:r w:rsidRPr="00DE064F">
        <w:rPr>
          <w:rFonts w:asciiTheme="majorHAnsi" w:hAnsiTheme="majorHAnsi"/>
        </w:rPr>
        <w:t>The Hon’ble Commission has taken</w:t>
      </w:r>
      <w:r w:rsidR="0086713A">
        <w:rPr>
          <w:rFonts w:asciiTheme="majorHAnsi" w:hAnsiTheme="majorHAnsi"/>
        </w:rPr>
        <w:t xml:space="preserve"> numerous </w:t>
      </w:r>
      <w:r w:rsidRPr="00DE064F">
        <w:rPr>
          <w:rFonts w:asciiTheme="majorHAnsi" w:hAnsiTheme="majorHAnsi"/>
        </w:rPr>
        <w:t xml:space="preserve">steps in introducing a number of new schemes through which all the consumers across all the licensees could be able to avail reliable power supply at affordable rate. Specifically, for industries a competitive tariff </w:t>
      </w:r>
      <w:r w:rsidR="0086713A">
        <w:rPr>
          <w:rFonts w:asciiTheme="majorHAnsi" w:hAnsiTheme="majorHAnsi"/>
        </w:rPr>
        <w:t>as</w:t>
      </w:r>
      <w:r w:rsidRPr="00DE064F">
        <w:rPr>
          <w:rFonts w:asciiTheme="majorHAnsi" w:hAnsiTheme="majorHAnsi"/>
        </w:rPr>
        <w:t xml:space="preserve"> compared to industrial tariff of adjacent States.  The licensee again proposes the continuity of th</w:t>
      </w:r>
      <w:r w:rsidR="0086713A">
        <w:rPr>
          <w:rFonts w:asciiTheme="majorHAnsi" w:hAnsiTheme="majorHAnsi"/>
        </w:rPr>
        <w:t>ese</w:t>
      </w:r>
      <w:r w:rsidRPr="00DE064F">
        <w:rPr>
          <w:rFonts w:asciiTheme="majorHAnsi" w:hAnsiTheme="majorHAnsi"/>
        </w:rPr>
        <w:t xml:space="preserve"> scheme</w:t>
      </w:r>
      <w:r w:rsidR="0086713A">
        <w:rPr>
          <w:rFonts w:asciiTheme="majorHAnsi" w:hAnsiTheme="majorHAnsi"/>
        </w:rPr>
        <w:t>s</w:t>
      </w:r>
      <w:r w:rsidRPr="00DE064F">
        <w:rPr>
          <w:rFonts w:asciiTheme="majorHAnsi" w:hAnsiTheme="majorHAnsi"/>
        </w:rPr>
        <w:t xml:space="preserve"> along with other schemes in the coming years with certain modifications wherever required. The required modification</w:t>
      </w:r>
      <w:r w:rsidR="0086713A">
        <w:rPr>
          <w:rFonts w:asciiTheme="majorHAnsi" w:hAnsiTheme="majorHAnsi"/>
        </w:rPr>
        <w:t>s</w:t>
      </w:r>
      <w:r w:rsidRPr="00DE064F">
        <w:rPr>
          <w:rFonts w:asciiTheme="majorHAnsi" w:hAnsiTheme="majorHAnsi"/>
        </w:rPr>
        <w:t xml:space="preserve"> </w:t>
      </w:r>
      <w:r w:rsidR="00773505" w:rsidRPr="00DE064F">
        <w:rPr>
          <w:rFonts w:asciiTheme="majorHAnsi" w:hAnsiTheme="majorHAnsi"/>
        </w:rPr>
        <w:t>have</w:t>
      </w:r>
      <w:r w:rsidRPr="00DE064F">
        <w:rPr>
          <w:rFonts w:asciiTheme="majorHAnsi" w:hAnsiTheme="majorHAnsi"/>
        </w:rPr>
        <w:t xml:space="preserve"> been suggested in the fo</w:t>
      </w:r>
      <w:r w:rsidR="0086713A">
        <w:rPr>
          <w:rFonts w:asciiTheme="majorHAnsi" w:hAnsiTheme="majorHAnsi"/>
        </w:rPr>
        <w:t>llowing</w:t>
      </w:r>
      <w:r w:rsidRPr="00DE064F">
        <w:rPr>
          <w:rFonts w:asciiTheme="majorHAnsi" w:hAnsiTheme="majorHAnsi"/>
        </w:rPr>
        <w:t xml:space="preserve"> paragraphs.</w:t>
      </w:r>
    </w:p>
    <w:p w14:paraId="61A7E975" w14:textId="77777777" w:rsidR="002D5647" w:rsidRPr="00727A1E" w:rsidRDefault="002D5647" w:rsidP="002D5647">
      <w:pPr>
        <w:spacing w:line="360" w:lineRule="auto"/>
        <w:jc w:val="both"/>
        <w:rPr>
          <w:rFonts w:asciiTheme="majorHAnsi" w:hAnsiTheme="majorHAnsi"/>
        </w:rPr>
      </w:pPr>
      <w:r w:rsidRPr="00DE064F">
        <w:rPr>
          <w:rFonts w:asciiTheme="majorHAnsi" w:hAnsiTheme="majorHAnsi"/>
        </w:rPr>
        <w:t>During the ensuing year the licensee is proposing certain tariff rationalization measures in the following paragraph and also request Hon’ble</w:t>
      </w:r>
      <w:r w:rsidRPr="00727A1E">
        <w:rPr>
          <w:rFonts w:asciiTheme="majorHAnsi" w:hAnsiTheme="majorHAnsi"/>
        </w:rPr>
        <w:t xml:space="preserve"> Commission for continuation of existing benefits as the consumer is otherwise eligible. </w:t>
      </w:r>
    </w:p>
    <w:p w14:paraId="01B4271E" w14:textId="37F0B627" w:rsidR="002D5647" w:rsidRDefault="002D5647" w:rsidP="002D5647">
      <w:pPr>
        <w:spacing w:line="360" w:lineRule="auto"/>
        <w:jc w:val="both"/>
        <w:rPr>
          <w:rFonts w:asciiTheme="majorHAnsi" w:hAnsiTheme="majorHAnsi"/>
        </w:rPr>
      </w:pPr>
      <w:r w:rsidRPr="00727A1E">
        <w:rPr>
          <w:rFonts w:asciiTheme="majorHAnsi" w:hAnsiTheme="majorHAnsi"/>
        </w:rPr>
        <w:t xml:space="preserve">The </w:t>
      </w:r>
      <w:r>
        <w:rPr>
          <w:rFonts w:asciiTheme="majorHAnsi" w:hAnsiTheme="majorHAnsi"/>
        </w:rPr>
        <w:t>L</w:t>
      </w:r>
      <w:r w:rsidRPr="00727A1E">
        <w:rPr>
          <w:rFonts w:asciiTheme="majorHAnsi" w:hAnsiTheme="majorHAnsi"/>
        </w:rPr>
        <w:t>icensee requests Hon’ble Commission for Continuation</w:t>
      </w:r>
      <w:r w:rsidR="0086713A">
        <w:rPr>
          <w:rFonts w:asciiTheme="majorHAnsi" w:hAnsiTheme="majorHAnsi"/>
        </w:rPr>
        <w:t xml:space="preserve"> of</w:t>
      </w:r>
      <w:r w:rsidRPr="00727A1E">
        <w:rPr>
          <w:rFonts w:asciiTheme="majorHAnsi" w:hAnsiTheme="majorHAnsi"/>
        </w:rPr>
        <w:t>:</w:t>
      </w:r>
    </w:p>
    <w:p w14:paraId="74BB67AC" w14:textId="77777777" w:rsidR="00B52E21" w:rsidRDefault="00B52E21" w:rsidP="00B52E21">
      <w:pPr>
        <w:spacing w:line="360" w:lineRule="auto"/>
        <w:jc w:val="both"/>
        <w:rPr>
          <w:rFonts w:asciiTheme="majorHAnsi" w:hAnsiTheme="majorHAnsi"/>
        </w:rPr>
      </w:pPr>
      <w:bookmarkStart w:id="164" w:name="_Toc152180128"/>
      <w:bookmarkStart w:id="165" w:name="_Toc183802845"/>
    </w:p>
    <w:p w14:paraId="29477791" w14:textId="7048B30C" w:rsidR="000E1100" w:rsidRPr="00CE0078" w:rsidRDefault="000E1100" w:rsidP="00056389">
      <w:pPr>
        <w:pStyle w:val="ListParagraph"/>
        <w:numPr>
          <w:ilvl w:val="0"/>
          <w:numId w:val="69"/>
        </w:numPr>
        <w:spacing w:line="360" w:lineRule="auto"/>
        <w:jc w:val="both"/>
        <w:rPr>
          <w:rFonts w:asciiTheme="majorHAnsi" w:hAnsiTheme="majorHAnsi"/>
          <w:sz w:val="24"/>
          <w:szCs w:val="24"/>
        </w:rPr>
      </w:pPr>
      <w:r w:rsidRPr="00CE0078">
        <w:rPr>
          <w:rFonts w:asciiTheme="majorHAnsi" w:hAnsiTheme="majorHAnsi"/>
          <w:sz w:val="24"/>
          <w:szCs w:val="24"/>
        </w:rPr>
        <w:t xml:space="preserve">Digital rebate </w:t>
      </w:r>
      <w:r w:rsidR="0086713A">
        <w:rPr>
          <w:rFonts w:asciiTheme="majorHAnsi" w:hAnsiTheme="majorHAnsi"/>
          <w:sz w:val="24"/>
          <w:szCs w:val="24"/>
        </w:rPr>
        <w:t>of</w:t>
      </w:r>
      <w:r w:rsidRPr="00CE0078">
        <w:rPr>
          <w:rFonts w:asciiTheme="majorHAnsi" w:hAnsiTheme="majorHAnsi"/>
          <w:sz w:val="24"/>
          <w:szCs w:val="24"/>
        </w:rPr>
        <w:t xml:space="preserve"> 4% for LT Domestic, LT GP single phase &amp; Single-phase irrigation consumers</w:t>
      </w:r>
      <w:bookmarkEnd w:id="164"/>
      <w:bookmarkEnd w:id="165"/>
    </w:p>
    <w:p w14:paraId="35C2B97D" w14:textId="57103489" w:rsidR="000E1100" w:rsidRPr="00CE0078" w:rsidRDefault="000E1100" w:rsidP="00056389">
      <w:pPr>
        <w:pStyle w:val="ListParagraph"/>
        <w:numPr>
          <w:ilvl w:val="0"/>
          <w:numId w:val="69"/>
        </w:numPr>
        <w:spacing w:line="360" w:lineRule="auto"/>
        <w:jc w:val="both"/>
        <w:rPr>
          <w:rFonts w:asciiTheme="majorHAnsi" w:hAnsiTheme="majorHAnsi"/>
          <w:sz w:val="24"/>
          <w:szCs w:val="24"/>
        </w:rPr>
      </w:pPr>
      <w:bookmarkStart w:id="166" w:name="_Toc152180129"/>
      <w:bookmarkStart w:id="167" w:name="_Toc183802846"/>
      <w:r w:rsidRPr="00CE0078">
        <w:rPr>
          <w:rFonts w:asciiTheme="majorHAnsi" w:hAnsiTheme="majorHAnsi"/>
          <w:sz w:val="24"/>
          <w:szCs w:val="24"/>
        </w:rPr>
        <w:t xml:space="preserve">Discount of 10 </w:t>
      </w:r>
      <w:proofErr w:type="spellStart"/>
      <w:r w:rsidRPr="00CE0078">
        <w:rPr>
          <w:rFonts w:asciiTheme="majorHAnsi" w:hAnsiTheme="majorHAnsi"/>
          <w:sz w:val="24"/>
          <w:szCs w:val="24"/>
        </w:rPr>
        <w:t>paise</w:t>
      </w:r>
      <w:proofErr w:type="spellEnd"/>
      <w:r w:rsidR="0086713A">
        <w:rPr>
          <w:rFonts w:asciiTheme="majorHAnsi" w:hAnsiTheme="majorHAnsi"/>
          <w:sz w:val="24"/>
          <w:szCs w:val="24"/>
        </w:rPr>
        <w:t>/unit</w:t>
      </w:r>
      <w:r w:rsidRPr="00CE0078">
        <w:rPr>
          <w:rFonts w:asciiTheme="majorHAnsi" w:hAnsiTheme="majorHAnsi"/>
          <w:sz w:val="24"/>
          <w:szCs w:val="24"/>
        </w:rPr>
        <w:t xml:space="preserve"> to Domestic Rural Consumers if </w:t>
      </w:r>
      <w:r w:rsidR="00EB1F5D">
        <w:rPr>
          <w:rFonts w:asciiTheme="majorHAnsi" w:hAnsiTheme="majorHAnsi"/>
          <w:sz w:val="24"/>
          <w:szCs w:val="24"/>
        </w:rPr>
        <w:t>billed</w:t>
      </w:r>
      <w:r w:rsidRPr="00CE0078">
        <w:rPr>
          <w:rFonts w:asciiTheme="majorHAnsi" w:hAnsiTheme="majorHAnsi"/>
          <w:sz w:val="24"/>
          <w:szCs w:val="24"/>
        </w:rPr>
        <w:t xml:space="preserve"> on actual meter reading</w:t>
      </w:r>
      <w:bookmarkEnd w:id="166"/>
      <w:bookmarkEnd w:id="167"/>
    </w:p>
    <w:p w14:paraId="0A52B2A6" w14:textId="677DEB8F" w:rsidR="000E1100" w:rsidRPr="00CE0078" w:rsidRDefault="000E1100" w:rsidP="00056389">
      <w:pPr>
        <w:pStyle w:val="ListParagraph"/>
        <w:numPr>
          <w:ilvl w:val="0"/>
          <w:numId w:val="69"/>
        </w:numPr>
        <w:spacing w:line="360" w:lineRule="auto"/>
        <w:jc w:val="both"/>
        <w:rPr>
          <w:rFonts w:asciiTheme="majorHAnsi" w:hAnsiTheme="majorHAnsi"/>
          <w:sz w:val="24"/>
          <w:szCs w:val="24"/>
        </w:rPr>
      </w:pPr>
      <w:bookmarkStart w:id="168" w:name="_Toc152180130"/>
      <w:bookmarkStart w:id="169" w:name="_Toc183802847"/>
      <w:r w:rsidRPr="00CE0078">
        <w:rPr>
          <w:rFonts w:asciiTheme="majorHAnsi" w:hAnsiTheme="majorHAnsi"/>
          <w:sz w:val="24"/>
          <w:szCs w:val="24"/>
        </w:rPr>
        <w:t>Levy of CSS on RE power</w:t>
      </w:r>
      <w:bookmarkEnd w:id="168"/>
      <w:bookmarkEnd w:id="169"/>
      <w:r w:rsidR="00EB1F5D">
        <w:rPr>
          <w:rFonts w:asciiTheme="majorHAnsi" w:hAnsiTheme="majorHAnsi"/>
          <w:sz w:val="24"/>
          <w:szCs w:val="24"/>
        </w:rPr>
        <w:t xml:space="preserve"> open access transaction</w:t>
      </w:r>
    </w:p>
    <w:p w14:paraId="219C53A9" w14:textId="77777777" w:rsidR="000E1100" w:rsidRPr="00CE0078" w:rsidRDefault="000E1100" w:rsidP="00056389">
      <w:pPr>
        <w:pStyle w:val="ListParagraph"/>
        <w:numPr>
          <w:ilvl w:val="0"/>
          <w:numId w:val="69"/>
        </w:numPr>
        <w:spacing w:line="360" w:lineRule="auto"/>
        <w:jc w:val="both"/>
        <w:rPr>
          <w:rFonts w:asciiTheme="majorHAnsi" w:hAnsiTheme="majorHAnsi"/>
          <w:sz w:val="24"/>
          <w:szCs w:val="24"/>
        </w:rPr>
      </w:pPr>
      <w:bookmarkStart w:id="170" w:name="_Toc152180131"/>
      <w:bookmarkStart w:id="171" w:name="_Toc183802848"/>
      <w:r w:rsidRPr="00CE0078">
        <w:rPr>
          <w:rFonts w:asciiTheme="majorHAnsi" w:hAnsiTheme="majorHAnsi"/>
          <w:sz w:val="24"/>
          <w:szCs w:val="24"/>
        </w:rPr>
        <w:t>Special tariff to steel industries at 33 kV level without having CGP</w:t>
      </w:r>
      <w:bookmarkEnd w:id="170"/>
      <w:bookmarkEnd w:id="171"/>
    </w:p>
    <w:p w14:paraId="5BA67EFA" w14:textId="538E3557" w:rsidR="000E1100" w:rsidRPr="00BF015D" w:rsidRDefault="000E1100" w:rsidP="00056389">
      <w:pPr>
        <w:pStyle w:val="ListParagraph"/>
        <w:numPr>
          <w:ilvl w:val="0"/>
          <w:numId w:val="69"/>
        </w:numPr>
        <w:spacing w:line="360" w:lineRule="auto"/>
        <w:jc w:val="both"/>
        <w:rPr>
          <w:rFonts w:asciiTheme="majorHAnsi" w:hAnsiTheme="majorHAnsi"/>
          <w:sz w:val="24"/>
          <w:szCs w:val="24"/>
        </w:rPr>
      </w:pPr>
      <w:bookmarkStart w:id="172" w:name="_Toc152180132"/>
      <w:bookmarkStart w:id="173" w:name="_Toc183802849"/>
      <w:bookmarkStart w:id="174" w:name="_Hlk214723340"/>
      <w:r w:rsidRPr="00CE0078">
        <w:rPr>
          <w:rFonts w:asciiTheme="majorHAnsi" w:hAnsiTheme="majorHAnsi"/>
          <w:sz w:val="24"/>
          <w:szCs w:val="24"/>
        </w:rPr>
        <w:t>Continuity of Special tariff for industries having CGP with CD up to 20 MW</w:t>
      </w:r>
      <w:bookmarkEnd w:id="172"/>
      <w:r w:rsidRPr="00CE0078">
        <w:rPr>
          <w:rFonts w:asciiTheme="majorHAnsi" w:hAnsiTheme="majorHAnsi"/>
          <w:sz w:val="24"/>
          <w:szCs w:val="24"/>
        </w:rPr>
        <w:t xml:space="preserve"> to avail up to double the CD without levy of over </w:t>
      </w:r>
      <w:proofErr w:type="spellStart"/>
      <w:r w:rsidRPr="00CE0078">
        <w:rPr>
          <w:rFonts w:asciiTheme="majorHAnsi" w:hAnsiTheme="majorHAnsi"/>
          <w:sz w:val="24"/>
          <w:szCs w:val="24"/>
        </w:rPr>
        <w:t>drawal</w:t>
      </w:r>
      <w:proofErr w:type="spellEnd"/>
      <w:r w:rsidRPr="00CE0078">
        <w:rPr>
          <w:rFonts w:asciiTheme="majorHAnsi" w:hAnsiTheme="majorHAnsi"/>
          <w:sz w:val="24"/>
          <w:szCs w:val="24"/>
        </w:rPr>
        <w:t xml:space="preserve"> penalty. But the licensee shall have to operate within the approved SMD in such cases.</w:t>
      </w:r>
      <w:bookmarkStart w:id="175" w:name="_Toc183802850"/>
      <w:bookmarkEnd w:id="173"/>
      <w:r w:rsidR="00BF015D">
        <w:rPr>
          <w:rFonts w:asciiTheme="majorHAnsi" w:hAnsiTheme="majorHAnsi"/>
          <w:sz w:val="24"/>
          <w:szCs w:val="24"/>
        </w:rPr>
        <w:t xml:space="preserve"> </w:t>
      </w:r>
      <w:r w:rsidRPr="00BF015D">
        <w:rPr>
          <w:rFonts w:asciiTheme="majorHAnsi" w:hAnsiTheme="majorHAnsi"/>
        </w:rPr>
        <w:t>In addition to this an industry availing this benefit shall not be permitted to avail the benefit of another scheme.</w:t>
      </w:r>
      <w:bookmarkEnd w:id="175"/>
      <w:r w:rsidRPr="00BF015D">
        <w:rPr>
          <w:rFonts w:asciiTheme="majorHAnsi" w:hAnsiTheme="majorHAnsi"/>
        </w:rPr>
        <w:t xml:space="preserve"> </w:t>
      </w:r>
    </w:p>
    <w:p w14:paraId="1D622BB7" w14:textId="6F408E61" w:rsidR="000E1100" w:rsidRDefault="000E1100" w:rsidP="00056389">
      <w:pPr>
        <w:pStyle w:val="ListParagraph"/>
        <w:numPr>
          <w:ilvl w:val="0"/>
          <w:numId w:val="69"/>
        </w:numPr>
        <w:spacing w:line="360" w:lineRule="auto"/>
        <w:jc w:val="both"/>
        <w:rPr>
          <w:rFonts w:asciiTheme="majorHAnsi" w:hAnsiTheme="majorHAnsi"/>
          <w:sz w:val="24"/>
          <w:szCs w:val="24"/>
        </w:rPr>
      </w:pPr>
      <w:bookmarkStart w:id="176" w:name="_Toc152180133"/>
      <w:bookmarkStart w:id="177" w:name="_Toc183802851"/>
      <w:bookmarkEnd w:id="174"/>
      <w:r w:rsidRPr="00CE0078">
        <w:rPr>
          <w:rFonts w:asciiTheme="majorHAnsi" w:hAnsiTheme="majorHAnsi"/>
          <w:sz w:val="24"/>
          <w:szCs w:val="24"/>
        </w:rPr>
        <w:t xml:space="preserve">Special tariff for Existing industries having CGP with CD &gt;20 MW with minimum offtake </w:t>
      </w:r>
      <w:r w:rsidR="00BF015D">
        <w:rPr>
          <w:rFonts w:asciiTheme="majorHAnsi" w:hAnsiTheme="majorHAnsi"/>
          <w:sz w:val="24"/>
          <w:szCs w:val="24"/>
        </w:rPr>
        <w:t>6</w:t>
      </w:r>
      <w:r w:rsidRPr="00CE0078">
        <w:rPr>
          <w:rFonts w:asciiTheme="majorHAnsi" w:hAnsiTheme="majorHAnsi"/>
          <w:sz w:val="24"/>
          <w:szCs w:val="24"/>
        </w:rPr>
        <w:t>0% of existing CD with TPA among GRIDCO, DISCOM &amp; Consumer with certain modifications as suggested in the proposal considering business requirement.</w:t>
      </w:r>
      <w:bookmarkEnd w:id="176"/>
      <w:bookmarkEnd w:id="177"/>
    </w:p>
    <w:p w14:paraId="2A1B7D4B" w14:textId="6E480AB0" w:rsidR="0076667C" w:rsidRPr="0076667C" w:rsidRDefault="0076667C" w:rsidP="00773505">
      <w:pPr>
        <w:pStyle w:val="ListParagraph"/>
        <w:numPr>
          <w:ilvl w:val="0"/>
          <w:numId w:val="69"/>
        </w:numPr>
        <w:spacing w:line="360" w:lineRule="auto"/>
        <w:rPr>
          <w:rFonts w:asciiTheme="majorHAnsi" w:hAnsiTheme="majorHAnsi"/>
          <w:sz w:val="24"/>
          <w:szCs w:val="24"/>
        </w:rPr>
      </w:pPr>
      <w:r w:rsidRPr="0076667C">
        <w:rPr>
          <w:rFonts w:asciiTheme="majorHAnsi" w:hAnsiTheme="majorHAnsi"/>
          <w:sz w:val="24"/>
          <w:szCs w:val="24"/>
        </w:rPr>
        <w:t xml:space="preserve">Continuity of Special tariff for industries </w:t>
      </w:r>
      <w:r>
        <w:rPr>
          <w:rFonts w:asciiTheme="majorHAnsi" w:hAnsiTheme="majorHAnsi"/>
          <w:sz w:val="24"/>
          <w:szCs w:val="24"/>
        </w:rPr>
        <w:t>without</w:t>
      </w:r>
      <w:r w:rsidRPr="0076667C">
        <w:rPr>
          <w:rFonts w:asciiTheme="majorHAnsi" w:hAnsiTheme="majorHAnsi"/>
          <w:sz w:val="24"/>
          <w:szCs w:val="24"/>
        </w:rPr>
        <w:t xml:space="preserve"> CGP</w:t>
      </w:r>
      <w:r>
        <w:rPr>
          <w:rFonts w:asciiTheme="majorHAnsi" w:hAnsiTheme="majorHAnsi"/>
          <w:sz w:val="24"/>
          <w:szCs w:val="24"/>
        </w:rPr>
        <w:t xml:space="preserve"> at 33 kV level</w:t>
      </w:r>
      <w:r w:rsidRPr="0076667C">
        <w:rPr>
          <w:rFonts w:asciiTheme="majorHAnsi" w:hAnsiTheme="majorHAnsi"/>
          <w:sz w:val="24"/>
          <w:szCs w:val="24"/>
        </w:rPr>
        <w:t xml:space="preserve"> with CD up to </w:t>
      </w:r>
      <w:r>
        <w:rPr>
          <w:rFonts w:asciiTheme="majorHAnsi" w:hAnsiTheme="majorHAnsi"/>
          <w:sz w:val="24"/>
          <w:szCs w:val="24"/>
        </w:rPr>
        <w:t>1</w:t>
      </w:r>
      <w:r w:rsidRPr="0076667C">
        <w:rPr>
          <w:rFonts w:asciiTheme="majorHAnsi" w:hAnsiTheme="majorHAnsi"/>
          <w:sz w:val="24"/>
          <w:szCs w:val="24"/>
        </w:rPr>
        <w:t>0 M</w:t>
      </w:r>
      <w:r>
        <w:rPr>
          <w:rFonts w:asciiTheme="majorHAnsi" w:hAnsiTheme="majorHAnsi"/>
          <w:sz w:val="24"/>
          <w:szCs w:val="24"/>
        </w:rPr>
        <w:t>VA</w:t>
      </w:r>
      <w:r w:rsidRPr="0076667C">
        <w:rPr>
          <w:rFonts w:asciiTheme="majorHAnsi" w:hAnsiTheme="majorHAnsi"/>
          <w:sz w:val="24"/>
          <w:szCs w:val="24"/>
        </w:rPr>
        <w:t xml:space="preserve"> to avail up to double the CD without levy of over </w:t>
      </w:r>
      <w:proofErr w:type="spellStart"/>
      <w:r w:rsidRPr="0076667C">
        <w:rPr>
          <w:rFonts w:asciiTheme="majorHAnsi" w:hAnsiTheme="majorHAnsi"/>
          <w:sz w:val="24"/>
          <w:szCs w:val="24"/>
        </w:rPr>
        <w:t>drawal</w:t>
      </w:r>
      <w:proofErr w:type="spellEnd"/>
      <w:r w:rsidRPr="0076667C">
        <w:rPr>
          <w:rFonts w:asciiTheme="majorHAnsi" w:hAnsiTheme="majorHAnsi"/>
          <w:sz w:val="24"/>
          <w:szCs w:val="24"/>
        </w:rPr>
        <w:t xml:space="preserve"> penalty. But the licensee shall have to operate within the approved SMD in such cases. In addition to this an industry availing this benefit shall not be permitted to avail the benefit of another scheme</w:t>
      </w:r>
      <w:r>
        <w:rPr>
          <w:rFonts w:asciiTheme="majorHAnsi" w:hAnsiTheme="majorHAnsi"/>
          <w:sz w:val="24"/>
          <w:szCs w:val="24"/>
        </w:rPr>
        <w:t xml:space="preserve"> including </w:t>
      </w:r>
      <w:proofErr w:type="spellStart"/>
      <w:r>
        <w:rPr>
          <w:rFonts w:asciiTheme="majorHAnsi" w:hAnsiTheme="majorHAnsi"/>
          <w:sz w:val="24"/>
          <w:szCs w:val="24"/>
        </w:rPr>
        <w:t>drawal</w:t>
      </w:r>
      <w:proofErr w:type="spellEnd"/>
      <w:r>
        <w:rPr>
          <w:rFonts w:asciiTheme="majorHAnsi" w:hAnsiTheme="majorHAnsi"/>
          <w:sz w:val="24"/>
          <w:szCs w:val="24"/>
        </w:rPr>
        <w:t xml:space="preserve"> in Open Access.</w:t>
      </w:r>
    </w:p>
    <w:p w14:paraId="266941BE" w14:textId="77777777" w:rsidR="0076667C" w:rsidRPr="0076667C" w:rsidRDefault="0076667C" w:rsidP="0076667C">
      <w:pPr>
        <w:pStyle w:val="ListParagraph"/>
        <w:rPr>
          <w:rFonts w:asciiTheme="majorHAnsi" w:hAnsiTheme="majorHAnsi"/>
          <w:sz w:val="14"/>
          <w:szCs w:val="24"/>
        </w:rPr>
      </w:pPr>
    </w:p>
    <w:p w14:paraId="5A33DEB9" w14:textId="72D626F5" w:rsidR="000E1100" w:rsidRPr="00316C9F" w:rsidRDefault="000E1100" w:rsidP="00056389">
      <w:pPr>
        <w:pStyle w:val="ListParagraph"/>
        <w:numPr>
          <w:ilvl w:val="0"/>
          <w:numId w:val="69"/>
        </w:numPr>
        <w:spacing w:line="360" w:lineRule="auto"/>
        <w:jc w:val="both"/>
        <w:rPr>
          <w:rFonts w:asciiTheme="majorHAnsi" w:hAnsiTheme="majorHAnsi"/>
        </w:rPr>
      </w:pPr>
      <w:bookmarkStart w:id="178" w:name="_Toc152180134"/>
      <w:bookmarkStart w:id="179" w:name="_Toc183802852"/>
      <w:r w:rsidRPr="00CE0078">
        <w:rPr>
          <w:rFonts w:asciiTheme="majorHAnsi" w:hAnsiTheme="majorHAnsi"/>
          <w:sz w:val="24"/>
          <w:szCs w:val="24"/>
        </w:rPr>
        <w:t xml:space="preserve">Continuation </w:t>
      </w:r>
      <w:r w:rsidR="00EB1F5D">
        <w:rPr>
          <w:rFonts w:asciiTheme="majorHAnsi" w:hAnsiTheme="majorHAnsi"/>
          <w:sz w:val="24"/>
          <w:szCs w:val="24"/>
        </w:rPr>
        <w:t xml:space="preserve">of </w:t>
      </w:r>
      <w:r w:rsidRPr="00CE0078">
        <w:rPr>
          <w:rFonts w:asciiTheme="majorHAnsi" w:hAnsiTheme="majorHAnsi"/>
          <w:sz w:val="24"/>
          <w:szCs w:val="24"/>
        </w:rPr>
        <w:t>Green Tariff Premium (GTP) mechanism.</w:t>
      </w:r>
      <w:bookmarkEnd w:id="178"/>
      <w:bookmarkEnd w:id="179"/>
    </w:p>
    <w:p w14:paraId="0F95C162" w14:textId="766B09B2" w:rsidR="007C7C0F" w:rsidRPr="007C7C0F" w:rsidRDefault="00EB1F5D" w:rsidP="00056389">
      <w:pPr>
        <w:pStyle w:val="ListParagraph"/>
        <w:numPr>
          <w:ilvl w:val="0"/>
          <w:numId w:val="69"/>
        </w:numPr>
        <w:rPr>
          <w:rFonts w:asciiTheme="majorHAnsi" w:hAnsiTheme="majorHAnsi"/>
          <w:sz w:val="24"/>
        </w:rPr>
      </w:pPr>
      <w:r>
        <w:rPr>
          <w:rFonts w:asciiTheme="majorHAnsi" w:hAnsiTheme="majorHAnsi"/>
          <w:sz w:val="24"/>
        </w:rPr>
        <w:t xml:space="preserve">Continuation of </w:t>
      </w:r>
      <w:r w:rsidR="007C7C0F" w:rsidRPr="007C7C0F">
        <w:rPr>
          <w:rFonts w:asciiTheme="majorHAnsi" w:hAnsiTheme="majorHAnsi"/>
          <w:sz w:val="24"/>
        </w:rPr>
        <w:t>E-bill rebate of Rs.10 per bill.</w:t>
      </w:r>
    </w:p>
    <w:p w14:paraId="25BD302F" w14:textId="17992FEF" w:rsidR="00727A1E" w:rsidRDefault="00727A1E" w:rsidP="00043C66">
      <w:pPr>
        <w:spacing w:line="360" w:lineRule="auto"/>
        <w:jc w:val="both"/>
        <w:rPr>
          <w:rFonts w:asciiTheme="majorHAnsi" w:hAnsiTheme="majorHAnsi"/>
          <w:b/>
          <w:bCs/>
          <w:u w:val="single"/>
        </w:rPr>
      </w:pPr>
      <w:r w:rsidRPr="00727A1E">
        <w:rPr>
          <w:rFonts w:asciiTheme="majorHAnsi" w:hAnsiTheme="majorHAnsi"/>
          <w:b/>
          <w:bCs/>
          <w:u w:val="single"/>
        </w:rPr>
        <w:t>Tariff Rationalization Measures (New Proposals</w:t>
      </w:r>
      <w:r w:rsidR="00E149BF">
        <w:rPr>
          <w:rFonts w:asciiTheme="majorHAnsi" w:hAnsiTheme="majorHAnsi"/>
          <w:b/>
          <w:bCs/>
          <w:u w:val="single"/>
        </w:rPr>
        <w:t xml:space="preserve"> as well as modification of existing where it is essential</w:t>
      </w:r>
      <w:r w:rsidRPr="00727A1E">
        <w:rPr>
          <w:rFonts w:asciiTheme="majorHAnsi" w:hAnsiTheme="majorHAnsi"/>
          <w:b/>
          <w:bCs/>
          <w:u w:val="single"/>
        </w:rPr>
        <w:t>)</w:t>
      </w:r>
    </w:p>
    <w:p w14:paraId="6AD0A5AF" w14:textId="77777777" w:rsidR="007C7C0F" w:rsidRPr="00727A1E" w:rsidRDefault="007C7C0F" w:rsidP="00043C66">
      <w:pPr>
        <w:spacing w:line="360" w:lineRule="auto"/>
        <w:jc w:val="both"/>
        <w:rPr>
          <w:rFonts w:asciiTheme="majorHAnsi" w:hAnsiTheme="majorHAnsi"/>
          <w:b/>
          <w:bCs/>
          <w:u w:val="single"/>
        </w:rPr>
      </w:pPr>
    </w:p>
    <w:p w14:paraId="7E4D8D91" w14:textId="77777777" w:rsidR="003F6B0A" w:rsidRPr="003F6B0A" w:rsidRDefault="003F6B0A" w:rsidP="001972DE">
      <w:pPr>
        <w:pStyle w:val="ListParagraph"/>
        <w:keepNext/>
        <w:numPr>
          <w:ilvl w:val="0"/>
          <w:numId w:val="11"/>
        </w:numPr>
        <w:spacing w:before="240" w:after="60" w:line="360" w:lineRule="auto"/>
        <w:contextualSpacing w:val="0"/>
        <w:jc w:val="both"/>
        <w:outlineLvl w:val="0"/>
        <w:rPr>
          <w:rFonts w:asciiTheme="majorHAnsi" w:eastAsia="Times New Roman" w:hAnsiTheme="majorHAnsi" w:cs="Arial"/>
          <w:b/>
          <w:bCs/>
          <w:vanish/>
          <w:kern w:val="32"/>
          <w:sz w:val="24"/>
          <w:szCs w:val="24"/>
        </w:rPr>
      </w:pPr>
      <w:bookmarkStart w:id="180" w:name="_Toc152166764"/>
      <w:bookmarkStart w:id="181" w:name="_Toc152180135"/>
      <w:bookmarkStart w:id="182" w:name="_Toc278631875"/>
      <w:bookmarkStart w:id="183" w:name="_Toc278631878"/>
      <w:bookmarkStart w:id="184" w:name="_Toc278631879"/>
      <w:bookmarkStart w:id="185" w:name="_Toc278631880"/>
      <w:bookmarkStart w:id="186" w:name="_Toc278631881"/>
      <w:bookmarkStart w:id="187" w:name="_Toc278631883"/>
      <w:bookmarkStart w:id="188" w:name="_Toc278632030"/>
      <w:bookmarkStart w:id="189" w:name="_Toc278632036"/>
      <w:bookmarkStart w:id="190" w:name="_Toc278632037"/>
      <w:bookmarkStart w:id="191" w:name="_Toc278632043"/>
      <w:bookmarkStart w:id="192" w:name="_Toc278632044"/>
      <w:bookmarkStart w:id="193" w:name="_Toc278632048"/>
      <w:bookmarkStart w:id="194" w:name="_Toc278632051"/>
      <w:bookmarkStart w:id="195" w:name="_Toc278632073"/>
      <w:bookmarkStart w:id="196" w:name="_Toc278632075"/>
      <w:bookmarkStart w:id="197" w:name="_Toc278632076"/>
      <w:bookmarkStart w:id="198" w:name="_Toc278632078"/>
      <w:bookmarkStart w:id="199" w:name="_Toc278737586"/>
      <w:bookmarkStart w:id="200" w:name="_Toc278737591"/>
      <w:bookmarkStart w:id="201" w:name="_Toc278737592"/>
      <w:bookmarkStart w:id="202" w:name="_Toc215665032"/>
      <w:bookmarkStart w:id="203" w:name="_Toc183204747"/>
      <w:bookmarkStart w:id="204" w:name="_Toc183204850"/>
      <w:bookmarkStart w:id="205" w:name="_Toc183205151"/>
      <w:bookmarkStart w:id="206" w:name="_Toc183802753"/>
      <w:bookmarkStart w:id="207" w:name="_Toc183802853"/>
      <w:bookmarkStart w:id="208" w:name="_Toc214104577"/>
      <w:bookmarkStart w:id="209" w:name="_Toc214104678"/>
      <w:bookmarkStart w:id="210" w:name="_Toc214104853"/>
      <w:bookmarkStart w:id="211" w:name="_Toc214106985"/>
      <w:bookmarkStart w:id="212" w:name="_Toc214126726"/>
      <w:bookmarkStart w:id="213" w:name="_Toc214126828"/>
      <w:bookmarkStart w:id="214" w:name="_Toc214294928"/>
      <w:bookmarkStart w:id="215" w:name="_Toc214295091"/>
      <w:bookmarkStart w:id="216" w:name="_Toc214295293"/>
      <w:bookmarkStart w:id="217" w:name="_Toc214295386"/>
      <w:bookmarkStart w:id="218" w:name="_Toc214701507"/>
      <w:bookmarkStart w:id="219" w:name="_Toc214701597"/>
      <w:bookmarkStart w:id="220" w:name="_Toc214735712"/>
      <w:bookmarkStart w:id="221" w:name="_Toc214735776"/>
      <w:bookmarkStart w:id="222" w:name="_Toc214735840"/>
      <w:bookmarkStart w:id="223" w:name="_Toc214790294"/>
      <w:bookmarkStart w:id="224" w:name="_Toc214967003"/>
      <w:bookmarkStart w:id="225" w:name="_Toc214967085"/>
      <w:bookmarkStart w:id="226" w:name="_Toc120649878"/>
      <w:bookmarkStart w:id="227" w:name="_Toc152180141"/>
      <w:bookmarkStart w:id="228" w:name="_Toc152180138"/>
      <w:bookmarkStart w:id="229" w:name="_Toc215235267"/>
      <w:bookmarkStart w:id="230" w:name="_Toc215250643"/>
      <w:bookmarkEnd w:id="161"/>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9"/>
      <w:bookmarkEnd w:id="230"/>
    </w:p>
    <w:p w14:paraId="3C0EBFCD" w14:textId="77777777" w:rsidR="003F6B0A" w:rsidRPr="003F6B0A" w:rsidRDefault="003F6B0A" w:rsidP="001972DE">
      <w:pPr>
        <w:pStyle w:val="ListParagraph"/>
        <w:keepNext/>
        <w:numPr>
          <w:ilvl w:val="0"/>
          <w:numId w:val="11"/>
        </w:numPr>
        <w:spacing w:before="240" w:after="60" w:line="360" w:lineRule="auto"/>
        <w:contextualSpacing w:val="0"/>
        <w:jc w:val="both"/>
        <w:outlineLvl w:val="0"/>
        <w:rPr>
          <w:rFonts w:asciiTheme="majorHAnsi" w:eastAsia="Times New Roman" w:hAnsiTheme="majorHAnsi" w:cs="Arial"/>
          <w:b/>
          <w:bCs/>
          <w:vanish/>
          <w:kern w:val="32"/>
          <w:sz w:val="24"/>
          <w:szCs w:val="24"/>
        </w:rPr>
      </w:pPr>
      <w:bookmarkStart w:id="231" w:name="_Toc183204748"/>
      <w:bookmarkStart w:id="232" w:name="_Toc183204851"/>
      <w:bookmarkStart w:id="233" w:name="_Toc183205152"/>
      <w:bookmarkStart w:id="234" w:name="_Toc183802754"/>
      <w:bookmarkStart w:id="235" w:name="_Toc183802854"/>
      <w:bookmarkStart w:id="236" w:name="_Toc214104578"/>
      <w:bookmarkStart w:id="237" w:name="_Toc214104679"/>
      <w:bookmarkStart w:id="238" w:name="_Toc214104854"/>
      <w:bookmarkStart w:id="239" w:name="_Toc214106986"/>
      <w:bookmarkStart w:id="240" w:name="_Toc214126727"/>
      <w:bookmarkStart w:id="241" w:name="_Toc214126829"/>
      <w:bookmarkStart w:id="242" w:name="_Toc214294929"/>
      <w:bookmarkStart w:id="243" w:name="_Toc214295092"/>
      <w:bookmarkStart w:id="244" w:name="_Toc214295294"/>
      <w:bookmarkStart w:id="245" w:name="_Toc214295387"/>
      <w:bookmarkStart w:id="246" w:name="_Toc214701508"/>
      <w:bookmarkStart w:id="247" w:name="_Toc214701598"/>
      <w:bookmarkStart w:id="248" w:name="_Toc214735713"/>
      <w:bookmarkStart w:id="249" w:name="_Toc214735777"/>
      <w:bookmarkStart w:id="250" w:name="_Toc214735841"/>
      <w:bookmarkStart w:id="251" w:name="_Toc214790295"/>
      <w:bookmarkStart w:id="252" w:name="_Toc214967004"/>
      <w:bookmarkStart w:id="253" w:name="_Toc214967086"/>
      <w:bookmarkStart w:id="254" w:name="_Toc215235268"/>
      <w:bookmarkStart w:id="255" w:name="_Toc215250644"/>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BDF8D40" w14:textId="77777777" w:rsidR="003F6B0A" w:rsidRPr="003F6B0A" w:rsidRDefault="003F6B0A" w:rsidP="001972DE">
      <w:pPr>
        <w:pStyle w:val="ListParagraph"/>
        <w:keepNext/>
        <w:numPr>
          <w:ilvl w:val="0"/>
          <w:numId w:val="11"/>
        </w:numPr>
        <w:spacing w:before="240" w:after="60" w:line="360" w:lineRule="auto"/>
        <w:contextualSpacing w:val="0"/>
        <w:jc w:val="both"/>
        <w:outlineLvl w:val="0"/>
        <w:rPr>
          <w:rFonts w:asciiTheme="majorHAnsi" w:eastAsia="Times New Roman" w:hAnsiTheme="majorHAnsi" w:cs="Arial"/>
          <w:b/>
          <w:bCs/>
          <w:vanish/>
          <w:kern w:val="32"/>
          <w:sz w:val="24"/>
          <w:szCs w:val="24"/>
        </w:rPr>
      </w:pPr>
      <w:bookmarkStart w:id="256" w:name="_Toc183204749"/>
      <w:bookmarkStart w:id="257" w:name="_Toc183204852"/>
      <w:bookmarkStart w:id="258" w:name="_Toc183205153"/>
      <w:bookmarkStart w:id="259" w:name="_Toc183802755"/>
      <w:bookmarkStart w:id="260" w:name="_Toc183802855"/>
      <w:bookmarkStart w:id="261" w:name="_Toc214104579"/>
      <w:bookmarkStart w:id="262" w:name="_Toc214104680"/>
      <w:bookmarkStart w:id="263" w:name="_Toc214104855"/>
      <w:bookmarkStart w:id="264" w:name="_Toc214106987"/>
      <w:bookmarkStart w:id="265" w:name="_Toc214126728"/>
      <w:bookmarkStart w:id="266" w:name="_Toc214126830"/>
      <w:bookmarkStart w:id="267" w:name="_Toc214294930"/>
      <w:bookmarkStart w:id="268" w:name="_Toc214295093"/>
      <w:bookmarkStart w:id="269" w:name="_Toc214295295"/>
      <w:bookmarkStart w:id="270" w:name="_Toc214295388"/>
      <w:bookmarkStart w:id="271" w:name="_Toc214701509"/>
      <w:bookmarkStart w:id="272" w:name="_Toc214701599"/>
      <w:bookmarkStart w:id="273" w:name="_Toc214735714"/>
      <w:bookmarkStart w:id="274" w:name="_Toc214735778"/>
      <w:bookmarkStart w:id="275" w:name="_Toc214735842"/>
      <w:bookmarkStart w:id="276" w:name="_Toc214790296"/>
      <w:bookmarkStart w:id="277" w:name="_Toc214967005"/>
      <w:bookmarkStart w:id="278" w:name="_Toc214967087"/>
      <w:bookmarkStart w:id="279" w:name="_Toc215235269"/>
      <w:bookmarkStart w:id="280" w:name="_Toc21525064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4A174972" w14:textId="77777777" w:rsidR="003F6B0A" w:rsidRPr="003F6B0A" w:rsidRDefault="003F6B0A" w:rsidP="001972DE">
      <w:pPr>
        <w:pStyle w:val="ListParagraph"/>
        <w:keepNext/>
        <w:numPr>
          <w:ilvl w:val="0"/>
          <w:numId w:val="11"/>
        </w:numPr>
        <w:spacing w:before="240" w:after="60" w:line="360" w:lineRule="auto"/>
        <w:contextualSpacing w:val="0"/>
        <w:jc w:val="both"/>
        <w:outlineLvl w:val="0"/>
        <w:rPr>
          <w:rFonts w:asciiTheme="majorHAnsi" w:eastAsia="Times New Roman" w:hAnsiTheme="majorHAnsi" w:cs="Arial"/>
          <w:b/>
          <w:bCs/>
          <w:vanish/>
          <w:kern w:val="32"/>
          <w:sz w:val="24"/>
          <w:szCs w:val="24"/>
        </w:rPr>
      </w:pPr>
      <w:bookmarkStart w:id="281" w:name="_Toc183204750"/>
      <w:bookmarkStart w:id="282" w:name="_Toc183204853"/>
      <w:bookmarkStart w:id="283" w:name="_Toc183205154"/>
      <w:bookmarkStart w:id="284" w:name="_Toc183802756"/>
      <w:bookmarkStart w:id="285" w:name="_Toc183802856"/>
      <w:bookmarkStart w:id="286" w:name="_Toc214104580"/>
      <w:bookmarkStart w:id="287" w:name="_Toc214104681"/>
      <w:bookmarkStart w:id="288" w:name="_Toc214104856"/>
      <w:bookmarkStart w:id="289" w:name="_Toc214106988"/>
      <w:bookmarkStart w:id="290" w:name="_Toc214126729"/>
      <w:bookmarkStart w:id="291" w:name="_Toc214126831"/>
      <w:bookmarkStart w:id="292" w:name="_Toc214294931"/>
      <w:bookmarkStart w:id="293" w:name="_Toc214295094"/>
      <w:bookmarkStart w:id="294" w:name="_Toc214295296"/>
      <w:bookmarkStart w:id="295" w:name="_Toc214295389"/>
      <w:bookmarkStart w:id="296" w:name="_Toc214701510"/>
      <w:bookmarkStart w:id="297" w:name="_Toc214701600"/>
      <w:bookmarkStart w:id="298" w:name="_Toc214735715"/>
      <w:bookmarkStart w:id="299" w:name="_Toc214735779"/>
      <w:bookmarkStart w:id="300" w:name="_Toc214735843"/>
      <w:bookmarkStart w:id="301" w:name="_Toc214790297"/>
      <w:bookmarkStart w:id="302" w:name="_Toc214967006"/>
      <w:bookmarkStart w:id="303" w:name="_Toc214967088"/>
      <w:bookmarkStart w:id="304" w:name="_Toc215235270"/>
      <w:bookmarkStart w:id="305" w:name="_Toc215250646"/>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bookmarkEnd w:id="226"/>
    <w:bookmarkEnd w:id="227"/>
    <w:p w14:paraId="2FF84A71" w14:textId="719A2653" w:rsidR="007C7C0F" w:rsidRPr="007C7C0F" w:rsidRDefault="007C7C0F" w:rsidP="007C7C0F">
      <w:pPr>
        <w:pStyle w:val="ListParagraph"/>
        <w:numPr>
          <w:ilvl w:val="1"/>
          <w:numId w:val="1"/>
        </w:numPr>
        <w:rPr>
          <w:rFonts w:asciiTheme="majorHAnsi" w:eastAsia="Times New Roman" w:hAnsiTheme="majorHAnsi" w:cs="Arial"/>
          <w:b/>
          <w:bCs/>
          <w:sz w:val="24"/>
          <w:szCs w:val="24"/>
        </w:rPr>
      </w:pPr>
      <w:r w:rsidRPr="007C7C0F">
        <w:rPr>
          <w:rFonts w:asciiTheme="majorHAnsi" w:eastAsia="Times New Roman" w:hAnsiTheme="majorHAnsi" w:cs="Arial"/>
          <w:b/>
          <w:bCs/>
          <w:sz w:val="24"/>
          <w:szCs w:val="24"/>
        </w:rPr>
        <w:t>Proposal for simplification of fixed charges i.e. MMFC</w:t>
      </w:r>
    </w:p>
    <w:p w14:paraId="62FFFC7C" w14:textId="3EB22B1A" w:rsidR="007C7C0F" w:rsidRPr="007C7C0F" w:rsidRDefault="007C7C0F" w:rsidP="00773505">
      <w:pPr>
        <w:spacing w:before="240" w:line="360" w:lineRule="auto"/>
        <w:ind w:left="360"/>
        <w:jc w:val="both"/>
        <w:rPr>
          <w:rFonts w:asciiTheme="majorHAnsi" w:hAnsiTheme="majorHAnsi" w:cs="Calibri"/>
          <w:bCs/>
          <w:color w:val="000000"/>
          <w:lang w:val="en-IN"/>
        </w:rPr>
      </w:pPr>
      <w:r w:rsidRPr="007C7C0F">
        <w:rPr>
          <w:rFonts w:asciiTheme="majorHAnsi" w:hAnsiTheme="majorHAnsi" w:cs="Calibri"/>
          <w:bCs/>
          <w:color w:val="000000"/>
        </w:rPr>
        <w:t xml:space="preserve">As per existing RST structure across the state, it is mainly </w:t>
      </w:r>
      <w:r w:rsidR="00EB1F5D">
        <w:rPr>
          <w:rFonts w:asciiTheme="majorHAnsi" w:hAnsiTheme="majorHAnsi" w:cs="Calibri"/>
          <w:bCs/>
          <w:color w:val="000000"/>
        </w:rPr>
        <w:t xml:space="preserve">a </w:t>
      </w:r>
      <w:r w:rsidRPr="007C7C0F">
        <w:rPr>
          <w:rFonts w:asciiTheme="majorHAnsi" w:hAnsiTheme="majorHAnsi" w:cs="Calibri"/>
          <w:bCs/>
          <w:color w:val="000000"/>
        </w:rPr>
        <w:t>3 Part like (</w:t>
      </w:r>
      <w:proofErr w:type="spellStart"/>
      <w:r w:rsidRPr="007C7C0F">
        <w:rPr>
          <w:rFonts w:asciiTheme="majorHAnsi" w:hAnsiTheme="majorHAnsi" w:cs="Calibri"/>
          <w:bCs/>
          <w:color w:val="000000"/>
        </w:rPr>
        <w:t>i</w:t>
      </w:r>
      <w:proofErr w:type="spellEnd"/>
      <w:r w:rsidRPr="007C7C0F">
        <w:rPr>
          <w:rFonts w:asciiTheme="majorHAnsi" w:hAnsiTheme="majorHAnsi" w:cs="Calibri"/>
          <w:bCs/>
          <w:color w:val="000000"/>
        </w:rPr>
        <w:t xml:space="preserve">) Energy Charges/unit (ii) (a) Monthly Minimum fixed charges/kW for LT consumer and (b)Demand charges/kW/KVA/Month for HT &amp; EHT consumer and (iii) Customer service charges per month per consumer those who are paying </w:t>
      </w:r>
      <w:r w:rsidR="00EB1F5D">
        <w:rPr>
          <w:rFonts w:asciiTheme="majorHAnsi" w:hAnsiTheme="majorHAnsi" w:cs="Calibri"/>
          <w:bCs/>
          <w:color w:val="000000"/>
        </w:rPr>
        <w:t>d</w:t>
      </w:r>
      <w:r w:rsidRPr="007C7C0F">
        <w:rPr>
          <w:rFonts w:asciiTheme="majorHAnsi" w:hAnsiTheme="majorHAnsi" w:cs="Calibri"/>
          <w:bCs/>
          <w:color w:val="000000"/>
        </w:rPr>
        <w:t>emand charges. It is not applicable to those who are paying MMFC.</w:t>
      </w:r>
    </w:p>
    <w:p w14:paraId="11861138" w14:textId="54355D16" w:rsidR="007C7C0F" w:rsidRPr="007C7C0F" w:rsidRDefault="007C7C0F" w:rsidP="00773505">
      <w:pPr>
        <w:spacing w:before="240" w:line="360" w:lineRule="auto"/>
        <w:ind w:left="360"/>
        <w:jc w:val="both"/>
        <w:rPr>
          <w:rFonts w:asciiTheme="majorHAnsi" w:hAnsiTheme="majorHAnsi" w:cs="Calibri"/>
          <w:bCs/>
          <w:color w:val="000000"/>
          <w:lang w:val="en-IN"/>
        </w:rPr>
      </w:pPr>
      <w:r w:rsidRPr="007C7C0F">
        <w:rPr>
          <w:rFonts w:asciiTheme="majorHAnsi" w:hAnsiTheme="majorHAnsi" w:cs="Calibri"/>
          <w:bCs/>
          <w:color w:val="000000"/>
        </w:rPr>
        <w:t xml:space="preserve">Further, monthly minimum fixed charges in LT category for irrigation pumping and agriculture, allied agriculture activities, allied </w:t>
      </w:r>
      <w:proofErr w:type="spellStart"/>
      <w:r>
        <w:rPr>
          <w:rFonts w:asciiTheme="majorHAnsi" w:hAnsiTheme="majorHAnsi" w:cs="Calibri"/>
          <w:bCs/>
          <w:color w:val="000000"/>
        </w:rPr>
        <w:t>a</w:t>
      </w:r>
      <w:r w:rsidRPr="007C7C0F">
        <w:rPr>
          <w:rFonts w:asciiTheme="majorHAnsi" w:hAnsiTheme="majorHAnsi" w:cs="Calibri"/>
          <w:bCs/>
          <w:color w:val="000000"/>
        </w:rPr>
        <w:t>gro</w:t>
      </w:r>
      <w:proofErr w:type="spellEnd"/>
      <w:r>
        <w:rPr>
          <w:rFonts w:asciiTheme="majorHAnsi" w:hAnsiTheme="majorHAnsi" w:cs="Calibri"/>
          <w:bCs/>
          <w:color w:val="000000"/>
        </w:rPr>
        <w:t>-</w:t>
      </w:r>
      <w:r w:rsidRPr="007C7C0F">
        <w:rPr>
          <w:rFonts w:asciiTheme="majorHAnsi" w:hAnsiTheme="majorHAnsi" w:cs="Calibri"/>
          <w:bCs/>
          <w:color w:val="000000"/>
        </w:rPr>
        <w:t>industrial activities, public lighting, LT industrial [Small] &amp; LT industrial [Medium] is charged on different rates i.e. for 1</w:t>
      </w:r>
      <w:r w:rsidRPr="007C7C0F">
        <w:rPr>
          <w:rFonts w:asciiTheme="majorHAnsi" w:hAnsiTheme="majorHAnsi" w:cs="Calibri"/>
          <w:bCs/>
          <w:color w:val="000000"/>
          <w:vertAlign w:val="superscript"/>
        </w:rPr>
        <w:t>st</w:t>
      </w:r>
      <w:r w:rsidRPr="007C7C0F">
        <w:rPr>
          <w:rFonts w:asciiTheme="majorHAnsi" w:hAnsiTheme="majorHAnsi" w:cs="Calibri"/>
          <w:bCs/>
          <w:color w:val="000000"/>
        </w:rPr>
        <w:t xml:space="preserve"> kW @ Rs. 20-100 and </w:t>
      </w:r>
      <w:r w:rsidR="00EB1F5D">
        <w:rPr>
          <w:rFonts w:asciiTheme="majorHAnsi" w:hAnsiTheme="majorHAnsi" w:cs="Calibri"/>
          <w:bCs/>
          <w:color w:val="000000"/>
        </w:rPr>
        <w:t xml:space="preserve">for </w:t>
      </w:r>
      <w:r w:rsidRPr="007C7C0F">
        <w:rPr>
          <w:rFonts w:asciiTheme="majorHAnsi" w:hAnsiTheme="majorHAnsi" w:cs="Calibri"/>
          <w:bCs/>
          <w:color w:val="000000"/>
        </w:rPr>
        <w:t xml:space="preserve">subsequent additional kW/KVA or part thereof @ Rs. 10-80 depending upon the category of consumer. This seems to be </w:t>
      </w:r>
      <w:r w:rsidR="00EB1F5D">
        <w:rPr>
          <w:rFonts w:asciiTheme="majorHAnsi" w:hAnsiTheme="majorHAnsi" w:cs="Calibri"/>
          <w:bCs/>
          <w:color w:val="000000"/>
        </w:rPr>
        <w:t xml:space="preserve">a </w:t>
      </w:r>
      <w:r w:rsidRPr="007C7C0F">
        <w:rPr>
          <w:rFonts w:asciiTheme="majorHAnsi" w:hAnsiTheme="majorHAnsi" w:cs="Calibri"/>
          <w:bCs/>
          <w:color w:val="000000"/>
        </w:rPr>
        <w:t>complex design of levying fixed charges and needs simplification.</w:t>
      </w:r>
    </w:p>
    <w:p w14:paraId="5F4F4199" w14:textId="69D261C4" w:rsidR="007C7C0F" w:rsidRPr="007C7C0F" w:rsidRDefault="007C7C0F" w:rsidP="00773505">
      <w:pPr>
        <w:spacing w:before="240" w:line="360" w:lineRule="auto"/>
        <w:ind w:left="360"/>
        <w:jc w:val="both"/>
        <w:rPr>
          <w:rFonts w:asciiTheme="majorHAnsi" w:hAnsiTheme="majorHAnsi" w:cs="Calibri"/>
          <w:bCs/>
          <w:color w:val="000000"/>
          <w:lang w:val="en-IN"/>
        </w:rPr>
      </w:pPr>
      <w:r w:rsidRPr="007C7C0F">
        <w:rPr>
          <w:rFonts w:asciiTheme="majorHAnsi" w:hAnsiTheme="majorHAnsi" w:cs="Calibri"/>
          <w:bCs/>
          <w:color w:val="000000"/>
        </w:rPr>
        <w:t xml:space="preserve">On overall basis, </w:t>
      </w:r>
      <w:r w:rsidR="00EB1F5D">
        <w:rPr>
          <w:rFonts w:asciiTheme="majorHAnsi" w:hAnsiTheme="majorHAnsi" w:cs="Calibri"/>
          <w:bCs/>
          <w:color w:val="000000"/>
        </w:rPr>
        <w:t xml:space="preserve">in </w:t>
      </w:r>
      <w:r w:rsidRPr="007C7C0F">
        <w:rPr>
          <w:rFonts w:asciiTheme="majorHAnsi" w:hAnsiTheme="majorHAnsi" w:cs="Calibri"/>
          <w:bCs/>
          <w:color w:val="000000"/>
        </w:rPr>
        <w:t xml:space="preserve">Odisha </w:t>
      </w:r>
      <w:r w:rsidR="00EB1F5D">
        <w:rPr>
          <w:rFonts w:asciiTheme="majorHAnsi" w:hAnsiTheme="majorHAnsi" w:cs="Calibri"/>
          <w:bCs/>
          <w:color w:val="000000"/>
        </w:rPr>
        <w:t xml:space="preserve">TP </w:t>
      </w:r>
      <w:r w:rsidRPr="007C7C0F">
        <w:rPr>
          <w:rFonts w:asciiTheme="majorHAnsi" w:hAnsiTheme="majorHAnsi" w:cs="Calibri"/>
          <w:bCs/>
          <w:color w:val="000000"/>
        </w:rPr>
        <w:t>DISCOMs are recovering approximately 10% of their total revenue excluding rebate and electricity duty through demand charges/monthly minimum fixed charges. Whereas in other states th</w:t>
      </w:r>
      <w:r>
        <w:rPr>
          <w:rFonts w:asciiTheme="majorHAnsi" w:hAnsiTheme="majorHAnsi" w:cs="Calibri"/>
          <w:bCs/>
          <w:color w:val="000000"/>
        </w:rPr>
        <w:t>is</w:t>
      </w:r>
      <w:r w:rsidR="00EB1F5D">
        <w:rPr>
          <w:rFonts w:asciiTheme="majorHAnsi" w:hAnsiTheme="majorHAnsi" w:cs="Calibri"/>
          <w:bCs/>
          <w:color w:val="000000"/>
        </w:rPr>
        <w:t xml:space="preserve"> is to the tune of </w:t>
      </w:r>
      <w:r w:rsidRPr="007C7C0F">
        <w:rPr>
          <w:rFonts w:asciiTheme="majorHAnsi" w:hAnsiTheme="majorHAnsi" w:cs="Calibri"/>
          <w:bCs/>
          <w:color w:val="000000"/>
        </w:rPr>
        <w:t xml:space="preserve">15-20%. </w:t>
      </w:r>
    </w:p>
    <w:p w14:paraId="7E946385" w14:textId="7D3AD0B4" w:rsidR="007C7C0F" w:rsidRPr="007C7C0F" w:rsidRDefault="007C7C0F" w:rsidP="00773505">
      <w:pPr>
        <w:spacing w:before="240" w:line="360" w:lineRule="auto"/>
        <w:ind w:left="360"/>
        <w:jc w:val="both"/>
        <w:rPr>
          <w:rFonts w:asciiTheme="majorHAnsi" w:hAnsiTheme="majorHAnsi" w:cs="Calibri"/>
          <w:bCs/>
          <w:color w:val="000000"/>
          <w:lang w:val="en-IN"/>
        </w:rPr>
      </w:pPr>
      <w:r w:rsidRPr="007C7C0F">
        <w:rPr>
          <w:rFonts w:asciiTheme="majorHAnsi" w:hAnsiTheme="majorHAnsi" w:cs="Calibri"/>
          <w:bCs/>
          <w:color w:val="000000"/>
        </w:rPr>
        <w:t xml:space="preserve">It is pertinent to mention here that the entire operating cost of DISCOMs such as R&amp;M, A&amp;G, employee cost, depreciation, financing cost, ROE is almost fixed in nature. In ideal scenario, fixed cost of </w:t>
      </w:r>
      <w:r w:rsidR="00EB1F5D">
        <w:rPr>
          <w:rFonts w:asciiTheme="majorHAnsi" w:hAnsiTheme="majorHAnsi" w:cs="Calibri"/>
          <w:bCs/>
          <w:color w:val="000000"/>
        </w:rPr>
        <w:t xml:space="preserve">a </w:t>
      </w:r>
      <w:r w:rsidRPr="007C7C0F">
        <w:rPr>
          <w:rFonts w:asciiTheme="majorHAnsi" w:hAnsiTheme="majorHAnsi" w:cs="Calibri"/>
          <w:bCs/>
          <w:color w:val="000000"/>
        </w:rPr>
        <w:t xml:space="preserve">Distribution Company should be recovered through demand charges/monthly minimum fixed charges levied based on sanctioned load/contract demand or maximum demand of the consumer whichever is higher. Whereas in the current tariff structure the DISCOMs are recovering hardly </w:t>
      </w:r>
      <w:r w:rsidR="00EB1F5D">
        <w:rPr>
          <w:rFonts w:asciiTheme="majorHAnsi" w:hAnsiTheme="majorHAnsi" w:cs="Calibri"/>
          <w:bCs/>
          <w:color w:val="000000"/>
        </w:rPr>
        <w:t>about</w:t>
      </w:r>
      <w:r w:rsidRPr="007C7C0F">
        <w:rPr>
          <w:rFonts w:asciiTheme="majorHAnsi" w:hAnsiTheme="majorHAnsi" w:cs="Calibri"/>
          <w:bCs/>
          <w:color w:val="000000"/>
        </w:rPr>
        <w:t xml:space="preserve"> 10</w:t>
      </w:r>
      <w:r w:rsidR="0035627F">
        <w:rPr>
          <w:rFonts w:asciiTheme="majorHAnsi" w:hAnsiTheme="majorHAnsi" w:cs="Calibri"/>
          <w:bCs/>
          <w:color w:val="000000"/>
        </w:rPr>
        <w:t>-15</w:t>
      </w:r>
      <w:r w:rsidRPr="007C7C0F">
        <w:rPr>
          <w:rFonts w:asciiTheme="majorHAnsi" w:hAnsiTheme="majorHAnsi" w:cs="Calibri"/>
          <w:bCs/>
          <w:color w:val="000000"/>
        </w:rPr>
        <w:t>% of their total fixed cost through fixed charges.</w:t>
      </w:r>
    </w:p>
    <w:p w14:paraId="5B4D4830" w14:textId="77777777" w:rsidR="00E319BE" w:rsidRDefault="00E319BE" w:rsidP="00773505">
      <w:pPr>
        <w:spacing w:before="240" w:line="360" w:lineRule="auto"/>
        <w:ind w:left="360"/>
        <w:jc w:val="both"/>
        <w:rPr>
          <w:rFonts w:asciiTheme="majorHAnsi" w:hAnsiTheme="majorHAnsi" w:cs="Calibri"/>
          <w:bCs/>
          <w:color w:val="000000"/>
        </w:rPr>
      </w:pPr>
      <w:r w:rsidRPr="00E319BE">
        <w:rPr>
          <w:rFonts w:asciiTheme="majorHAnsi" w:hAnsiTheme="majorHAnsi" w:cs="Calibri"/>
          <w:bCs/>
          <w:color w:val="000000"/>
        </w:rPr>
        <w:t>The present tariff design results in disproportionate loading of all incremental costs on the energy-related components of consumer tariffs, thereby increasing the risk exposure of the Distribution Licensee to fluctuations in the sales mix. This structure inherently amplifies revenue volatility whenever there is a shift in consumption patterns across categories.</w:t>
      </w:r>
    </w:p>
    <w:p w14:paraId="2220F3D1" w14:textId="53E9BA28" w:rsidR="00E319BE" w:rsidRDefault="00E319BE" w:rsidP="00773505">
      <w:pPr>
        <w:spacing w:before="240" w:line="360" w:lineRule="auto"/>
        <w:ind w:left="360"/>
        <w:jc w:val="both"/>
        <w:rPr>
          <w:rFonts w:asciiTheme="majorHAnsi" w:hAnsiTheme="majorHAnsi" w:cs="Calibri"/>
          <w:bCs/>
          <w:color w:val="000000"/>
        </w:rPr>
      </w:pPr>
      <w:r w:rsidRPr="00E319BE">
        <w:rPr>
          <w:rFonts w:asciiTheme="majorHAnsi" w:hAnsiTheme="majorHAnsi" w:cs="Calibri"/>
          <w:bCs/>
          <w:color w:val="000000"/>
        </w:rPr>
        <w:t xml:space="preserve">In view of the ongoing structural and regulatory transformations in the power sector, there is a growing likelihood that, in the near future, Distribution Licensees may be left predominantly with </w:t>
      </w:r>
      <w:r w:rsidR="0035627F" w:rsidRPr="00E319BE">
        <w:rPr>
          <w:rFonts w:asciiTheme="majorHAnsi" w:hAnsiTheme="majorHAnsi" w:cs="Calibri"/>
          <w:bCs/>
          <w:color w:val="000000"/>
        </w:rPr>
        <w:t>subsidized</w:t>
      </w:r>
      <w:r w:rsidRPr="00E319BE">
        <w:rPr>
          <w:rFonts w:asciiTheme="majorHAnsi" w:hAnsiTheme="majorHAnsi" w:cs="Calibri"/>
          <w:bCs/>
          <w:color w:val="000000"/>
        </w:rPr>
        <w:t xml:space="preserve"> consumer segments, while higher-paying consumer categories increasingly migrate or reduce dependency on the grid. In such a scenario, it would be prudent and timely to re-examine the prevailing framework of levying fixed charges, with a view to ensur</w:t>
      </w:r>
      <w:r w:rsidR="00EB1F5D">
        <w:rPr>
          <w:rFonts w:asciiTheme="majorHAnsi" w:hAnsiTheme="majorHAnsi" w:cs="Calibri"/>
          <w:bCs/>
          <w:color w:val="000000"/>
        </w:rPr>
        <w:t>e</w:t>
      </w:r>
      <w:r w:rsidRPr="00E319BE">
        <w:rPr>
          <w:rFonts w:asciiTheme="majorHAnsi" w:hAnsiTheme="majorHAnsi" w:cs="Calibri"/>
          <w:bCs/>
          <w:color w:val="000000"/>
        </w:rPr>
        <w:t xml:space="preserve"> tariff stability, revenue adequacy</w:t>
      </w:r>
      <w:r>
        <w:rPr>
          <w:rFonts w:asciiTheme="majorHAnsi" w:hAnsiTheme="majorHAnsi" w:cs="Calibri"/>
          <w:bCs/>
          <w:color w:val="000000"/>
        </w:rPr>
        <w:t xml:space="preserve"> </w:t>
      </w:r>
      <w:r w:rsidRPr="00E319BE">
        <w:rPr>
          <w:rFonts w:asciiTheme="majorHAnsi" w:hAnsiTheme="majorHAnsi" w:cs="Calibri"/>
          <w:bCs/>
          <w:color w:val="000000"/>
        </w:rPr>
        <w:t>and long-term sustainability of distribution operations.</w:t>
      </w:r>
    </w:p>
    <w:p w14:paraId="6AFD8F04" w14:textId="1CE1EBD4" w:rsidR="007C7C0F" w:rsidRPr="007C7C0F" w:rsidRDefault="00E319BE" w:rsidP="00773505">
      <w:pPr>
        <w:spacing w:before="240" w:line="360" w:lineRule="auto"/>
        <w:ind w:left="360"/>
        <w:jc w:val="both"/>
        <w:rPr>
          <w:rFonts w:asciiTheme="majorHAnsi" w:hAnsiTheme="majorHAnsi" w:cs="Calibri"/>
          <w:bCs/>
          <w:color w:val="000000"/>
          <w:lang w:val="en-IN"/>
        </w:rPr>
      </w:pPr>
      <w:r>
        <w:rPr>
          <w:rFonts w:asciiTheme="majorHAnsi" w:hAnsiTheme="majorHAnsi" w:cs="Calibri"/>
          <w:bCs/>
          <w:color w:val="000000"/>
        </w:rPr>
        <w:t xml:space="preserve">Therefore, </w:t>
      </w:r>
      <w:r w:rsidR="007C7C0F" w:rsidRPr="007C7C0F">
        <w:rPr>
          <w:rFonts w:asciiTheme="majorHAnsi" w:hAnsiTheme="majorHAnsi" w:cs="Calibri"/>
          <w:bCs/>
          <w:color w:val="000000"/>
        </w:rPr>
        <w:t>Hon’ble Commission is requested to consider a simplification of current design for levying monthly fixed charges and rationalize the rates appropriately so that risk of change in sales mix is addressed to the extent possible. Rationalization of demand charges and monthly minimum fixed charges would also disincentiv</w:t>
      </w:r>
      <w:r w:rsidR="001972DE">
        <w:rPr>
          <w:rFonts w:asciiTheme="majorHAnsi" w:hAnsiTheme="majorHAnsi" w:cs="Calibri"/>
          <w:bCs/>
          <w:color w:val="000000"/>
        </w:rPr>
        <w:t>ize</w:t>
      </w:r>
      <w:r w:rsidR="007C7C0F" w:rsidRPr="007C7C0F">
        <w:rPr>
          <w:rFonts w:asciiTheme="majorHAnsi" w:hAnsiTheme="majorHAnsi" w:cs="Calibri"/>
          <w:bCs/>
          <w:color w:val="000000"/>
        </w:rPr>
        <w:t xml:space="preserve"> consumers who</w:t>
      </w:r>
      <w:r w:rsidR="001972DE">
        <w:rPr>
          <w:rFonts w:asciiTheme="majorHAnsi" w:hAnsiTheme="majorHAnsi" w:cs="Calibri"/>
          <w:bCs/>
          <w:color w:val="000000"/>
        </w:rPr>
        <w:t xml:space="preserve"> are</w:t>
      </w:r>
      <w:r w:rsidR="007C7C0F" w:rsidRPr="007C7C0F">
        <w:rPr>
          <w:rFonts w:asciiTheme="majorHAnsi" w:hAnsiTheme="majorHAnsi" w:cs="Calibri"/>
          <w:bCs/>
          <w:color w:val="000000"/>
        </w:rPr>
        <w:t xml:space="preserve"> found indulging in theft of electricity at the cost of regular paying consumers.</w:t>
      </w:r>
    </w:p>
    <w:p w14:paraId="41BD30F1" w14:textId="77777777" w:rsidR="007C7C0F" w:rsidRPr="007C7C0F" w:rsidRDefault="007C7C0F" w:rsidP="00773505">
      <w:pPr>
        <w:pStyle w:val="ListParagraph"/>
        <w:spacing w:line="360" w:lineRule="auto"/>
        <w:ind w:left="432"/>
        <w:rPr>
          <w:rFonts w:asciiTheme="majorHAnsi" w:eastAsia="Times New Roman" w:hAnsiTheme="majorHAnsi" w:cs="Arial"/>
          <w:b/>
          <w:bCs/>
          <w:sz w:val="24"/>
          <w:szCs w:val="24"/>
        </w:rPr>
      </w:pPr>
    </w:p>
    <w:p w14:paraId="5300924F" w14:textId="3DB2FB81" w:rsidR="007C7C0F" w:rsidRPr="007C7C0F" w:rsidRDefault="007C7C0F" w:rsidP="007C7C0F">
      <w:pPr>
        <w:pStyle w:val="ListParagraph"/>
        <w:numPr>
          <w:ilvl w:val="1"/>
          <w:numId w:val="1"/>
        </w:numPr>
        <w:rPr>
          <w:rFonts w:asciiTheme="majorHAnsi" w:eastAsia="Times New Roman" w:hAnsiTheme="majorHAnsi" w:cs="Arial"/>
          <w:b/>
          <w:bCs/>
          <w:sz w:val="24"/>
          <w:szCs w:val="24"/>
        </w:rPr>
      </w:pPr>
      <w:r w:rsidRPr="007C7C0F">
        <w:rPr>
          <w:rFonts w:asciiTheme="majorHAnsi" w:eastAsia="Times New Roman" w:hAnsiTheme="majorHAnsi" w:cs="Arial"/>
          <w:b/>
          <w:bCs/>
          <w:sz w:val="24"/>
          <w:szCs w:val="24"/>
        </w:rPr>
        <w:t xml:space="preserve">DPS on Electricity Bills </w:t>
      </w:r>
    </w:p>
    <w:p w14:paraId="13F8F14B" w14:textId="77777777" w:rsidR="007C7C0F" w:rsidRPr="007C7C0F" w:rsidRDefault="007C7C0F" w:rsidP="00773505">
      <w:pPr>
        <w:spacing w:before="240" w:line="360" w:lineRule="auto"/>
        <w:ind w:left="360"/>
        <w:jc w:val="both"/>
        <w:rPr>
          <w:rFonts w:asciiTheme="majorHAnsi" w:hAnsiTheme="majorHAnsi" w:cs="Calibri"/>
          <w:bCs/>
          <w:color w:val="000000"/>
        </w:rPr>
      </w:pPr>
      <w:r w:rsidRPr="007C7C0F">
        <w:rPr>
          <w:rFonts w:asciiTheme="majorHAnsi" w:hAnsiTheme="majorHAnsi" w:cs="Calibri"/>
          <w:bCs/>
          <w:color w:val="000000"/>
        </w:rPr>
        <w:t>The Hon’ble Commission had discontinued the practice of levy of DPS on the Electricity Bills in the Tariff Order for FY 2023-24. The Extracts of the Tariff Order is as follows:</w:t>
      </w:r>
    </w:p>
    <w:p w14:paraId="504D87E9" w14:textId="77777777" w:rsidR="007C7C0F" w:rsidRPr="007C7C0F" w:rsidRDefault="007C7C0F" w:rsidP="0035627F">
      <w:pPr>
        <w:spacing w:before="240" w:line="276" w:lineRule="auto"/>
        <w:ind w:left="720"/>
        <w:jc w:val="both"/>
        <w:rPr>
          <w:rFonts w:asciiTheme="majorHAnsi" w:hAnsiTheme="majorHAnsi" w:cs="Calibri"/>
          <w:bCs/>
          <w:color w:val="000000"/>
        </w:rPr>
      </w:pPr>
      <w:r w:rsidRPr="007C7C0F">
        <w:rPr>
          <w:rFonts w:asciiTheme="majorHAnsi" w:hAnsiTheme="majorHAnsi" w:cs="Calibri"/>
          <w:bCs/>
          <w:i/>
          <w:iCs/>
          <w:color w:val="000000"/>
        </w:rPr>
        <w:t>“87. The issue of levy of DPS to above categories of consumers was raised by DISCOMs during hearing. The Commission thoroughly scrutinized the issue. It is found that levy of DPS is acting as a hurdle for small consumers in resolving their disputed bills. The revenue impact of DPS for these small consumers is also not substantial. Therefore, in order to resolve bill disputes quickly, the Commission decides to abolish DPS for LT Domestic, LT General Purpose and HT Bulk Supply Domestic Consumers w.e.f. 01.04.2023.”</w:t>
      </w:r>
    </w:p>
    <w:p w14:paraId="4963E24A" w14:textId="0CB44DB6" w:rsidR="007C7C0F" w:rsidRPr="007C7C0F" w:rsidRDefault="007C7C0F" w:rsidP="00773505">
      <w:pPr>
        <w:spacing w:before="240" w:line="360" w:lineRule="auto"/>
        <w:ind w:left="360"/>
        <w:jc w:val="both"/>
        <w:rPr>
          <w:rFonts w:asciiTheme="majorHAnsi" w:hAnsiTheme="majorHAnsi" w:cs="Calibri"/>
          <w:bCs/>
          <w:color w:val="000000"/>
        </w:rPr>
      </w:pPr>
      <w:r w:rsidRPr="007C7C0F">
        <w:rPr>
          <w:rFonts w:asciiTheme="majorHAnsi" w:hAnsiTheme="majorHAnsi" w:cs="Calibri"/>
          <w:bCs/>
          <w:color w:val="000000"/>
        </w:rPr>
        <w:t xml:space="preserve">The DISCOMs have also requested in ARR of </w:t>
      </w:r>
      <w:r w:rsidR="00E319BE">
        <w:rPr>
          <w:rFonts w:asciiTheme="majorHAnsi" w:hAnsiTheme="majorHAnsi" w:cs="Calibri"/>
          <w:bCs/>
          <w:color w:val="000000"/>
        </w:rPr>
        <w:t xml:space="preserve">FY </w:t>
      </w:r>
      <w:r w:rsidRPr="007C7C0F">
        <w:rPr>
          <w:rFonts w:asciiTheme="majorHAnsi" w:hAnsiTheme="majorHAnsi" w:cs="Calibri"/>
          <w:bCs/>
          <w:color w:val="000000"/>
        </w:rPr>
        <w:t>24-25, wherein Hon’ble Commission in para 93 has addressed in following manner;</w:t>
      </w:r>
    </w:p>
    <w:p w14:paraId="17ED1943" w14:textId="77777777" w:rsidR="007C7C0F" w:rsidRPr="007C7C0F" w:rsidRDefault="007C7C0F" w:rsidP="007C7C0F">
      <w:pPr>
        <w:spacing w:before="240" w:line="276" w:lineRule="auto"/>
        <w:ind w:left="720"/>
        <w:rPr>
          <w:rFonts w:asciiTheme="majorHAnsi" w:hAnsiTheme="majorHAnsi" w:cs="Calibri"/>
          <w:bCs/>
          <w:i/>
          <w:iCs/>
          <w:color w:val="000000"/>
          <w:lang w:val="en-IN"/>
        </w:rPr>
      </w:pPr>
      <w:r w:rsidRPr="007C7C0F">
        <w:rPr>
          <w:rFonts w:asciiTheme="majorHAnsi" w:hAnsiTheme="majorHAnsi" w:cs="Calibri"/>
          <w:bCs/>
          <w:i/>
          <w:iCs/>
          <w:color w:val="000000"/>
          <w:lang w:val="en-IN"/>
        </w:rPr>
        <w:t>“Issue of Levy of Delay Payment Surcharge (DPS) on Electricity Bills</w:t>
      </w:r>
    </w:p>
    <w:p w14:paraId="7DEED3C9" w14:textId="77777777" w:rsidR="007C7C0F" w:rsidRPr="007C7C0F" w:rsidRDefault="007C7C0F" w:rsidP="0035627F">
      <w:pPr>
        <w:spacing w:before="240" w:line="276" w:lineRule="auto"/>
        <w:ind w:left="720"/>
        <w:jc w:val="both"/>
        <w:rPr>
          <w:rFonts w:asciiTheme="majorHAnsi" w:hAnsiTheme="majorHAnsi" w:cs="Calibri"/>
          <w:b/>
          <w:bCs/>
          <w:i/>
          <w:iCs/>
          <w:color w:val="000000"/>
          <w:lang w:val="en-IN"/>
        </w:rPr>
      </w:pPr>
      <w:r w:rsidRPr="007C7C0F">
        <w:rPr>
          <w:rFonts w:asciiTheme="majorHAnsi" w:hAnsiTheme="majorHAnsi" w:cs="Calibri"/>
          <w:bCs/>
          <w:i/>
          <w:iCs/>
          <w:color w:val="000000"/>
          <w:lang w:val="en-IN"/>
        </w:rPr>
        <w:t xml:space="preserve">On the issue of levy of DPS on LT Domestic, LT General Purpose and HT Bulk Supply Domestic Consumers, it is clarified that, since FY 2023-24, this has been abolished. It is not out of place to mention here that, levy of DPS is a deterrent for defaulting Consumers who pay the bill after lapse of one month of the due date. However, from the performance of DISCOM, it is seen that the overall collection efficiency has improved significantly. The Act empowers the DISCOMs to disconnect the supply of electricity in case of non-payment of Bills. </w:t>
      </w:r>
      <w:r w:rsidRPr="007C7C0F">
        <w:rPr>
          <w:rFonts w:asciiTheme="majorHAnsi" w:hAnsiTheme="majorHAnsi" w:cs="Calibri"/>
          <w:b/>
          <w:bCs/>
          <w:i/>
          <w:iCs/>
          <w:color w:val="000000"/>
          <w:lang w:val="en-IN"/>
        </w:rPr>
        <w:t>Therefore, it will not be prudent to reinforce the DPS.”</w:t>
      </w:r>
    </w:p>
    <w:p w14:paraId="4E3FCBEA" w14:textId="24E12C6B" w:rsidR="007C7C0F" w:rsidRPr="007C7C0F" w:rsidRDefault="007C7C0F" w:rsidP="00773505">
      <w:pPr>
        <w:spacing w:before="240" w:line="360" w:lineRule="auto"/>
        <w:ind w:left="360"/>
        <w:jc w:val="both"/>
        <w:rPr>
          <w:rFonts w:asciiTheme="majorHAnsi" w:hAnsiTheme="majorHAnsi" w:cs="Calibri"/>
          <w:bCs/>
          <w:color w:val="000000"/>
        </w:rPr>
      </w:pPr>
      <w:r w:rsidRPr="007C7C0F">
        <w:rPr>
          <w:rFonts w:asciiTheme="majorHAnsi" w:hAnsiTheme="majorHAnsi" w:cs="Calibri"/>
          <w:bCs/>
          <w:color w:val="000000"/>
        </w:rPr>
        <w:t xml:space="preserve">The DISCOMs have </w:t>
      </w:r>
      <w:r w:rsidR="00EB1F5D">
        <w:rPr>
          <w:rFonts w:asciiTheme="majorHAnsi" w:hAnsiTheme="majorHAnsi" w:cs="Calibri"/>
          <w:bCs/>
          <w:color w:val="000000"/>
        </w:rPr>
        <w:t xml:space="preserve">repeated the demand </w:t>
      </w:r>
      <w:r w:rsidRPr="007C7C0F">
        <w:rPr>
          <w:rFonts w:asciiTheme="majorHAnsi" w:hAnsiTheme="majorHAnsi" w:cs="Calibri"/>
          <w:bCs/>
          <w:color w:val="000000"/>
        </w:rPr>
        <w:t>in ARR</w:t>
      </w:r>
      <w:r w:rsidR="00EB1F5D">
        <w:rPr>
          <w:rFonts w:asciiTheme="majorHAnsi" w:hAnsiTheme="majorHAnsi" w:cs="Calibri"/>
          <w:bCs/>
          <w:color w:val="000000"/>
        </w:rPr>
        <w:t xml:space="preserve"> </w:t>
      </w:r>
      <w:r w:rsidR="00E319BE">
        <w:rPr>
          <w:rFonts w:asciiTheme="majorHAnsi" w:hAnsiTheme="majorHAnsi" w:cs="Calibri"/>
          <w:bCs/>
          <w:color w:val="000000"/>
        </w:rPr>
        <w:t xml:space="preserve">FY </w:t>
      </w:r>
      <w:r w:rsidRPr="007C7C0F">
        <w:rPr>
          <w:rFonts w:asciiTheme="majorHAnsi" w:hAnsiTheme="majorHAnsi" w:cs="Calibri"/>
          <w:bCs/>
          <w:color w:val="000000"/>
        </w:rPr>
        <w:t>25-26, wherein Hon’ble Commission in para 130 has addressed in</w:t>
      </w:r>
      <w:r w:rsidR="00EB1F5D">
        <w:rPr>
          <w:rFonts w:asciiTheme="majorHAnsi" w:hAnsiTheme="majorHAnsi" w:cs="Calibri"/>
          <w:bCs/>
          <w:color w:val="000000"/>
        </w:rPr>
        <w:t xml:space="preserve"> the</w:t>
      </w:r>
      <w:r w:rsidRPr="007C7C0F">
        <w:rPr>
          <w:rFonts w:asciiTheme="majorHAnsi" w:hAnsiTheme="majorHAnsi" w:cs="Calibri"/>
          <w:bCs/>
          <w:color w:val="000000"/>
        </w:rPr>
        <w:t xml:space="preserve"> following manner;</w:t>
      </w:r>
    </w:p>
    <w:p w14:paraId="007EC0A1" w14:textId="77777777" w:rsidR="007C7C0F" w:rsidRPr="007C7C0F" w:rsidRDefault="007C7C0F" w:rsidP="007C7C0F">
      <w:pPr>
        <w:spacing w:before="240" w:line="276" w:lineRule="auto"/>
        <w:ind w:left="720"/>
        <w:rPr>
          <w:rFonts w:asciiTheme="majorHAnsi" w:hAnsiTheme="majorHAnsi" w:cs="Calibri"/>
          <w:bCs/>
          <w:i/>
          <w:iCs/>
          <w:color w:val="000000"/>
          <w:lang w:val="en-IN"/>
        </w:rPr>
      </w:pPr>
      <w:r w:rsidRPr="007C7C0F">
        <w:rPr>
          <w:rFonts w:asciiTheme="majorHAnsi" w:hAnsiTheme="majorHAnsi" w:cs="Calibri"/>
          <w:bCs/>
          <w:i/>
          <w:iCs/>
          <w:color w:val="000000"/>
          <w:lang w:val="en-IN"/>
        </w:rPr>
        <w:t>“Issue of Levy of Delay Payment Surcharge (DPS) on Electricity Bills</w:t>
      </w:r>
    </w:p>
    <w:p w14:paraId="19B09431" w14:textId="77777777" w:rsidR="007C7C0F" w:rsidRPr="007C7C0F" w:rsidRDefault="007C7C0F" w:rsidP="0035627F">
      <w:pPr>
        <w:spacing w:before="240" w:line="276" w:lineRule="auto"/>
        <w:ind w:left="720"/>
        <w:jc w:val="both"/>
        <w:rPr>
          <w:rFonts w:asciiTheme="majorHAnsi" w:hAnsiTheme="majorHAnsi" w:cs="Calibri"/>
          <w:bCs/>
          <w:i/>
          <w:iCs/>
          <w:color w:val="000000"/>
        </w:rPr>
      </w:pPr>
      <w:r w:rsidRPr="007C7C0F">
        <w:rPr>
          <w:rFonts w:asciiTheme="majorHAnsi" w:hAnsiTheme="majorHAnsi" w:cs="Calibri"/>
          <w:bCs/>
          <w:i/>
          <w:iCs/>
          <w:color w:val="000000"/>
          <w:lang w:val="en-IN"/>
        </w:rPr>
        <w:t>On the issue of levy of DPS on LT Domestic, LT General Purpose and HT Bulk Supply Domestic Consumers, it is clarified that, since FY 2023-24, DPS has been abolished. The Commission had already explained in the Tariff Order for FY 2024-25, dt: 13.02.2024, the reason for non-acceptance of the said proposal. The Act empowers the DISCOMs to disconnect the supply of electricity in case of non-payment of Bills. This would also avoid accumulation of arrear of consumer payable to the DISCOMs. Therefore, Commission is not inclined to reinforce the DPS as proposed by the DISCOMs.</w:t>
      </w:r>
    </w:p>
    <w:p w14:paraId="2631DC04" w14:textId="52B6D6B3" w:rsidR="007C7C0F" w:rsidRPr="007C7C0F" w:rsidRDefault="007C7C0F" w:rsidP="00773505">
      <w:pPr>
        <w:spacing w:before="240" w:line="360" w:lineRule="auto"/>
        <w:ind w:left="360"/>
        <w:jc w:val="both"/>
        <w:rPr>
          <w:rFonts w:asciiTheme="majorHAnsi" w:hAnsiTheme="majorHAnsi" w:cs="Calibri"/>
          <w:bCs/>
          <w:color w:val="000000"/>
        </w:rPr>
      </w:pPr>
      <w:r w:rsidRPr="007C7C0F">
        <w:rPr>
          <w:rFonts w:asciiTheme="majorHAnsi" w:hAnsiTheme="majorHAnsi" w:cs="Calibri"/>
          <w:bCs/>
          <w:color w:val="000000"/>
        </w:rPr>
        <w:t xml:space="preserve">However, rescinding the levy of DPS has resulted in willful delay in payment as there is no deterrent now available. The DPS was acting as the required deterrent and the consumers will have to pay in time. In this regard, it is assured that DPS would be applicable only on the undisputed portion. Hence when the Bill gets revised due to disputes, the DPS would be once again computed on the </w:t>
      </w:r>
      <w:r w:rsidR="00EB1F5D">
        <w:rPr>
          <w:rFonts w:asciiTheme="majorHAnsi" w:hAnsiTheme="majorHAnsi" w:cs="Calibri"/>
          <w:bCs/>
          <w:color w:val="000000"/>
        </w:rPr>
        <w:t>u</w:t>
      </w:r>
      <w:r w:rsidRPr="007C7C0F">
        <w:rPr>
          <w:rFonts w:asciiTheme="majorHAnsi" w:hAnsiTheme="majorHAnsi" w:cs="Calibri"/>
          <w:bCs/>
          <w:color w:val="000000"/>
        </w:rPr>
        <w:t xml:space="preserve">n-disputed amount. Further, </w:t>
      </w:r>
      <w:r w:rsidR="00EB1F5D">
        <w:rPr>
          <w:rFonts w:asciiTheme="majorHAnsi" w:hAnsiTheme="majorHAnsi" w:cs="Calibri"/>
          <w:bCs/>
          <w:color w:val="000000"/>
        </w:rPr>
        <w:t xml:space="preserve">the Licensee </w:t>
      </w:r>
      <w:r w:rsidRPr="007C7C0F">
        <w:rPr>
          <w:rFonts w:asciiTheme="majorHAnsi" w:hAnsiTheme="majorHAnsi" w:cs="Calibri"/>
          <w:bCs/>
          <w:color w:val="000000"/>
        </w:rPr>
        <w:t>also note</w:t>
      </w:r>
      <w:r w:rsidR="00EB1F5D">
        <w:rPr>
          <w:rFonts w:asciiTheme="majorHAnsi" w:hAnsiTheme="majorHAnsi" w:cs="Calibri"/>
          <w:bCs/>
          <w:color w:val="000000"/>
        </w:rPr>
        <w:t>s</w:t>
      </w:r>
      <w:r w:rsidRPr="007C7C0F">
        <w:rPr>
          <w:rFonts w:asciiTheme="majorHAnsi" w:hAnsiTheme="majorHAnsi" w:cs="Calibri"/>
          <w:bCs/>
          <w:color w:val="000000"/>
        </w:rPr>
        <w:t xml:space="preserve"> that the consumers at times are required to pay DPS as the bill delivery is delayed. Such situation arises as the Due Date is very short of 7 days. Hence in order to address this grievance of the consumer, it may be appropriate to increase the Due Date of such consumers to 30 days. In this regard, the stand of the Hon’ble Commission in Tariff Order for FY 2022-23 is relevant and </w:t>
      </w:r>
      <w:r w:rsidR="00EB1F5D">
        <w:rPr>
          <w:rFonts w:asciiTheme="majorHAnsi" w:hAnsiTheme="majorHAnsi" w:cs="Calibri"/>
          <w:bCs/>
          <w:color w:val="000000"/>
        </w:rPr>
        <w:t xml:space="preserve">is </w:t>
      </w:r>
      <w:r w:rsidRPr="007C7C0F">
        <w:rPr>
          <w:rFonts w:asciiTheme="majorHAnsi" w:hAnsiTheme="majorHAnsi" w:cs="Calibri"/>
          <w:bCs/>
          <w:color w:val="000000"/>
        </w:rPr>
        <w:t>presented below:</w:t>
      </w:r>
    </w:p>
    <w:p w14:paraId="61D25DFB" w14:textId="77777777" w:rsidR="007C7C0F" w:rsidRPr="007C7C0F" w:rsidRDefault="007C7C0F" w:rsidP="0035627F">
      <w:pPr>
        <w:spacing w:before="240" w:line="276" w:lineRule="auto"/>
        <w:ind w:left="720"/>
        <w:jc w:val="both"/>
        <w:rPr>
          <w:rFonts w:asciiTheme="majorHAnsi" w:hAnsiTheme="majorHAnsi" w:cs="Calibri"/>
          <w:bCs/>
          <w:i/>
          <w:iCs/>
          <w:color w:val="000000"/>
        </w:rPr>
      </w:pPr>
      <w:r w:rsidRPr="007C7C0F">
        <w:rPr>
          <w:rFonts w:asciiTheme="majorHAnsi" w:hAnsiTheme="majorHAnsi" w:cs="Calibri"/>
          <w:bCs/>
          <w:i/>
          <w:iCs/>
          <w:color w:val="000000"/>
        </w:rPr>
        <w:t xml:space="preserve">“There is a tendency among the category of LT Domestic, General Purpose and HT Bulk Supply Domestic etc. consumers who don’t pay delayed payment surcharge to be negligent towards bill payment once the due date is over. Therefore, it is directed that LT Domestic, LT General Purpose and HT Bulk Supply Domestic consumers will get 10 </w:t>
      </w:r>
      <w:proofErr w:type="spellStart"/>
      <w:r w:rsidRPr="007C7C0F">
        <w:rPr>
          <w:rFonts w:asciiTheme="majorHAnsi" w:hAnsiTheme="majorHAnsi" w:cs="Calibri"/>
          <w:bCs/>
          <w:i/>
          <w:iCs/>
          <w:color w:val="000000"/>
        </w:rPr>
        <w:t>paise</w:t>
      </w:r>
      <w:proofErr w:type="spellEnd"/>
      <w:r w:rsidRPr="007C7C0F">
        <w:rPr>
          <w:rFonts w:asciiTheme="majorHAnsi" w:hAnsiTheme="majorHAnsi" w:cs="Calibri"/>
          <w:bCs/>
          <w:i/>
          <w:iCs/>
          <w:color w:val="000000"/>
        </w:rPr>
        <w:t>/unit rebate for prompt payment of the bill within due date. Thereafter, if the bill is paid within the next due date, there shall be no Rebate/Delayed Payment Surcharge. But if it is paid beyond the next due date then there shall be a Delayed Payment Surcharge of 1% of the billed value for each month of delay.”</w:t>
      </w:r>
    </w:p>
    <w:p w14:paraId="5E6C442E" w14:textId="09E001E1" w:rsidR="007C7C0F" w:rsidRPr="007C7C0F" w:rsidRDefault="007C7C0F" w:rsidP="00773505">
      <w:pPr>
        <w:spacing w:before="240" w:line="360" w:lineRule="auto"/>
        <w:ind w:left="360"/>
        <w:jc w:val="both"/>
        <w:rPr>
          <w:rFonts w:asciiTheme="majorHAnsi" w:hAnsiTheme="majorHAnsi" w:cs="Calibri"/>
          <w:bCs/>
          <w:color w:val="000000"/>
        </w:rPr>
      </w:pPr>
      <w:r w:rsidRPr="007C7C0F">
        <w:rPr>
          <w:rFonts w:asciiTheme="majorHAnsi" w:hAnsiTheme="majorHAnsi" w:cs="Calibri"/>
          <w:bCs/>
          <w:color w:val="000000"/>
        </w:rPr>
        <w:t>The Hon’ble Commission is, therefore, requested to kindly consider re-introduc</w:t>
      </w:r>
      <w:r w:rsidR="00EB1F5D">
        <w:rPr>
          <w:rFonts w:asciiTheme="majorHAnsi" w:hAnsiTheme="majorHAnsi" w:cs="Calibri"/>
          <w:bCs/>
          <w:color w:val="000000"/>
        </w:rPr>
        <w:t>tion</w:t>
      </w:r>
      <w:r w:rsidRPr="007C7C0F">
        <w:rPr>
          <w:rFonts w:asciiTheme="majorHAnsi" w:hAnsiTheme="majorHAnsi" w:cs="Calibri"/>
          <w:bCs/>
          <w:color w:val="000000"/>
        </w:rPr>
        <w:t xml:space="preserve"> the DPS for LT Domestic, LT General Purpose and HT Bulk Supply Domestic Consumers. However, the Due Date for the payment can be extended from the normal 7 days to the next due date as </w:t>
      </w:r>
      <w:r w:rsidR="00EB1F5D">
        <w:rPr>
          <w:rFonts w:asciiTheme="majorHAnsi" w:hAnsiTheme="majorHAnsi" w:cs="Calibri"/>
          <w:bCs/>
          <w:color w:val="000000"/>
        </w:rPr>
        <w:t>was the case earlier. However,</w:t>
      </w:r>
      <w:r w:rsidRPr="007C7C0F">
        <w:rPr>
          <w:rFonts w:asciiTheme="majorHAnsi" w:hAnsiTheme="majorHAnsi" w:cs="Calibri"/>
          <w:bCs/>
          <w:color w:val="000000"/>
        </w:rPr>
        <w:t xml:space="preserve"> for the rebate entitlement 7 days payment may please be retain</w:t>
      </w:r>
      <w:r w:rsidR="00EB1F5D">
        <w:rPr>
          <w:rFonts w:asciiTheme="majorHAnsi" w:hAnsiTheme="majorHAnsi" w:cs="Calibri"/>
          <w:bCs/>
          <w:color w:val="000000"/>
        </w:rPr>
        <w:t>ed</w:t>
      </w:r>
      <w:r w:rsidRPr="007C7C0F">
        <w:rPr>
          <w:rFonts w:asciiTheme="majorHAnsi" w:hAnsiTheme="majorHAnsi" w:cs="Calibri"/>
          <w:bCs/>
          <w:color w:val="000000"/>
        </w:rPr>
        <w:t>.</w:t>
      </w:r>
    </w:p>
    <w:p w14:paraId="7A8080B5" w14:textId="19B092B0" w:rsidR="007C7C0F" w:rsidRPr="007C7C0F" w:rsidRDefault="007C7C0F" w:rsidP="00773505">
      <w:pPr>
        <w:spacing w:before="240" w:line="360" w:lineRule="auto"/>
        <w:ind w:left="360"/>
        <w:jc w:val="both"/>
        <w:rPr>
          <w:rFonts w:asciiTheme="majorHAnsi" w:hAnsiTheme="majorHAnsi" w:cs="Calibri"/>
          <w:bCs/>
          <w:color w:val="000000"/>
        </w:rPr>
      </w:pPr>
      <w:r w:rsidRPr="007C7C0F">
        <w:rPr>
          <w:rFonts w:asciiTheme="majorHAnsi" w:hAnsiTheme="majorHAnsi" w:cs="Calibri"/>
          <w:bCs/>
          <w:color w:val="000000"/>
        </w:rPr>
        <w:t xml:space="preserve">As of now there is no deterrent for defaulting consumers falling under such category who are not paying their electricity bills on or before </w:t>
      </w:r>
      <w:r w:rsidR="00EB1F5D">
        <w:rPr>
          <w:rFonts w:asciiTheme="majorHAnsi" w:hAnsiTheme="majorHAnsi" w:cs="Calibri"/>
          <w:bCs/>
          <w:color w:val="000000"/>
        </w:rPr>
        <w:t xml:space="preserve">the </w:t>
      </w:r>
      <w:r w:rsidRPr="007C7C0F">
        <w:rPr>
          <w:rFonts w:asciiTheme="majorHAnsi" w:hAnsiTheme="majorHAnsi" w:cs="Calibri"/>
          <w:bCs/>
          <w:color w:val="000000"/>
        </w:rPr>
        <w:t>due date, despite the fact that a lot of rebate mechanism exist in the Tariff Order. D</w:t>
      </w:r>
      <w:r w:rsidR="00EB1F5D">
        <w:rPr>
          <w:rFonts w:asciiTheme="majorHAnsi" w:hAnsiTheme="majorHAnsi" w:cs="Calibri"/>
          <w:bCs/>
          <w:color w:val="000000"/>
        </w:rPr>
        <w:t>ISCOM</w:t>
      </w:r>
      <w:r w:rsidRPr="007C7C0F">
        <w:rPr>
          <w:rFonts w:asciiTheme="majorHAnsi" w:hAnsiTheme="majorHAnsi" w:cs="Calibri"/>
          <w:bCs/>
          <w:color w:val="000000"/>
        </w:rPr>
        <w:t xml:space="preserve">s are putting lot of resources and effort into recovery of electricity dues which ultimately </w:t>
      </w:r>
      <w:r w:rsidR="00EB1F5D">
        <w:rPr>
          <w:rFonts w:asciiTheme="majorHAnsi" w:hAnsiTheme="majorHAnsi" w:cs="Calibri"/>
          <w:bCs/>
          <w:color w:val="000000"/>
        </w:rPr>
        <w:t xml:space="preserve">is </w:t>
      </w:r>
      <w:r w:rsidRPr="007C7C0F">
        <w:rPr>
          <w:rFonts w:asciiTheme="majorHAnsi" w:hAnsiTheme="majorHAnsi" w:cs="Calibri"/>
          <w:bCs/>
          <w:color w:val="000000"/>
        </w:rPr>
        <w:t xml:space="preserve">burdening the rest of </w:t>
      </w:r>
      <w:r w:rsidR="00EB1F5D">
        <w:rPr>
          <w:rFonts w:asciiTheme="majorHAnsi" w:hAnsiTheme="majorHAnsi" w:cs="Calibri"/>
          <w:bCs/>
          <w:color w:val="000000"/>
        </w:rPr>
        <w:t xml:space="preserve">disciplined </w:t>
      </w:r>
      <w:r w:rsidRPr="007C7C0F">
        <w:rPr>
          <w:rFonts w:asciiTheme="majorHAnsi" w:hAnsiTheme="majorHAnsi" w:cs="Calibri"/>
          <w:bCs/>
          <w:color w:val="000000"/>
        </w:rPr>
        <w:t>consumers who mak</w:t>
      </w:r>
      <w:r w:rsidR="00EB1F5D">
        <w:rPr>
          <w:rFonts w:asciiTheme="majorHAnsi" w:hAnsiTheme="majorHAnsi" w:cs="Calibri"/>
          <w:bCs/>
          <w:color w:val="000000"/>
        </w:rPr>
        <w:t>e</w:t>
      </w:r>
      <w:r w:rsidRPr="007C7C0F">
        <w:rPr>
          <w:rFonts w:asciiTheme="majorHAnsi" w:hAnsiTheme="majorHAnsi" w:cs="Calibri"/>
          <w:bCs/>
          <w:color w:val="000000"/>
        </w:rPr>
        <w:t xml:space="preserve"> timely payment to </w:t>
      </w:r>
      <w:r w:rsidR="00EB1F5D">
        <w:rPr>
          <w:rFonts w:asciiTheme="majorHAnsi" w:hAnsiTheme="majorHAnsi" w:cs="Calibri"/>
          <w:bCs/>
          <w:color w:val="000000"/>
        </w:rPr>
        <w:t xml:space="preserve">the </w:t>
      </w:r>
      <w:r w:rsidRPr="007C7C0F">
        <w:rPr>
          <w:rFonts w:asciiTheme="majorHAnsi" w:hAnsiTheme="majorHAnsi" w:cs="Calibri"/>
          <w:bCs/>
          <w:color w:val="000000"/>
        </w:rPr>
        <w:t>D</w:t>
      </w:r>
      <w:r w:rsidR="00EB1F5D">
        <w:rPr>
          <w:rFonts w:asciiTheme="majorHAnsi" w:hAnsiTheme="majorHAnsi" w:cs="Calibri"/>
          <w:bCs/>
          <w:color w:val="000000"/>
        </w:rPr>
        <w:t>ISCOM</w:t>
      </w:r>
      <w:r w:rsidRPr="007C7C0F">
        <w:rPr>
          <w:rFonts w:asciiTheme="majorHAnsi" w:hAnsiTheme="majorHAnsi" w:cs="Calibri"/>
          <w:bCs/>
          <w:color w:val="000000"/>
        </w:rPr>
        <w:t>.</w:t>
      </w:r>
    </w:p>
    <w:p w14:paraId="2ED6A474" w14:textId="44B5B73E" w:rsidR="007C7C0F" w:rsidRPr="007C7C0F" w:rsidRDefault="007C7C0F" w:rsidP="00773505">
      <w:pPr>
        <w:spacing w:before="240" w:line="360" w:lineRule="auto"/>
        <w:ind w:left="360"/>
        <w:jc w:val="both"/>
        <w:rPr>
          <w:rFonts w:asciiTheme="majorHAnsi" w:hAnsiTheme="majorHAnsi" w:cs="Calibri"/>
          <w:bCs/>
          <w:color w:val="000000"/>
        </w:rPr>
      </w:pPr>
      <w:r w:rsidRPr="007C7C0F">
        <w:rPr>
          <w:rFonts w:asciiTheme="majorHAnsi" w:hAnsiTheme="majorHAnsi" w:cs="Calibri"/>
          <w:bCs/>
          <w:color w:val="000000"/>
        </w:rPr>
        <w:t xml:space="preserve">In case of disconnection due to non-payment of electricity </w:t>
      </w:r>
      <w:r w:rsidR="00EB1F5D">
        <w:rPr>
          <w:rFonts w:asciiTheme="majorHAnsi" w:hAnsiTheme="majorHAnsi" w:cs="Calibri"/>
          <w:bCs/>
          <w:color w:val="000000"/>
        </w:rPr>
        <w:t>bill</w:t>
      </w:r>
      <w:r w:rsidRPr="007C7C0F">
        <w:rPr>
          <w:rFonts w:asciiTheme="majorHAnsi" w:hAnsiTheme="majorHAnsi" w:cs="Calibri"/>
          <w:bCs/>
          <w:color w:val="000000"/>
        </w:rPr>
        <w:t xml:space="preserve"> by due date such consumers tend to illegally restore the supply or indulge in theft of electricity by means of hooking and others illegal practices which jeopardiz</w:t>
      </w:r>
      <w:r w:rsidR="00EB1F5D">
        <w:rPr>
          <w:rFonts w:asciiTheme="majorHAnsi" w:hAnsiTheme="majorHAnsi" w:cs="Calibri"/>
          <w:bCs/>
          <w:color w:val="000000"/>
        </w:rPr>
        <w:t xml:space="preserve">e </w:t>
      </w:r>
      <w:r w:rsidRPr="007C7C0F">
        <w:rPr>
          <w:rFonts w:asciiTheme="majorHAnsi" w:hAnsiTheme="majorHAnsi" w:cs="Calibri"/>
          <w:bCs/>
          <w:color w:val="000000"/>
        </w:rPr>
        <w:t xml:space="preserve">the interest of rest of </w:t>
      </w:r>
      <w:r w:rsidR="00EB1F5D">
        <w:rPr>
          <w:rFonts w:asciiTheme="majorHAnsi" w:hAnsiTheme="majorHAnsi" w:cs="Calibri"/>
          <w:bCs/>
          <w:color w:val="000000"/>
        </w:rPr>
        <w:t xml:space="preserve">the </w:t>
      </w:r>
      <w:r w:rsidRPr="007C7C0F">
        <w:rPr>
          <w:rFonts w:asciiTheme="majorHAnsi" w:hAnsiTheme="majorHAnsi" w:cs="Calibri"/>
          <w:bCs/>
          <w:color w:val="000000"/>
        </w:rPr>
        <w:t>consumers.</w:t>
      </w:r>
    </w:p>
    <w:p w14:paraId="7B6FC3FD" w14:textId="1BE7AFED" w:rsidR="007C7C0F" w:rsidRPr="007C7C0F" w:rsidRDefault="007C7C0F" w:rsidP="00773505">
      <w:pPr>
        <w:spacing w:before="240" w:line="360" w:lineRule="auto"/>
        <w:ind w:left="360"/>
        <w:jc w:val="both"/>
        <w:rPr>
          <w:rFonts w:asciiTheme="majorHAnsi" w:hAnsiTheme="majorHAnsi" w:cs="Calibri"/>
          <w:bCs/>
          <w:color w:val="000000"/>
        </w:rPr>
      </w:pPr>
      <w:r w:rsidRPr="007C7C0F">
        <w:rPr>
          <w:rFonts w:asciiTheme="majorHAnsi" w:hAnsiTheme="majorHAnsi" w:cs="Calibri"/>
          <w:bCs/>
          <w:color w:val="000000"/>
        </w:rPr>
        <w:t>Disconnection of electricity due to non-payment requires prior notice for 15 days</w:t>
      </w:r>
      <w:r w:rsidR="00EB1F5D">
        <w:rPr>
          <w:rFonts w:asciiTheme="majorHAnsi" w:hAnsiTheme="majorHAnsi" w:cs="Calibri"/>
          <w:bCs/>
          <w:color w:val="000000"/>
        </w:rPr>
        <w:t xml:space="preserve"> to the consumer</w:t>
      </w:r>
      <w:r w:rsidRPr="007C7C0F">
        <w:rPr>
          <w:rFonts w:asciiTheme="majorHAnsi" w:hAnsiTheme="majorHAnsi" w:cs="Calibri"/>
          <w:bCs/>
          <w:color w:val="000000"/>
        </w:rPr>
        <w:t xml:space="preserve"> which again incentivize such consumers not to pay </w:t>
      </w:r>
      <w:r w:rsidR="00EB1F5D">
        <w:rPr>
          <w:rFonts w:asciiTheme="majorHAnsi" w:hAnsiTheme="majorHAnsi" w:cs="Calibri"/>
          <w:bCs/>
          <w:color w:val="000000"/>
        </w:rPr>
        <w:t>bill</w:t>
      </w:r>
      <w:r w:rsidRPr="007C7C0F">
        <w:rPr>
          <w:rFonts w:asciiTheme="majorHAnsi" w:hAnsiTheme="majorHAnsi" w:cs="Calibri"/>
          <w:bCs/>
          <w:color w:val="000000"/>
        </w:rPr>
        <w:t xml:space="preserve"> on due dates. </w:t>
      </w:r>
    </w:p>
    <w:p w14:paraId="3A0D02CD" w14:textId="5333542C" w:rsidR="007C7C0F" w:rsidRPr="007C7C0F" w:rsidRDefault="007C7C0F" w:rsidP="00773505">
      <w:pPr>
        <w:spacing w:before="240" w:line="360" w:lineRule="auto"/>
        <w:ind w:left="360"/>
        <w:jc w:val="both"/>
        <w:rPr>
          <w:rFonts w:asciiTheme="majorHAnsi" w:hAnsiTheme="majorHAnsi" w:cs="Arial"/>
          <w:b/>
          <w:bCs/>
        </w:rPr>
      </w:pPr>
      <w:r w:rsidRPr="007C7C0F">
        <w:rPr>
          <w:rFonts w:asciiTheme="majorHAnsi" w:hAnsiTheme="majorHAnsi" w:cs="Calibri"/>
          <w:bCs/>
          <w:color w:val="000000"/>
        </w:rPr>
        <w:t xml:space="preserve">In view of </w:t>
      </w:r>
      <w:r w:rsidR="00EB1F5D">
        <w:rPr>
          <w:rFonts w:asciiTheme="majorHAnsi" w:hAnsiTheme="majorHAnsi" w:cs="Calibri"/>
          <w:bCs/>
          <w:color w:val="000000"/>
        </w:rPr>
        <w:t xml:space="preserve">the </w:t>
      </w:r>
      <w:r w:rsidRPr="007C7C0F">
        <w:rPr>
          <w:rFonts w:asciiTheme="majorHAnsi" w:hAnsiTheme="majorHAnsi" w:cs="Calibri"/>
          <w:bCs/>
          <w:color w:val="000000"/>
        </w:rPr>
        <w:t xml:space="preserve">above, it is once again requested to Hon’ble Commission that mechanism to levy DPS for delay payment of electricity dues must be introduced so that interest of other consumers who are paying electricity dues on time are protected because they are </w:t>
      </w:r>
      <w:r w:rsidR="00EB1F5D">
        <w:rPr>
          <w:rFonts w:asciiTheme="majorHAnsi" w:hAnsiTheme="majorHAnsi" w:cs="Calibri"/>
          <w:bCs/>
          <w:color w:val="000000"/>
        </w:rPr>
        <w:t>bearing the</w:t>
      </w:r>
      <w:r w:rsidRPr="007C7C0F">
        <w:rPr>
          <w:rFonts w:asciiTheme="majorHAnsi" w:hAnsiTheme="majorHAnsi" w:cs="Calibri"/>
          <w:bCs/>
          <w:color w:val="000000"/>
        </w:rPr>
        <w:t xml:space="preserve"> cost of finance &amp; resources due to indiscipline of defaulters. Further, in case of cheque bounce</w:t>
      </w:r>
      <w:r w:rsidR="00EB1F5D">
        <w:rPr>
          <w:rFonts w:asciiTheme="majorHAnsi" w:hAnsiTheme="majorHAnsi" w:cs="Calibri"/>
          <w:bCs/>
          <w:color w:val="000000"/>
        </w:rPr>
        <w:t xml:space="preserve"> </w:t>
      </w:r>
      <w:r w:rsidRPr="007C7C0F">
        <w:rPr>
          <w:rFonts w:asciiTheme="majorHAnsi" w:hAnsiTheme="majorHAnsi" w:cs="Calibri"/>
          <w:bCs/>
          <w:color w:val="000000"/>
        </w:rPr>
        <w:t xml:space="preserve">DPS must be levied from the due date to the date till it is cleared </w:t>
      </w:r>
      <w:r w:rsidR="00EB1F5D">
        <w:rPr>
          <w:rFonts w:asciiTheme="majorHAnsi" w:hAnsiTheme="majorHAnsi" w:cs="Calibri"/>
          <w:bCs/>
          <w:color w:val="000000"/>
        </w:rPr>
        <w:t xml:space="preserve">besides </w:t>
      </w:r>
      <w:r w:rsidRPr="007C7C0F">
        <w:rPr>
          <w:rFonts w:asciiTheme="majorHAnsi" w:hAnsiTheme="majorHAnsi" w:cs="Calibri"/>
          <w:bCs/>
          <w:color w:val="000000"/>
        </w:rPr>
        <w:t>other legal action as available as per negotiable Instrument Act shall be scrupulously followed.</w:t>
      </w:r>
    </w:p>
    <w:p w14:paraId="1EEA637F" w14:textId="20F7B191" w:rsidR="007C7C0F" w:rsidRPr="007C7C0F" w:rsidRDefault="007C7C0F" w:rsidP="007C7C0F">
      <w:pPr>
        <w:pStyle w:val="ListParagraph"/>
        <w:ind w:left="432"/>
        <w:rPr>
          <w:rFonts w:asciiTheme="majorHAnsi" w:eastAsia="Times New Roman" w:hAnsiTheme="majorHAnsi" w:cs="Arial"/>
          <w:b/>
          <w:bCs/>
          <w:sz w:val="24"/>
          <w:szCs w:val="24"/>
        </w:rPr>
      </w:pPr>
    </w:p>
    <w:p w14:paraId="491067CC" w14:textId="6253D507" w:rsidR="005B7D92" w:rsidRPr="005B7D92" w:rsidRDefault="005B7D92" w:rsidP="005B7D92">
      <w:pPr>
        <w:pStyle w:val="ListParagraph"/>
        <w:numPr>
          <w:ilvl w:val="1"/>
          <w:numId w:val="1"/>
        </w:numPr>
        <w:jc w:val="both"/>
        <w:rPr>
          <w:rFonts w:asciiTheme="majorHAnsi" w:hAnsiTheme="majorHAnsi" w:cs="Calibri"/>
          <w:sz w:val="24"/>
          <w:szCs w:val="24"/>
        </w:rPr>
      </w:pPr>
      <w:bookmarkStart w:id="306" w:name="_Toc183804578"/>
      <w:r w:rsidRPr="007C7C0F">
        <w:rPr>
          <w:rFonts w:asciiTheme="majorHAnsi" w:hAnsiTheme="majorHAnsi" w:cs="Calibri"/>
          <w:b/>
          <w:bCs/>
          <w:sz w:val="24"/>
          <w:szCs w:val="24"/>
        </w:rPr>
        <w:t>Sale of intermittent surplus power under TPA Arrangement with minimum offtake of 60% CD</w:t>
      </w:r>
    </w:p>
    <w:p w14:paraId="452055D8" w14:textId="77777777" w:rsidR="005B7D92" w:rsidRPr="007C7C0F" w:rsidRDefault="005B7D92" w:rsidP="005B7D92">
      <w:pPr>
        <w:pStyle w:val="ListParagraph"/>
        <w:ind w:left="432"/>
        <w:rPr>
          <w:rFonts w:asciiTheme="majorHAnsi" w:hAnsiTheme="majorHAnsi" w:cs="Calibri"/>
          <w:sz w:val="24"/>
          <w:szCs w:val="24"/>
        </w:rPr>
      </w:pPr>
    </w:p>
    <w:p w14:paraId="156AE317" w14:textId="77777777" w:rsidR="005B7D92" w:rsidRPr="007C7C0F" w:rsidRDefault="005B7D92" w:rsidP="005B7D92">
      <w:pPr>
        <w:pStyle w:val="ListParagraph"/>
        <w:autoSpaceDE w:val="0"/>
        <w:autoSpaceDN w:val="0"/>
        <w:adjustRightInd w:val="0"/>
        <w:spacing w:before="240" w:line="360" w:lineRule="auto"/>
        <w:ind w:left="460"/>
        <w:jc w:val="both"/>
        <w:rPr>
          <w:rFonts w:asciiTheme="majorHAnsi" w:hAnsiTheme="majorHAnsi" w:cs="Calibri"/>
          <w:sz w:val="24"/>
          <w:szCs w:val="24"/>
        </w:rPr>
      </w:pPr>
      <w:r w:rsidRPr="007C7C0F">
        <w:rPr>
          <w:rFonts w:asciiTheme="majorHAnsi" w:hAnsiTheme="majorHAnsi" w:cs="Calibri"/>
          <w:bCs/>
          <w:sz w:val="24"/>
          <w:szCs w:val="24"/>
        </w:rPr>
        <w:t>Hon’ble Commission has permitted the continuation of TPA arrangement for sale of intermittent surplus power of GRIDCO during FY 2025-26 and vide p</w:t>
      </w:r>
      <w:r w:rsidRPr="007C7C0F">
        <w:rPr>
          <w:rFonts w:asciiTheme="majorHAnsi" w:hAnsiTheme="majorHAnsi" w:cs="Calibri"/>
          <w:sz w:val="24"/>
          <w:szCs w:val="24"/>
        </w:rPr>
        <w:t xml:space="preserve">ara-289 of the BSP order has advised GRIDCO to sell intermittent surplus power through DISCOMs under Tripartite Agreement (TPA) arrangement. </w:t>
      </w:r>
    </w:p>
    <w:p w14:paraId="4096A500" w14:textId="77777777" w:rsidR="005B7D92" w:rsidRPr="007C7C0F" w:rsidRDefault="005B7D92" w:rsidP="005B7D92">
      <w:pPr>
        <w:autoSpaceDE w:val="0"/>
        <w:autoSpaceDN w:val="0"/>
        <w:adjustRightInd w:val="0"/>
        <w:spacing w:after="240" w:line="360" w:lineRule="auto"/>
        <w:ind w:left="460"/>
        <w:jc w:val="both"/>
        <w:rPr>
          <w:rFonts w:asciiTheme="majorHAnsi" w:hAnsiTheme="majorHAnsi" w:cs="Calibri"/>
          <w:bCs/>
          <w:i/>
        </w:rPr>
      </w:pPr>
      <w:r w:rsidRPr="007C7C0F">
        <w:rPr>
          <w:rFonts w:asciiTheme="majorHAnsi" w:hAnsiTheme="majorHAnsi" w:cs="Calibri"/>
          <w:i/>
        </w:rPr>
        <w:t xml:space="preserve">“289. The Commission has allowed industries, having CGP with CD above 20 MW and operating at minimum monthly load factor of 80%, to draw power from DISCOMs at the rate of Rs.5.00 per </w:t>
      </w:r>
      <w:proofErr w:type="spellStart"/>
      <w:r w:rsidRPr="007C7C0F">
        <w:rPr>
          <w:rFonts w:asciiTheme="majorHAnsi" w:hAnsiTheme="majorHAnsi" w:cs="Calibri"/>
          <w:i/>
        </w:rPr>
        <w:t>kVAh</w:t>
      </w:r>
      <w:proofErr w:type="spellEnd"/>
      <w:r w:rsidRPr="007C7C0F">
        <w:rPr>
          <w:rFonts w:asciiTheme="majorHAnsi" w:hAnsiTheme="majorHAnsi" w:cs="Calibri"/>
          <w:i/>
        </w:rPr>
        <w:t xml:space="preserve"> during Peak &amp; Normal hours and Rs.4.30 per </w:t>
      </w:r>
      <w:proofErr w:type="spellStart"/>
      <w:r w:rsidRPr="007C7C0F">
        <w:rPr>
          <w:rFonts w:asciiTheme="majorHAnsi" w:hAnsiTheme="majorHAnsi" w:cs="Calibri"/>
          <w:i/>
        </w:rPr>
        <w:t>kVAh</w:t>
      </w:r>
      <w:proofErr w:type="spellEnd"/>
      <w:r w:rsidRPr="007C7C0F">
        <w:rPr>
          <w:rFonts w:asciiTheme="majorHAnsi" w:hAnsiTheme="majorHAnsi" w:cs="Calibri"/>
          <w:i/>
        </w:rPr>
        <w:t xml:space="preserve"> during hours other than Peak &amp; Normal hours (i.e. during Solar hours), for all incremental energy </w:t>
      </w:r>
      <w:proofErr w:type="spellStart"/>
      <w:r w:rsidRPr="007C7C0F">
        <w:rPr>
          <w:rFonts w:asciiTheme="majorHAnsi" w:hAnsiTheme="majorHAnsi" w:cs="Calibri"/>
          <w:i/>
        </w:rPr>
        <w:t>drawal</w:t>
      </w:r>
      <w:proofErr w:type="spellEnd"/>
      <w:r w:rsidRPr="007C7C0F">
        <w:rPr>
          <w:rFonts w:asciiTheme="majorHAnsi" w:hAnsiTheme="majorHAnsi" w:cs="Calibri"/>
          <w:i/>
        </w:rPr>
        <w:t xml:space="preserve"> above 80% load factor. No </w:t>
      </w:r>
      <w:proofErr w:type="spellStart"/>
      <w:r w:rsidRPr="007C7C0F">
        <w:rPr>
          <w:rFonts w:asciiTheme="majorHAnsi" w:hAnsiTheme="majorHAnsi" w:cs="Calibri"/>
          <w:i/>
        </w:rPr>
        <w:t>overdrawal</w:t>
      </w:r>
      <w:proofErr w:type="spellEnd"/>
      <w:r w:rsidRPr="007C7C0F">
        <w:rPr>
          <w:rFonts w:asciiTheme="majorHAnsi" w:hAnsiTheme="majorHAnsi" w:cs="Calibri"/>
          <w:i/>
        </w:rPr>
        <w:t xml:space="preserve"> penalty shall be levied on them. For this purpose, the industries shall enter into Tri-Partite Agreement (TPA) with the concerned DISCOM and GRIDCO. In such transactions for sale of intermittent incremental surplus power, OPTCL shall get normal transmission charge of 25.5 </w:t>
      </w:r>
      <w:proofErr w:type="spellStart"/>
      <w:r w:rsidRPr="007C7C0F">
        <w:rPr>
          <w:rFonts w:asciiTheme="majorHAnsi" w:hAnsiTheme="majorHAnsi" w:cs="Calibri"/>
          <w:i/>
        </w:rPr>
        <w:t>paise</w:t>
      </w:r>
      <w:proofErr w:type="spellEnd"/>
      <w:r w:rsidRPr="007C7C0F">
        <w:rPr>
          <w:rFonts w:asciiTheme="majorHAnsi" w:hAnsiTheme="majorHAnsi" w:cs="Calibri"/>
          <w:i/>
        </w:rPr>
        <w:t xml:space="preserve">/kWh, GRIDCO shall get 455 </w:t>
      </w:r>
      <w:proofErr w:type="spellStart"/>
      <w:r w:rsidRPr="007C7C0F">
        <w:rPr>
          <w:rFonts w:asciiTheme="majorHAnsi" w:hAnsiTheme="majorHAnsi" w:cs="Calibri"/>
          <w:i/>
        </w:rPr>
        <w:t>paise</w:t>
      </w:r>
      <w:proofErr w:type="spellEnd"/>
      <w:r w:rsidRPr="007C7C0F">
        <w:rPr>
          <w:rFonts w:asciiTheme="majorHAnsi" w:hAnsiTheme="majorHAnsi" w:cs="Calibri"/>
          <w:i/>
        </w:rPr>
        <w:t xml:space="preserve">/kWh (including BSP) during Peak &amp; Normal hours (i.e. during Solar hours) &amp; 400 </w:t>
      </w:r>
      <w:proofErr w:type="spellStart"/>
      <w:r w:rsidRPr="007C7C0F">
        <w:rPr>
          <w:rFonts w:asciiTheme="majorHAnsi" w:hAnsiTheme="majorHAnsi" w:cs="Calibri"/>
          <w:i/>
        </w:rPr>
        <w:t>Paise</w:t>
      </w:r>
      <w:proofErr w:type="spellEnd"/>
      <w:r w:rsidRPr="007C7C0F">
        <w:rPr>
          <w:rFonts w:asciiTheme="majorHAnsi" w:hAnsiTheme="majorHAnsi" w:cs="Calibri"/>
          <w:i/>
        </w:rPr>
        <w:t>/kWh (including BSP) during the hours other than Peak &amp; Normal hours and DISCOMs shall keep the balance amount as margin, out of the fixed price mentioned above. Other observations of the Commission in Case No. 25/2022 regarding this tripartite sale of surplus power shall continue as such. Accordingly, it is estimated that GRIDCO would earn an incremental revenue of Rs.26.60 crore on this account. However, the Commission may revisit the matter on application from the DISCOM(s) / GRIDCO, in case of any constraint(s) in implementation of the above scheme to achieve the objective.”</w:t>
      </w:r>
    </w:p>
    <w:p w14:paraId="6E44BAF4" w14:textId="77777777" w:rsidR="005B7D92" w:rsidRPr="007C7C0F" w:rsidRDefault="005B7D92" w:rsidP="005B7D92">
      <w:pPr>
        <w:autoSpaceDE w:val="0"/>
        <w:autoSpaceDN w:val="0"/>
        <w:adjustRightInd w:val="0"/>
        <w:spacing w:after="240" w:line="360" w:lineRule="auto"/>
        <w:ind w:left="460"/>
        <w:jc w:val="both"/>
        <w:rPr>
          <w:rFonts w:asciiTheme="majorHAnsi" w:hAnsiTheme="majorHAnsi" w:cs="Calibri"/>
          <w:bCs/>
          <w:i/>
        </w:rPr>
      </w:pPr>
      <w:r w:rsidRPr="007C7C0F">
        <w:rPr>
          <w:rFonts w:asciiTheme="majorHAnsi" w:hAnsiTheme="majorHAnsi" w:cs="Calibri"/>
          <w:bCs/>
        </w:rPr>
        <w:t>Accordingly, to accommodate the above provision the associated Para 293 in the RST order FY 25-26 of DISCOMs has also been modified in following manner:</w:t>
      </w:r>
    </w:p>
    <w:p w14:paraId="5DC50731" w14:textId="77777777" w:rsidR="005B7D92" w:rsidRPr="007C7C0F" w:rsidRDefault="005B7D92" w:rsidP="005B7D92">
      <w:pPr>
        <w:pStyle w:val="ListParagraph"/>
        <w:autoSpaceDE w:val="0"/>
        <w:autoSpaceDN w:val="0"/>
        <w:adjustRightInd w:val="0"/>
        <w:spacing w:after="240" w:line="360" w:lineRule="auto"/>
        <w:ind w:left="460"/>
        <w:jc w:val="both"/>
        <w:rPr>
          <w:rFonts w:asciiTheme="majorHAnsi" w:hAnsiTheme="majorHAnsi" w:cs="Calibri"/>
          <w:bCs/>
          <w:i/>
          <w:iCs/>
          <w:sz w:val="24"/>
          <w:szCs w:val="24"/>
        </w:rPr>
      </w:pPr>
      <w:r w:rsidRPr="007C7C0F">
        <w:rPr>
          <w:rFonts w:asciiTheme="majorHAnsi" w:hAnsiTheme="majorHAnsi" w:cs="Calibri"/>
          <w:i/>
          <w:iCs/>
          <w:sz w:val="24"/>
          <w:szCs w:val="24"/>
        </w:rPr>
        <w:t xml:space="preserve">“293. Any industry having CGP with CD above 20 MW and operating at minimum monthly load factor of 80% shall be allowed to draw power at the rate of Rs. 5.00 per </w:t>
      </w:r>
      <w:proofErr w:type="spellStart"/>
      <w:r w:rsidRPr="007C7C0F">
        <w:rPr>
          <w:rFonts w:asciiTheme="majorHAnsi" w:hAnsiTheme="majorHAnsi" w:cs="Calibri"/>
          <w:i/>
          <w:iCs/>
          <w:sz w:val="24"/>
          <w:szCs w:val="24"/>
        </w:rPr>
        <w:t>kVAh</w:t>
      </w:r>
      <w:proofErr w:type="spellEnd"/>
      <w:r w:rsidRPr="007C7C0F">
        <w:rPr>
          <w:rFonts w:asciiTheme="majorHAnsi" w:hAnsiTheme="majorHAnsi" w:cs="Calibri"/>
          <w:i/>
          <w:iCs/>
          <w:sz w:val="24"/>
          <w:szCs w:val="24"/>
        </w:rPr>
        <w:t xml:space="preserve"> during Peak &amp; Normal hours and Rs. 4.30 per </w:t>
      </w:r>
      <w:proofErr w:type="spellStart"/>
      <w:r w:rsidRPr="007C7C0F">
        <w:rPr>
          <w:rFonts w:asciiTheme="majorHAnsi" w:hAnsiTheme="majorHAnsi" w:cs="Calibri"/>
          <w:i/>
          <w:iCs/>
          <w:sz w:val="24"/>
          <w:szCs w:val="24"/>
        </w:rPr>
        <w:t>kVAh</w:t>
      </w:r>
      <w:proofErr w:type="spellEnd"/>
      <w:r w:rsidRPr="007C7C0F">
        <w:rPr>
          <w:rFonts w:asciiTheme="majorHAnsi" w:hAnsiTheme="majorHAnsi" w:cs="Calibri"/>
          <w:i/>
          <w:iCs/>
          <w:sz w:val="24"/>
          <w:szCs w:val="24"/>
        </w:rPr>
        <w:t xml:space="preserve"> during hours other than Peak &amp; Normal hours (i.e. during Solar Hours), for all incremental energy </w:t>
      </w:r>
      <w:proofErr w:type="spellStart"/>
      <w:r w:rsidRPr="007C7C0F">
        <w:rPr>
          <w:rFonts w:asciiTheme="majorHAnsi" w:hAnsiTheme="majorHAnsi" w:cs="Calibri"/>
          <w:i/>
          <w:iCs/>
          <w:sz w:val="24"/>
          <w:szCs w:val="24"/>
        </w:rPr>
        <w:t>drawal</w:t>
      </w:r>
      <w:proofErr w:type="spellEnd"/>
      <w:r w:rsidRPr="007C7C0F">
        <w:rPr>
          <w:rFonts w:asciiTheme="majorHAnsi" w:hAnsiTheme="majorHAnsi" w:cs="Calibri"/>
          <w:i/>
          <w:iCs/>
          <w:sz w:val="24"/>
          <w:szCs w:val="24"/>
        </w:rPr>
        <w:t xml:space="preserve"> above 80% load factor. No </w:t>
      </w:r>
      <w:proofErr w:type="spellStart"/>
      <w:r w:rsidRPr="007C7C0F">
        <w:rPr>
          <w:rFonts w:asciiTheme="majorHAnsi" w:hAnsiTheme="majorHAnsi" w:cs="Calibri"/>
          <w:i/>
          <w:iCs/>
          <w:sz w:val="24"/>
          <w:szCs w:val="24"/>
        </w:rPr>
        <w:t>overdrawal</w:t>
      </w:r>
      <w:proofErr w:type="spellEnd"/>
      <w:r w:rsidRPr="007C7C0F">
        <w:rPr>
          <w:rFonts w:asciiTheme="majorHAnsi" w:hAnsiTheme="majorHAnsi" w:cs="Calibri"/>
          <w:i/>
          <w:iCs/>
          <w:sz w:val="24"/>
          <w:szCs w:val="24"/>
        </w:rPr>
        <w:t xml:space="preserve"> penalty shall be levied on them. For this purpose, the industry shall enter into a Tri-Partite Agreement (TPA) with the concerned DISCOM and GRIDCO. In such transactions for sale of intermittent incremental surplus power, OPTCL shall get normal transmission charge of 25.5 </w:t>
      </w:r>
      <w:proofErr w:type="spellStart"/>
      <w:r w:rsidRPr="007C7C0F">
        <w:rPr>
          <w:rFonts w:asciiTheme="majorHAnsi" w:hAnsiTheme="majorHAnsi" w:cs="Calibri"/>
          <w:i/>
          <w:iCs/>
          <w:sz w:val="24"/>
          <w:szCs w:val="24"/>
        </w:rPr>
        <w:t>paise</w:t>
      </w:r>
      <w:proofErr w:type="spellEnd"/>
      <w:r w:rsidRPr="007C7C0F">
        <w:rPr>
          <w:rFonts w:asciiTheme="majorHAnsi" w:hAnsiTheme="majorHAnsi" w:cs="Calibri"/>
          <w:i/>
          <w:iCs/>
          <w:sz w:val="24"/>
          <w:szCs w:val="24"/>
        </w:rPr>
        <w:t xml:space="preserve">/kWh, GRIDCO shall get 455 </w:t>
      </w:r>
      <w:proofErr w:type="spellStart"/>
      <w:r w:rsidRPr="007C7C0F">
        <w:rPr>
          <w:rFonts w:asciiTheme="majorHAnsi" w:hAnsiTheme="majorHAnsi" w:cs="Calibri"/>
          <w:i/>
          <w:iCs/>
          <w:sz w:val="24"/>
          <w:szCs w:val="24"/>
        </w:rPr>
        <w:t>paise</w:t>
      </w:r>
      <w:proofErr w:type="spellEnd"/>
      <w:r w:rsidRPr="007C7C0F">
        <w:rPr>
          <w:rFonts w:asciiTheme="majorHAnsi" w:hAnsiTheme="majorHAnsi" w:cs="Calibri"/>
          <w:i/>
          <w:iCs/>
          <w:sz w:val="24"/>
          <w:szCs w:val="24"/>
        </w:rPr>
        <w:t xml:space="preserve">/kWh (including BSP) during Peak &amp; Normal hours and 400 </w:t>
      </w:r>
      <w:proofErr w:type="spellStart"/>
      <w:r w:rsidRPr="007C7C0F">
        <w:rPr>
          <w:rFonts w:asciiTheme="majorHAnsi" w:hAnsiTheme="majorHAnsi" w:cs="Calibri"/>
          <w:i/>
          <w:iCs/>
          <w:sz w:val="24"/>
          <w:szCs w:val="24"/>
        </w:rPr>
        <w:t>paise</w:t>
      </w:r>
      <w:proofErr w:type="spellEnd"/>
      <w:r w:rsidRPr="007C7C0F">
        <w:rPr>
          <w:rFonts w:asciiTheme="majorHAnsi" w:hAnsiTheme="majorHAnsi" w:cs="Calibri"/>
          <w:i/>
          <w:iCs/>
          <w:sz w:val="24"/>
          <w:szCs w:val="24"/>
        </w:rPr>
        <w:t>/kWh (including BSP) during hours other than Peak &amp; Normal hours (i.e. during Solar Hours) and DISCOMs shall keep the balance amount as margin, out of the price mentioned above. Other observations of the Commission in Case No. 25/2022 regarding this tripartite sale of surplus power shall continue as such. However, the Commission may revisit the matter on application from the DISCOM(s) / GRIDCO, in case of any constraint(s) in implementation of the above scheme to achieve the objective.”</w:t>
      </w:r>
    </w:p>
    <w:p w14:paraId="6AB1DA02" w14:textId="6F697B4E" w:rsidR="005B7D92" w:rsidRPr="007C7C0F" w:rsidRDefault="005B7D92" w:rsidP="005B7D92">
      <w:pPr>
        <w:pStyle w:val="ListParagraph"/>
        <w:spacing w:before="240" w:line="360" w:lineRule="auto"/>
        <w:ind w:left="460"/>
        <w:jc w:val="both"/>
        <w:rPr>
          <w:rFonts w:asciiTheme="majorHAnsi" w:hAnsiTheme="majorHAnsi" w:cs="Calibri"/>
          <w:iCs/>
          <w:sz w:val="24"/>
          <w:szCs w:val="24"/>
        </w:rPr>
      </w:pPr>
      <w:r w:rsidRPr="007C7C0F">
        <w:rPr>
          <w:rFonts w:asciiTheme="majorHAnsi" w:hAnsiTheme="majorHAnsi" w:cs="Calibri"/>
          <w:iCs/>
          <w:sz w:val="24"/>
          <w:szCs w:val="24"/>
        </w:rPr>
        <w:t xml:space="preserve">That, despite the enabling provisions made by the Hon’ble Commission under Para 289 of the Bulk Supply Tariff (BST) Order and Para 293 of the Retail Supply Tariff (RST) Order for FY 2025-26, no such industry expressed willingness to avail power under the said scheme through the Tri-Partite Agreement (TPA) mechanism till Jul’25. The reason of un-willingness appears to be due to 80% guarantee power </w:t>
      </w:r>
      <w:r w:rsidR="00475628">
        <w:rPr>
          <w:rFonts w:asciiTheme="majorHAnsi" w:hAnsiTheme="majorHAnsi" w:cs="Calibri"/>
          <w:iCs/>
          <w:sz w:val="24"/>
          <w:szCs w:val="24"/>
        </w:rPr>
        <w:t xml:space="preserve">offtake </w:t>
      </w:r>
      <w:r w:rsidRPr="007C7C0F">
        <w:rPr>
          <w:rFonts w:asciiTheme="majorHAnsi" w:hAnsiTheme="majorHAnsi" w:cs="Calibri"/>
          <w:iCs/>
          <w:sz w:val="24"/>
          <w:szCs w:val="24"/>
        </w:rPr>
        <w:t>during TPA period, intermittent nature of power supply, availability of cheaper power in the power market during solar hours and constraint in meeting RPO obligation, if purchased from DISCOM. Therefore, industries aligned themselves with the power market instead of showing interest towards DISCOM power.</w:t>
      </w:r>
    </w:p>
    <w:p w14:paraId="44057E8E" w14:textId="77777777" w:rsidR="005B7D92" w:rsidRPr="007C7C0F" w:rsidRDefault="005B7D92" w:rsidP="005B7D92">
      <w:pPr>
        <w:pStyle w:val="ListParagraph"/>
        <w:spacing w:before="240" w:line="360" w:lineRule="auto"/>
        <w:ind w:left="460"/>
        <w:jc w:val="both"/>
        <w:rPr>
          <w:rFonts w:asciiTheme="majorHAnsi" w:hAnsiTheme="majorHAnsi" w:cs="Calibri"/>
          <w:iCs/>
          <w:sz w:val="24"/>
          <w:szCs w:val="24"/>
        </w:rPr>
      </w:pPr>
      <w:r w:rsidRPr="007C7C0F">
        <w:rPr>
          <w:rFonts w:asciiTheme="majorHAnsi" w:hAnsiTheme="majorHAnsi" w:cs="Calibri"/>
          <w:iCs/>
          <w:sz w:val="24"/>
          <w:szCs w:val="24"/>
        </w:rPr>
        <w:t>Consequently, GRIDCO and the four DISCOMs filed a joint petition under Case No.53 of 2025 to revisit of para 289 of BSP Order for FY 2025-26 dt.24.03.2025 &amp; associated para 293 of RST order for FY 2025-26 dt.24.03.2025 towards (</w:t>
      </w:r>
      <w:proofErr w:type="spellStart"/>
      <w:r w:rsidRPr="007C7C0F">
        <w:rPr>
          <w:rFonts w:asciiTheme="majorHAnsi" w:hAnsiTheme="majorHAnsi" w:cs="Calibri"/>
          <w:iCs/>
          <w:sz w:val="24"/>
          <w:szCs w:val="24"/>
        </w:rPr>
        <w:t>i</w:t>
      </w:r>
      <w:proofErr w:type="spellEnd"/>
      <w:r w:rsidRPr="007C7C0F">
        <w:rPr>
          <w:rFonts w:asciiTheme="majorHAnsi" w:hAnsiTheme="majorHAnsi" w:cs="Calibri"/>
          <w:iCs/>
          <w:sz w:val="24"/>
          <w:szCs w:val="24"/>
        </w:rPr>
        <w:t xml:space="preserve">) with minimum offtake of 60% CD instead of 80%  CD during TPA period for industries having CGP having CD &gt;20 MW ; and (ii) sale of power during solar hours (8.00 AM to 4.00 PM) to interested Consumers/ industries having CD 1MW and above irrespective of CGP or Non CGP @ Rs.4.30 per </w:t>
      </w:r>
      <w:proofErr w:type="spellStart"/>
      <w:r w:rsidRPr="007C7C0F">
        <w:rPr>
          <w:rFonts w:asciiTheme="majorHAnsi" w:hAnsiTheme="majorHAnsi" w:cs="Calibri"/>
          <w:iCs/>
          <w:sz w:val="24"/>
          <w:szCs w:val="24"/>
        </w:rPr>
        <w:t>kVAh</w:t>
      </w:r>
      <w:proofErr w:type="spellEnd"/>
      <w:r w:rsidRPr="007C7C0F">
        <w:rPr>
          <w:rFonts w:asciiTheme="majorHAnsi" w:hAnsiTheme="majorHAnsi" w:cs="Calibri"/>
          <w:iCs/>
          <w:sz w:val="24"/>
          <w:szCs w:val="24"/>
        </w:rPr>
        <w:t xml:space="preserve"> with assured consumption of 80% of CD during solar hours.</w:t>
      </w:r>
    </w:p>
    <w:p w14:paraId="21D4E2C8" w14:textId="77777777" w:rsidR="005B7D92" w:rsidRPr="007C7C0F" w:rsidRDefault="005B7D92" w:rsidP="005B7D92">
      <w:pPr>
        <w:spacing w:before="360" w:line="360" w:lineRule="auto"/>
        <w:ind w:left="460"/>
        <w:jc w:val="both"/>
        <w:rPr>
          <w:rFonts w:asciiTheme="majorHAnsi" w:hAnsiTheme="majorHAnsi" w:cs="Calibri"/>
          <w:b/>
        </w:rPr>
      </w:pPr>
      <w:r w:rsidRPr="007C7C0F">
        <w:rPr>
          <w:rFonts w:asciiTheme="majorHAnsi" w:hAnsiTheme="majorHAnsi" w:cs="Calibri"/>
        </w:rPr>
        <w:t>Basing upon the above joint petition, Hon’ble Commission vide interim order 22.07.2025 have approved the following:</w:t>
      </w:r>
    </w:p>
    <w:p w14:paraId="2B1F153D" w14:textId="5888B237" w:rsidR="005B7D92" w:rsidRPr="007C7C0F" w:rsidRDefault="005B7D92" w:rsidP="005B7D92">
      <w:pPr>
        <w:spacing w:before="120" w:line="360" w:lineRule="auto"/>
        <w:ind w:left="426"/>
        <w:jc w:val="both"/>
        <w:rPr>
          <w:rFonts w:asciiTheme="majorHAnsi" w:hAnsiTheme="majorHAnsi" w:cs="Calibri"/>
          <w:i/>
          <w:iCs/>
        </w:rPr>
      </w:pPr>
      <w:r>
        <w:rPr>
          <w:rFonts w:asciiTheme="majorHAnsi" w:hAnsiTheme="majorHAnsi" w:cs="Calibri"/>
          <w:i/>
          <w:iCs/>
        </w:rPr>
        <w:t xml:space="preserve"> “</w:t>
      </w:r>
      <w:r w:rsidRPr="007C7C0F">
        <w:rPr>
          <w:rFonts w:asciiTheme="majorHAnsi" w:hAnsiTheme="majorHAnsi" w:cs="Calibri"/>
          <w:i/>
          <w:iCs/>
        </w:rPr>
        <w:t>9.    Anticipating industrial eco system in the State in advance is somewhat dicey, it is premature to comment whatever criteria GRIDCO is suggesting now in terms of eligibility and concession will work properly. Response of industries will be known, once the scheme is launched. Therefore, as an interim arrangement, we agree to the proposal of GRIDCO as follows:</w:t>
      </w:r>
    </w:p>
    <w:p w14:paraId="627E7C3B" w14:textId="77777777" w:rsidR="005B7D92" w:rsidRPr="007C7C0F" w:rsidRDefault="005B7D92" w:rsidP="00056389">
      <w:pPr>
        <w:pStyle w:val="ListParagraph"/>
        <w:numPr>
          <w:ilvl w:val="0"/>
          <w:numId w:val="72"/>
        </w:numPr>
        <w:spacing w:before="120" w:after="0" w:line="360" w:lineRule="auto"/>
        <w:ind w:left="426" w:firstLine="0"/>
        <w:jc w:val="both"/>
        <w:rPr>
          <w:rFonts w:asciiTheme="majorHAnsi" w:hAnsiTheme="majorHAnsi" w:cs="Calibri"/>
          <w:i/>
          <w:iCs/>
          <w:sz w:val="24"/>
          <w:szCs w:val="24"/>
        </w:rPr>
      </w:pPr>
      <w:r w:rsidRPr="007C7C0F">
        <w:rPr>
          <w:rFonts w:asciiTheme="majorHAnsi" w:hAnsiTheme="majorHAnsi" w:cs="Calibri"/>
          <w:i/>
          <w:iCs/>
          <w:sz w:val="24"/>
          <w:szCs w:val="24"/>
        </w:rPr>
        <w:t>Minimum offtake of 60% of CD instead 80% CD during TPA period in the Tripartite Arrangement approved in the BSP/RST order for FY 2025- 26 for industries having CGP &gt;= 20 MW.</w:t>
      </w:r>
    </w:p>
    <w:p w14:paraId="2970D0AE" w14:textId="77777777" w:rsidR="005B7D92" w:rsidRPr="007C7C0F" w:rsidRDefault="005B7D92" w:rsidP="00056389">
      <w:pPr>
        <w:pStyle w:val="ListParagraph"/>
        <w:numPr>
          <w:ilvl w:val="0"/>
          <w:numId w:val="72"/>
        </w:numPr>
        <w:spacing w:before="120" w:after="0" w:line="360" w:lineRule="auto"/>
        <w:ind w:left="426" w:firstLine="0"/>
        <w:jc w:val="both"/>
        <w:rPr>
          <w:rFonts w:asciiTheme="majorHAnsi" w:hAnsiTheme="majorHAnsi" w:cs="Calibri"/>
          <w:i/>
          <w:iCs/>
          <w:sz w:val="24"/>
          <w:szCs w:val="24"/>
        </w:rPr>
      </w:pPr>
      <w:r w:rsidRPr="007C7C0F">
        <w:rPr>
          <w:rFonts w:asciiTheme="majorHAnsi" w:hAnsiTheme="majorHAnsi" w:cs="Calibri"/>
          <w:i/>
          <w:iCs/>
          <w:sz w:val="24"/>
          <w:szCs w:val="24"/>
        </w:rPr>
        <w:t xml:space="preserve">Sale of power during solar hours (8.00 AM to 4.00 PM) to the interested consumers/ industries having CD 1 MW and above irrespective of CGP or Non-CGP @ Rs.4.30 per </w:t>
      </w:r>
      <w:proofErr w:type="spellStart"/>
      <w:r w:rsidRPr="007C7C0F">
        <w:rPr>
          <w:rFonts w:asciiTheme="majorHAnsi" w:hAnsiTheme="majorHAnsi" w:cs="Calibri"/>
          <w:i/>
          <w:iCs/>
          <w:sz w:val="24"/>
          <w:szCs w:val="24"/>
        </w:rPr>
        <w:t>kVAh</w:t>
      </w:r>
      <w:proofErr w:type="spellEnd"/>
      <w:r w:rsidRPr="007C7C0F">
        <w:rPr>
          <w:rFonts w:asciiTheme="majorHAnsi" w:hAnsiTheme="majorHAnsi" w:cs="Calibri"/>
          <w:i/>
          <w:iCs/>
          <w:sz w:val="24"/>
          <w:szCs w:val="24"/>
        </w:rPr>
        <w:t xml:space="preserve"> with assured consumption of 80% of CD during solar hours.</w:t>
      </w:r>
    </w:p>
    <w:p w14:paraId="6802769B" w14:textId="77777777" w:rsidR="005B7D92" w:rsidRPr="007C7C0F" w:rsidRDefault="005B7D92" w:rsidP="005B7D92">
      <w:pPr>
        <w:spacing w:before="120" w:line="360" w:lineRule="auto"/>
        <w:ind w:left="426"/>
        <w:jc w:val="both"/>
        <w:rPr>
          <w:rFonts w:asciiTheme="majorHAnsi" w:hAnsiTheme="majorHAnsi" w:cs="Calibri"/>
          <w:i/>
          <w:iCs/>
        </w:rPr>
      </w:pPr>
      <w:r w:rsidRPr="007C7C0F">
        <w:rPr>
          <w:rFonts w:asciiTheme="majorHAnsi" w:hAnsiTheme="majorHAnsi" w:cs="Calibri"/>
          <w:i/>
          <w:iCs/>
        </w:rPr>
        <w:t>The revenue sharing shall be as follows:</w:t>
      </w:r>
    </w:p>
    <w:p w14:paraId="418CF884" w14:textId="77777777" w:rsidR="005B7D92" w:rsidRPr="007C7C0F" w:rsidRDefault="005B7D92" w:rsidP="00056389">
      <w:pPr>
        <w:pStyle w:val="ListParagraph"/>
        <w:numPr>
          <w:ilvl w:val="0"/>
          <w:numId w:val="73"/>
        </w:numPr>
        <w:spacing w:before="120" w:after="0" w:line="360" w:lineRule="auto"/>
        <w:ind w:left="426" w:firstLine="0"/>
        <w:jc w:val="both"/>
        <w:rPr>
          <w:rFonts w:asciiTheme="majorHAnsi" w:hAnsiTheme="majorHAnsi" w:cs="Calibri"/>
          <w:i/>
          <w:iCs/>
          <w:sz w:val="24"/>
          <w:szCs w:val="24"/>
        </w:rPr>
      </w:pPr>
      <w:r w:rsidRPr="007C7C0F">
        <w:rPr>
          <w:rFonts w:asciiTheme="majorHAnsi" w:hAnsiTheme="majorHAnsi" w:cs="Calibri"/>
          <w:i/>
          <w:iCs/>
          <w:sz w:val="24"/>
          <w:szCs w:val="24"/>
        </w:rPr>
        <w:t>Out of the above proposed energy rate of Rs.4.30/</w:t>
      </w:r>
      <w:proofErr w:type="spellStart"/>
      <w:r w:rsidRPr="007C7C0F">
        <w:rPr>
          <w:rFonts w:asciiTheme="majorHAnsi" w:hAnsiTheme="majorHAnsi" w:cs="Calibri"/>
          <w:i/>
          <w:iCs/>
          <w:sz w:val="24"/>
          <w:szCs w:val="24"/>
        </w:rPr>
        <w:t>kVAh</w:t>
      </w:r>
      <w:proofErr w:type="spellEnd"/>
      <w:r w:rsidRPr="007C7C0F">
        <w:rPr>
          <w:rFonts w:asciiTheme="majorHAnsi" w:hAnsiTheme="majorHAnsi" w:cs="Calibri"/>
          <w:i/>
          <w:iCs/>
          <w:sz w:val="24"/>
          <w:szCs w:val="24"/>
        </w:rPr>
        <w:t>, GRIDCO’s share shall be the BSP of the respective DISCOM.</w:t>
      </w:r>
    </w:p>
    <w:p w14:paraId="5826C27C" w14:textId="77777777" w:rsidR="005B7D92" w:rsidRPr="007C7C0F" w:rsidRDefault="005B7D92" w:rsidP="00056389">
      <w:pPr>
        <w:pStyle w:val="ListParagraph"/>
        <w:numPr>
          <w:ilvl w:val="0"/>
          <w:numId w:val="73"/>
        </w:numPr>
        <w:spacing w:before="120" w:after="0" w:line="360" w:lineRule="auto"/>
        <w:ind w:left="426" w:firstLine="0"/>
        <w:jc w:val="both"/>
        <w:rPr>
          <w:rFonts w:asciiTheme="majorHAnsi" w:hAnsiTheme="majorHAnsi" w:cs="Calibri"/>
          <w:i/>
          <w:iCs/>
          <w:sz w:val="24"/>
          <w:szCs w:val="24"/>
        </w:rPr>
      </w:pPr>
      <w:r w:rsidRPr="007C7C0F">
        <w:rPr>
          <w:rFonts w:asciiTheme="majorHAnsi" w:hAnsiTheme="majorHAnsi" w:cs="Calibri"/>
          <w:i/>
          <w:iCs/>
          <w:sz w:val="24"/>
          <w:szCs w:val="24"/>
        </w:rPr>
        <w:t>OPTCL share shall be Rs.0.255/</w:t>
      </w:r>
      <w:proofErr w:type="spellStart"/>
      <w:r w:rsidRPr="007C7C0F">
        <w:rPr>
          <w:rFonts w:asciiTheme="majorHAnsi" w:hAnsiTheme="majorHAnsi" w:cs="Calibri"/>
          <w:i/>
          <w:iCs/>
          <w:sz w:val="24"/>
          <w:szCs w:val="24"/>
        </w:rPr>
        <w:t>kVAh</w:t>
      </w:r>
      <w:proofErr w:type="spellEnd"/>
      <w:r w:rsidRPr="007C7C0F">
        <w:rPr>
          <w:rFonts w:asciiTheme="majorHAnsi" w:hAnsiTheme="majorHAnsi" w:cs="Calibri"/>
          <w:i/>
          <w:iCs/>
          <w:sz w:val="24"/>
          <w:szCs w:val="24"/>
        </w:rPr>
        <w:t xml:space="preserve"> towards transmission charges. </w:t>
      </w:r>
    </w:p>
    <w:p w14:paraId="61FFE36A" w14:textId="77777777" w:rsidR="005B7D92" w:rsidRPr="007C7C0F" w:rsidRDefault="005B7D92" w:rsidP="00056389">
      <w:pPr>
        <w:pStyle w:val="ListParagraph"/>
        <w:numPr>
          <w:ilvl w:val="0"/>
          <w:numId w:val="73"/>
        </w:numPr>
        <w:spacing w:before="120" w:after="0" w:line="360" w:lineRule="auto"/>
        <w:ind w:left="426" w:firstLine="0"/>
        <w:jc w:val="both"/>
        <w:rPr>
          <w:rFonts w:asciiTheme="majorHAnsi" w:hAnsiTheme="majorHAnsi" w:cs="Calibri"/>
          <w:i/>
          <w:iCs/>
          <w:sz w:val="24"/>
          <w:szCs w:val="24"/>
        </w:rPr>
      </w:pPr>
      <w:r w:rsidRPr="007C7C0F">
        <w:rPr>
          <w:rFonts w:asciiTheme="majorHAnsi" w:hAnsiTheme="majorHAnsi" w:cs="Calibri"/>
          <w:i/>
          <w:iCs/>
          <w:sz w:val="24"/>
          <w:szCs w:val="24"/>
        </w:rPr>
        <w:t xml:space="preserve">Balance share shall be retained by the respective DISCOM. </w:t>
      </w:r>
    </w:p>
    <w:p w14:paraId="30C44794" w14:textId="178E574D" w:rsidR="005B7D92" w:rsidRPr="007C7C0F" w:rsidRDefault="005B7D92" w:rsidP="005B7D92">
      <w:pPr>
        <w:spacing w:before="360" w:line="360" w:lineRule="auto"/>
        <w:ind w:left="426"/>
        <w:jc w:val="both"/>
        <w:rPr>
          <w:rFonts w:asciiTheme="majorHAnsi" w:hAnsiTheme="majorHAnsi" w:cs="Calibri"/>
          <w:i/>
          <w:iCs/>
        </w:rPr>
      </w:pPr>
      <w:r w:rsidRPr="007C7C0F">
        <w:rPr>
          <w:rFonts w:asciiTheme="majorHAnsi" w:hAnsiTheme="majorHAnsi" w:cs="Calibri"/>
          <w:i/>
          <w:iCs/>
        </w:rPr>
        <w:t>The above scheme shall be effective from the date of issuance of this order. GRIDCO will file a report with the Commission on the efficacy of the above revised scheme after two months hence. This revised order will be valid for the current financial year only. If necessary, the Commission may revisit the scheme depending on its efficacy at the ground level after two months.</w:t>
      </w:r>
      <w:r>
        <w:rPr>
          <w:rFonts w:asciiTheme="majorHAnsi" w:hAnsiTheme="majorHAnsi" w:cs="Calibri"/>
          <w:i/>
          <w:iCs/>
        </w:rPr>
        <w:t>”</w:t>
      </w:r>
    </w:p>
    <w:p w14:paraId="5474413B" w14:textId="7F7C6BAB" w:rsidR="005B7D92" w:rsidRPr="005B7D92" w:rsidRDefault="005B7D92" w:rsidP="005B7D92">
      <w:pPr>
        <w:spacing w:line="360" w:lineRule="auto"/>
        <w:ind w:left="426"/>
        <w:jc w:val="both"/>
        <w:rPr>
          <w:rFonts w:asciiTheme="majorHAnsi" w:hAnsiTheme="majorHAnsi" w:cs="Calibri"/>
          <w:b/>
          <w:bCs/>
          <w:lang w:val="en-IN"/>
        </w:rPr>
      </w:pPr>
      <w:r w:rsidRPr="007C7C0F">
        <w:rPr>
          <w:rFonts w:asciiTheme="majorHAnsi" w:hAnsiTheme="majorHAnsi" w:cs="Calibri"/>
        </w:rPr>
        <w:t>Hon’ble Commission has also directed to make review of the scheme on 14.10.2025. In compliance to the above directives of the Hon’ble Commission, GRIDCO has executed Agreement with TPWODL and M/s Vedanta Ltd. on 24.07.2025 for sale of power through TPA which shall remain in force till 31</w:t>
      </w:r>
      <w:r w:rsidRPr="007C7C0F">
        <w:rPr>
          <w:rFonts w:asciiTheme="majorHAnsi" w:hAnsiTheme="majorHAnsi" w:cs="Calibri"/>
          <w:vertAlign w:val="superscript"/>
        </w:rPr>
        <w:t>st</w:t>
      </w:r>
      <w:r w:rsidRPr="007C7C0F">
        <w:rPr>
          <w:rFonts w:asciiTheme="majorHAnsi" w:hAnsiTheme="majorHAnsi" w:cs="Calibri"/>
        </w:rPr>
        <w:t xml:space="preserve"> March, 2026. As per the said TPA, the power offtake period for a quantum </w:t>
      </w:r>
      <w:proofErr w:type="spellStart"/>
      <w:r w:rsidRPr="007C7C0F">
        <w:rPr>
          <w:rFonts w:asciiTheme="majorHAnsi" w:hAnsiTheme="majorHAnsi" w:cs="Calibri"/>
        </w:rPr>
        <w:t>upto</w:t>
      </w:r>
      <w:proofErr w:type="spellEnd"/>
      <w:r w:rsidRPr="007C7C0F">
        <w:rPr>
          <w:rFonts w:asciiTheme="majorHAnsi" w:hAnsiTheme="majorHAnsi" w:cs="Calibri"/>
        </w:rPr>
        <w:t xml:space="preserve"> 200 MW was from 26th July, 2025 to 25th August, 2025. Beyond 25th August, 2025 Vedanta shall submit a written requisition for quantum of power offtake under this agreement considering its requirement. Meanwhile, around 30.14 MU and 105.21 MU of power have been sold during Jul’25 and Aug’25 respectively under this arrangement.</w:t>
      </w:r>
    </w:p>
    <w:p w14:paraId="0AF75B2A" w14:textId="77777777" w:rsidR="005B7D92" w:rsidRPr="007C7C0F" w:rsidRDefault="005B7D92" w:rsidP="005B7D92">
      <w:pPr>
        <w:spacing w:before="240" w:after="240" w:line="360" w:lineRule="auto"/>
        <w:ind w:left="460"/>
        <w:jc w:val="both"/>
        <w:rPr>
          <w:rFonts w:asciiTheme="majorHAnsi" w:hAnsiTheme="majorHAnsi" w:cs="Calibri"/>
          <w:lang w:val="en-IN"/>
        </w:rPr>
      </w:pPr>
      <w:r w:rsidRPr="007C7C0F">
        <w:rPr>
          <w:rFonts w:asciiTheme="majorHAnsi" w:hAnsiTheme="majorHAnsi" w:cs="Calibri"/>
        </w:rPr>
        <w:t>Further, the Commission vide its order dated 28.10.2025 in case no. 53/2025 has directed that the interim arrangement made by the Commission, in the order dated 22.07.2025, shall be in force till the end of the current Financial Year (2025-26).</w:t>
      </w:r>
    </w:p>
    <w:p w14:paraId="4E710EDB" w14:textId="6C3B090B" w:rsidR="005B7D92" w:rsidRPr="007C7C0F" w:rsidRDefault="005B7D92" w:rsidP="005B7D92">
      <w:pPr>
        <w:pStyle w:val="ListParagraph"/>
        <w:spacing w:line="360" w:lineRule="auto"/>
        <w:ind w:left="425"/>
        <w:jc w:val="both"/>
        <w:rPr>
          <w:rFonts w:asciiTheme="majorHAnsi" w:hAnsiTheme="majorHAnsi" w:cs="Calibri"/>
          <w:sz w:val="24"/>
          <w:szCs w:val="24"/>
        </w:rPr>
      </w:pPr>
      <w:r w:rsidRPr="007C7C0F">
        <w:rPr>
          <w:rFonts w:asciiTheme="majorHAnsi" w:hAnsiTheme="majorHAnsi" w:cs="Calibri"/>
          <w:bCs/>
          <w:sz w:val="24"/>
          <w:szCs w:val="24"/>
        </w:rPr>
        <w:t>As it is anticipated that surplus power shall also be available on intermittent basis during FY 2026-27, therefore the Hon’ble Commission</w:t>
      </w:r>
      <w:r>
        <w:rPr>
          <w:rFonts w:asciiTheme="majorHAnsi" w:hAnsiTheme="majorHAnsi" w:cs="Calibri"/>
          <w:bCs/>
          <w:sz w:val="24"/>
          <w:szCs w:val="24"/>
        </w:rPr>
        <w:t xml:space="preserve"> is requested to</w:t>
      </w:r>
      <w:r w:rsidRPr="007C7C0F">
        <w:rPr>
          <w:rFonts w:asciiTheme="majorHAnsi" w:hAnsiTheme="majorHAnsi" w:cs="Calibri"/>
          <w:bCs/>
          <w:sz w:val="24"/>
          <w:szCs w:val="24"/>
        </w:rPr>
        <w:t xml:space="preserve"> approve the Special Tariff Scheme under TPA at a suitable TOD based tariffs for FY 2026-27 with minimum offtake of 60% CD during the TPA period. Further, the CGP based industry may opt for green certification of the energy availed under TPA for its RCO compliance through payment of Green Tariff Premium as approved by the Commission. This green certification should be considered for RCO compliance of the consumer</w:t>
      </w:r>
      <w:r w:rsidR="00475628">
        <w:rPr>
          <w:rFonts w:asciiTheme="majorHAnsi" w:hAnsiTheme="majorHAnsi" w:cs="Calibri"/>
          <w:bCs/>
          <w:sz w:val="24"/>
          <w:szCs w:val="24"/>
        </w:rPr>
        <w:t>s</w:t>
      </w:r>
      <w:r w:rsidRPr="007C7C0F">
        <w:rPr>
          <w:rFonts w:asciiTheme="majorHAnsi" w:hAnsiTheme="majorHAnsi" w:cs="Calibri"/>
          <w:bCs/>
          <w:sz w:val="24"/>
          <w:szCs w:val="24"/>
        </w:rPr>
        <w:t xml:space="preserve"> as this will </w:t>
      </w:r>
      <w:r w:rsidR="00475628">
        <w:rPr>
          <w:rFonts w:asciiTheme="majorHAnsi" w:hAnsiTheme="majorHAnsi" w:cs="Calibri"/>
          <w:bCs/>
          <w:sz w:val="24"/>
          <w:szCs w:val="24"/>
        </w:rPr>
        <w:t xml:space="preserve">restrict the </w:t>
      </w:r>
      <w:r w:rsidRPr="007C7C0F">
        <w:rPr>
          <w:rFonts w:asciiTheme="majorHAnsi" w:hAnsiTheme="majorHAnsi" w:cs="Calibri"/>
          <w:bCs/>
          <w:sz w:val="24"/>
          <w:szCs w:val="24"/>
        </w:rPr>
        <w:t xml:space="preserve">consumers </w:t>
      </w:r>
      <w:r w:rsidR="00475628">
        <w:rPr>
          <w:rFonts w:asciiTheme="majorHAnsi" w:hAnsiTheme="majorHAnsi" w:cs="Calibri"/>
          <w:bCs/>
          <w:sz w:val="24"/>
          <w:szCs w:val="24"/>
        </w:rPr>
        <w:t xml:space="preserve">moving </w:t>
      </w:r>
      <w:r w:rsidRPr="007C7C0F">
        <w:rPr>
          <w:rFonts w:asciiTheme="majorHAnsi" w:hAnsiTheme="majorHAnsi" w:cs="Calibri"/>
          <w:bCs/>
          <w:sz w:val="24"/>
          <w:szCs w:val="24"/>
        </w:rPr>
        <w:t xml:space="preserve">away from </w:t>
      </w:r>
      <w:r w:rsidR="00475628">
        <w:rPr>
          <w:rFonts w:asciiTheme="majorHAnsi" w:hAnsiTheme="majorHAnsi" w:cs="Calibri"/>
          <w:bCs/>
          <w:sz w:val="24"/>
          <w:szCs w:val="24"/>
        </w:rPr>
        <w:t xml:space="preserve">DISCOMs to </w:t>
      </w:r>
      <w:r w:rsidRPr="007C7C0F">
        <w:rPr>
          <w:rFonts w:asciiTheme="majorHAnsi" w:hAnsiTheme="majorHAnsi" w:cs="Calibri"/>
          <w:bCs/>
          <w:sz w:val="24"/>
          <w:szCs w:val="24"/>
        </w:rPr>
        <w:t>open access transactions</w:t>
      </w:r>
      <w:r w:rsidR="00475628">
        <w:rPr>
          <w:rFonts w:asciiTheme="majorHAnsi" w:hAnsiTheme="majorHAnsi" w:cs="Calibri"/>
          <w:bCs/>
          <w:sz w:val="24"/>
          <w:szCs w:val="24"/>
        </w:rPr>
        <w:t xml:space="preserve"> for purchase of renewable power to meet their RCO obligations</w:t>
      </w:r>
      <w:r w:rsidRPr="007C7C0F">
        <w:rPr>
          <w:rFonts w:asciiTheme="majorHAnsi" w:hAnsiTheme="majorHAnsi" w:cs="Calibri"/>
          <w:bCs/>
          <w:sz w:val="24"/>
          <w:szCs w:val="24"/>
        </w:rPr>
        <w:t>.</w:t>
      </w:r>
    </w:p>
    <w:bookmarkEnd w:id="306"/>
    <w:p w14:paraId="1C9B88F9" w14:textId="77777777" w:rsidR="007C7C0F" w:rsidRPr="007C7C0F" w:rsidRDefault="007C7C0F" w:rsidP="007C7C0F">
      <w:pPr>
        <w:rPr>
          <w:rFonts w:asciiTheme="majorHAnsi" w:hAnsiTheme="majorHAnsi" w:cs="Calibri"/>
          <w:highlight w:val="yellow"/>
        </w:rPr>
      </w:pPr>
    </w:p>
    <w:p w14:paraId="249DBBB6" w14:textId="77777777" w:rsidR="005B7D92" w:rsidRPr="007C7C0F" w:rsidRDefault="005B7D92" w:rsidP="005B7D92">
      <w:pPr>
        <w:pStyle w:val="ListParagraph"/>
        <w:numPr>
          <w:ilvl w:val="1"/>
          <w:numId w:val="1"/>
        </w:numPr>
        <w:rPr>
          <w:rFonts w:asciiTheme="majorHAnsi" w:hAnsiTheme="majorHAnsi" w:cs="Calibri"/>
          <w:b/>
          <w:bCs/>
          <w:sz w:val="24"/>
          <w:szCs w:val="24"/>
        </w:rPr>
      </w:pPr>
      <w:bookmarkStart w:id="307" w:name="_Toc183804579"/>
      <w:r w:rsidRPr="007C7C0F">
        <w:rPr>
          <w:rFonts w:asciiTheme="majorHAnsi" w:hAnsiTheme="majorHAnsi" w:cs="Calibri"/>
          <w:b/>
          <w:bCs/>
          <w:sz w:val="24"/>
          <w:szCs w:val="24"/>
        </w:rPr>
        <w:t>Re-structuring of TOD based RST for Open Access / CGP Consumers</w:t>
      </w:r>
    </w:p>
    <w:p w14:paraId="523701B1" w14:textId="760A851E" w:rsidR="005B7D92" w:rsidRPr="007C7C0F" w:rsidRDefault="005B7D92" w:rsidP="005B7D92">
      <w:pPr>
        <w:spacing w:before="120" w:line="360" w:lineRule="auto"/>
        <w:ind w:left="460"/>
        <w:jc w:val="both"/>
        <w:rPr>
          <w:rFonts w:asciiTheme="majorHAnsi" w:hAnsiTheme="majorHAnsi" w:cs="Calibri"/>
        </w:rPr>
      </w:pPr>
      <w:r w:rsidRPr="007C7C0F">
        <w:rPr>
          <w:rFonts w:asciiTheme="majorHAnsi" w:hAnsiTheme="majorHAnsi" w:cs="Calibri"/>
        </w:rPr>
        <w:t xml:space="preserve">Upon adoption of the </w:t>
      </w:r>
      <w:proofErr w:type="spellStart"/>
      <w:r w:rsidRPr="007C7C0F">
        <w:rPr>
          <w:rFonts w:asciiTheme="majorHAnsi" w:hAnsiTheme="majorHAnsi" w:cs="Calibri"/>
        </w:rPr>
        <w:t>ToD</w:t>
      </w:r>
      <w:proofErr w:type="spellEnd"/>
      <w:r w:rsidRPr="007C7C0F">
        <w:rPr>
          <w:rFonts w:asciiTheme="majorHAnsi" w:hAnsiTheme="majorHAnsi" w:cs="Calibri"/>
        </w:rPr>
        <w:t>-based RST with effect from 01</w:t>
      </w:r>
      <w:r w:rsidRPr="007C7C0F">
        <w:rPr>
          <w:rFonts w:asciiTheme="majorHAnsi" w:hAnsiTheme="majorHAnsi" w:cs="Calibri"/>
          <w:vertAlign w:val="superscript"/>
        </w:rPr>
        <w:t>st</w:t>
      </w:r>
      <w:r w:rsidRPr="007C7C0F">
        <w:rPr>
          <w:rFonts w:asciiTheme="majorHAnsi" w:hAnsiTheme="majorHAnsi" w:cs="Calibri"/>
        </w:rPr>
        <w:t xml:space="preserve"> April, 2024, there is a gradual increase in load shifting from non-solar hours to solar hours. Further, various Central Government &amp; State Government initiatives like PM-KUSUM, PM-</w:t>
      </w:r>
      <w:proofErr w:type="spellStart"/>
      <w:r w:rsidRPr="007C7C0F">
        <w:rPr>
          <w:rFonts w:asciiTheme="majorHAnsi" w:hAnsiTheme="majorHAnsi" w:cs="Calibri"/>
        </w:rPr>
        <w:t>Suryaghar</w:t>
      </w:r>
      <w:proofErr w:type="spellEnd"/>
      <w:r w:rsidRPr="007C7C0F">
        <w:rPr>
          <w:rFonts w:asciiTheme="majorHAnsi" w:hAnsiTheme="majorHAnsi" w:cs="Calibri"/>
        </w:rPr>
        <w:t>, etc. ha</w:t>
      </w:r>
      <w:r w:rsidR="00475628">
        <w:rPr>
          <w:rFonts w:asciiTheme="majorHAnsi" w:hAnsiTheme="majorHAnsi" w:cs="Calibri"/>
        </w:rPr>
        <w:t>ve</w:t>
      </w:r>
      <w:r w:rsidRPr="007C7C0F">
        <w:rPr>
          <w:rFonts w:asciiTheme="majorHAnsi" w:hAnsiTheme="majorHAnsi" w:cs="Calibri"/>
        </w:rPr>
        <w:t xml:space="preserve"> contributed towards increased penetration of solar energy. Hence, consumers</w:t>
      </w:r>
      <w:r w:rsidR="00475628">
        <w:rPr>
          <w:rFonts w:asciiTheme="majorHAnsi" w:hAnsiTheme="majorHAnsi" w:cs="Calibri"/>
        </w:rPr>
        <w:t xml:space="preserve"> </w:t>
      </w:r>
      <w:r w:rsidRPr="007C7C0F">
        <w:rPr>
          <w:rFonts w:asciiTheme="majorHAnsi" w:hAnsiTheme="majorHAnsi" w:cs="Calibri"/>
        </w:rPr>
        <w:t>particular</w:t>
      </w:r>
      <w:r w:rsidR="000F11D8">
        <w:rPr>
          <w:rFonts w:asciiTheme="majorHAnsi" w:hAnsiTheme="majorHAnsi" w:cs="Calibri"/>
        </w:rPr>
        <w:t>ly</w:t>
      </w:r>
      <w:r w:rsidRPr="007C7C0F">
        <w:rPr>
          <w:rFonts w:asciiTheme="majorHAnsi" w:hAnsiTheme="majorHAnsi" w:cs="Calibri"/>
        </w:rPr>
        <w:t xml:space="preserve"> the domestic segment are more encouraged to setup RTS to meet their energy consumption. State Government has also launched </w:t>
      </w:r>
      <w:r w:rsidR="00475628">
        <w:rPr>
          <w:rFonts w:asciiTheme="majorHAnsi" w:hAnsiTheme="majorHAnsi" w:cs="Calibri"/>
        </w:rPr>
        <w:t xml:space="preserve">large scale </w:t>
      </w:r>
      <w:r w:rsidRPr="007C7C0F">
        <w:rPr>
          <w:rFonts w:asciiTheme="majorHAnsi" w:hAnsiTheme="majorHAnsi" w:cs="Calibri"/>
        </w:rPr>
        <w:t xml:space="preserve">initiatives to </w:t>
      </w:r>
      <w:r w:rsidR="00475628" w:rsidRPr="007C7C0F">
        <w:rPr>
          <w:rFonts w:asciiTheme="majorHAnsi" w:hAnsiTheme="majorHAnsi" w:cs="Calibri"/>
        </w:rPr>
        <w:t>solarize</w:t>
      </w:r>
      <w:r w:rsidRPr="007C7C0F">
        <w:rPr>
          <w:rFonts w:asciiTheme="majorHAnsi" w:hAnsiTheme="majorHAnsi" w:cs="Calibri"/>
        </w:rPr>
        <w:t xml:space="preserve"> all the government buildings. In addition to the aforesaid, the concept of floating solar is in an emerging phase in the State with a potential commissioning of around 5000 MW by FY 2030. Commercial and Industrial (C&amp;I) consumers are also mandated for complying with the RCO targets set by the </w:t>
      </w:r>
      <w:proofErr w:type="spellStart"/>
      <w:r w:rsidRPr="007C7C0F">
        <w:rPr>
          <w:rFonts w:asciiTheme="majorHAnsi" w:hAnsiTheme="majorHAnsi" w:cs="Calibri"/>
        </w:rPr>
        <w:t>MoP</w:t>
      </w:r>
      <w:proofErr w:type="spellEnd"/>
      <w:r w:rsidRPr="007C7C0F">
        <w:rPr>
          <w:rFonts w:asciiTheme="majorHAnsi" w:hAnsiTheme="majorHAnsi" w:cs="Calibri"/>
        </w:rPr>
        <w:t>, Govt. of India. Therefore, they are also installing captive solar setup (</w:t>
      </w:r>
      <w:r w:rsidR="00475628">
        <w:rPr>
          <w:rFonts w:asciiTheme="majorHAnsi" w:hAnsiTheme="majorHAnsi" w:cs="Calibri"/>
        </w:rPr>
        <w:t xml:space="preserve">COG of </w:t>
      </w:r>
      <w:r w:rsidRPr="007C7C0F">
        <w:rPr>
          <w:rFonts w:asciiTheme="majorHAnsi" w:hAnsiTheme="majorHAnsi" w:cs="Calibri"/>
        </w:rPr>
        <w:t xml:space="preserve">which is relatively cheaper than any other RE source) for meeting their demand during the solar hours. Further, in the present TOD mechanism as well as LF based RST, the consumers are not being sufficiently incentivized to shift their demand to the solar hours, thereby preventing optimal </w:t>
      </w:r>
      <w:r w:rsidR="00475628" w:rsidRPr="007C7C0F">
        <w:rPr>
          <w:rFonts w:asciiTheme="majorHAnsi" w:hAnsiTheme="majorHAnsi" w:cs="Calibri"/>
        </w:rPr>
        <w:t>utilization</w:t>
      </w:r>
      <w:r w:rsidRPr="007C7C0F">
        <w:rPr>
          <w:rFonts w:asciiTheme="majorHAnsi" w:hAnsiTheme="majorHAnsi" w:cs="Calibri"/>
        </w:rPr>
        <w:t xml:space="preserve"> of the surplus power available with the State during these hours.</w:t>
      </w:r>
    </w:p>
    <w:p w14:paraId="2348D592" w14:textId="77777777" w:rsidR="005B7D92" w:rsidRPr="007C7C0F" w:rsidRDefault="005B7D92" w:rsidP="005B7D92">
      <w:pPr>
        <w:spacing w:before="120" w:line="360" w:lineRule="auto"/>
        <w:ind w:left="460"/>
        <w:jc w:val="both"/>
        <w:rPr>
          <w:rFonts w:asciiTheme="majorHAnsi" w:hAnsiTheme="majorHAnsi" w:cs="Calibri"/>
        </w:rPr>
      </w:pPr>
      <w:r w:rsidRPr="007C7C0F">
        <w:rPr>
          <w:rFonts w:asciiTheme="majorHAnsi" w:hAnsiTheme="majorHAnsi" w:cs="Calibri"/>
        </w:rPr>
        <w:t xml:space="preserve">Hence, with the rapid penetration of solar energy, the present TOD mechanism as well as LF based RST requires re-structuring, so that the benefit of the low-cost solar power can be availed by the State consumers. </w:t>
      </w:r>
    </w:p>
    <w:p w14:paraId="57507293" w14:textId="75000429" w:rsidR="005B7D92" w:rsidRPr="007C7C0F" w:rsidRDefault="005B7D92" w:rsidP="005B7D92">
      <w:pPr>
        <w:spacing w:before="120" w:line="360" w:lineRule="auto"/>
        <w:ind w:left="460"/>
        <w:jc w:val="both"/>
        <w:rPr>
          <w:rFonts w:asciiTheme="majorHAnsi" w:hAnsiTheme="majorHAnsi" w:cs="Calibri"/>
        </w:rPr>
      </w:pPr>
      <w:r w:rsidRPr="007C7C0F">
        <w:rPr>
          <w:rFonts w:asciiTheme="majorHAnsi" w:hAnsiTheme="majorHAnsi" w:cs="Calibri"/>
        </w:rPr>
        <w:t xml:space="preserve">Implementation of a </w:t>
      </w:r>
      <w:proofErr w:type="spellStart"/>
      <w:r w:rsidRPr="007C7C0F">
        <w:rPr>
          <w:rFonts w:asciiTheme="majorHAnsi" w:hAnsiTheme="majorHAnsi" w:cs="Calibri"/>
        </w:rPr>
        <w:t>ToD</w:t>
      </w:r>
      <w:proofErr w:type="spellEnd"/>
      <w:r w:rsidRPr="007C7C0F">
        <w:rPr>
          <w:rFonts w:asciiTheme="majorHAnsi" w:hAnsiTheme="majorHAnsi" w:cs="Calibri"/>
        </w:rPr>
        <w:t xml:space="preserve">-based RST will provide a transparent price </w:t>
      </w:r>
      <w:r w:rsidR="00475628">
        <w:rPr>
          <w:rFonts w:asciiTheme="majorHAnsi" w:hAnsiTheme="majorHAnsi" w:cs="Calibri"/>
        </w:rPr>
        <w:t>mechanism</w:t>
      </w:r>
      <w:r w:rsidRPr="007C7C0F">
        <w:rPr>
          <w:rFonts w:asciiTheme="majorHAnsi" w:hAnsiTheme="majorHAnsi" w:cs="Calibri"/>
        </w:rPr>
        <w:t xml:space="preserve"> to consumers, encouraging them to schedule energy-intensive operations—such as pumping, manufacturing, and cooling—during solar hours when power is cheaper and greener. This shall help in flattening the intra-day demand curve, improve the load factor of the DISCOMs, and reduce the need for costly evening-peak purchases.</w:t>
      </w:r>
    </w:p>
    <w:p w14:paraId="23D4A2B3" w14:textId="38DFA06F" w:rsidR="005B7D92" w:rsidRPr="007C7C0F" w:rsidRDefault="005B7D92" w:rsidP="005B7D92">
      <w:pPr>
        <w:spacing w:line="360" w:lineRule="auto"/>
        <w:ind w:left="460"/>
        <w:jc w:val="both"/>
        <w:rPr>
          <w:rFonts w:asciiTheme="majorHAnsi" w:eastAsia="Calibri" w:hAnsiTheme="majorHAnsi" w:cs="Calibri"/>
          <w:kern w:val="2"/>
        </w:rPr>
      </w:pPr>
      <w:r w:rsidRPr="007C7C0F">
        <w:rPr>
          <w:rFonts w:asciiTheme="majorHAnsi" w:hAnsiTheme="majorHAnsi" w:cs="Calibri"/>
        </w:rPr>
        <w:t>Hence, the Licensee proposes the following RST structure for FY 2026-27</w:t>
      </w:r>
      <w:r>
        <w:rPr>
          <w:rFonts w:asciiTheme="majorHAnsi" w:hAnsiTheme="majorHAnsi" w:cs="Calibri"/>
        </w:rPr>
        <w:t>:</w:t>
      </w:r>
    </w:p>
    <w:tbl>
      <w:tblPr>
        <w:tblW w:w="0" w:type="auto"/>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275"/>
        <w:gridCol w:w="1134"/>
        <w:gridCol w:w="1588"/>
        <w:gridCol w:w="1701"/>
        <w:gridCol w:w="1418"/>
      </w:tblGrid>
      <w:tr w:rsidR="005B7D92" w:rsidRPr="005B7D92" w14:paraId="2683FCD5" w14:textId="77777777" w:rsidTr="005B7D92">
        <w:tc>
          <w:tcPr>
            <w:tcW w:w="1208" w:type="dxa"/>
            <w:vAlign w:val="center"/>
          </w:tcPr>
          <w:p w14:paraId="2F7268E5" w14:textId="77777777" w:rsidR="005B7D92" w:rsidRPr="005B7D92" w:rsidRDefault="005B7D92" w:rsidP="005B7D92">
            <w:pPr>
              <w:contextualSpacing/>
              <w:jc w:val="center"/>
              <w:rPr>
                <w:rFonts w:asciiTheme="majorHAnsi" w:eastAsia="Calibri" w:hAnsiTheme="majorHAnsi" w:cs="Calibri"/>
                <w:b/>
                <w:kern w:val="2"/>
                <w:sz w:val="22"/>
                <w:szCs w:val="22"/>
              </w:rPr>
            </w:pPr>
            <w:r w:rsidRPr="005B7D92">
              <w:rPr>
                <w:rFonts w:asciiTheme="majorHAnsi" w:eastAsia="Calibri" w:hAnsiTheme="majorHAnsi" w:cs="Calibri"/>
                <w:b/>
                <w:kern w:val="2"/>
                <w:sz w:val="22"/>
                <w:szCs w:val="22"/>
              </w:rPr>
              <w:t>Category</w:t>
            </w:r>
          </w:p>
        </w:tc>
        <w:tc>
          <w:tcPr>
            <w:tcW w:w="2409" w:type="dxa"/>
            <w:gridSpan w:val="2"/>
            <w:vAlign w:val="center"/>
          </w:tcPr>
          <w:p w14:paraId="532EF80D" w14:textId="4FD2875E" w:rsidR="005B7D92" w:rsidRPr="005B7D92" w:rsidRDefault="005B7D92" w:rsidP="005B7D92">
            <w:pPr>
              <w:contextualSpacing/>
              <w:jc w:val="center"/>
              <w:rPr>
                <w:rFonts w:asciiTheme="majorHAnsi" w:eastAsia="Calibri" w:hAnsiTheme="majorHAnsi" w:cs="Calibri"/>
                <w:b/>
                <w:kern w:val="2"/>
                <w:sz w:val="22"/>
                <w:szCs w:val="22"/>
              </w:rPr>
            </w:pPr>
            <w:r w:rsidRPr="005B7D92">
              <w:rPr>
                <w:rFonts w:asciiTheme="majorHAnsi" w:eastAsia="Calibri" w:hAnsiTheme="majorHAnsi" w:cs="Calibri"/>
                <w:b/>
                <w:kern w:val="2"/>
                <w:sz w:val="22"/>
                <w:szCs w:val="22"/>
              </w:rPr>
              <w:t>Existing RST (</w:t>
            </w:r>
            <w:r>
              <w:rPr>
                <w:rFonts w:asciiTheme="majorHAnsi" w:eastAsia="Calibri" w:hAnsiTheme="majorHAnsi" w:cs="Calibri"/>
                <w:b/>
                <w:kern w:val="2"/>
                <w:sz w:val="22"/>
                <w:szCs w:val="22"/>
              </w:rPr>
              <w:t>Rs.</w:t>
            </w:r>
            <w:r w:rsidRPr="005B7D92">
              <w:rPr>
                <w:rFonts w:asciiTheme="majorHAnsi" w:eastAsia="Calibri" w:hAnsiTheme="majorHAnsi" w:cs="Calibri"/>
                <w:b/>
                <w:kern w:val="2"/>
                <w:sz w:val="22"/>
                <w:szCs w:val="22"/>
              </w:rPr>
              <w:t>/</w:t>
            </w:r>
            <w:proofErr w:type="spellStart"/>
            <w:r w:rsidRPr="005B7D92">
              <w:rPr>
                <w:rFonts w:asciiTheme="majorHAnsi" w:eastAsia="Calibri" w:hAnsiTheme="majorHAnsi" w:cs="Calibri"/>
                <w:b/>
                <w:kern w:val="2"/>
                <w:sz w:val="22"/>
                <w:szCs w:val="22"/>
              </w:rPr>
              <w:t>kVAh</w:t>
            </w:r>
            <w:proofErr w:type="spellEnd"/>
            <w:r w:rsidRPr="005B7D92">
              <w:rPr>
                <w:rFonts w:asciiTheme="majorHAnsi" w:eastAsia="Calibri" w:hAnsiTheme="majorHAnsi" w:cs="Calibri"/>
                <w:b/>
                <w:kern w:val="2"/>
                <w:sz w:val="22"/>
                <w:szCs w:val="22"/>
              </w:rPr>
              <w:t>)</w:t>
            </w:r>
          </w:p>
        </w:tc>
        <w:tc>
          <w:tcPr>
            <w:tcW w:w="4707" w:type="dxa"/>
            <w:gridSpan w:val="3"/>
            <w:vAlign w:val="center"/>
          </w:tcPr>
          <w:p w14:paraId="490FB46E" w14:textId="77777777" w:rsidR="005B7D92" w:rsidRDefault="005B7D92" w:rsidP="005B7D92">
            <w:pPr>
              <w:contextualSpacing/>
              <w:jc w:val="center"/>
              <w:rPr>
                <w:rFonts w:asciiTheme="majorHAnsi" w:eastAsia="Calibri" w:hAnsiTheme="majorHAnsi" w:cs="Calibri"/>
                <w:b/>
                <w:kern w:val="2"/>
                <w:sz w:val="22"/>
                <w:szCs w:val="22"/>
              </w:rPr>
            </w:pPr>
            <w:r w:rsidRPr="005B7D92">
              <w:rPr>
                <w:rFonts w:asciiTheme="majorHAnsi" w:eastAsia="Calibri" w:hAnsiTheme="majorHAnsi" w:cs="Calibri"/>
                <w:b/>
                <w:kern w:val="2"/>
                <w:sz w:val="22"/>
                <w:szCs w:val="22"/>
              </w:rPr>
              <w:t xml:space="preserve">Proposed RST </w:t>
            </w:r>
          </w:p>
          <w:p w14:paraId="4BEEE2EA" w14:textId="03D77CD5" w:rsidR="005B7D92" w:rsidRPr="005B7D92" w:rsidRDefault="005B7D92" w:rsidP="005B7D92">
            <w:pPr>
              <w:contextualSpacing/>
              <w:jc w:val="center"/>
              <w:rPr>
                <w:rFonts w:asciiTheme="majorHAnsi" w:eastAsia="Calibri" w:hAnsiTheme="majorHAnsi" w:cs="Calibri"/>
                <w:b/>
                <w:kern w:val="2"/>
                <w:sz w:val="22"/>
                <w:szCs w:val="22"/>
              </w:rPr>
            </w:pPr>
            <w:r w:rsidRPr="005B7D92">
              <w:rPr>
                <w:rFonts w:asciiTheme="majorHAnsi" w:eastAsia="Calibri" w:hAnsiTheme="majorHAnsi" w:cs="Calibri"/>
                <w:b/>
                <w:kern w:val="2"/>
                <w:sz w:val="22"/>
                <w:szCs w:val="22"/>
              </w:rPr>
              <w:t>(</w:t>
            </w:r>
            <w:r>
              <w:rPr>
                <w:rFonts w:asciiTheme="majorHAnsi" w:eastAsia="Calibri" w:hAnsiTheme="majorHAnsi" w:cs="Calibri"/>
                <w:b/>
                <w:kern w:val="2"/>
                <w:sz w:val="22"/>
                <w:szCs w:val="22"/>
              </w:rPr>
              <w:t>Rs.</w:t>
            </w:r>
            <w:r w:rsidRPr="005B7D92">
              <w:rPr>
                <w:rFonts w:asciiTheme="majorHAnsi" w:eastAsia="Calibri" w:hAnsiTheme="majorHAnsi" w:cs="Calibri"/>
                <w:b/>
                <w:kern w:val="2"/>
                <w:sz w:val="22"/>
                <w:szCs w:val="22"/>
              </w:rPr>
              <w:t>/</w:t>
            </w:r>
            <w:proofErr w:type="spellStart"/>
            <w:r w:rsidRPr="005B7D92">
              <w:rPr>
                <w:rFonts w:asciiTheme="majorHAnsi" w:eastAsia="Calibri" w:hAnsiTheme="majorHAnsi" w:cs="Calibri"/>
                <w:b/>
                <w:kern w:val="2"/>
                <w:sz w:val="22"/>
                <w:szCs w:val="22"/>
              </w:rPr>
              <w:t>kVAh</w:t>
            </w:r>
            <w:proofErr w:type="spellEnd"/>
            <w:r w:rsidRPr="005B7D92">
              <w:rPr>
                <w:rFonts w:asciiTheme="majorHAnsi" w:eastAsia="Calibri" w:hAnsiTheme="majorHAnsi" w:cs="Calibri"/>
                <w:b/>
                <w:kern w:val="2"/>
                <w:sz w:val="22"/>
                <w:szCs w:val="22"/>
              </w:rPr>
              <w:t>)</w:t>
            </w:r>
          </w:p>
        </w:tc>
      </w:tr>
      <w:tr w:rsidR="005B7D92" w:rsidRPr="005B7D92" w14:paraId="0E364370" w14:textId="77777777" w:rsidTr="005B7D92">
        <w:tc>
          <w:tcPr>
            <w:tcW w:w="1208" w:type="dxa"/>
            <w:vAlign w:val="center"/>
          </w:tcPr>
          <w:p w14:paraId="30873858" w14:textId="77777777" w:rsidR="005B7D92" w:rsidRPr="005B7D92" w:rsidRDefault="005B7D92" w:rsidP="005B7D92">
            <w:pPr>
              <w:contextualSpacing/>
              <w:jc w:val="center"/>
              <w:rPr>
                <w:rFonts w:asciiTheme="majorHAnsi" w:eastAsia="Calibri" w:hAnsiTheme="majorHAnsi" w:cs="Calibri"/>
                <w:kern w:val="2"/>
                <w:sz w:val="22"/>
                <w:szCs w:val="22"/>
              </w:rPr>
            </w:pPr>
          </w:p>
        </w:tc>
        <w:tc>
          <w:tcPr>
            <w:tcW w:w="1275" w:type="dxa"/>
            <w:vAlign w:val="center"/>
          </w:tcPr>
          <w:p w14:paraId="4E894DF4" w14:textId="77777777" w:rsidR="005B7D92" w:rsidRPr="005B7D92" w:rsidRDefault="005B7D92" w:rsidP="005B7D92">
            <w:pPr>
              <w:contextualSpacing/>
              <w:jc w:val="center"/>
              <w:rPr>
                <w:rFonts w:asciiTheme="majorHAnsi" w:eastAsia="Calibri" w:hAnsiTheme="majorHAnsi" w:cs="Calibri"/>
                <w:kern w:val="2"/>
                <w:sz w:val="22"/>
                <w:szCs w:val="22"/>
              </w:rPr>
            </w:pPr>
            <w:r w:rsidRPr="005B7D92">
              <w:rPr>
                <w:rFonts w:asciiTheme="majorHAnsi" w:eastAsia="Calibri" w:hAnsiTheme="majorHAnsi" w:cs="Calibri"/>
                <w:kern w:val="2"/>
                <w:sz w:val="22"/>
                <w:szCs w:val="22"/>
              </w:rPr>
              <w:t>&lt;=60%</w:t>
            </w:r>
          </w:p>
        </w:tc>
        <w:tc>
          <w:tcPr>
            <w:tcW w:w="1134" w:type="dxa"/>
            <w:vAlign w:val="center"/>
          </w:tcPr>
          <w:p w14:paraId="04805625" w14:textId="77777777" w:rsidR="005B7D92" w:rsidRPr="005B7D92" w:rsidRDefault="005B7D92" w:rsidP="005B7D92">
            <w:pPr>
              <w:contextualSpacing/>
              <w:jc w:val="center"/>
              <w:rPr>
                <w:rFonts w:asciiTheme="majorHAnsi" w:eastAsia="Calibri" w:hAnsiTheme="majorHAnsi" w:cs="Calibri"/>
                <w:kern w:val="2"/>
                <w:sz w:val="22"/>
                <w:szCs w:val="22"/>
              </w:rPr>
            </w:pPr>
            <w:r w:rsidRPr="005B7D92">
              <w:rPr>
                <w:rFonts w:asciiTheme="majorHAnsi" w:eastAsia="Calibri" w:hAnsiTheme="majorHAnsi" w:cs="Calibri"/>
                <w:kern w:val="2"/>
                <w:sz w:val="22"/>
                <w:szCs w:val="22"/>
              </w:rPr>
              <w:t>&gt;60%</w:t>
            </w:r>
          </w:p>
        </w:tc>
        <w:tc>
          <w:tcPr>
            <w:tcW w:w="1588" w:type="dxa"/>
            <w:vAlign w:val="center"/>
          </w:tcPr>
          <w:p w14:paraId="4A758E60" w14:textId="77777777" w:rsidR="005B7D92" w:rsidRPr="005B7D92" w:rsidRDefault="005B7D92" w:rsidP="005B7D92">
            <w:pPr>
              <w:contextualSpacing/>
              <w:jc w:val="center"/>
              <w:rPr>
                <w:rFonts w:asciiTheme="majorHAnsi" w:eastAsia="Calibri" w:hAnsiTheme="majorHAnsi" w:cs="Calibri"/>
                <w:kern w:val="2"/>
                <w:sz w:val="22"/>
                <w:szCs w:val="22"/>
              </w:rPr>
            </w:pPr>
            <w:r w:rsidRPr="005B7D92">
              <w:rPr>
                <w:rFonts w:asciiTheme="majorHAnsi" w:eastAsia="Calibri" w:hAnsiTheme="majorHAnsi" w:cs="Calibri"/>
                <w:kern w:val="2"/>
                <w:sz w:val="22"/>
                <w:szCs w:val="22"/>
              </w:rPr>
              <w:t>Solar Hours</w:t>
            </w:r>
          </w:p>
        </w:tc>
        <w:tc>
          <w:tcPr>
            <w:tcW w:w="1701" w:type="dxa"/>
            <w:vAlign w:val="center"/>
          </w:tcPr>
          <w:p w14:paraId="1AE3D6EA" w14:textId="77777777" w:rsidR="005B7D92" w:rsidRPr="005B7D92" w:rsidRDefault="005B7D92" w:rsidP="005B7D92">
            <w:pPr>
              <w:contextualSpacing/>
              <w:jc w:val="center"/>
              <w:rPr>
                <w:rFonts w:asciiTheme="majorHAnsi" w:eastAsia="Calibri" w:hAnsiTheme="majorHAnsi" w:cs="Calibri"/>
                <w:kern w:val="2"/>
                <w:sz w:val="22"/>
                <w:szCs w:val="22"/>
              </w:rPr>
            </w:pPr>
            <w:r w:rsidRPr="005B7D92">
              <w:rPr>
                <w:rFonts w:asciiTheme="majorHAnsi" w:eastAsia="Calibri" w:hAnsiTheme="majorHAnsi" w:cs="Calibri"/>
                <w:kern w:val="2"/>
                <w:sz w:val="22"/>
                <w:szCs w:val="22"/>
              </w:rPr>
              <w:t>Normal Hours</w:t>
            </w:r>
          </w:p>
        </w:tc>
        <w:tc>
          <w:tcPr>
            <w:tcW w:w="1418" w:type="dxa"/>
            <w:vAlign w:val="center"/>
          </w:tcPr>
          <w:p w14:paraId="31B880E9" w14:textId="77777777" w:rsidR="005B7D92" w:rsidRPr="005B7D92" w:rsidRDefault="005B7D92" w:rsidP="005B7D92">
            <w:pPr>
              <w:contextualSpacing/>
              <w:jc w:val="center"/>
              <w:rPr>
                <w:rFonts w:asciiTheme="majorHAnsi" w:eastAsia="Calibri" w:hAnsiTheme="majorHAnsi" w:cs="Calibri"/>
                <w:kern w:val="2"/>
                <w:sz w:val="22"/>
                <w:szCs w:val="22"/>
              </w:rPr>
            </w:pPr>
            <w:r w:rsidRPr="005B7D92">
              <w:rPr>
                <w:rFonts w:asciiTheme="majorHAnsi" w:eastAsia="Calibri" w:hAnsiTheme="majorHAnsi" w:cs="Calibri"/>
                <w:kern w:val="2"/>
                <w:sz w:val="22"/>
                <w:szCs w:val="22"/>
              </w:rPr>
              <w:t>Peak Hours</w:t>
            </w:r>
          </w:p>
        </w:tc>
      </w:tr>
      <w:tr w:rsidR="005B7D92" w:rsidRPr="005B7D92" w14:paraId="42AA9ABB" w14:textId="77777777" w:rsidTr="005B7D92">
        <w:tc>
          <w:tcPr>
            <w:tcW w:w="1208" w:type="dxa"/>
            <w:vAlign w:val="center"/>
          </w:tcPr>
          <w:p w14:paraId="52C5DC87" w14:textId="77777777" w:rsidR="005B7D92" w:rsidRPr="005B7D92" w:rsidRDefault="005B7D92" w:rsidP="005B7D92">
            <w:pPr>
              <w:contextualSpacing/>
              <w:jc w:val="center"/>
              <w:rPr>
                <w:rFonts w:asciiTheme="majorHAnsi" w:eastAsia="Calibri" w:hAnsiTheme="majorHAnsi" w:cs="Calibri"/>
                <w:kern w:val="2"/>
                <w:sz w:val="22"/>
                <w:szCs w:val="22"/>
              </w:rPr>
            </w:pPr>
            <w:r w:rsidRPr="005B7D92">
              <w:rPr>
                <w:rFonts w:asciiTheme="majorHAnsi" w:eastAsia="Calibri" w:hAnsiTheme="majorHAnsi" w:cs="Calibri"/>
                <w:kern w:val="2"/>
                <w:sz w:val="22"/>
                <w:szCs w:val="22"/>
              </w:rPr>
              <w:t>HT</w:t>
            </w:r>
          </w:p>
        </w:tc>
        <w:tc>
          <w:tcPr>
            <w:tcW w:w="1275" w:type="dxa"/>
            <w:vAlign w:val="center"/>
          </w:tcPr>
          <w:p w14:paraId="0BAA13C4" w14:textId="77777777" w:rsidR="005B7D92" w:rsidRPr="005B7D92" w:rsidRDefault="005B7D92" w:rsidP="005B7D92">
            <w:pPr>
              <w:contextualSpacing/>
              <w:jc w:val="center"/>
              <w:rPr>
                <w:rFonts w:asciiTheme="majorHAnsi" w:eastAsia="Calibri" w:hAnsiTheme="majorHAnsi" w:cs="Calibri"/>
                <w:kern w:val="2"/>
                <w:sz w:val="22"/>
                <w:szCs w:val="22"/>
              </w:rPr>
            </w:pPr>
            <w:r w:rsidRPr="005B7D92">
              <w:rPr>
                <w:rFonts w:asciiTheme="majorHAnsi" w:eastAsia="Calibri" w:hAnsiTheme="majorHAnsi" w:cs="Calibri"/>
                <w:kern w:val="2"/>
                <w:sz w:val="22"/>
                <w:szCs w:val="22"/>
              </w:rPr>
              <w:t>5.85</w:t>
            </w:r>
          </w:p>
        </w:tc>
        <w:tc>
          <w:tcPr>
            <w:tcW w:w="1134" w:type="dxa"/>
            <w:vAlign w:val="center"/>
          </w:tcPr>
          <w:p w14:paraId="16C50F30" w14:textId="77777777" w:rsidR="005B7D92" w:rsidRPr="005B7D92" w:rsidRDefault="005B7D92" w:rsidP="005B7D92">
            <w:pPr>
              <w:contextualSpacing/>
              <w:jc w:val="center"/>
              <w:rPr>
                <w:rFonts w:asciiTheme="majorHAnsi" w:eastAsia="Calibri" w:hAnsiTheme="majorHAnsi" w:cs="Calibri"/>
                <w:kern w:val="2"/>
                <w:sz w:val="22"/>
                <w:szCs w:val="22"/>
              </w:rPr>
            </w:pPr>
            <w:r w:rsidRPr="005B7D92">
              <w:rPr>
                <w:rFonts w:asciiTheme="majorHAnsi" w:eastAsia="Calibri" w:hAnsiTheme="majorHAnsi" w:cs="Calibri"/>
                <w:kern w:val="2"/>
                <w:sz w:val="22"/>
                <w:szCs w:val="22"/>
              </w:rPr>
              <w:t>4.75</w:t>
            </w:r>
          </w:p>
        </w:tc>
        <w:tc>
          <w:tcPr>
            <w:tcW w:w="1588" w:type="dxa"/>
            <w:vAlign w:val="center"/>
          </w:tcPr>
          <w:p w14:paraId="20E454C5" w14:textId="77777777" w:rsidR="005B7D92" w:rsidRPr="005B7D92" w:rsidRDefault="005B7D92" w:rsidP="005B7D92">
            <w:pPr>
              <w:contextualSpacing/>
              <w:jc w:val="center"/>
              <w:rPr>
                <w:rFonts w:asciiTheme="majorHAnsi" w:eastAsia="Calibri" w:hAnsiTheme="majorHAnsi" w:cs="Calibri"/>
                <w:kern w:val="2"/>
                <w:sz w:val="22"/>
                <w:szCs w:val="22"/>
              </w:rPr>
            </w:pPr>
            <w:r w:rsidRPr="005B7D92">
              <w:rPr>
                <w:rFonts w:asciiTheme="majorHAnsi" w:eastAsia="Calibri" w:hAnsiTheme="majorHAnsi" w:cs="Calibri"/>
                <w:kern w:val="2"/>
                <w:sz w:val="22"/>
                <w:szCs w:val="22"/>
              </w:rPr>
              <w:t>3.95</w:t>
            </w:r>
          </w:p>
        </w:tc>
        <w:tc>
          <w:tcPr>
            <w:tcW w:w="1701" w:type="dxa"/>
            <w:vAlign w:val="center"/>
          </w:tcPr>
          <w:p w14:paraId="7294C31C" w14:textId="77777777" w:rsidR="005B7D92" w:rsidRPr="005B7D92" w:rsidRDefault="005B7D92" w:rsidP="005B7D92">
            <w:pPr>
              <w:contextualSpacing/>
              <w:jc w:val="center"/>
              <w:rPr>
                <w:rFonts w:asciiTheme="majorHAnsi" w:eastAsia="Calibri" w:hAnsiTheme="majorHAnsi" w:cs="Calibri"/>
                <w:kern w:val="2"/>
                <w:sz w:val="22"/>
                <w:szCs w:val="22"/>
              </w:rPr>
            </w:pPr>
            <w:r w:rsidRPr="005B7D92">
              <w:rPr>
                <w:rFonts w:asciiTheme="majorHAnsi" w:eastAsia="Calibri" w:hAnsiTheme="majorHAnsi" w:cs="Calibri"/>
                <w:kern w:val="2"/>
                <w:sz w:val="22"/>
                <w:szCs w:val="22"/>
              </w:rPr>
              <w:t>5.85</w:t>
            </w:r>
          </w:p>
        </w:tc>
        <w:tc>
          <w:tcPr>
            <w:tcW w:w="1418" w:type="dxa"/>
            <w:vAlign w:val="center"/>
          </w:tcPr>
          <w:p w14:paraId="500DF631" w14:textId="77777777" w:rsidR="005B7D92" w:rsidRPr="005B7D92" w:rsidRDefault="005B7D92" w:rsidP="005B7D92">
            <w:pPr>
              <w:contextualSpacing/>
              <w:jc w:val="center"/>
              <w:rPr>
                <w:rFonts w:asciiTheme="majorHAnsi" w:eastAsia="Calibri" w:hAnsiTheme="majorHAnsi" w:cs="Calibri"/>
                <w:kern w:val="2"/>
                <w:sz w:val="22"/>
                <w:szCs w:val="22"/>
              </w:rPr>
            </w:pPr>
            <w:r w:rsidRPr="005B7D92">
              <w:rPr>
                <w:rFonts w:asciiTheme="majorHAnsi" w:eastAsia="Calibri" w:hAnsiTheme="majorHAnsi" w:cs="Calibri"/>
                <w:kern w:val="2"/>
                <w:sz w:val="22"/>
                <w:szCs w:val="22"/>
              </w:rPr>
              <w:t>7.45</w:t>
            </w:r>
          </w:p>
        </w:tc>
      </w:tr>
      <w:tr w:rsidR="005B7D92" w:rsidRPr="005B7D92" w14:paraId="6F518A8D" w14:textId="77777777" w:rsidTr="005B7D92">
        <w:trPr>
          <w:trHeight w:val="257"/>
        </w:trPr>
        <w:tc>
          <w:tcPr>
            <w:tcW w:w="1208" w:type="dxa"/>
            <w:vAlign w:val="center"/>
          </w:tcPr>
          <w:p w14:paraId="25FEC51D" w14:textId="77777777" w:rsidR="005B7D92" w:rsidRPr="005B7D92" w:rsidRDefault="005B7D92" w:rsidP="005B7D92">
            <w:pPr>
              <w:contextualSpacing/>
              <w:jc w:val="center"/>
              <w:rPr>
                <w:rFonts w:asciiTheme="majorHAnsi" w:eastAsia="Calibri" w:hAnsiTheme="majorHAnsi" w:cs="Calibri"/>
                <w:kern w:val="2"/>
                <w:sz w:val="22"/>
                <w:szCs w:val="22"/>
              </w:rPr>
            </w:pPr>
            <w:r w:rsidRPr="005B7D92">
              <w:rPr>
                <w:rFonts w:asciiTheme="majorHAnsi" w:eastAsia="Calibri" w:hAnsiTheme="majorHAnsi" w:cs="Calibri"/>
                <w:kern w:val="2"/>
                <w:sz w:val="22"/>
                <w:szCs w:val="22"/>
              </w:rPr>
              <w:t>EHT</w:t>
            </w:r>
          </w:p>
        </w:tc>
        <w:tc>
          <w:tcPr>
            <w:tcW w:w="1275" w:type="dxa"/>
            <w:vAlign w:val="center"/>
          </w:tcPr>
          <w:p w14:paraId="39DCA075" w14:textId="77777777" w:rsidR="005B7D92" w:rsidRPr="005B7D92" w:rsidRDefault="005B7D92" w:rsidP="005B7D92">
            <w:pPr>
              <w:contextualSpacing/>
              <w:jc w:val="center"/>
              <w:rPr>
                <w:rFonts w:asciiTheme="majorHAnsi" w:eastAsia="Calibri" w:hAnsiTheme="majorHAnsi" w:cs="Calibri"/>
                <w:kern w:val="2"/>
                <w:sz w:val="22"/>
                <w:szCs w:val="22"/>
              </w:rPr>
            </w:pPr>
            <w:r w:rsidRPr="005B7D92">
              <w:rPr>
                <w:rFonts w:asciiTheme="majorHAnsi" w:eastAsia="Calibri" w:hAnsiTheme="majorHAnsi" w:cs="Calibri"/>
                <w:kern w:val="2"/>
                <w:sz w:val="22"/>
                <w:szCs w:val="22"/>
              </w:rPr>
              <w:t>5.80</w:t>
            </w:r>
          </w:p>
        </w:tc>
        <w:tc>
          <w:tcPr>
            <w:tcW w:w="1134" w:type="dxa"/>
            <w:vAlign w:val="center"/>
          </w:tcPr>
          <w:p w14:paraId="600487D0" w14:textId="77777777" w:rsidR="005B7D92" w:rsidRPr="005B7D92" w:rsidRDefault="005B7D92" w:rsidP="005B7D92">
            <w:pPr>
              <w:contextualSpacing/>
              <w:jc w:val="center"/>
              <w:rPr>
                <w:rFonts w:asciiTheme="majorHAnsi" w:eastAsia="Calibri" w:hAnsiTheme="majorHAnsi" w:cs="Calibri"/>
                <w:kern w:val="2"/>
                <w:sz w:val="22"/>
                <w:szCs w:val="22"/>
              </w:rPr>
            </w:pPr>
            <w:r w:rsidRPr="005B7D92">
              <w:rPr>
                <w:rFonts w:asciiTheme="majorHAnsi" w:eastAsia="Calibri" w:hAnsiTheme="majorHAnsi" w:cs="Calibri"/>
                <w:kern w:val="2"/>
                <w:sz w:val="22"/>
                <w:szCs w:val="22"/>
              </w:rPr>
              <w:t>4.70</w:t>
            </w:r>
          </w:p>
        </w:tc>
        <w:tc>
          <w:tcPr>
            <w:tcW w:w="1588" w:type="dxa"/>
            <w:vAlign w:val="center"/>
          </w:tcPr>
          <w:p w14:paraId="28DB1234" w14:textId="77777777" w:rsidR="005B7D92" w:rsidRPr="005B7D92" w:rsidRDefault="005B7D92" w:rsidP="005B7D92">
            <w:pPr>
              <w:contextualSpacing/>
              <w:jc w:val="center"/>
              <w:rPr>
                <w:rFonts w:asciiTheme="majorHAnsi" w:eastAsia="Calibri" w:hAnsiTheme="majorHAnsi" w:cs="Calibri"/>
                <w:kern w:val="2"/>
                <w:sz w:val="22"/>
                <w:szCs w:val="22"/>
              </w:rPr>
            </w:pPr>
            <w:r w:rsidRPr="005B7D92">
              <w:rPr>
                <w:rFonts w:asciiTheme="majorHAnsi" w:eastAsia="Calibri" w:hAnsiTheme="majorHAnsi" w:cs="Calibri"/>
                <w:kern w:val="2"/>
                <w:sz w:val="22"/>
                <w:szCs w:val="22"/>
              </w:rPr>
              <w:t>3.90</w:t>
            </w:r>
          </w:p>
        </w:tc>
        <w:tc>
          <w:tcPr>
            <w:tcW w:w="1701" w:type="dxa"/>
            <w:vAlign w:val="center"/>
          </w:tcPr>
          <w:p w14:paraId="77560DFC" w14:textId="77777777" w:rsidR="005B7D92" w:rsidRPr="005B7D92" w:rsidRDefault="005B7D92" w:rsidP="005B7D92">
            <w:pPr>
              <w:contextualSpacing/>
              <w:jc w:val="center"/>
              <w:rPr>
                <w:rFonts w:asciiTheme="majorHAnsi" w:eastAsia="Calibri" w:hAnsiTheme="majorHAnsi" w:cs="Calibri"/>
                <w:kern w:val="2"/>
                <w:sz w:val="22"/>
                <w:szCs w:val="22"/>
              </w:rPr>
            </w:pPr>
            <w:r w:rsidRPr="005B7D92">
              <w:rPr>
                <w:rFonts w:asciiTheme="majorHAnsi" w:eastAsia="Calibri" w:hAnsiTheme="majorHAnsi" w:cs="Calibri"/>
                <w:kern w:val="2"/>
                <w:sz w:val="22"/>
                <w:szCs w:val="22"/>
              </w:rPr>
              <w:t>5.80</w:t>
            </w:r>
          </w:p>
        </w:tc>
        <w:tc>
          <w:tcPr>
            <w:tcW w:w="1418" w:type="dxa"/>
            <w:vAlign w:val="center"/>
          </w:tcPr>
          <w:p w14:paraId="3B63661F" w14:textId="77777777" w:rsidR="005B7D92" w:rsidRPr="005B7D92" w:rsidRDefault="005B7D92" w:rsidP="005B7D92">
            <w:pPr>
              <w:contextualSpacing/>
              <w:jc w:val="center"/>
              <w:rPr>
                <w:rFonts w:asciiTheme="majorHAnsi" w:eastAsia="Calibri" w:hAnsiTheme="majorHAnsi" w:cs="Calibri"/>
                <w:kern w:val="2"/>
                <w:sz w:val="22"/>
                <w:szCs w:val="22"/>
              </w:rPr>
            </w:pPr>
            <w:r w:rsidRPr="005B7D92">
              <w:rPr>
                <w:rFonts w:asciiTheme="majorHAnsi" w:eastAsia="Calibri" w:hAnsiTheme="majorHAnsi" w:cs="Calibri"/>
                <w:kern w:val="2"/>
                <w:sz w:val="22"/>
                <w:szCs w:val="22"/>
              </w:rPr>
              <w:t>7.40</w:t>
            </w:r>
          </w:p>
        </w:tc>
      </w:tr>
    </w:tbl>
    <w:p w14:paraId="15147802" w14:textId="730E9263" w:rsidR="005B7D92" w:rsidRPr="007C7C0F" w:rsidRDefault="005B7D92" w:rsidP="005B7D92">
      <w:pPr>
        <w:spacing w:before="240" w:line="360" w:lineRule="auto"/>
        <w:ind w:left="460"/>
        <w:jc w:val="both"/>
        <w:rPr>
          <w:rFonts w:asciiTheme="majorHAnsi" w:eastAsia="Calibri" w:hAnsiTheme="majorHAnsi" w:cs="Calibri"/>
          <w:kern w:val="2"/>
        </w:rPr>
      </w:pPr>
      <w:r w:rsidRPr="007C7C0F">
        <w:rPr>
          <w:rFonts w:asciiTheme="majorHAnsi" w:hAnsiTheme="majorHAnsi" w:cs="Calibri"/>
        </w:rPr>
        <w:t>With the existing RST most of the HT &amp; EHT Industries are hardly achieving LF of more than 60% barring few of the steel/ mini-steel industries. Therefore, these consumers are being forced to pay higher RST charges an</w:t>
      </w:r>
      <w:r w:rsidR="00475628">
        <w:rPr>
          <w:rFonts w:asciiTheme="majorHAnsi" w:hAnsiTheme="majorHAnsi" w:cs="Calibri"/>
        </w:rPr>
        <w:t>d are</w:t>
      </w:r>
      <w:r w:rsidRPr="007C7C0F">
        <w:rPr>
          <w:rFonts w:asciiTheme="majorHAnsi" w:hAnsiTheme="majorHAnsi" w:cs="Calibri"/>
        </w:rPr>
        <w:t xml:space="preserve"> also deprived of solar hour benefits. </w:t>
      </w:r>
    </w:p>
    <w:p w14:paraId="1A45F95B" w14:textId="7ECC9FD5" w:rsidR="00475628" w:rsidRDefault="005B7D92" w:rsidP="005B7D92">
      <w:pPr>
        <w:spacing w:before="240" w:line="360" w:lineRule="auto"/>
        <w:ind w:left="460"/>
        <w:jc w:val="both"/>
        <w:rPr>
          <w:rFonts w:asciiTheme="majorHAnsi" w:hAnsiTheme="majorHAnsi" w:cs="Calibri"/>
        </w:rPr>
      </w:pPr>
      <w:r w:rsidRPr="007C7C0F">
        <w:rPr>
          <w:rFonts w:asciiTheme="majorHAnsi" w:hAnsiTheme="majorHAnsi" w:cs="Calibri"/>
        </w:rPr>
        <w:t xml:space="preserve">Hon’ble Commission vide its Order dated 22.07.2025 in case no. 53/2025 has allowed all the consumers having CD more than 1 MW to draw power @ Rs. 4.30/ unit with minimum guarantee of </w:t>
      </w:r>
      <w:r w:rsidR="00093E6F">
        <w:rPr>
          <w:rFonts w:asciiTheme="majorHAnsi" w:hAnsiTheme="majorHAnsi" w:cs="Calibri"/>
        </w:rPr>
        <w:t>8</w:t>
      </w:r>
      <w:r w:rsidRPr="007C7C0F">
        <w:rPr>
          <w:rFonts w:asciiTheme="majorHAnsi" w:hAnsiTheme="majorHAnsi" w:cs="Calibri"/>
        </w:rPr>
        <w:t>0% CD during solar hours. Even though some migration has already started, but its true benefit needs tariff sustainability.</w:t>
      </w:r>
      <w:r>
        <w:rPr>
          <w:rFonts w:asciiTheme="majorHAnsi" w:hAnsiTheme="majorHAnsi" w:cs="Calibri"/>
        </w:rPr>
        <w:t xml:space="preserve"> </w:t>
      </w:r>
    </w:p>
    <w:p w14:paraId="3391CB42" w14:textId="3987AE9C" w:rsidR="005B7D92" w:rsidRPr="007C7C0F" w:rsidRDefault="005B7D92" w:rsidP="00475628">
      <w:pPr>
        <w:spacing w:before="240" w:line="360" w:lineRule="auto"/>
        <w:ind w:left="460"/>
        <w:jc w:val="both"/>
        <w:rPr>
          <w:rFonts w:asciiTheme="majorHAnsi" w:hAnsiTheme="majorHAnsi" w:cs="Calibri"/>
        </w:rPr>
      </w:pPr>
      <w:r w:rsidRPr="007C7C0F">
        <w:rPr>
          <w:rFonts w:asciiTheme="majorHAnsi" w:hAnsiTheme="majorHAnsi" w:cs="Calibri"/>
        </w:rPr>
        <w:t>Therefore, a robust mechanism requires to be brought in</w:t>
      </w:r>
      <w:r w:rsidR="00475628">
        <w:rPr>
          <w:rFonts w:asciiTheme="majorHAnsi" w:hAnsiTheme="majorHAnsi" w:cs="Calibri"/>
        </w:rPr>
        <w:t xml:space="preserve">to </w:t>
      </w:r>
      <w:r w:rsidRPr="007C7C0F">
        <w:rPr>
          <w:rFonts w:asciiTheme="majorHAnsi" w:hAnsiTheme="majorHAnsi" w:cs="Calibri"/>
        </w:rPr>
        <w:t>place to instill trust within the consumers for their operational planning to avail the solar hour benefit.</w:t>
      </w:r>
      <w:r w:rsidR="00475628">
        <w:rPr>
          <w:rFonts w:asciiTheme="majorHAnsi" w:hAnsiTheme="majorHAnsi" w:cs="Calibri"/>
        </w:rPr>
        <w:t xml:space="preserve"> </w:t>
      </w:r>
      <w:r w:rsidRPr="007C7C0F">
        <w:rPr>
          <w:rFonts w:asciiTheme="majorHAnsi" w:hAnsiTheme="majorHAnsi" w:cs="Calibri"/>
        </w:rPr>
        <w:t>Accordingly, the proposed TOD based RST may be adopted on a revenue-neutral basis, where rebates (with lower RST) during solar hours are offset by surcharges (with higher RST) during other hours, ensuring no revenue shortfall to the DISCOM while improving load management.</w:t>
      </w:r>
    </w:p>
    <w:p w14:paraId="7B2F6A88" w14:textId="77777777" w:rsidR="005B7D92" w:rsidRPr="007C7C0F" w:rsidRDefault="005B7D92" w:rsidP="005B7D92">
      <w:pPr>
        <w:spacing w:line="360" w:lineRule="auto"/>
        <w:ind w:left="426"/>
        <w:rPr>
          <w:rFonts w:asciiTheme="majorHAnsi" w:hAnsiTheme="majorHAnsi" w:cs="Calibri"/>
        </w:rPr>
      </w:pPr>
    </w:p>
    <w:p w14:paraId="6516CF27" w14:textId="77777777" w:rsidR="005B7D92" w:rsidRPr="007C7C0F" w:rsidRDefault="005B7D92" w:rsidP="005B7D92">
      <w:pPr>
        <w:pStyle w:val="ListParagraph"/>
        <w:numPr>
          <w:ilvl w:val="1"/>
          <w:numId w:val="1"/>
        </w:numPr>
        <w:rPr>
          <w:rFonts w:asciiTheme="majorHAnsi" w:hAnsiTheme="majorHAnsi" w:cs="Calibri"/>
          <w:b/>
          <w:bCs/>
          <w:sz w:val="24"/>
          <w:szCs w:val="24"/>
        </w:rPr>
      </w:pPr>
      <w:r w:rsidRPr="007C7C0F">
        <w:rPr>
          <w:rFonts w:asciiTheme="majorHAnsi" w:hAnsiTheme="majorHAnsi" w:cs="Calibri"/>
          <w:b/>
          <w:bCs/>
          <w:sz w:val="24"/>
          <w:szCs w:val="24"/>
        </w:rPr>
        <w:t xml:space="preserve"> Minimum Contract Demand Drawl @ 25 % for Industries with CGP having CD &gt; 1 MW During Solar Hours (08:00 </w:t>
      </w:r>
      <w:proofErr w:type="spellStart"/>
      <w:r w:rsidRPr="007C7C0F">
        <w:rPr>
          <w:rFonts w:asciiTheme="majorHAnsi" w:hAnsiTheme="majorHAnsi" w:cs="Calibri"/>
          <w:b/>
          <w:bCs/>
          <w:sz w:val="24"/>
          <w:szCs w:val="24"/>
        </w:rPr>
        <w:t>hrs</w:t>
      </w:r>
      <w:proofErr w:type="spellEnd"/>
      <w:r w:rsidRPr="007C7C0F">
        <w:rPr>
          <w:rFonts w:asciiTheme="majorHAnsi" w:hAnsiTheme="majorHAnsi" w:cs="Calibri"/>
          <w:b/>
          <w:bCs/>
          <w:sz w:val="24"/>
          <w:szCs w:val="24"/>
        </w:rPr>
        <w:t xml:space="preserve"> – 16:00 </w:t>
      </w:r>
      <w:proofErr w:type="spellStart"/>
      <w:r w:rsidRPr="007C7C0F">
        <w:rPr>
          <w:rFonts w:asciiTheme="majorHAnsi" w:hAnsiTheme="majorHAnsi" w:cs="Calibri"/>
          <w:b/>
          <w:bCs/>
          <w:sz w:val="24"/>
          <w:szCs w:val="24"/>
        </w:rPr>
        <w:t>hrs</w:t>
      </w:r>
      <w:proofErr w:type="spellEnd"/>
      <w:r w:rsidRPr="007C7C0F">
        <w:rPr>
          <w:rFonts w:asciiTheme="majorHAnsi" w:hAnsiTheme="majorHAnsi" w:cs="Calibri"/>
          <w:b/>
          <w:bCs/>
          <w:sz w:val="24"/>
          <w:szCs w:val="24"/>
        </w:rPr>
        <w:t>)</w:t>
      </w:r>
    </w:p>
    <w:p w14:paraId="3715ECCD" w14:textId="69C7CBEA" w:rsidR="005B7D92" w:rsidRPr="007C7C0F" w:rsidRDefault="005B7D92" w:rsidP="005B7D92">
      <w:pPr>
        <w:spacing w:line="360" w:lineRule="auto"/>
        <w:ind w:left="460"/>
        <w:jc w:val="both"/>
        <w:rPr>
          <w:rFonts w:asciiTheme="majorHAnsi" w:hAnsiTheme="majorHAnsi" w:cs="Calibri"/>
        </w:rPr>
      </w:pPr>
      <w:r w:rsidRPr="007C7C0F">
        <w:rPr>
          <w:rFonts w:asciiTheme="majorHAnsi" w:hAnsiTheme="majorHAnsi" w:cs="Calibri"/>
        </w:rPr>
        <w:t xml:space="preserve">It is to submit that there are more than 80 CGPs across the State, having generation capacity of around 12,000 MW, </w:t>
      </w:r>
      <w:r w:rsidR="00475628">
        <w:rPr>
          <w:rFonts w:asciiTheme="majorHAnsi" w:hAnsiTheme="majorHAnsi" w:cs="Calibri"/>
        </w:rPr>
        <w:t xml:space="preserve">which </w:t>
      </w:r>
      <w:r w:rsidRPr="007C7C0F">
        <w:rPr>
          <w:rFonts w:asciiTheme="majorHAnsi" w:hAnsiTheme="majorHAnsi" w:cs="Calibri"/>
        </w:rPr>
        <w:t>are connected with the Transmission &amp; Distribution network</w:t>
      </w:r>
      <w:r w:rsidR="00475628">
        <w:rPr>
          <w:rFonts w:asciiTheme="majorHAnsi" w:hAnsiTheme="majorHAnsi" w:cs="Calibri"/>
        </w:rPr>
        <w:t xml:space="preserve">. These industries </w:t>
      </w:r>
      <w:r w:rsidRPr="007C7C0F">
        <w:rPr>
          <w:rFonts w:asciiTheme="majorHAnsi" w:hAnsiTheme="majorHAnsi" w:cs="Calibri"/>
        </w:rPr>
        <w:t>are primarily dependent on their own generation for their captive</w:t>
      </w:r>
      <w:r w:rsidR="00475628">
        <w:rPr>
          <w:rFonts w:asciiTheme="majorHAnsi" w:hAnsiTheme="majorHAnsi" w:cs="Calibri"/>
        </w:rPr>
        <w:t xml:space="preserve"> requirements.</w:t>
      </w:r>
      <w:r w:rsidRPr="007C7C0F">
        <w:rPr>
          <w:rFonts w:asciiTheme="majorHAnsi" w:hAnsiTheme="majorHAnsi" w:cs="Calibri"/>
        </w:rPr>
        <w:t xml:space="preserve"> Most of the CGP based industries reserve the CD with DISCOMs only for occasional usage as per their requirement while </w:t>
      </w:r>
      <w:r w:rsidR="00475628">
        <w:rPr>
          <w:rFonts w:asciiTheme="majorHAnsi" w:hAnsiTheme="majorHAnsi" w:cs="Calibri"/>
        </w:rPr>
        <w:t>a few a</w:t>
      </w:r>
      <w:r w:rsidRPr="007C7C0F">
        <w:rPr>
          <w:rFonts w:asciiTheme="majorHAnsi" w:hAnsiTheme="majorHAnsi" w:cs="Calibri"/>
        </w:rPr>
        <w:t xml:space="preserve">re using certain percentage of their CD on a regular basis. As they are reserving a CD and hence exercising their option of CD </w:t>
      </w:r>
      <w:proofErr w:type="spellStart"/>
      <w:r w:rsidRPr="007C7C0F">
        <w:rPr>
          <w:rFonts w:asciiTheme="majorHAnsi" w:hAnsiTheme="majorHAnsi" w:cs="Calibri"/>
        </w:rPr>
        <w:t>drawal</w:t>
      </w:r>
      <w:proofErr w:type="spellEnd"/>
      <w:r w:rsidRPr="007C7C0F">
        <w:rPr>
          <w:rFonts w:asciiTheme="majorHAnsi" w:hAnsiTheme="majorHAnsi" w:cs="Calibri"/>
        </w:rPr>
        <w:t xml:space="preserve"> as a right without any prior intimation as well as without advance planning</w:t>
      </w:r>
      <w:r w:rsidR="00475628">
        <w:rPr>
          <w:rFonts w:asciiTheme="majorHAnsi" w:hAnsiTheme="majorHAnsi" w:cs="Calibri"/>
        </w:rPr>
        <w:t xml:space="preserve">. Due to this, </w:t>
      </w:r>
      <w:r w:rsidRPr="007C7C0F">
        <w:rPr>
          <w:rFonts w:asciiTheme="majorHAnsi" w:hAnsiTheme="majorHAnsi" w:cs="Calibri"/>
        </w:rPr>
        <w:t xml:space="preserve">DISCOMs are also facing difficulties in projecting their annual input requirement properly. Further, GRIDCO is also facing difficulties in managing the supply-demand of the State during the peak hours owing to the sudden drawl of power by these industries during these hours. It has been noticed that </w:t>
      </w:r>
      <w:r w:rsidR="00475628">
        <w:rPr>
          <w:rFonts w:asciiTheme="majorHAnsi" w:hAnsiTheme="majorHAnsi" w:cs="Calibri"/>
        </w:rPr>
        <w:t xml:space="preserve">these </w:t>
      </w:r>
      <w:r w:rsidRPr="007C7C0F">
        <w:rPr>
          <w:rFonts w:asciiTheme="majorHAnsi" w:hAnsiTheme="majorHAnsi" w:cs="Calibri"/>
        </w:rPr>
        <w:t xml:space="preserve">industries </w:t>
      </w:r>
      <w:r w:rsidR="00475628">
        <w:rPr>
          <w:rFonts w:asciiTheme="majorHAnsi" w:hAnsiTheme="majorHAnsi" w:cs="Calibri"/>
        </w:rPr>
        <w:t xml:space="preserve">are </w:t>
      </w:r>
      <w:r w:rsidRPr="007C7C0F">
        <w:rPr>
          <w:rFonts w:asciiTheme="majorHAnsi" w:hAnsiTheme="majorHAnsi" w:cs="Calibri"/>
        </w:rPr>
        <w:t xml:space="preserve">availing power in open access </w:t>
      </w:r>
      <w:r w:rsidR="00475628">
        <w:rPr>
          <w:rFonts w:asciiTheme="majorHAnsi" w:hAnsiTheme="majorHAnsi" w:cs="Calibri"/>
        </w:rPr>
        <w:t xml:space="preserve">and </w:t>
      </w:r>
      <w:r w:rsidRPr="007C7C0F">
        <w:rPr>
          <w:rFonts w:asciiTheme="majorHAnsi" w:hAnsiTheme="majorHAnsi" w:cs="Calibri"/>
        </w:rPr>
        <w:t>are fluctuating their drawl from DISCOMs on</w:t>
      </w:r>
      <w:r w:rsidR="00475628">
        <w:rPr>
          <w:rFonts w:asciiTheme="majorHAnsi" w:hAnsiTheme="majorHAnsi" w:cs="Calibri"/>
        </w:rPr>
        <w:t xml:space="preserve"> opportunistic manner on</w:t>
      </w:r>
      <w:r w:rsidRPr="007C7C0F">
        <w:rPr>
          <w:rFonts w:asciiTheme="majorHAnsi" w:hAnsiTheme="majorHAnsi" w:cs="Calibri"/>
        </w:rPr>
        <w:t xml:space="preserve"> time block wise basis depending upon the power market </w:t>
      </w:r>
      <w:r w:rsidR="00475628">
        <w:rPr>
          <w:rFonts w:asciiTheme="majorHAnsi" w:hAnsiTheme="majorHAnsi" w:cs="Calibri"/>
        </w:rPr>
        <w:t>dynamics,</w:t>
      </w:r>
      <w:r w:rsidRPr="007C7C0F">
        <w:rPr>
          <w:rFonts w:asciiTheme="majorHAnsi" w:hAnsiTheme="majorHAnsi" w:cs="Calibri"/>
        </w:rPr>
        <w:t xml:space="preserve"> thereby making it difficult for </w:t>
      </w:r>
      <w:r w:rsidR="00475628">
        <w:rPr>
          <w:rFonts w:asciiTheme="majorHAnsi" w:hAnsiTheme="majorHAnsi" w:cs="Calibri"/>
        </w:rPr>
        <w:t>stable</w:t>
      </w:r>
      <w:r w:rsidRPr="007C7C0F">
        <w:rPr>
          <w:rFonts w:asciiTheme="majorHAnsi" w:hAnsiTheme="majorHAnsi" w:cs="Calibri"/>
        </w:rPr>
        <w:t xml:space="preserve"> grid operation. Comprehensively, it is now therefore a great challenge to a</w:t>
      </w:r>
      <w:r w:rsidR="00475628">
        <w:rPr>
          <w:rFonts w:asciiTheme="majorHAnsi" w:hAnsiTheme="majorHAnsi" w:cs="Calibri"/>
        </w:rPr>
        <w:t xml:space="preserve">ddress/fulfil </w:t>
      </w:r>
      <w:r w:rsidRPr="007C7C0F">
        <w:rPr>
          <w:rFonts w:asciiTheme="majorHAnsi" w:hAnsiTheme="majorHAnsi" w:cs="Calibri"/>
        </w:rPr>
        <w:t xml:space="preserve">their intermittent </w:t>
      </w:r>
      <w:proofErr w:type="spellStart"/>
      <w:r w:rsidRPr="007C7C0F">
        <w:rPr>
          <w:rFonts w:asciiTheme="majorHAnsi" w:hAnsiTheme="majorHAnsi" w:cs="Calibri"/>
        </w:rPr>
        <w:t>drawal</w:t>
      </w:r>
      <w:proofErr w:type="spellEnd"/>
      <w:r w:rsidRPr="007C7C0F">
        <w:rPr>
          <w:rFonts w:asciiTheme="majorHAnsi" w:hAnsiTheme="majorHAnsi" w:cs="Calibri"/>
        </w:rPr>
        <w:t xml:space="preserve"> </w:t>
      </w:r>
      <w:proofErr w:type="spellStart"/>
      <w:r w:rsidRPr="007C7C0F">
        <w:rPr>
          <w:rFonts w:asciiTheme="majorHAnsi" w:hAnsiTheme="majorHAnsi" w:cs="Calibri"/>
        </w:rPr>
        <w:t>behaviour</w:t>
      </w:r>
      <w:proofErr w:type="spellEnd"/>
      <w:r w:rsidRPr="007C7C0F">
        <w:rPr>
          <w:rFonts w:asciiTheme="majorHAnsi" w:hAnsiTheme="majorHAnsi" w:cs="Calibri"/>
        </w:rPr>
        <w:t xml:space="preserve"> with present market scenario.</w:t>
      </w:r>
    </w:p>
    <w:p w14:paraId="5F2A41F2" w14:textId="48EB079B" w:rsidR="005B7D92" w:rsidRPr="007C7C0F" w:rsidRDefault="00475628" w:rsidP="005B7D92">
      <w:pPr>
        <w:spacing w:line="360" w:lineRule="auto"/>
        <w:ind w:left="460"/>
        <w:jc w:val="both"/>
        <w:rPr>
          <w:rFonts w:asciiTheme="majorHAnsi" w:hAnsiTheme="majorHAnsi" w:cs="Calibri"/>
        </w:rPr>
      </w:pPr>
      <w:r>
        <w:rPr>
          <w:rFonts w:asciiTheme="majorHAnsi" w:hAnsiTheme="majorHAnsi" w:cs="Calibri"/>
        </w:rPr>
        <w:t xml:space="preserve">It is also worth-mentioning that, </w:t>
      </w:r>
      <w:r w:rsidR="005B7D92" w:rsidRPr="007C7C0F">
        <w:rPr>
          <w:rFonts w:asciiTheme="majorHAnsi" w:hAnsiTheme="majorHAnsi" w:cs="Calibri"/>
        </w:rPr>
        <w:t xml:space="preserve">the existing demand charges in the State is very less i.e. Rs. 250 per kVA per month as compared to the </w:t>
      </w:r>
      <w:r w:rsidRPr="007C7C0F">
        <w:rPr>
          <w:rFonts w:asciiTheme="majorHAnsi" w:hAnsiTheme="majorHAnsi" w:cs="Calibri"/>
        </w:rPr>
        <w:t>neighboring</w:t>
      </w:r>
      <w:r w:rsidR="005B7D92" w:rsidRPr="007C7C0F">
        <w:rPr>
          <w:rFonts w:asciiTheme="majorHAnsi" w:hAnsiTheme="majorHAnsi" w:cs="Calibri"/>
        </w:rPr>
        <w:t xml:space="preserve"> states like Jharkhand, Chhattisgarh, Maharashtra, Andhra Pradesh, DVC, </w:t>
      </w:r>
      <w:proofErr w:type="spellStart"/>
      <w:r w:rsidR="005B7D92" w:rsidRPr="007C7C0F">
        <w:rPr>
          <w:rFonts w:asciiTheme="majorHAnsi" w:hAnsiTheme="majorHAnsi" w:cs="Calibri"/>
        </w:rPr>
        <w:t>etc</w:t>
      </w:r>
      <w:proofErr w:type="spellEnd"/>
      <w:r w:rsidR="005B7D92" w:rsidRPr="007C7C0F">
        <w:rPr>
          <w:rFonts w:asciiTheme="majorHAnsi" w:hAnsiTheme="majorHAnsi" w:cs="Calibri"/>
        </w:rPr>
        <w:t xml:space="preserve"> where the demand charge is more than Rs.350 per kVA per month on the installed capacity unlike Odisha where it is levied with respect to CD of the consumer. Moreover, the quantum CD is a choice of the consumer irrespective of its installed capacity. Thereby, these consumers are being insulated from paying appropriate demand charges under the current tariff regime.</w:t>
      </w:r>
    </w:p>
    <w:p w14:paraId="342AD9BA" w14:textId="0A67D086" w:rsidR="005B7D92" w:rsidRDefault="005B7D92" w:rsidP="005B7D92">
      <w:pPr>
        <w:spacing w:line="360" w:lineRule="auto"/>
        <w:ind w:left="460"/>
        <w:jc w:val="both"/>
        <w:rPr>
          <w:rFonts w:asciiTheme="majorHAnsi" w:hAnsiTheme="majorHAnsi" w:cs="Calibri"/>
        </w:rPr>
      </w:pPr>
      <w:r w:rsidRPr="007C7C0F">
        <w:rPr>
          <w:rFonts w:asciiTheme="majorHAnsi" w:hAnsiTheme="majorHAnsi" w:cs="Calibri"/>
        </w:rPr>
        <w:t xml:space="preserve">In view of the above, Licensee proposes to introduce a minimum contract demand drawl of 25 % for Industries with CGP having CD 1 MW and above during Solar Hours (08:00 </w:t>
      </w:r>
      <w:proofErr w:type="spellStart"/>
      <w:r w:rsidRPr="007C7C0F">
        <w:rPr>
          <w:rFonts w:asciiTheme="majorHAnsi" w:hAnsiTheme="majorHAnsi" w:cs="Calibri"/>
        </w:rPr>
        <w:t>hrs</w:t>
      </w:r>
      <w:proofErr w:type="spellEnd"/>
      <w:r w:rsidRPr="007C7C0F">
        <w:rPr>
          <w:rFonts w:asciiTheme="majorHAnsi" w:hAnsiTheme="majorHAnsi" w:cs="Calibri"/>
        </w:rPr>
        <w:t xml:space="preserve"> – 16:00 </w:t>
      </w:r>
      <w:proofErr w:type="spellStart"/>
      <w:r w:rsidRPr="007C7C0F">
        <w:rPr>
          <w:rFonts w:asciiTheme="majorHAnsi" w:hAnsiTheme="majorHAnsi" w:cs="Calibri"/>
        </w:rPr>
        <w:t>hrs</w:t>
      </w:r>
      <w:proofErr w:type="spellEnd"/>
      <w:r w:rsidRPr="007C7C0F">
        <w:rPr>
          <w:rFonts w:asciiTheme="majorHAnsi" w:hAnsiTheme="majorHAnsi" w:cs="Calibri"/>
        </w:rPr>
        <w:t xml:space="preserve">) on a monthly basis. </w:t>
      </w:r>
    </w:p>
    <w:p w14:paraId="38F96369" w14:textId="77777777" w:rsidR="005B7D92" w:rsidRPr="005B7D92" w:rsidRDefault="005B7D92" w:rsidP="005B7D92">
      <w:pPr>
        <w:rPr>
          <w:rFonts w:asciiTheme="majorHAnsi" w:hAnsiTheme="majorHAnsi"/>
          <w:b/>
        </w:rPr>
      </w:pPr>
    </w:p>
    <w:p w14:paraId="15E283B0" w14:textId="60239486" w:rsidR="007C7C0F" w:rsidRPr="005B7D92" w:rsidRDefault="007C7C0F" w:rsidP="00E319BE">
      <w:pPr>
        <w:pStyle w:val="ListParagraph"/>
        <w:numPr>
          <w:ilvl w:val="1"/>
          <w:numId w:val="1"/>
        </w:numPr>
        <w:rPr>
          <w:rFonts w:asciiTheme="majorHAnsi" w:hAnsiTheme="majorHAnsi"/>
          <w:b/>
          <w:sz w:val="24"/>
          <w:szCs w:val="24"/>
        </w:rPr>
      </w:pPr>
      <w:r w:rsidRPr="005B7D92">
        <w:rPr>
          <w:rFonts w:asciiTheme="majorHAnsi" w:hAnsiTheme="majorHAnsi"/>
          <w:b/>
          <w:sz w:val="24"/>
          <w:szCs w:val="24"/>
        </w:rPr>
        <w:t>Load factor rebate to HT &amp; EHT industries</w:t>
      </w:r>
      <w:bookmarkEnd w:id="307"/>
      <w:r w:rsidR="003511CB">
        <w:rPr>
          <w:rFonts w:asciiTheme="majorHAnsi" w:hAnsiTheme="majorHAnsi"/>
          <w:b/>
          <w:sz w:val="24"/>
          <w:szCs w:val="24"/>
        </w:rPr>
        <w:t xml:space="preserve"> without CGP</w:t>
      </w:r>
    </w:p>
    <w:p w14:paraId="2DE2B880" w14:textId="3A2D7461" w:rsidR="007C7C0F" w:rsidRDefault="007C7C0F" w:rsidP="00773505">
      <w:pPr>
        <w:spacing w:before="240" w:line="360" w:lineRule="auto"/>
        <w:ind w:left="432"/>
        <w:jc w:val="both"/>
        <w:rPr>
          <w:rFonts w:asciiTheme="majorHAnsi" w:hAnsiTheme="majorHAnsi" w:cs="Calibri"/>
          <w:color w:val="000000"/>
        </w:rPr>
      </w:pPr>
      <w:r w:rsidRPr="007C7C0F">
        <w:rPr>
          <w:rFonts w:asciiTheme="majorHAnsi" w:hAnsiTheme="majorHAnsi" w:cs="Calibri"/>
          <w:color w:val="000000"/>
        </w:rPr>
        <w:t>Load factor rebate to HT &amp; EHT industries are continuing since long time. As per the present mechanism the following benefit is being extended.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004"/>
        <w:gridCol w:w="993"/>
      </w:tblGrid>
      <w:tr w:rsidR="007C7C0F" w:rsidRPr="00CF6A62" w14:paraId="24C51D71" w14:textId="77777777" w:rsidTr="00CF6A62">
        <w:trPr>
          <w:trHeight w:val="275"/>
          <w:jc w:val="center"/>
        </w:trPr>
        <w:tc>
          <w:tcPr>
            <w:tcW w:w="1826" w:type="dxa"/>
            <w:vAlign w:val="center"/>
          </w:tcPr>
          <w:p w14:paraId="67685F8B" w14:textId="77777777" w:rsidR="007C7C0F" w:rsidRPr="00CF6A62" w:rsidRDefault="007C7C0F" w:rsidP="00CF6A62">
            <w:pPr>
              <w:contextualSpacing/>
              <w:jc w:val="center"/>
              <w:rPr>
                <w:rFonts w:asciiTheme="majorHAnsi" w:hAnsiTheme="majorHAnsi" w:cs="Calibri"/>
                <w:b/>
                <w:sz w:val="22"/>
              </w:rPr>
            </w:pPr>
            <w:r w:rsidRPr="00CF6A62">
              <w:rPr>
                <w:rFonts w:asciiTheme="majorHAnsi" w:hAnsiTheme="majorHAnsi" w:cs="Calibri"/>
                <w:b/>
                <w:sz w:val="22"/>
              </w:rPr>
              <w:t>Load Factor %</w:t>
            </w:r>
          </w:p>
        </w:tc>
        <w:tc>
          <w:tcPr>
            <w:tcW w:w="1004" w:type="dxa"/>
            <w:vAlign w:val="center"/>
          </w:tcPr>
          <w:p w14:paraId="2A2645DE" w14:textId="77777777" w:rsidR="007C7C0F" w:rsidRPr="00CF6A62" w:rsidRDefault="007C7C0F" w:rsidP="00CF6A62">
            <w:pPr>
              <w:jc w:val="center"/>
              <w:rPr>
                <w:rFonts w:asciiTheme="majorHAnsi" w:hAnsiTheme="majorHAnsi" w:cs="Calibri"/>
                <w:b/>
                <w:sz w:val="22"/>
              </w:rPr>
            </w:pPr>
            <w:r w:rsidRPr="00CF6A62">
              <w:rPr>
                <w:rFonts w:asciiTheme="majorHAnsi" w:hAnsiTheme="majorHAnsi" w:cs="Calibri"/>
                <w:b/>
                <w:sz w:val="22"/>
              </w:rPr>
              <w:t>HT</w:t>
            </w:r>
          </w:p>
        </w:tc>
        <w:tc>
          <w:tcPr>
            <w:tcW w:w="993" w:type="dxa"/>
            <w:vAlign w:val="center"/>
          </w:tcPr>
          <w:p w14:paraId="19531E7B" w14:textId="77777777" w:rsidR="007C7C0F" w:rsidRPr="00CF6A62" w:rsidRDefault="007C7C0F" w:rsidP="00CF6A62">
            <w:pPr>
              <w:jc w:val="center"/>
              <w:rPr>
                <w:rFonts w:asciiTheme="majorHAnsi" w:hAnsiTheme="majorHAnsi" w:cs="Calibri"/>
                <w:b/>
                <w:sz w:val="22"/>
              </w:rPr>
            </w:pPr>
            <w:r w:rsidRPr="00CF6A62">
              <w:rPr>
                <w:rFonts w:asciiTheme="majorHAnsi" w:hAnsiTheme="majorHAnsi" w:cs="Calibri"/>
                <w:b/>
                <w:sz w:val="22"/>
              </w:rPr>
              <w:t>EHT</w:t>
            </w:r>
          </w:p>
        </w:tc>
      </w:tr>
      <w:tr w:rsidR="007C7C0F" w:rsidRPr="00CF6A62" w14:paraId="378763F7" w14:textId="77777777" w:rsidTr="00CF6A62">
        <w:trPr>
          <w:trHeight w:val="181"/>
          <w:jc w:val="center"/>
        </w:trPr>
        <w:tc>
          <w:tcPr>
            <w:tcW w:w="1826" w:type="dxa"/>
            <w:vAlign w:val="center"/>
          </w:tcPr>
          <w:p w14:paraId="390739D7" w14:textId="77777777" w:rsidR="007C7C0F" w:rsidRPr="00CF6A62" w:rsidRDefault="007C7C0F" w:rsidP="00CF6A62">
            <w:pPr>
              <w:jc w:val="center"/>
              <w:rPr>
                <w:rFonts w:asciiTheme="majorHAnsi" w:hAnsiTheme="majorHAnsi" w:cs="Calibri"/>
                <w:sz w:val="22"/>
              </w:rPr>
            </w:pPr>
            <w:r w:rsidRPr="00CF6A62">
              <w:rPr>
                <w:rFonts w:asciiTheme="majorHAnsi" w:hAnsiTheme="majorHAnsi" w:cs="Calibri"/>
                <w:sz w:val="22"/>
              </w:rPr>
              <w:t>=&lt;60%</w:t>
            </w:r>
          </w:p>
        </w:tc>
        <w:tc>
          <w:tcPr>
            <w:tcW w:w="1004" w:type="dxa"/>
            <w:vAlign w:val="center"/>
          </w:tcPr>
          <w:p w14:paraId="6542B303" w14:textId="77777777" w:rsidR="007C7C0F" w:rsidRPr="00CF6A62" w:rsidRDefault="007C7C0F" w:rsidP="00CF6A62">
            <w:pPr>
              <w:jc w:val="center"/>
              <w:rPr>
                <w:rFonts w:asciiTheme="majorHAnsi" w:hAnsiTheme="majorHAnsi" w:cs="Calibri"/>
                <w:sz w:val="22"/>
              </w:rPr>
            </w:pPr>
            <w:r w:rsidRPr="00CF6A62">
              <w:rPr>
                <w:rFonts w:asciiTheme="majorHAnsi" w:hAnsiTheme="majorHAnsi" w:cs="Calibri"/>
                <w:sz w:val="22"/>
              </w:rPr>
              <w:t>5.85</w:t>
            </w:r>
          </w:p>
        </w:tc>
        <w:tc>
          <w:tcPr>
            <w:tcW w:w="993" w:type="dxa"/>
            <w:vAlign w:val="center"/>
          </w:tcPr>
          <w:p w14:paraId="4ADA65FC" w14:textId="77777777" w:rsidR="007C7C0F" w:rsidRPr="00CF6A62" w:rsidRDefault="007C7C0F" w:rsidP="00CF6A62">
            <w:pPr>
              <w:jc w:val="center"/>
              <w:rPr>
                <w:rFonts w:asciiTheme="majorHAnsi" w:hAnsiTheme="majorHAnsi" w:cs="Calibri"/>
                <w:sz w:val="22"/>
              </w:rPr>
            </w:pPr>
            <w:r w:rsidRPr="00CF6A62">
              <w:rPr>
                <w:rFonts w:asciiTheme="majorHAnsi" w:hAnsiTheme="majorHAnsi" w:cs="Calibri"/>
                <w:sz w:val="22"/>
              </w:rPr>
              <w:t>5.80</w:t>
            </w:r>
          </w:p>
        </w:tc>
      </w:tr>
      <w:tr w:rsidR="007C7C0F" w:rsidRPr="00CF6A62" w14:paraId="21276CCC" w14:textId="77777777" w:rsidTr="00CF6A62">
        <w:trPr>
          <w:trHeight w:val="70"/>
          <w:jc w:val="center"/>
        </w:trPr>
        <w:tc>
          <w:tcPr>
            <w:tcW w:w="1826" w:type="dxa"/>
            <w:vAlign w:val="center"/>
          </w:tcPr>
          <w:p w14:paraId="6012D864" w14:textId="77777777" w:rsidR="007C7C0F" w:rsidRPr="00CF6A62" w:rsidRDefault="007C7C0F" w:rsidP="00CF6A62">
            <w:pPr>
              <w:jc w:val="center"/>
              <w:rPr>
                <w:rFonts w:asciiTheme="majorHAnsi" w:hAnsiTheme="majorHAnsi" w:cs="Calibri"/>
                <w:sz w:val="22"/>
              </w:rPr>
            </w:pPr>
            <w:r w:rsidRPr="00CF6A62">
              <w:rPr>
                <w:rFonts w:asciiTheme="majorHAnsi" w:hAnsiTheme="majorHAnsi" w:cs="Calibri"/>
                <w:sz w:val="22"/>
              </w:rPr>
              <w:t>&gt;60%</w:t>
            </w:r>
          </w:p>
        </w:tc>
        <w:tc>
          <w:tcPr>
            <w:tcW w:w="1004" w:type="dxa"/>
            <w:vAlign w:val="center"/>
          </w:tcPr>
          <w:p w14:paraId="4E04501D" w14:textId="77777777" w:rsidR="007C7C0F" w:rsidRPr="00CF6A62" w:rsidRDefault="007C7C0F" w:rsidP="00CF6A62">
            <w:pPr>
              <w:jc w:val="center"/>
              <w:rPr>
                <w:rFonts w:asciiTheme="majorHAnsi" w:hAnsiTheme="majorHAnsi" w:cs="Calibri"/>
                <w:sz w:val="22"/>
              </w:rPr>
            </w:pPr>
            <w:r w:rsidRPr="00CF6A62">
              <w:rPr>
                <w:rFonts w:asciiTheme="majorHAnsi" w:hAnsiTheme="majorHAnsi" w:cs="Calibri"/>
                <w:sz w:val="22"/>
              </w:rPr>
              <w:t>4.75</w:t>
            </w:r>
          </w:p>
        </w:tc>
        <w:tc>
          <w:tcPr>
            <w:tcW w:w="993" w:type="dxa"/>
            <w:vAlign w:val="center"/>
          </w:tcPr>
          <w:p w14:paraId="168255EF" w14:textId="77777777" w:rsidR="007C7C0F" w:rsidRPr="00CF6A62" w:rsidRDefault="007C7C0F" w:rsidP="00CF6A62">
            <w:pPr>
              <w:jc w:val="center"/>
              <w:rPr>
                <w:rFonts w:asciiTheme="majorHAnsi" w:hAnsiTheme="majorHAnsi" w:cs="Calibri"/>
                <w:sz w:val="22"/>
              </w:rPr>
            </w:pPr>
            <w:r w:rsidRPr="00CF6A62">
              <w:rPr>
                <w:rFonts w:asciiTheme="majorHAnsi" w:hAnsiTheme="majorHAnsi" w:cs="Calibri"/>
                <w:sz w:val="22"/>
              </w:rPr>
              <w:t>4.70</w:t>
            </w:r>
          </w:p>
        </w:tc>
      </w:tr>
    </w:tbl>
    <w:p w14:paraId="00857FB7" w14:textId="772302DF" w:rsidR="007C7C0F" w:rsidRPr="007C7C0F" w:rsidRDefault="007C7C0F" w:rsidP="00773505">
      <w:pPr>
        <w:spacing w:before="240" w:line="360" w:lineRule="auto"/>
        <w:ind w:left="426"/>
        <w:jc w:val="both"/>
        <w:rPr>
          <w:rFonts w:asciiTheme="majorHAnsi" w:hAnsiTheme="majorHAnsi" w:cs="Calibri"/>
          <w:color w:val="000000"/>
        </w:rPr>
      </w:pPr>
      <w:r w:rsidRPr="007C7C0F">
        <w:rPr>
          <w:rFonts w:asciiTheme="majorHAnsi" w:hAnsiTheme="majorHAnsi" w:cs="Calibri"/>
          <w:color w:val="000000"/>
        </w:rPr>
        <w:t>Presently, due to increase in average power purchase cost of the industries, they are pleading for enhancement of load factor incentive. Therefore, to protect the industries as well as improve industrial sales to bring equilibrium in sales mix, the licensee proposes a load factor incentive if the industry consumes more than 80% LF.</w:t>
      </w:r>
    </w:p>
    <w:p w14:paraId="1C814C66" w14:textId="77777777" w:rsidR="007C7C0F" w:rsidRPr="00CF6A62" w:rsidRDefault="007C7C0F" w:rsidP="00773505">
      <w:pPr>
        <w:spacing w:before="240" w:line="360" w:lineRule="auto"/>
        <w:ind w:left="426"/>
        <w:jc w:val="both"/>
        <w:rPr>
          <w:rFonts w:asciiTheme="majorHAnsi" w:hAnsiTheme="majorHAnsi" w:cs="Calibri"/>
          <w:color w:val="000000"/>
        </w:rPr>
      </w:pPr>
      <w:r w:rsidRPr="007C7C0F">
        <w:rPr>
          <w:rFonts w:asciiTheme="majorHAnsi" w:hAnsiTheme="majorHAnsi" w:cs="Calibri"/>
          <w:color w:val="000000"/>
        </w:rPr>
        <w:t xml:space="preserve">As per the prevailing tariff, EHT industries are eligible to get benefits of 10 </w:t>
      </w:r>
      <w:proofErr w:type="spellStart"/>
      <w:r w:rsidRPr="007C7C0F">
        <w:rPr>
          <w:rFonts w:asciiTheme="majorHAnsi" w:hAnsiTheme="majorHAnsi" w:cs="Calibri"/>
          <w:color w:val="000000"/>
        </w:rPr>
        <w:t>paise</w:t>
      </w:r>
      <w:proofErr w:type="spellEnd"/>
      <w:r w:rsidRPr="007C7C0F">
        <w:rPr>
          <w:rFonts w:asciiTheme="majorHAnsi" w:hAnsiTheme="majorHAnsi" w:cs="Calibri"/>
          <w:color w:val="000000"/>
        </w:rPr>
        <w:t xml:space="preserve"> per unit. </w:t>
      </w:r>
      <w:r w:rsidRPr="00CF6A62">
        <w:rPr>
          <w:rFonts w:asciiTheme="majorHAnsi" w:hAnsiTheme="majorHAnsi" w:cs="Calibri"/>
          <w:bCs/>
          <w:color w:val="000000"/>
        </w:rPr>
        <w:t xml:space="preserve">To enhance consumption under EHT category the rebate may be increased to 20 </w:t>
      </w:r>
      <w:proofErr w:type="spellStart"/>
      <w:r w:rsidRPr="00CF6A62">
        <w:rPr>
          <w:rFonts w:asciiTheme="majorHAnsi" w:hAnsiTheme="majorHAnsi" w:cs="Calibri"/>
          <w:bCs/>
          <w:color w:val="000000"/>
        </w:rPr>
        <w:t>paise</w:t>
      </w:r>
      <w:proofErr w:type="spellEnd"/>
      <w:r w:rsidRPr="00CF6A62">
        <w:rPr>
          <w:rFonts w:asciiTheme="majorHAnsi" w:hAnsiTheme="majorHAnsi" w:cs="Calibri"/>
          <w:bCs/>
          <w:color w:val="000000"/>
        </w:rPr>
        <w:t xml:space="preserve"> per unit for the consumption beyond 80% LF.</w:t>
      </w:r>
    </w:p>
    <w:p w14:paraId="275CB262" w14:textId="77777777" w:rsidR="007C7C0F" w:rsidRPr="007C7C0F" w:rsidRDefault="007C7C0F" w:rsidP="005B7D92">
      <w:pPr>
        <w:pStyle w:val="ListParagraph"/>
        <w:ind w:left="1004"/>
        <w:rPr>
          <w:rFonts w:asciiTheme="majorHAnsi" w:hAnsiTheme="majorHAnsi" w:cs="Calibri"/>
          <w:color w:val="000000"/>
          <w:sz w:val="24"/>
          <w:szCs w:val="24"/>
        </w:rPr>
      </w:pPr>
    </w:p>
    <w:p w14:paraId="2A3429F7" w14:textId="7D0153B3" w:rsidR="007C7C0F" w:rsidRPr="005B7D92" w:rsidRDefault="007C7C0F" w:rsidP="005B7D92">
      <w:pPr>
        <w:pStyle w:val="ListParagraph"/>
        <w:numPr>
          <w:ilvl w:val="1"/>
          <w:numId w:val="1"/>
        </w:numPr>
        <w:jc w:val="both"/>
        <w:rPr>
          <w:rFonts w:asciiTheme="majorHAnsi" w:hAnsiTheme="majorHAnsi"/>
          <w:b/>
          <w:sz w:val="24"/>
          <w:szCs w:val="24"/>
        </w:rPr>
      </w:pPr>
      <w:bookmarkStart w:id="308" w:name="_Toc183804580"/>
      <w:r w:rsidRPr="005B7D92">
        <w:rPr>
          <w:rFonts w:asciiTheme="majorHAnsi" w:hAnsiTheme="majorHAnsi"/>
          <w:b/>
          <w:sz w:val="24"/>
          <w:szCs w:val="24"/>
        </w:rPr>
        <w:t xml:space="preserve">Enhancement of </w:t>
      </w:r>
      <w:proofErr w:type="spellStart"/>
      <w:r w:rsidRPr="005B7D92">
        <w:rPr>
          <w:rFonts w:asciiTheme="majorHAnsi" w:hAnsiTheme="majorHAnsi"/>
          <w:b/>
          <w:sz w:val="24"/>
          <w:szCs w:val="24"/>
        </w:rPr>
        <w:t>ToD</w:t>
      </w:r>
      <w:proofErr w:type="spellEnd"/>
      <w:r w:rsidRPr="005B7D92">
        <w:rPr>
          <w:rFonts w:asciiTheme="majorHAnsi" w:hAnsiTheme="majorHAnsi"/>
          <w:b/>
          <w:sz w:val="24"/>
          <w:szCs w:val="24"/>
        </w:rPr>
        <w:t xml:space="preserve"> benefit in solar hour</w:t>
      </w:r>
      <w:bookmarkEnd w:id="308"/>
      <w:r w:rsidRPr="005B7D92">
        <w:rPr>
          <w:rFonts w:asciiTheme="majorHAnsi" w:hAnsiTheme="majorHAnsi"/>
          <w:b/>
          <w:sz w:val="24"/>
          <w:szCs w:val="24"/>
        </w:rPr>
        <w:t xml:space="preserve"> and rationalization of </w:t>
      </w:r>
      <w:proofErr w:type="spellStart"/>
      <w:r w:rsidRPr="005B7D92">
        <w:rPr>
          <w:rFonts w:asciiTheme="majorHAnsi" w:hAnsiTheme="majorHAnsi"/>
          <w:b/>
          <w:sz w:val="24"/>
          <w:szCs w:val="24"/>
        </w:rPr>
        <w:t>ToD</w:t>
      </w:r>
      <w:proofErr w:type="spellEnd"/>
      <w:r w:rsidRPr="005B7D92">
        <w:rPr>
          <w:rFonts w:asciiTheme="majorHAnsi" w:hAnsiTheme="majorHAnsi"/>
          <w:b/>
          <w:sz w:val="24"/>
          <w:szCs w:val="24"/>
        </w:rPr>
        <w:t xml:space="preserve"> Surcharge</w:t>
      </w:r>
      <w:r w:rsidR="003511CB">
        <w:rPr>
          <w:rFonts w:asciiTheme="majorHAnsi" w:hAnsiTheme="majorHAnsi"/>
          <w:b/>
          <w:sz w:val="24"/>
          <w:szCs w:val="24"/>
        </w:rPr>
        <w:t xml:space="preserve"> to Industries without CGP</w:t>
      </w:r>
      <w:r w:rsidRPr="005B7D92">
        <w:rPr>
          <w:rFonts w:asciiTheme="majorHAnsi" w:hAnsiTheme="majorHAnsi"/>
          <w:b/>
          <w:sz w:val="24"/>
          <w:szCs w:val="24"/>
        </w:rPr>
        <w:t>.</w:t>
      </w:r>
    </w:p>
    <w:p w14:paraId="424FE328" w14:textId="678C64F7" w:rsidR="007C7C0F" w:rsidRDefault="007C7C0F" w:rsidP="00773505">
      <w:pPr>
        <w:spacing w:before="240" w:line="360" w:lineRule="auto"/>
        <w:ind w:left="360"/>
        <w:jc w:val="both"/>
        <w:rPr>
          <w:rFonts w:asciiTheme="majorHAnsi" w:hAnsiTheme="majorHAnsi" w:cs="Calibri"/>
          <w:bCs/>
          <w:color w:val="000000"/>
        </w:rPr>
      </w:pPr>
      <w:r w:rsidRPr="007C7C0F">
        <w:rPr>
          <w:rFonts w:asciiTheme="majorHAnsi" w:hAnsiTheme="majorHAnsi" w:cs="Calibri"/>
          <w:bCs/>
          <w:color w:val="000000"/>
        </w:rPr>
        <w:t xml:space="preserve">The Commercial &amp; Industrial Consumers and Consumers provided with smart meters having CD &gt;10KW, are eligible to get a </w:t>
      </w:r>
      <w:proofErr w:type="spellStart"/>
      <w:r w:rsidRPr="007C7C0F">
        <w:rPr>
          <w:rFonts w:asciiTheme="majorHAnsi" w:hAnsiTheme="majorHAnsi" w:cs="Calibri"/>
          <w:bCs/>
          <w:color w:val="000000"/>
        </w:rPr>
        <w:t>ToD</w:t>
      </w:r>
      <w:proofErr w:type="spellEnd"/>
      <w:r w:rsidRPr="007C7C0F">
        <w:rPr>
          <w:rFonts w:asciiTheme="majorHAnsi" w:hAnsiTheme="majorHAnsi" w:cs="Calibri"/>
          <w:bCs/>
          <w:color w:val="000000"/>
        </w:rPr>
        <w:t xml:space="preserve"> rebate of 20 </w:t>
      </w:r>
      <w:proofErr w:type="spellStart"/>
      <w:r w:rsidRPr="007C7C0F">
        <w:rPr>
          <w:rFonts w:asciiTheme="majorHAnsi" w:hAnsiTheme="majorHAnsi" w:cs="Calibri"/>
          <w:bCs/>
          <w:color w:val="000000"/>
        </w:rPr>
        <w:t>paise</w:t>
      </w:r>
      <w:proofErr w:type="spellEnd"/>
      <w:r w:rsidRPr="007C7C0F">
        <w:rPr>
          <w:rFonts w:asciiTheme="majorHAnsi" w:hAnsiTheme="majorHAnsi" w:cs="Calibri"/>
          <w:bCs/>
          <w:color w:val="000000"/>
        </w:rPr>
        <w:t xml:space="preserve">/unit in Energy Charge during Solar Hours. The above Consumers shall pay a </w:t>
      </w:r>
      <w:proofErr w:type="spellStart"/>
      <w:r w:rsidRPr="007C7C0F">
        <w:rPr>
          <w:rFonts w:asciiTheme="majorHAnsi" w:hAnsiTheme="majorHAnsi" w:cs="Calibri"/>
          <w:bCs/>
          <w:color w:val="000000"/>
        </w:rPr>
        <w:t>ToD</w:t>
      </w:r>
      <w:proofErr w:type="spellEnd"/>
      <w:r w:rsidRPr="007C7C0F">
        <w:rPr>
          <w:rFonts w:asciiTheme="majorHAnsi" w:hAnsiTheme="majorHAnsi" w:cs="Calibri"/>
          <w:bCs/>
          <w:color w:val="000000"/>
        </w:rPr>
        <w:t xml:space="preserve"> surcharge of 30 </w:t>
      </w:r>
      <w:proofErr w:type="spellStart"/>
      <w:r w:rsidRPr="007C7C0F">
        <w:rPr>
          <w:rFonts w:asciiTheme="majorHAnsi" w:hAnsiTheme="majorHAnsi" w:cs="Calibri"/>
          <w:bCs/>
          <w:color w:val="000000"/>
        </w:rPr>
        <w:t>paise</w:t>
      </w:r>
      <w:proofErr w:type="spellEnd"/>
      <w:r w:rsidRPr="007C7C0F">
        <w:rPr>
          <w:rFonts w:asciiTheme="majorHAnsi" w:hAnsiTheme="majorHAnsi" w:cs="Calibri"/>
          <w:bCs/>
          <w:color w:val="000000"/>
        </w:rPr>
        <w:t xml:space="preserve">/unit during Peak Hours. The </w:t>
      </w:r>
      <w:proofErr w:type="spellStart"/>
      <w:r w:rsidRPr="007C7C0F">
        <w:rPr>
          <w:rFonts w:asciiTheme="majorHAnsi" w:hAnsiTheme="majorHAnsi" w:cs="Calibri"/>
          <w:bCs/>
          <w:color w:val="000000"/>
        </w:rPr>
        <w:t>ToD</w:t>
      </w:r>
      <w:proofErr w:type="spellEnd"/>
      <w:r w:rsidRPr="007C7C0F">
        <w:rPr>
          <w:rFonts w:asciiTheme="majorHAnsi" w:hAnsiTheme="majorHAnsi" w:cs="Calibri"/>
          <w:bCs/>
          <w:color w:val="000000"/>
        </w:rPr>
        <w:t xml:space="preserve"> rebate and surcharge shall not be applicable during Normal Hours. For this purpose the hours in a day have been defined as follows:</w:t>
      </w:r>
    </w:p>
    <w:p w14:paraId="100A4760" w14:textId="77777777" w:rsidR="00CF6A62" w:rsidRPr="00CF6A62" w:rsidRDefault="00CF6A62" w:rsidP="00CF6A62">
      <w:pPr>
        <w:spacing w:before="240" w:line="276" w:lineRule="auto"/>
        <w:ind w:left="360"/>
        <w:jc w:val="both"/>
        <w:rPr>
          <w:rFonts w:asciiTheme="majorHAnsi" w:hAnsiTheme="majorHAnsi" w:cs="Calibri"/>
          <w:bCs/>
          <w:color w:val="000000"/>
          <w:sz w:val="2"/>
        </w:rPr>
      </w:pPr>
    </w:p>
    <w:p w14:paraId="0DCA58C7" w14:textId="77777777" w:rsidR="007C7C0F" w:rsidRPr="007C7C0F" w:rsidRDefault="007C7C0F" w:rsidP="00056389">
      <w:pPr>
        <w:numPr>
          <w:ilvl w:val="1"/>
          <w:numId w:val="71"/>
        </w:numPr>
        <w:spacing w:line="276" w:lineRule="auto"/>
        <w:jc w:val="both"/>
        <w:rPr>
          <w:rFonts w:asciiTheme="majorHAnsi" w:hAnsiTheme="majorHAnsi" w:cs="Calibri"/>
          <w:bCs/>
          <w:color w:val="000000"/>
        </w:rPr>
      </w:pPr>
      <w:r w:rsidRPr="007C7C0F">
        <w:rPr>
          <w:rFonts w:asciiTheme="majorHAnsi" w:hAnsiTheme="majorHAnsi" w:cs="Calibri"/>
          <w:bCs/>
          <w:color w:val="000000"/>
        </w:rPr>
        <w:t>8.00 AM to 4.00 PM - Solar Hours</w:t>
      </w:r>
    </w:p>
    <w:p w14:paraId="26BC80FE" w14:textId="77777777" w:rsidR="007C7C0F" w:rsidRPr="007C7C0F" w:rsidRDefault="007C7C0F" w:rsidP="00056389">
      <w:pPr>
        <w:numPr>
          <w:ilvl w:val="1"/>
          <w:numId w:val="71"/>
        </w:numPr>
        <w:spacing w:line="276" w:lineRule="auto"/>
        <w:jc w:val="both"/>
        <w:rPr>
          <w:rFonts w:asciiTheme="majorHAnsi" w:hAnsiTheme="majorHAnsi" w:cs="Calibri"/>
          <w:bCs/>
          <w:color w:val="000000"/>
        </w:rPr>
      </w:pPr>
      <w:r w:rsidRPr="007C7C0F">
        <w:rPr>
          <w:rFonts w:asciiTheme="majorHAnsi" w:hAnsiTheme="majorHAnsi" w:cs="Calibri"/>
          <w:bCs/>
          <w:color w:val="000000"/>
        </w:rPr>
        <w:t xml:space="preserve">After 4.00 PM </w:t>
      </w:r>
      <w:proofErr w:type="spellStart"/>
      <w:r w:rsidRPr="007C7C0F">
        <w:rPr>
          <w:rFonts w:asciiTheme="majorHAnsi" w:hAnsiTheme="majorHAnsi" w:cs="Calibri"/>
          <w:bCs/>
          <w:color w:val="000000"/>
        </w:rPr>
        <w:t>upto</w:t>
      </w:r>
      <w:proofErr w:type="spellEnd"/>
      <w:r w:rsidRPr="007C7C0F">
        <w:rPr>
          <w:rFonts w:asciiTheme="majorHAnsi" w:hAnsiTheme="majorHAnsi" w:cs="Calibri"/>
          <w:bCs/>
          <w:color w:val="000000"/>
        </w:rPr>
        <w:t xml:space="preserve"> 6.00 PM - Normal Hours</w:t>
      </w:r>
    </w:p>
    <w:p w14:paraId="28AD5AAE" w14:textId="77777777" w:rsidR="007C7C0F" w:rsidRPr="007C7C0F" w:rsidRDefault="007C7C0F" w:rsidP="00056389">
      <w:pPr>
        <w:numPr>
          <w:ilvl w:val="1"/>
          <w:numId w:val="71"/>
        </w:numPr>
        <w:spacing w:line="276" w:lineRule="auto"/>
        <w:jc w:val="both"/>
        <w:rPr>
          <w:rFonts w:asciiTheme="majorHAnsi" w:hAnsiTheme="majorHAnsi" w:cs="Calibri"/>
          <w:bCs/>
          <w:color w:val="000000"/>
        </w:rPr>
      </w:pPr>
      <w:r w:rsidRPr="007C7C0F">
        <w:rPr>
          <w:rFonts w:asciiTheme="majorHAnsi" w:hAnsiTheme="majorHAnsi" w:cs="Calibri"/>
          <w:bCs/>
          <w:color w:val="000000"/>
        </w:rPr>
        <w:t xml:space="preserve">After 6.00 PM </w:t>
      </w:r>
      <w:proofErr w:type="spellStart"/>
      <w:r w:rsidRPr="007C7C0F">
        <w:rPr>
          <w:rFonts w:asciiTheme="majorHAnsi" w:hAnsiTheme="majorHAnsi" w:cs="Calibri"/>
          <w:bCs/>
          <w:color w:val="000000"/>
        </w:rPr>
        <w:t>upto</w:t>
      </w:r>
      <w:proofErr w:type="spellEnd"/>
      <w:r w:rsidRPr="007C7C0F">
        <w:rPr>
          <w:rFonts w:asciiTheme="majorHAnsi" w:hAnsiTheme="majorHAnsi" w:cs="Calibri"/>
          <w:bCs/>
          <w:color w:val="000000"/>
        </w:rPr>
        <w:t xml:space="preserve"> 12.00 Midnight - Peak Hours</w:t>
      </w:r>
    </w:p>
    <w:p w14:paraId="1D7C86DA" w14:textId="77777777" w:rsidR="007C7C0F" w:rsidRPr="007C7C0F" w:rsidRDefault="007C7C0F" w:rsidP="00056389">
      <w:pPr>
        <w:numPr>
          <w:ilvl w:val="1"/>
          <w:numId w:val="71"/>
        </w:numPr>
        <w:spacing w:line="276" w:lineRule="auto"/>
        <w:jc w:val="both"/>
        <w:rPr>
          <w:rFonts w:asciiTheme="majorHAnsi" w:hAnsiTheme="majorHAnsi" w:cs="Calibri"/>
          <w:bCs/>
          <w:color w:val="000000"/>
        </w:rPr>
      </w:pPr>
      <w:r w:rsidRPr="007C7C0F">
        <w:rPr>
          <w:rFonts w:asciiTheme="majorHAnsi" w:hAnsiTheme="majorHAnsi" w:cs="Calibri"/>
          <w:bCs/>
          <w:color w:val="000000"/>
        </w:rPr>
        <w:t xml:space="preserve">After 12.00 Midnight </w:t>
      </w:r>
      <w:proofErr w:type="spellStart"/>
      <w:r w:rsidRPr="007C7C0F">
        <w:rPr>
          <w:rFonts w:asciiTheme="majorHAnsi" w:hAnsiTheme="majorHAnsi" w:cs="Calibri"/>
          <w:bCs/>
          <w:color w:val="000000"/>
        </w:rPr>
        <w:t>upto</w:t>
      </w:r>
      <w:proofErr w:type="spellEnd"/>
      <w:r w:rsidRPr="007C7C0F">
        <w:rPr>
          <w:rFonts w:asciiTheme="majorHAnsi" w:hAnsiTheme="majorHAnsi" w:cs="Calibri"/>
          <w:bCs/>
          <w:color w:val="000000"/>
        </w:rPr>
        <w:t xml:space="preserve"> 8.00 AM next day - Normal Hours</w:t>
      </w:r>
    </w:p>
    <w:p w14:paraId="4D4E112B" w14:textId="77777777" w:rsidR="007C7C0F" w:rsidRPr="007C7C0F" w:rsidRDefault="007C7C0F" w:rsidP="007C7C0F">
      <w:pPr>
        <w:pStyle w:val="ListParagraph"/>
        <w:rPr>
          <w:rFonts w:asciiTheme="majorHAnsi" w:hAnsiTheme="majorHAnsi" w:cs="Calibri"/>
          <w:bCs/>
          <w:color w:val="000000"/>
          <w:sz w:val="24"/>
          <w:szCs w:val="24"/>
        </w:rPr>
      </w:pPr>
    </w:p>
    <w:p w14:paraId="46F56C66" w14:textId="2466A0B1" w:rsidR="007C7C0F" w:rsidRPr="007C7C0F" w:rsidRDefault="007C7C0F" w:rsidP="00773505">
      <w:pPr>
        <w:pStyle w:val="ListParagraph"/>
        <w:spacing w:line="360" w:lineRule="auto"/>
        <w:ind w:left="360"/>
        <w:jc w:val="both"/>
        <w:rPr>
          <w:rFonts w:asciiTheme="majorHAnsi" w:hAnsiTheme="majorHAnsi" w:cs="Calibri"/>
          <w:bCs/>
          <w:color w:val="000000"/>
          <w:sz w:val="24"/>
          <w:szCs w:val="24"/>
        </w:rPr>
      </w:pPr>
      <w:r w:rsidRPr="007C7C0F">
        <w:rPr>
          <w:rFonts w:asciiTheme="majorHAnsi" w:hAnsiTheme="majorHAnsi" w:cs="Calibri"/>
          <w:bCs/>
          <w:color w:val="000000"/>
          <w:sz w:val="24"/>
          <w:szCs w:val="24"/>
        </w:rPr>
        <w:t xml:space="preserve">Further, </w:t>
      </w:r>
      <w:proofErr w:type="spellStart"/>
      <w:r w:rsidRPr="007C7C0F">
        <w:rPr>
          <w:rFonts w:asciiTheme="majorHAnsi" w:hAnsiTheme="majorHAnsi" w:cs="Calibri"/>
          <w:bCs/>
          <w:color w:val="000000"/>
          <w:sz w:val="24"/>
          <w:szCs w:val="24"/>
        </w:rPr>
        <w:t>overdraw</w:t>
      </w:r>
      <w:r w:rsidR="00CF6A62">
        <w:rPr>
          <w:rFonts w:asciiTheme="majorHAnsi" w:hAnsiTheme="majorHAnsi" w:cs="Calibri"/>
          <w:bCs/>
          <w:color w:val="000000"/>
          <w:sz w:val="24"/>
          <w:szCs w:val="24"/>
        </w:rPr>
        <w:t>al</w:t>
      </w:r>
      <w:proofErr w:type="spellEnd"/>
      <w:r w:rsidRPr="007C7C0F">
        <w:rPr>
          <w:rFonts w:asciiTheme="majorHAnsi" w:hAnsiTheme="majorHAnsi" w:cs="Calibri"/>
          <w:bCs/>
          <w:color w:val="000000"/>
          <w:sz w:val="24"/>
          <w:szCs w:val="24"/>
        </w:rPr>
        <w:t xml:space="preserve"> up to 120% of the CD is permitted during Normal hours only. As explained above during solar hour power is available in GRIDCO pool which can be consumed by industries if drawl beyond CD up to 120% is permitted. Hon’ble Commission may consider this aspect in the ensuing year.</w:t>
      </w:r>
    </w:p>
    <w:p w14:paraId="504C4D5C" w14:textId="77777777" w:rsidR="007C7C0F" w:rsidRPr="007C7C0F" w:rsidRDefault="007C7C0F" w:rsidP="00773505">
      <w:pPr>
        <w:pStyle w:val="ListParagraph"/>
        <w:spacing w:line="360" w:lineRule="auto"/>
        <w:ind w:left="426" w:hanging="426"/>
        <w:rPr>
          <w:rFonts w:asciiTheme="majorHAnsi" w:hAnsiTheme="majorHAnsi" w:cs="Calibri"/>
          <w:bCs/>
          <w:color w:val="000000"/>
          <w:sz w:val="24"/>
          <w:szCs w:val="24"/>
        </w:rPr>
      </w:pPr>
    </w:p>
    <w:p w14:paraId="1A40A721" w14:textId="02D60FD0" w:rsidR="007C7C0F" w:rsidRDefault="007C7C0F" w:rsidP="00773505">
      <w:pPr>
        <w:pStyle w:val="ListParagraph"/>
        <w:spacing w:line="360" w:lineRule="auto"/>
        <w:ind w:left="360"/>
        <w:jc w:val="both"/>
        <w:rPr>
          <w:rFonts w:asciiTheme="majorHAnsi" w:hAnsiTheme="majorHAnsi" w:cs="Calibri"/>
          <w:bCs/>
          <w:color w:val="000000"/>
          <w:sz w:val="24"/>
          <w:szCs w:val="24"/>
        </w:rPr>
      </w:pPr>
      <w:r w:rsidRPr="007C7C0F">
        <w:rPr>
          <w:rFonts w:asciiTheme="majorHAnsi" w:hAnsiTheme="majorHAnsi" w:cs="Calibri"/>
          <w:bCs/>
          <w:color w:val="000000"/>
          <w:sz w:val="24"/>
          <w:szCs w:val="24"/>
        </w:rPr>
        <w:t xml:space="preserve">In order to discourage use of electricity during non-solar hours and shift consumption from that time slot to solar hour it is suggested that rate of </w:t>
      </w:r>
      <w:proofErr w:type="spellStart"/>
      <w:r w:rsidRPr="007C7C0F">
        <w:rPr>
          <w:rFonts w:asciiTheme="majorHAnsi" w:hAnsiTheme="majorHAnsi" w:cs="Calibri"/>
          <w:bCs/>
          <w:color w:val="000000"/>
          <w:sz w:val="24"/>
          <w:szCs w:val="24"/>
        </w:rPr>
        <w:t>ToD</w:t>
      </w:r>
      <w:proofErr w:type="spellEnd"/>
      <w:r w:rsidRPr="007C7C0F">
        <w:rPr>
          <w:rFonts w:asciiTheme="majorHAnsi" w:hAnsiTheme="majorHAnsi" w:cs="Calibri"/>
          <w:bCs/>
          <w:color w:val="000000"/>
          <w:sz w:val="24"/>
          <w:szCs w:val="24"/>
        </w:rPr>
        <w:t xml:space="preserve"> surcharge may be increased by 10 </w:t>
      </w:r>
      <w:proofErr w:type="spellStart"/>
      <w:r w:rsidRPr="007C7C0F">
        <w:rPr>
          <w:rFonts w:asciiTheme="majorHAnsi" w:hAnsiTheme="majorHAnsi" w:cs="Calibri"/>
          <w:bCs/>
          <w:color w:val="000000"/>
          <w:sz w:val="24"/>
          <w:szCs w:val="24"/>
        </w:rPr>
        <w:t>paise</w:t>
      </w:r>
      <w:proofErr w:type="spellEnd"/>
      <w:r w:rsidRPr="007C7C0F">
        <w:rPr>
          <w:rFonts w:asciiTheme="majorHAnsi" w:hAnsiTheme="majorHAnsi" w:cs="Calibri"/>
          <w:bCs/>
          <w:color w:val="000000"/>
          <w:sz w:val="24"/>
          <w:szCs w:val="24"/>
        </w:rPr>
        <w:t xml:space="preserve"> per unit so that </w:t>
      </w:r>
      <w:r w:rsidR="00CF6A62">
        <w:rPr>
          <w:rFonts w:asciiTheme="majorHAnsi" w:hAnsiTheme="majorHAnsi" w:cs="Calibri"/>
          <w:bCs/>
          <w:color w:val="000000"/>
          <w:sz w:val="24"/>
          <w:szCs w:val="24"/>
        </w:rPr>
        <w:t>the DISCOMs</w:t>
      </w:r>
      <w:r w:rsidRPr="007C7C0F">
        <w:rPr>
          <w:rFonts w:asciiTheme="majorHAnsi" w:hAnsiTheme="majorHAnsi" w:cs="Calibri"/>
          <w:bCs/>
          <w:color w:val="000000"/>
          <w:sz w:val="24"/>
          <w:szCs w:val="24"/>
        </w:rPr>
        <w:t xml:space="preserve"> can have better economics from supply side management and shift of demand from non-solar hours to solar hours that will reduce distress sale of surplus power during solar hours by GRIDCO. </w:t>
      </w:r>
    </w:p>
    <w:p w14:paraId="55B9B3EC" w14:textId="77777777" w:rsidR="00E319BE" w:rsidRPr="007C7C0F" w:rsidRDefault="00E319BE" w:rsidP="00E319BE">
      <w:pPr>
        <w:pStyle w:val="ListParagraph"/>
        <w:ind w:left="360"/>
        <w:jc w:val="both"/>
        <w:rPr>
          <w:rFonts w:asciiTheme="majorHAnsi" w:hAnsiTheme="majorHAnsi" w:cs="Calibri"/>
          <w:bCs/>
          <w:color w:val="000000"/>
          <w:sz w:val="24"/>
          <w:szCs w:val="24"/>
        </w:rPr>
      </w:pPr>
    </w:p>
    <w:p w14:paraId="3D585543" w14:textId="77777777" w:rsidR="007C7C0F" w:rsidRPr="005B7D92" w:rsidRDefault="007C7C0F" w:rsidP="00E319BE">
      <w:pPr>
        <w:pStyle w:val="ListParagraph"/>
        <w:numPr>
          <w:ilvl w:val="1"/>
          <w:numId w:val="1"/>
        </w:numPr>
        <w:rPr>
          <w:rFonts w:asciiTheme="majorHAnsi" w:hAnsiTheme="majorHAnsi"/>
          <w:b/>
          <w:sz w:val="24"/>
          <w:szCs w:val="24"/>
        </w:rPr>
      </w:pPr>
      <w:bookmarkStart w:id="309" w:name="_Toc183804582"/>
      <w:proofErr w:type="spellStart"/>
      <w:r w:rsidRPr="005B7D92">
        <w:rPr>
          <w:rFonts w:asciiTheme="majorHAnsi" w:hAnsiTheme="majorHAnsi"/>
          <w:b/>
          <w:sz w:val="24"/>
          <w:szCs w:val="24"/>
        </w:rPr>
        <w:t>kVAh</w:t>
      </w:r>
      <w:proofErr w:type="spellEnd"/>
      <w:r w:rsidRPr="005B7D92">
        <w:rPr>
          <w:rFonts w:asciiTheme="majorHAnsi" w:hAnsiTheme="majorHAnsi"/>
          <w:b/>
          <w:sz w:val="24"/>
          <w:szCs w:val="24"/>
        </w:rPr>
        <w:t xml:space="preserve"> Billing to LT Category of consumers</w:t>
      </w:r>
      <w:bookmarkEnd w:id="309"/>
      <w:r w:rsidRPr="005B7D92">
        <w:rPr>
          <w:rFonts w:asciiTheme="majorHAnsi" w:hAnsiTheme="majorHAnsi"/>
          <w:b/>
          <w:sz w:val="24"/>
          <w:szCs w:val="24"/>
        </w:rPr>
        <w:t>.</w:t>
      </w:r>
    </w:p>
    <w:p w14:paraId="621FD076" w14:textId="08FF183F" w:rsidR="00CF6A62" w:rsidRDefault="00CF6A62" w:rsidP="00773505">
      <w:pPr>
        <w:spacing w:line="360" w:lineRule="auto"/>
        <w:ind w:left="360"/>
        <w:jc w:val="both"/>
        <w:rPr>
          <w:rFonts w:asciiTheme="majorHAnsi" w:hAnsiTheme="majorHAnsi" w:cs="Calibri"/>
          <w:bCs/>
          <w:color w:val="000000"/>
          <w:lang w:val="en-IN"/>
        </w:rPr>
      </w:pPr>
      <w:r w:rsidRPr="00CF6A62">
        <w:rPr>
          <w:rFonts w:asciiTheme="majorHAnsi" w:hAnsiTheme="majorHAnsi" w:cs="Calibri"/>
          <w:bCs/>
          <w:color w:val="000000"/>
          <w:lang w:val="en-IN"/>
        </w:rPr>
        <w:t xml:space="preserve">The Hon’ble Commission had introduced the </w:t>
      </w:r>
      <w:proofErr w:type="spellStart"/>
      <w:r w:rsidRPr="00CF6A62">
        <w:rPr>
          <w:rFonts w:asciiTheme="majorHAnsi" w:hAnsiTheme="majorHAnsi" w:cs="Calibri"/>
          <w:bCs/>
          <w:color w:val="000000"/>
          <w:lang w:val="en-IN"/>
        </w:rPr>
        <w:t>kVAh</w:t>
      </w:r>
      <w:proofErr w:type="spellEnd"/>
      <w:r w:rsidRPr="00CF6A62">
        <w:rPr>
          <w:rFonts w:asciiTheme="majorHAnsi" w:hAnsiTheme="majorHAnsi" w:cs="Calibri"/>
          <w:bCs/>
          <w:color w:val="000000"/>
          <w:lang w:val="en-IN"/>
        </w:rPr>
        <w:t xml:space="preserve"> billing mechanism in FY 2021-22 for HT and EHT consumers. However, LT consumers using significant inductive loads continue to be billed on a kWh basis and remain excluded from the </w:t>
      </w:r>
      <w:proofErr w:type="spellStart"/>
      <w:r w:rsidRPr="00CF6A62">
        <w:rPr>
          <w:rFonts w:asciiTheme="majorHAnsi" w:hAnsiTheme="majorHAnsi" w:cs="Calibri"/>
          <w:bCs/>
          <w:color w:val="000000"/>
          <w:lang w:val="en-IN"/>
        </w:rPr>
        <w:t>kVAh</w:t>
      </w:r>
      <w:proofErr w:type="spellEnd"/>
      <w:r w:rsidRPr="00CF6A62">
        <w:rPr>
          <w:rFonts w:asciiTheme="majorHAnsi" w:hAnsiTheme="majorHAnsi" w:cs="Calibri"/>
          <w:bCs/>
          <w:color w:val="000000"/>
          <w:lang w:val="en-IN"/>
        </w:rPr>
        <w:t xml:space="preserve"> framework. These LT consumers, due to the nature of their inductive usage, also contribute to lagging power factor, voltage variations and increased reactive power flow in the distribution network, which in turn adversely impacts system performance and accelerates network deterioration. In light of the above, extending </w:t>
      </w:r>
      <w:proofErr w:type="spellStart"/>
      <w:r w:rsidRPr="00CF6A62">
        <w:rPr>
          <w:rFonts w:asciiTheme="majorHAnsi" w:hAnsiTheme="majorHAnsi" w:cs="Calibri"/>
          <w:bCs/>
          <w:color w:val="000000"/>
          <w:lang w:val="en-IN"/>
        </w:rPr>
        <w:t>kVAh</w:t>
      </w:r>
      <w:proofErr w:type="spellEnd"/>
      <w:r w:rsidRPr="00CF6A62">
        <w:rPr>
          <w:rFonts w:asciiTheme="majorHAnsi" w:hAnsiTheme="majorHAnsi" w:cs="Calibri"/>
          <w:bCs/>
          <w:color w:val="000000"/>
          <w:lang w:val="en-IN"/>
        </w:rPr>
        <w:t xml:space="preserve"> billing to such LT consumer categories merits consideration to ensure grid discipline and equitable recovery of system costs.</w:t>
      </w:r>
    </w:p>
    <w:p w14:paraId="37A00AE8" w14:textId="77777777" w:rsidR="00CF6A62" w:rsidRDefault="00CF6A62" w:rsidP="00773505">
      <w:pPr>
        <w:spacing w:line="360" w:lineRule="auto"/>
        <w:ind w:left="360"/>
        <w:jc w:val="both"/>
        <w:rPr>
          <w:rFonts w:asciiTheme="majorHAnsi" w:hAnsiTheme="majorHAnsi" w:cs="Calibri"/>
          <w:bCs/>
          <w:color w:val="000000"/>
          <w:lang w:val="en-IN"/>
        </w:rPr>
      </w:pPr>
    </w:p>
    <w:p w14:paraId="371DD9D3" w14:textId="3D51E7E7" w:rsidR="00CF6A62" w:rsidRDefault="00CF6A62" w:rsidP="00773505">
      <w:pPr>
        <w:spacing w:line="360" w:lineRule="auto"/>
        <w:ind w:left="360"/>
        <w:jc w:val="both"/>
        <w:rPr>
          <w:rFonts w:asciiTheme="majorHAnsi" w:hAnsiTheme="majorHAnsi" w:cs="Calibri"/>
          <w:bCs/>
          <w:color w:val="000000"/>
          <w:lang w:val="en-IN"/>
        </w:rPr>
      </w:pPr>
      <w:r w:rsidRPr="00CF6A62">
        <w:rPr>
          <w:rFonts w:asciiTheme="majorHAnsi" w:hAnsiTheme="majorHAnsi" w:cs="Calibri"/>
          <w:bCs/>
          <w:color w:val="000000"/>
          <w:lang w:val="en-IN"/>
        </w:rPr>
        <w:t xml:space="preserve">There is a need to enforce </w:t>
      </w:r>
      <w:proofErr w:type="spellStart"/>
      <w:r w:rsidRPr="00CF6A62">
        <w:rPr>
          <w:rFonts w:asciiTheme="majorHAnsi" w:hAnsiTheme="majorHAnsi" w:cs="Calibri"/>
          <w:bCs/>
          <w:color w:val="000000"/>
          <w:lang w:val="en-IN"/>
        </w:rPr>
        <w:t>kVAh</w:t>
      </w:r>
      <w:proofErr w:type="spellEnd"/>
      <w:r w:rsidRPr="00CF6A62">
        <w:rPr>
          <w:rFonts w:asciiTheme="majorHAnsi" w:hAnsiTheme="majorHAnsi" w:cs="Calibri"/>
          <w:bCs/>
          <w:color w:val="000000"/>
          <w:lang w:val="en-IN"/>
        </w:rPr>
        <w:t>-based billing for such consumer categories so that they are appropriately encouraged to maintain the required power factor</w:t>
      </w:r>
      <w:r>
        <w:rPr>
          <w:rFonts w:asciiTheme="majorHAnsi" w:hAnsiTheme="majorHAnsi" w:cs="Calibri"/>
          <w:bCs/>
          <w:color w:val="000000"/>
          <w:lang w:val="en-IN"/>
        </w:rPr>
        <w:t xml:space="preserve"> </w:t>
      </w:r>
      <w:r w:rsidRPr="00CF6A62">
        <w:rPr>
          <w:rFonts w:asciiTheme="majorHAnsi" w:hAnsiTheme="majorHAnsi" w:cs="Calibri"/>
          <w:bCs/>
          <w:color w:val="000000"/>
          <w:lang w:val="en-IN"/>
        </w:rPr>
        <w:t>and in the event of non-compliance, bear the associated cost implications. This measure will promote grid discipline, reduce technical losses and ensure a more equitable allocation of system costs.</w:t>
      </w:r>
    </w:p>
    <w:p w14:paraId="20F70E50" w14:textId="48998504" w:rsidR="007C7C0F" w:rsidRDefault="007C7C0F" w:rsidP="00773505">
      <w:pPr>
        <w:spacing w:line="360" w:lineRule="auto"/>
        <w:ind w:left="360"/>
        <w:jc w:val="both"/>
        <w:rPr>
          <w:rFonts w:asciiTheme="majorHAnsi" w:hAnsiTheme="majorHAnsi" w:cs="Calibri"/>
          <w:b/>
          <w:bCs/>
          <w:i/>
          <w:color w:val="000000"/>
          <w:lang w:val="en-IN"/>
        </w:rPr>
      </w:pPr>
    </w:p>
    <w:p w14:paraId="4490D394" w14:textId="5D9CE28E" w:rsidR="00CF6A62" w:rsidRPr="00CF6A62" w:rsidRDefault="00CF6A62" w:rsidP="00773505">
      <w:pPr>
        <w:spacing w:line="360" w:lineRule="auto"/>
        <w:ind w:left="360"/>
        <w:jc w:val="both"/>
        <w:rPr>
          <w:rFonts w:asciiTheme="majorHAnsi" w:hAnsiTheme="majorHAnsi" w:cs="Calibri"/>
          <w:bCs/>
          <w:color w:val="000000"/>
          <w:lang w:val="en-IN"/>
        </w:rPr>
      </w:pPr>
      <w:r w:rsidRPr="00CF6A62">
        <w:rPr>
          <w:rFonts w:asciiTheme="majorHAnsi" w:hAnsiTheme="majorHAnsi" w:cs="Calibri"/>
          <w:bCs/>
          <w:color w:val="000000"/>
          <w:lang w:val="en-IN"/>
        </w:rPr>
        <w:t xml:space="preserve">In view of the above, the Hon’ble Commission is requested to introduce </w:t>
      </w:r>
      <w:proofErr w:type="spellStart"/>
      <w:r w:rsidRPr="00CF6A62">
        <w:rPr>
          <w:rFonts w:asciiTheme="majorHAnsi" w:hAnsiTheme="majorHAnsi" w:cs="Calibri"/>
          <w:bCs/>
          <w:color w:val="000000"/>
          <w:lang w:val="en-IN"/>
        </w:rPr>
        <w:t>kVAh</w:t>
      </w:r>
      <w:proofErr w:type="spellEnd"/>
      <w:r w:rsidRPr="00CF6A62">
        <w:rPr>
          <w:rFonts w:asciiTheme="majorHAnsi" w:hAnsiTheme="majorHAnsi" w:cs="Calibri"/>
          <w:bCs/>
          <w:color w:val="000000"/>
          <w:lang w:val="en-IN"/>
        </w:rPr>
        <w:t xml:space="preserve"> billing for LT consumer categories, excluding domestic consumers, to enable appropriate management of reactive power across the distribution network. Such a measure will not only strengthen system efficiency but also protect the interests of consumers who efficiently maintain their power factor, ensuring a fair and equitable billing framework.</w:t>
      </w:r>
    </w:p>
    <w:p w14:paraId="40ECD2E7" w14:textId="77777777" w:rsidR="007C7C0F" w:rsidRPr="007C7C0F" w:rsidRDefault="007C7C0F" w:rsidP="007C7C0F">
      <w:pPr>
        <w:ind w:left="360"/>
        <w:rPr>
          <w:rFonts w:asciiTheme="majorHAnsi" w:hAnsiTheme="majorHAnsi" w:cs="Calibri"/>
          <w:b/>
          <w:bCs/>
          <w:i/>
          <w:color w:val="000000"/>
          <w:lang w:val="en-IN"/>
        </w:rPr>
      </w:pPr>
    </w:p>
    <w:p w14:paraId="42F5EF08" w14:textId="62096B59" w:rsidR="007C7C0F" w:rsidRPr="00CF6A62" w:rsidRDefault="007C7C0F" w:rsidP="00CF6A62">
      <w:pPr>
        <w:pStyle w:val="ListParagraph"/>
        <w:numPr>
          <w:ilvl w:val="1"/>
          <w:numId w:val="1"/>
        </w:numPr>
        <w:rPr>
          <w:rFonts w:asciiTheme="majorHAnsi" w:hAnsiTheme="majorHAnsi"/>
          <w:b/>
          <w:sz w:val="24"/>
          <w:szCs w:val="24"/>
        </w:rPr>
      </w:pPr>
      <w:bookmarkStart w:id="310" w:name="_Toc183804583"/>
      <w:r w:rsidRPr="005B7D92">
        <w:rPr>
          <w:rFonts w:asciiTheme="majorHAnsi" w:hAnsiTheme="majorHAnsi"/>
          <w:b/>
          <w:sz w:val="24"/>
          <w:szCs w:val="24"/>
        </w:rPr>
        <w:t>Allocation of Green Power to industries having CGP</w:t>
      </w:r>
      <w:bookmarkEnd w:id="310"/>
    </w:p>
    <w:p w14:paraId="6FDFDA33" w14:textId="1E682581" w:rsidR="007C7C0F" w:rsidRPr="007C7C0F" w:rsidRDefault="007C7C0F" w:rsidP="00773505">
      <w:pPr>
        <w:spacing w:before="240" w:line="360" w:lineRule="auto"/>
        <w:ind w:left="360"/>
        <w:jc w:val="both"/>
        <w:rPr>
          <w:rFonts w:asciiTheme="majorHAnsi" w:hAnsiTheme="majorHAnsi" w:cs="Calibri"/>
          <w:bCs/>
          <w:color w:val="000000"/>
        </w:rPr>
      </w:pPr>
      <w:r w:rsidRPr="007C7C0F">
        <w:rPr>
          <w:rFonts w:asciiTheme="majorHAnsi" w:hAnsiTheme="majorHAnsi" w:cs="Calibri"/>
          <w:bCs/>
          <w:color w:val="000000"/>
        </w:rPr>
        <w:t xml:space="preserve">Previously in RST order RE power was permitted to CGP industries with GTP of 25 </w:t>
      </w:r>
      <w:proofErr w:type="spellStart"/>
      <w:r w:rsidRPr="007C7C0F">
        <w:rPr>
          <w:rFonts w:asciiTheme="majorHAnsi" w:hAnsiTheme="majorHAnsi" w:cs="Calibri"/>
          <w:bCs/>
          <w:color w:val="000000"/>
        </w:rPr>
        <w:t>paise</w:t>
      </w:r>
      <w:proofErr w:type="spellEnd"/>
      <w:r w:rsidRPr="007C7C0F">
        <w:rPr>
          <w:rFonts w:asciiTheme="majorHAnsi" w:hAnsiTheme="majorHAnsi" w:cs="Calibri"/>
          <w:bCs/>
          <w:color w:val="000000"/>
        </w:rPr>
        <w:t xml:space="preserve"> per unit. During FY 23-24 the DISCOM has created additional revenue of around Rs.30 </w:t>
      </w:r>
      <w:proofErr w:type="spellStart"/>
      <w:r w:rsidRPr="007C7C0F">
        <w:rPr>
          <w:rFonts w:asciiTheme="majorHAnsi" w:hAnsiTheme="majorHAnsi" w:cs="Calibri"/>
          <w:bCs/>
          <w:color w:val="000000"/>
        </w:rPr>
        <w:t>Crs</w:t>
      </w:r>
      <w:proofErr w:type="spellEnd"/>
      <w:r w:rsidR="00CF6A62">
        <w:rPr>
          <w:rFonts w:asciiTheme="majorHAnsi" w:hAnsiTheme="majorHAnsi" w:cs="Calibri"/>
          <w:bCs/>
          <w:color w:val="000000"/>
        </w:rPr>
        <w:t>.</w:t>
      </w:r>
      <w:r w:rsidRPr="007C7C0F">
        <w:rPr>
          <w:rFonts w:asciiTheme="majorHAnsi" w:hAnsiTheme="majorHAnsi" w:cs="Calibri"/>
          <w:bCs/>
          <w:color w:val="000000"/>
        </w:rPr>
        <w:t xml:space="preserve"> out of the same through allocating RE power. </w:t>
      </w:r>
    </w:p>
    <w:p w14:paraId="79C2BDA0" w14:textId="4C3ED285" w:rsidR="007C7C0F" w:rsidRPr="007C7C0F" w:rsidRDefault="007C7C0F" w:rsidP="00773505">
      <w:pPr>
        <w:spacing w:before="240" w:line="360" w:lineRule="auto"/>
        <w:ind w:left="360"/>
        <w:jc w:val="both"/>
        <w:rPr>
          <w:rFonts w:asciiTheme="majorHAnsi" w:hAnsiTheme="majorHAnsi" w:cs="Calibri"/>
          <w:bCs/>
          <w:color w:val="000000"/>
        </w:rPr>
      </w:pPr>
      <w:r w:rsidRPr="007C7C0F">
        <w:rPr>
          <w:rFonts w:asciiTheme="majorHAnsi" w:hAnsiTheme="majorHAnsi" w:cs="Calibri"/>
          <w:bCs/>
          <w:color w:val="000000"/>
        </w:rPr>
        <w:t>Now during current year</w:t>
      </w:r>
      <w:r w:rsidR="00CF6A62">
        <w:rPr>
          <w:rFonts w:asciiTheme="majorHAnsi" w:hAnsiTheme="majorHAnsi" w:cs="Calibri"/>
          <w:bCs/>
          <w:color w:val="000000"/>
        </w:rPr>
        <w:t>,</w:t>
      </w:r>
      <w:r w:rsidRPr="007C7C0F">
        <w:rPr>
          <w:rFonts w:asciiTheme="majorHAnsi" w:hAnsiTheme="majorHAnsi" w:cs="Calibri"/>
          <w:bCs/>
          <w:color w:val="000000"/>
        </w:rPr>
        <w:t xml:space="preserve"> the Hon’ble Commission vide para 241 has disallowed RE power to CGP industries. But, at the same time the Hon’ble Commission in the Bulk Supply Tariff Order for FY 24-25 vide para 328 has permitted GRIDCO to allocate RE Power to the DISCOMs in proportion to their estimated total energy requirement for FY 24-25. For FY 24-25, Renewable Energy of 3580.62 MU is available to GRIDCO, out of total power 37540 MU which is within 10%. Also, as per RST Order, 11</w:t>
      </w:r>
      <w:r w:rsidR="009C1664">
        <w:rPr>
          <w:rFonts w:asciiTheme="majorHAnsi" w:hAnsiTheme="majorHAnsi" w:cs="Calibri"/>
          <w:bCs/>
          <w:color w:val="000000"/>
        </w:rPr>
        <w:t>38.85</w:t>
      </w:r>
      <w:r w:rsidRPr="007C7C0F">
        <w:rPr>
          <w:rFonts w:asciiTheme="majorHAnsi" w:hAnsiTheme="majorHAnsi" w:cs="Calibri"/>
          <w:bCs/>
          <w:color w:val="000000"/>
        </w:rPr>
        <w:t xml:space="preserve"> MU RE Power has been allocated to TP</w:t>
      </w:r>
      <w:r w:rsidR="009C1664">
        <w:rPr>
          <w:rFonts w:asciiTheme="majorHAnsi" w:hAnsiTheme="majorHAnsi" w:cs="Calibri"/>
          <w:bCs/>
          <w:color w:val="000000"/>
        </w:rPr>
        <w:t>W</w:t>
      </w:r>
      <w:r w:rsidRPr="007C7C0F">
        <w:rPr>
          <w:rFonts w:asciiTheme="majorHAnsi" w:hAnsiTheme="majorHAnsi" w:cs="Calibri"/>
          <w:bCs/>
          <w:color w:val="000000"/>
        </w:rPr>
        <w:t>ODL against its total approved input of 1</w:t>
      </w:r>
      <w:r w:rsidR="009C1664">
        <w:rPr>
          <w:rFonts w:asciiTheme="majorHAnsi" w:hAnsiTheme="majorHAnsi" w:cs="Calibri"/>
          <w:bCs/>
          <w:color w:val="000000"/>
        </w:rPr>
        <w:t>1940</w:t>
      </w:r>
      <w:r w:rsidRPr="007C7C0F">
        <w:rPr>
          <w:rFonts w:asciiTheme="majorHAnsi" w:hAnsiTheme="majorHAnsi" w:cs="Calibri"/>
          <w:bCs/>
          <w:color w:val="000000"/>
        </w:rPr>
        <w:t xml:space="preserve"> MU. Accordingly, GRIDCO is allocating RE Power monthly to the DISCOMs on actual basis. </w:t>
      </w:r>
    </w:p>
    <w:p w14:paraId="3EF1A0EE" w14:textId="246DE8BE" w:rsidR="007C7C0F" w:rsidRDefault="007C7C0F" w:rsidP="00773505">
      <w:pPr>
        <w:spacing w:before="240" w:line="360" w:lineRule="auto"/>
        <w:ind w:left="360"/>
        <w:jc w:val="both"/>
        <w:rPr>
          <w:rFonts w:asciiTheme="majorHAnsi" w:hAnsiTheme="majorHAnsi" w:cs="Calibri"/>
          <w:bCs/>
          <w:color w:val="000000"/>
        </w:rPr>
      </w:pPr>
      <w:r w:rsidRPr="007C7C0F">
        <w:rPr>
          <w:rFonts w:asciiTheme="majorHAnsi" w:hAnsiTheme="majorHAnsi" w:cs="Calibri"/>
          <w:bCs/>
          <w:color w:val="000000"/>
        </w:rPr>
        <w:t xml:space="preserve">Hon’ble Commission in the RST Order FY 24-25 has directed that Consumers desiring to avail 100% RE Power has to pay Green Tariff Premium (GTP) of 20 </w:t>
      </w:r>
      <w:proofErr w:type="spellStart"/>
      <w:r w:rsidRPr="007C7C0F">
        <w:rPr>
          <w:rFonts w:asciiTheme="majorHAnsi" w:hAnsiTheme="majorHAnsi" w:cs="Calibri"/>
          <w:bCs/>
          <w:color w:val="000000"/>
        </w:rPr>
        <w:t>paise</w:t>
      </w:r>
      <w:proofErr w:type="spellEnd"/>
      <w:r w:rsidRPr="007C7C0F">
        <w:rPr>
          <w:rFonts w:asciiTheme="majorHAnsi" w:hAnsiTheme="majorHAnsi" w:cs="Calibri"/>
          <w:bCs/>
          <w:color w:val="000000"/>
        </w:rPr>
        <w:t xml:space="preserve">/unit. However, this facility is not permitted to CGP Industries. Now, some of the Consumers/Industries are requesting the DISCOM to certify the quantum of RE Power included in their monthly consumption within their Contract Demand. </w:t>
      </w:r>
    </w:p>
    <w:p w14:paraId="12B0D047" w14:textId="63CFD981" w:rsidR="009C1664" w:rsidRPr="009C1664" w:rsidRDefault="009C1664" w:rsidP="00773505">
      <w:pPr>
        <w:spacing w:before="240" w:line="360" w:lineRule="auto"/>
        <w:ind w:left="360"/>
        <w:jc w:val="both"/>
        <w:rPr>
          <w:rFonts w:asciiTheme="majorHAnsi" w:hAnsiTheme="majorHAnsi" w:cs="Calibri"/>
          <w:bCs/>
          <w:color w:val="000000"/>
        </w:rPr>
      </w:pPr>
      <w:r w:rsidRPr="009C1664">
        <w:rPr>
          <w:rFonts w:asciiTheme="majorHAnsi" w:hAnsiTheme="majorHAnsi" w:cs="Calibri"/>
          <w:bCs/>
          <w:color w:val="000000"/>
        </w:rPr>
        <w:t xml:space="preserve">In light of the above, the Licensee humbly prays that the Hon’ble Commission permit the DISCOM to intimate the quantum of RE power included in the monthly consumption of all consumers/industries, including CGP-based industries, based on the actual RE allocation received from GRIDCO. For CGP industries, </w:t>
      </w:r>
      <w:r w:rsidR="0076667C">
        <w:rPr>
          <w:rFonts w:asciiTheme="majorHAnsi" w:hAnsiTheme="majorHAnsi" w:cs="Calibri"/>
          <w:bCs/>
          <w:color w:val="000000"/>
        </w:rPr>
        <w:t xml:space="preserve">the quantum of RE Power consumed from DISCOM </w:t>
      </w:r>
      <w:r w:rsidRPr="009C1664">
        <w:rPr>
          <w:rFonts w:asciiTheme="majorHAnsi" w:hAnsiTheme="majorHAnsi" w:cs="Calibri"/>
          <w:bCs/>
          <w:color w:val="000000"/>
        </w:rPr>
        <w:t>may</w:t>
      </w:r>
      <w:r w:rsidR="0076667C">
        <w:rPr>
          <w:rFonts w:asciiTheme="majorHAnsi" w:hAnsiTheme="majorHAnsi" w:cs="Calibri"/>
          <w:bCs/>
          <w:color w:val="000000"/>
        </w:rPr>
        <w:t xml:space="preserve"> </w:t>
      </w:r>
      <w:r w:rsidRPr="009C1664">
        <w:rPr>
          <w:rFonts w:asciiTheme="majorHAnsi" w:hAnsiTheme="majorHAnsi" w:cs="Calibri"/>
          <w:bCs/>
          <w:color w:val="000000"/>
        </w:rPr>
        <w:t>be considered towards fulfilment of their Renewable Purchase Obligation (RPO).</w:t>
      </w:r>
    </w:p>
    <w:p w14:paraId="6B776FA4" w14:textId="5152F351" w:rsidR="007C7C0F" w:rsidRPr="007C7C0F" w:rsidRDefault="009C1664" w:rsidP="00773505">
      <w:pPr>
        <w:spacing w:before="240" w:line="360" w:lineRule="auto"/>
        <w:ind w:left="360"/>
        <w:jc w:val="both"/>
        <w:rPr>
          <w:rFonts w:asciiTheme="majorHAnsi" w:hAnsiTheme="majorHAnsi" w:cs="Calibri"/>
        </w:rPr>
      </w:pPr>
      <w:r w:rsidRPr="009C1664">
        <w:rPr>
          <w:rFonts w:asciiTheme="majorHAnsi" w:hAnsiTheme="majorHAnsi" w:cs="Calibri"/>
          <w:bCs/>
          <w:color w:val="000000"/>
        </w:rPr>
        <w:t xml:space="preserve">At present, the GTP for consumers availing 100% green power is fixed at 20 </w:t>
      </w:r>
      <w:proofErr w:type="spellStart"/>
      <w:r w:rsidRPr="009C1664">
        <w:rPr>
          <w:rFonts w:asciiTheme="majorHAnsi" w:hAnsiTheme="majorHAnsi" w:cs="Calibri"/>
          <w:bCs/>
          <w:color w:val="000000"/>
        </w:rPr>
        <w:t>paise</w:t>
      </w:r>
      <w:proofErr w:type="spellEnd"/>
      <w:r w:rsidRPr="009C1664">
        <w:rPr>
          <w:rFonts w:asciiTheme="majorHAnsi" w:hAnsiTheme="majorHAnsi" w:cs="Calibri"/>
          <w:bCs/>
          <w:color w:val="000000"/>
        </w:rPr>
        <w:t xml:space="preserve">/unit. Considering that CGP industries would not be allowed to claim RPO benefits on such consumption, the Licensee submits that RE power, as actually allocated to the DISCOM by GRIDCO on a month-to-month basis, may be permitted to be supplied to CGP industries at a reduced GTP of 10 </w:t>
      </w:r>
      <w:proofErr w:type="spellStart"/>
      <w:r w:rsidRPr="009C1664">
        <w:rPr>
          <w:rFonts w:asciiTheme="majorHAnsi" w:hAnsiTheme="majorHAnsi" w:cs="Calibri"/>
          <w:bCs/>
          <w:color w:val="000000"/>
        </w:rPr>
        <w:t>paise</w:t>
      </w:r>
      <w:proofErr w:type="spellEnd"/>
      <w:r w:rsidRPr="009C1664">
        <w:rPr>
          <w:rFonts w:asciiTheme="majorHAnsi" w:hAnsiTheme="majorHAnsi" w:cs="Calibri"/>
          <w:bCs/>
          <w:color w:val="000000"/>
        </w:rPr>
        <w:t xml:space="preserve">/unit. Furthermore, in the event that any DISCOM is left with </w:t>
      </w:r>
      <w:r w:rsidR="00DF025B" w:rsidRPr="009C1664">
        <w:rPr>
          <w:rFonts w:asciiTheme="majorHAnsi" w:hAnsiTheme="majorHAnsi" w:cs="Calibri"/>
          <w:bCs/>
          <w:color w:val="000000"/>
        </w:rPr>
        <w:t>unutilized</w:t>
      </w:r>
      <w:r w:rsidRPr="009C1664">
        <w:rPr>
          <w:rFonts w:asciiTheme="majorHAnsi" w:hAnsiTheme="majorHAnsi" w:cs="Calibri"/>
          <w:bCs/>
          <w:color w:val="000000"/>
        </w:rPr>
        <w:t xml:space="preserve"> RE power, the Licensee prays that such unsold RE power may be allowed to be reallocated to other DISCOMs desiring to supply the same to their consumers.</w:t>
      </w:r>
    </w:p>
    <w:p w14:paraId="0CC5E9DD" w14:textId="77777777" w:rsidR="007C7C0F" w:rsidRPr="007C7C0F" w:rsidRDefault="007C7C0F" w:rsidP="007C7C0F">
      <w:pPr>
        <w:rPr>
          <w:rFonts w:asciiTheme="majorHAnsi" w:hAnsiTheme="majorHAnsi" w:cs="Calibri"/>
        </w:rPr>
      </w:pPr>
    </w:p>
    <w:p w14:paraId="46C1A008" w14:textId="4F076CFC" w:rsidR="007C7C0F" w:rsidRPr="0076667C" w:rsidRDefault="007C7C0F" w:rsidP="00927C31">
      <w:pPr>
        <w:pStyle w:val="ListParagraph"/>
        <w:numPr>
          <w:ilvl w:val="1"/>
          <w:numId w:val="1"/>
        </w:numPr>
        <w:rPr>
          <w:rFonts w:asciiTheme="majorHAnsi" w:hAnsiTheme="majorHAnsi"/>
          <w:b/>
          <w:sz w:val="24"/>
          <w:szCs w:val="24"/>
        </w:rPr>
      </w:pPr>
      <w:bookmarkStart w:id="311" w:name="_Toc183804587"/>
      <w:r w:rsidRPr="0076667C">
        <w:rPr>
          <w:rFonts w:asciiTheme="majorHAnsi" w:hAnsiTheme="majorHAnsi"/>
          <w:b/>
          <w:sz w:val="24"/>
          <w:szCs w:val="24"/>
        </w:rPr>
        <w:t>Minimum Contract Demand for the industries having CGP.</w:t>
      </w:r>
      <w:bookmarkEnd w:id="311"/>
    </w:p>
    <w:p w14:paraId="43DFAB80" w14:textId="73BC61D8" w:rsidR="00475628" w:rsidRDefault="00475628" w:rsidP="00773505">
      <w:pPr>
        <w:spacing w:before="240" w:line="360" w:lineRule="auto"/>
        <w:ind w:left="360"/>
        <w:jc w:val="both"/>
        <w:rPr>
          <w:rFonts w:asciiTheme="majorHAnsi" w:hAnsiTheme="majorHAnsi" w:cs="Calibri"/>
          <w:bCs/>
          <w:color w:val="000000"/>
        </w:rPr>
      </w:pPr>
      <w:r w:rsidRPr="00475628">
        <w:rPr>
          <w:rFonts w:asciiTheme="majorHAnsi" w:hAnsiTheme="majorHAnsi" w:cs="Calibri"/>
          <w:bCs/>
          <w:color w:val="000000"/>
        </w:rPr>
        <w:t>Presently, there are more than 80 industries across Odisha, those who have CGP. They have established their CGP considering their load and business requirement</w:t>
      </w:r>
      <w:r w:rsidR="00E90D43">
        <w:rPr>
          <w:rFonts w:asciiTheme="majorHAnsi" w:hAnsiTheme="majorHAnsi" w:cs="Calibri"/>
          <w:bCs/>
          <w:color w:val="000000"/>
        </w:rPr>
        <w:t xml:space="preserve">, </w:t>
      </w:r>
      <w:r w:rsidRPr="00475628">
        <w:rPr>
          <w:rFonts w:asciiTheme="majorHAnsi" w:hAnsiTheme="majorHAnsi" w:cs="Calibri"/>
          <w:bCs/>
          <w:color w:val="000000"/>
        </w:rPr>
        <w:t xml:space="preserve">while doing so they are also keeping CD with DISCOM for additional requirements or occasional requirement. As the power market is moving towards different dimensions on year to basis with generation mix and has business impact commensurate with changed law, DISCOM has to equip itself to satisfy the customer as per their requirement with sustainable and affordable tariff. In this process, now it is observed </w:t>
      </w:r>
      <w:r>
        <w:rPr>
          <w:rFonts w:asciiTheme="majorHAnsi" w:hAnsiTheme="majorHAnsi" w:cs="Calibri"/>
          <w:bCs/>
          <w:color w:val="000000"/>
        </w:rPr>
        <w:t xml:space="preserve">that initiatives </w:t>
      </w:r>
      <w:r w:rsidRPr="00475628">
        <w:rPr>
          <w:rFonts w:asciiTheme="majorHAnsi" w:hAnsiTheme="majorHAnsi" w:cs="Calibri"/>
          <w:bCs/>
          <w:color w:val="000000"/>
        </w:rPr>
        <w:t>to protect the interest of industrial consumers, particularly industries, having CGP is affecting the other subsidized consumers of the State.</w:t>
      </w:r>
    </w:p>
    <w:p w14:paraId="69912FDF" w14:textId="4A064896" w:rsidR="00475628" w:rsidRDefault="00475628" w:rsidP="00773505">
      <w:pPr>
        <w:spacing w:before="240" w:line="360" w:lineRule="auto"/>
        <w:ind w:left="360"/>
        <w:jc w:val="both"/>
        <w:rPr>
          <w:rFonts w:ascii="Cambria" w:hAnsi="Cambria" w:cs="Calibri"/>
          <w:bCs/>
          <w:color w:val="000000"/>
        </w:rPr>
      </w:pPr>
      <w:r>
        <w:rPr>
          <w:rFonts w:asciiTheme="majorHAnsi" w:hAnsiTheme="majorHAnsi" w:cs="Calibri"/>
          <w:bCs/>
          <w:color w:val="000000"/>
        </w:rPr>
        <w:t xml:space="preserve">As these industries </w:t>
      </w:r>
      <w:r w:rsidRPr="00475628">
        <w:rPr>
          <w:rFonts w:asciiTheme="majorHAnsi" w:hAnsiTheme="majorHAnsi" w:cs="Calibri"/>
          <w:bCs/>
          <w:color w:val="000000"/>
        </w:rPr>
        <w:t>are synchronized with the STU or DISCOMs network keeping a CD as per their choice and drawing power as and when required particularly in peak</w:t>
      </w:r>
      <w:r>
        <w:rPr>
          <w:rFonts w:asciiTheme="majorHAnsi" w:hAnsiTheme="majorHAnsi" w:cs="Calibri"/>
          <w:bCs/>
          <w:color w:val="000000"/>
        </w:rPr>
        <w:t xml:space="preserve"> hours</w:t>
      </w:r>
      <w:r w:rsidR="00332919">
        <w:rPr>
          <w:rFonts w:asciiTheme="majorHAnsi" w:hAnsiTheme="majorHAnsi" w:cs="Calibri"/>
          <w:bCs/>
          <w:color w:val="000000"/>
        </w:rPr>
        <w:t xml:space="preserve"> </w:t>
      </w:r>
      <w:r w:rsidR="00332919" w:rsidRPr="009E761B">
        <w:rPr>
          <w:rFonts w:ascii="Cambria" w:hAnsi="Cambria" w:cs="Calibri"/>
          <w:bCs/>
          <w:color w:val="000000"/>
        </w:rPr>
        <w:t>or when market cost is higher</w:t>
      </w:r>
      <w:r w:rsidR="00332919">
        <w:rPr>
          <w:rFonts w:ascii="Cambria" w:hAnsi="Cambria" w:cs="Calibri"/>
          <w:bCs/>
          <w:color w:val="000000"/>
        </w:rPr>
        <w:t xml:space="preserve"> </w:t>
      </w:r>
      <w:r w:rsidR="00332919" w:rsidRPr="00332919">
        <w:rPr>
          <w:rFonts w:ascii="Cambria" w:hAnsi="Cambria" w:cs="Calibri"/>
          <w:bCs/>
          <w:color w:val="000000"/>
        </w:rPr>
        <w:t>is not only affecting DISCOM</w:t>
      </w:r>
      <w:r w:rsidR="00332919">
        <w:rPr>
          <w:rFonts w:ascii="Cambria" w:hAnsi="Cambria" w:cs="Calibri"/>
          <w:bCs/>
          <w:color w:val="000000"/>
        </w:rPr>
        <w:t xml:space="preserve"> but also is posing </w:t>
      </w:r>
      <w:r w:rsidR="00332919" w:rsidRPr="00332919">
        <w:rPr>
          <w:rFonts w:ascii="Cambria" w:hAnsi="Cambria" w:cs="Calibri"/>
          <w:bCs/>
          <w:color w:val="000000"/>
        </w:rPr>
        <w:t xml:space="preserve">an adverse impact on the power procurement plan of GRIDCO. Because of such behavior of the industry high-cost power is being sourced which could have been better procured with competitive tariff. Similarly, commensurate with their CD and </w:t>
      </w:r>
      <w:proofErr w:type="spellStart"/>
      <w:r w:rsidR="00332919" w:rsidRPr="00332919">
        <w:rPr>
          <w:rFonts w:ascii="Cambria" w:hAnsi="Cambria" w:cs="Calibri"/>
          <w:bCs/>
          <w:color w:val="000000"/>
        </w:rPr>
        <w:t>drawal</w:t>
      </w:r>
      <w:proofErr w:type="spellEnd"/>
      <w:r w:rsidR="00332919" w:rsidRPr="00332919">
        <w:rPr>
          <w:rFonts w:ascii="Cambria" w:hAnsi="Cambria" w:cs="Calibri"/>
          <w:bCs/>
          <w:color w:val="000000"/>
        </w:rPr>
        <w:t xml:space="preserve"> behavior, DISCOM is planning power requirement in its ARR and load forecasting proposal, but when it comes to the actual the scenario is just</w:t>
      </w:r>
      <w:r w:rsidR="00332919">
        <w:rPr>
          <w:rFonts w:ascii="Cambria" w:hAnsi="Cambria" w:cs="Calibri"/>
          <w:bCs/>
          <w:color w:val="000000"/>
        </w:rPr>
        <w:t xml:space="preserve"> going haphazardly.</w:t>
      </w:r>
    </w:p>
    <w:p w14:paraId="6E1B7DE7" w14:textId="04E15357" w:rsidR="00332919" w:rsidRDefault="00332919" w:rsidP="00773505">
      <w:pPr>
        <w:spacing w:before="240" w:line="360" w:lineRule="auto"/>
        <w:ind w:left="360"/>
        <w:jc w:val="both"/>
        <w:rPr>
          <w:rFonts w:asciiTheme="majorHAnsi" w:hAnsiTheme="majorHAnsi" w:cs="Calibri"/>
          <w:bCs/>
          <w:color w:val="000000"/>
        </w:rPr>
      </w:pPr>
      <w:r w:rsidRPr="00332919">
        <w:rPr>
          <w:rFonts w:asciiTheme="majorHAnsi" w:hAnsiTheme="majorHAnsi" w:cs="Calibri"/>
          <w:bCs/>
          <w:color w:val="000000"/>
        </w:rPr>
        <w:t>When all the DISCOMs are serving more than 95 lakhs of other category of consumers who are being under subsidized segment it is becoming unviable to sustain with higher BSP. Therefore, Hon’ble Commission is requested to think upon and adopt suitable mechanism in the tariff structure for such industries to protect the power sector distribution segment in the</w:t>
      </w:r>
      <w:r>
        <w:rPr>
          <w:rFonts w:asciiTheme="majorHAnsi" w:hAnsiTheme="majorHAnsi" w:cs="Calibri"/>
          <w:bCs/>
          <w:color w:val="000000"/>
        </w:rPr>
        <w:t xml:space="preserve"> larger </w:t>
      </w:r>
      <w:r w:rsidRPr="00332919">
        <w:rPr>
          <w:rFonts w:asciiTheme="majorHAnsi" w:hAnsiTheme="majorHAnsi" w:cs="Calibri"/>
          <w:bCs/>
          <w:color w:val="000000"/>
        </w:rPr>
        <w:t>interest of such domestic and irrigation consumers.</w:t>
      </w:r>
    </w:p>
    <w:p w14:paraId="5346DEFC" w14:textId="7DEA3D9F" w:rsidR="00332919" w:rsidRDefault="00332919" w:rsidP="00773505">
      <w:pPr>
        <w:spacing w:before="240" w:line="360" w:lineRule="auto"/>
        <w:ind w:left="360"/>
        <w:jc w:val="both"/>
        <w:rPr>
          <w:rFonts w:asciiTheme="majorHAnsi" w:hAnsiTheme="majorHAnsi" w:cs="Calibri"/>
          <w:bCs/>
          <w:color w:val="000000"/>
        </w:rPr>
      </w:pPr>
      <w:r w:rsidRPr="00332919">
        <w:rPr>
          <w:rFonts w:asciiTheme="majorHAnsi" w:hAnsiTheme="majorHAnsi" w:cs="Calibri"/>
          <w:bCs/>
          <w:color w:val="000000"/>
        </w:rPr>
        <w:t>Therefore, the licensee proposes the following</w:t>
      </w:r>
      <w:r>
        <w:rPr>
          <w:rFonts w:asciiTheme="majorHAnsi" w:hAnsiTheme="majorHAnsi" w:cs="Calibri"/>
          <w:bCs/>
          <w:color w:val="000000"/>
        </w:rPr>
        <w:t xml:space="preserve"> </w:t>
      </w:r>
      <w:r w:rsidRPr="00332919">
        <w:rPr>
          <w:rFonts w:asciiTheme="majorHAnsi" w:hAnsiTheme="majorHAnsi" w:cs="Calibri"/>
          <w:bCs/>
          <w:color w:val="000000"/>
        </w:rPr>
        <w:t>for consideration of Hon’ble Commission that the Contract Demand (CD) should not be</w:t>
      </w:r>
      <w:r>
        <w:rPr>
          <w:rFonts w:asciiTheme="majorHAnsi" w:hAnsiTheme="majorHAnsi" w:cs="Calibri"/>
          <w:bCs/>
          <w:color w:val="000000"/>
        </w:rPr>
        <w:t xml:space="preserve"> a choice </w:t>
      </w:r>
      <w:r w:rsidRPr="00332919">
        <w:rPr>
          <w:rFonts w:asciiTheme="majorHAnsi" w:hAnsiTheme="majorHAnsi" w:cs="Calibri"/>
          <w:bCs/>
          <w:color w:val="000000"/>
        </w:rPr>
        <w:t>rather it has to be minimum of 10% of highest installed</w:t>
      </w:r>
      <w:r>
        <w:rPr>
          <w:rFonts w:asciiTheme="majorHAnsi" w:hAnsiTheme="majorHAnsi" w:cs="Calibri"/>
          <w:bCs/>
          <w:color w:val="000000"/>
        </w:rPr>
        <w:t xml:space="preserve"> unit capacity rating of the generating station.</w:t>
      </w:r>
    </w:p>
    <w:p w14:paraId="31BF1AB2" w14:textId="77777777" w:rsidR="007C7C0F" w:rsidRPr="007C7C0F" w:rsidRDefault="007C7C0F" w:rsidP="007C7C0F">
      <w:pPr>
        <w:rPr>
          <w:rFonts w:asciiTheme="majorHAnsi" w:hAnsiTheme="majorHAnsi" w:cs="Calibri"/>
        </w:rPr>
      </w:pPr>
    </w:p>
    <w:p w14:paraId="5FD9F2D6" w14:textId="27536B8D" w:rsidR="007C7C0F" w:rsidRPr="002D6153" w:rsidRDefault="007C7C0F" w:rsidP="00927C31">
      <w:pPr>
        <w:pStyle w:val="ListParagraph"/>
        <w:numPr>
          <w:ilvl w:val="1"/>
          <w:numId w:val="1"/>
        </w:numPr>
        <w:rPr>
          <w:rFonts w:asciiTheme="majorHAnsi" w:hAnsiTheme="majorHAnsi" w:cs="Calibri"/>
          <w:b/>
          <w:sz w:val="24"/>
          <w:szCs w:val="24"/>
        </w:rPr>
      </w:pPr>
      <w:bookmarkStart w:id="312" w:name="_Toc183804596"/>
      <w:r w:rsidRPr="002D6153">
        <w:rPr>
          <w:rFonts w:asciiTheme="majorHAnsi" w:hAnsiTheme="majorHAnsi" w:cs="Calibri"/>
          <w:b/>
          <w:sz w:val="24"/>
          <w:szCs w:val="24"/>
        </w:rPr>
        <w:t>Installation of Smart Meter under Capex and abolition of meter rent</w:t>
      </w:r>
      <w:bookmarkEnd w:id="312"/>
      <w:r w:rsidRPr="002D6153">
        <w:rPr>
          <w:rFonts w:asciiTheme="majorHAnsi" w:hAnsiTheme="majorHAnsi" w:cs="Calibri"/>
          <w:b/>
          <w:sz w:val="24"/>
          <w:szCs w:val="24"/>
        </w:rPr>
        <w:t xml:space="preserve"> for consumers above 2KW.</w:t>
      </w:r>
    </w:p>
    <w:p w14:paraId="25F288FC" w14:textId="095665A3" w:rsidR="002D6153" w:rsidRDefault="00332919" w:rsidP="00773505">
      <w:pPr>
        <w:spacing w:before="240" w:line="360" w:lineRule="auto"/>
        <w:ind w:left="360"/>
        <w:jc w:val="both"/>
        <w:rPr>
          <w:rFonts w:asciiTheme="majorHAnsi" w:hAnsiTheme="majorHAnsi" w:cs="Calibri"/>
          <w:bCs/>
          <w:color w:val="000000"/>
        </w:rPr>
      </w:pPr>
      <w:r w:rsidRPr="00332919">
        <w:rPr>
          <w:rFonts w:asciiTheme="majorHAnsi" w:hAnsiTheme="majorHAnsi" w:cs="Calibri"/>
          <w:bCs/>
          <w:color w:val="000000"/>
        </w:rPr>
        <w:t xml:space="preserve">Hon’ble Commission in </w:t>
      </w:r>
      <w:proofErr w:type="spellStart"/>
      <w:r w:rsidRPr="00332919">
        <w:rPr>
          <w:rFonts w:asciiTheme="majorHAnsi" w:hAnsiTheme="majorHAnsi" w:cs="Calibri"/>
          <w:bCs/>
          <w:color w:val="000000"/>
        </w:rPr>
        <w:t>it’s</w:t>
      </w:r>
      <w:proofErr w:type="spellEnd"/>
      <w:r w:rsidRPr="00332919">
        <w:rPr>
          <w:rFonts w:asciiTheme="majorHAnsi" w:hAnsiTheme="majorHAnsi" w:cs="Calibri"/>
          <w:bCs/>
          <w:color w:val="000000"/>
        </w:rPr>
        <w:t xml:space="preserve"> previous Tariff Order for FY 2025-26 has waived off the meter rent for the Consumers with Smart Meter having CD up to 2 kW as the Government will provide capital grant including unrecovered meter rent for installation of Smart Meters for such group of consumers. Accordingly, the licensee is not charging any Meter rent from such group of Consumers. However, the methodology for recovery of Capital Expenditure and unrecovered Meter Rent from Government is yet to be notified. Therefore, the licensee requests Hon’ble Commission to notify the methodology for recovery of Capital Expenditure and unrecovered Meter Rent from Government. Further, the licensee requests Hon’ble Commission for extending the provision for waiver of Meter Rent for Consumers having Smart Meter with CD &gt; 2 kW.</w:t>
      </w:r>
      <w:r w:rsidR="002D6153">
        <w:rPr>
          <w:rFonts w:asciiTheme="majorHAnsi" w:hAnsiTheme="majorHAnsi" w:cs="Calibri"/>
          <w:bCs/>
          <w:color w:val="000000"/>
        </w:rPr>
        <w:t xml:space="preserve"> </w:t>
      </w:r>
    </w:p>
    <w:p w14:paraId="707AB81E" w14:textId="77777777" w:rsidR="007C7C0F" w:rsidRPr="007C7C0F" w:rsidRDefault="007C7C0F" w:rsidP="007C7C0F">
      <w:pPr>
        <w:rPr>
          <w:rFonts w:asciiTheme="majorHAnsi" w:hAnsiTheme="majorHAnsi" w:cs="Calibri"/>
        </w:rPr>
      </w:pPr>
    </w:p>
    <w:p w14:paraId="2EF64498" w14:textId="504897FA" w:rsidR="007C7C0F" w:rsidRPr="007C7C0F" w:rsidRDefault="007C7C0F" w:rsidP="005B7D92">
      <w:pPr>
        <w:pStyle w:val="ListParagraph"/>
        <w:numPr>
          <w:ilvl w:val="1"/>
          <w:numId w:val="1"/>
        </w:numPr>
        <w:rPr>
          <w:rFonts w:asciiTheme="majorHAnsi" w:hAnsiTheme="majorHAnsi" w:cs="Calibri"/>
          <w:b/>
          <w:bCs/>
          <w:sz w:val="24"/>
          <w:szCs w:val="24"/>
          <w:lang w:val="en-IN"/>
        </w:rPr>
      </w:pPr>
      <w:r w:rsidRPr="007C7C0F">
        <w:rPr>
          <w:rFonts w:asciiTheme="majorHAnsi" w:hAnsiTheme="majorHAnsi" w:cs="Calibri"/>
          <w:b/>
          <w:bCs/>
          <w:sz w:val="24"/>
          <w:szCs w:val="24"/>
        </w:rPr>
        <w:t xml:space="preserve">Amnesty scheme for clearance of Arrears </w:t>
      </w:r>
      <w:r w:rsidR="003511CB">
        <w:rPr>
          <w:rFonts w:asciiTheme="majorHAnsi" w:hAnsiTheme="majorHAnsi" w:cs="Calibri"/>
          <w:b/>
          <w:bCs/>
          <w:sz w:val="24"/>
          <w:szCs w:val="24"/>
        </w:rPr>
        <w:t>of Pre-Vesting Period</w:t>
      </w:r>
    </w:p>
    <w:p w14:paraId="6D21E1A6" w14:textId="03FB6A04" w:rsidR="003511CB" w:rsidRDefault="003511CB" w:rsidP="00332919">
      <w:pPr>
        <w:spacing w:line="360" w:lineRule="auto"/>
        <w:ind w:left="426"/>
        <w:jc w:val="both"/>
        <w:rPr>
          <w:rFonts w:ascii="Cambria" w:hAnsi="Cambria"/>
        </w:rPr>
      </w:pPr>
      <w:r w:rsidRPr="003511CB">
        <w:rPr>
          <w:rFonts w:ascii="Cambria" w:hAnsi="Cambria"/>
        </w:rPr>
        <w:t>The accumulation of pre</w:t>
      </w:r>
      <w:r>
        <w:rPr>
          <w:rFonts w:ascii="Cambria" w:hAnsi="Cambria"/>
        </w:rPr>
        <w:t>-</w:t>
      </w:r>
      <w:r w:rsidRPr="003511CB">
        <w:rPr>
          <w:rFonts w:ascii="Cambria" w:hAnsi="Cambria"/>
        </w:rPr>
        <w:t>vesting electricity dues across different consumer categories has become a critical concern affecting the financial viability of the electricity sector. The outstanding arrears, compounded over time through the accrual of interest and penalties, have placed a significant burden on both consumers and the GRIDCO. This has adversely impacted the liquidity position and operational efficiency of the sector.</w:t>
      </w:r>
    </w:p>
    <w:p w14:paraId="2B941770" w14:textId="77777777" w:rsidR="003511CB" w:rsidRDefault="003511CB" w:rsidP="00332919">
      <w:pPr>
        <w:spacing w:line="360" w:lineRule="auto"/>
        <w:ind w:left="426"/>
        <w:jc w:val="both"/>
        <w:rPr>
          <w:rFonts w:ascii="Cambria" w:hAnsi="Cambria"/>
        </w:rPr>
      </w:pPr>
    </w:p>
    <w:p w14:paraId="28C536CE" w14:textId="5700F145" w:rsidR="003511CB" w:rsidRDefault="003511CB" w:rsidP="00332919">
      <w:pPr>
        <w:spacing w:line="360" w:lineRule="auto"/>
        <w:ind w:left="426"/>
        <w:jc w:val="both"/>
        <w:rPr>
          <w:rFonts w:ascii="Cambria" w:hAnsi="Cambria"/>
        </w:rPr>
      </w:pPr>
      <w:r w:rsidRPr="003511CB">
        <w:rPr>
          <w:rFonts w:ascii="Cambria" w:hAnsi="Cambria"/>
        </w:rPr>
        <w:t>Given Odisha’s prevailing socio-economic conditions, including variations in consumer payment capacity and regional disparities, the introduction of an Amnesty Arrear Clearance Scheme for pre</w:t>
      </w:r>
      <w:r w:rsidR="000F11D8">
        <w:rPr>
          <w:rFonts w:ascii="Cambria" w:hAnsi="Cambria"/>
        </w:rPr>
        <w:t>-</w:t>
      </w:r>
      <w:r w:rsidRPr="003511CB">
        <w:rPr>
          <w:rFonts w:ascii="Cambria" w:hAnsi="Cambria"/>
        </w:rPr>
        <w:t>vesting period arrears is considered both appropriate and necessary. The scheme would provide genuine consumers an opportunity to settle long-standing dues in a transparent and equitable manner</w:t>
      </w:r>
      <w:r>
        <w:rPr>
          <w:rFonts w:ascii="Cambria" w:hAnsi="Cambria"/>
        </w:rPr>
        <w:t>.</w:t>
      </w:r>
    </w:p>
    <w:p w14:paraId="087A9981" w14:textId="2781A8A2" w:rsidR="003511CB" w:rsidRPr="003511CB" w:rsidRDefault="003511CB" w:rsidP="003511CB">
      <w:pPr>
        <w:spacing w:line="360" w:lineRule="auto"/>
        <w:ind w:left="426"/>
        <w:jc w:val="both"/>
        <w:rPr>
          <w:rFonts w:ascii="Cambria" w:hAnsi="Cambria"/>
        </w:rPr>
      </w:pPr>
      <w:r w:rsidRPr="003511CB">
        <w:rPr>
          <w:rFonts w:ascii="Cambria" w:hAnsi="Cambria"/>
        </w:rPr>
        <w:t>Under the proposed scheme, the realized arrear amount would be beneficial for meeting past liabilities of erstwhile Utilities and in the process interest burden on GRIDCO will be reduced. Dues receivables from erstwhile DISCOMs/ Utilities as on 30.06.2025 is to the tune of Rs.6,425 crore (Principal amount- Rs. 2656.42 Crore + DPS Rs. 3769.02 Crore).  Over the pass</w:t>
      </w:r>
      <w:r w:rsidR="000F11D8">
        <w:rPr>
          <w:rFonts w:ascii="Cambria" w:hAnsi="Cambria"/>
        </w:rPr>
        <w:t>age</w:t>
      </w:r>
      <w:r w:rsidRPr="003511CB">
        <w:rPr>
          <w:rFonts w:ascii="Cambria" w:hAnsi="Cambria"/>
        </w:rPr>
        <w:t xml:space="preserve"> of time the probability of recovery of such arrears will get reduced.</w:t>
      </w:r>
    </w:p>
    <w:p w14:paraId="4E0BA5E4" w14:textId="77777777" w:rsidR="003511CB" w:rsidRDefault="003511CB" w:rsidP="003511CB">
      <w:pPr>
        <w:spacing w:line="360" w:lineRule="auto"/>
        <w:ind w:left="426"/>
        <w:jc w:val="both"/>
        <w:rPr>
          <w:rFonts w:ascii="Cambria" w:hAnsi="Cambria"/>
        </w:rPr>
      </w:pPr>
      <w:r w:rsidRPr="003511CB">
        <w:rPr>
          <w:rFonts w:ascii="Cambria" w:hAnsi="Cambria"/>
        </w:rPr>
        <w:t xml:space="preserve">Therefore, it is need of hours to announce an amnesty scheme after following the due process. </w:t>
      </w:r>
    </w:p>
    <w:p w14:paraId="20D7BFF9" w14:textId="0B33FB11" w:rsidR="003511CB" w:rsidRDefault="003511CB" w:rsidP="003511CB">
      <w:pPr>
        <w:spacing w:line="360" w:lineRule="auto"/>
        <w:ind w:left="426"/>
        <w:jc w:val="both"/>
        <w:rPr>
          <w:rFonts w:ascii="Cambria" w:hAnsi="Cambria"/>
        </w:rPr>
      </w:pPr>
      <w:r w:rsidRPr="003511CB">
        <w:rPr>
          <w:rFonts w:ascii="Cambria" w:hAnsi="Cambria"/>
        </w:rPr>
        <w:t>A separate petition is being filed by D</w:t>
      </w:r>
      <w:r>
        <w:rPr>
          <w:rFonts w:ascii="Cambria" w:hAnsi="Cambria"/>
        </w:rPr>
        <w:t>ISCOM</w:t>
      </w:r>
      <w:r w:rsidRPr="003511CB">
        <w:rPr>
          <w:rFonts w:ascii="Cambria" w:hAnsi="Cambria"/>
        </w:rPr>
        <w:t>s along with GRIDCO. Further, it is proposed that benefit of Principal Waiver and LPSC Waiver should only be provided to consumer who pays 100% post vesting arrears</w:t>
      </w:r>
      <w:r>
        <w:rPr>
          <w:rFonts w:ascii="Cambria" w:hAnsi="Cambria"/>
        </w:rPr>
        <w:t>.</w:t>
      </w:r>
    </w:p>
    <w:p w14:paraId="28F70268" w14:textId="7AB704B9" w:rsidR="007C7C0F" w:rsidRPr="007C7C0F" w:rsidRDefault="007C7C0F" w:rsidP="00332919">
      <w:pPr>
        <w:spacing w:line="360" w:lineRule="auto"/>
        <w:ind w:left="426"/>
        <w:jc w:val="both"/>
        <w:rPr>
          <w:rFonts w:asciiTheme="majorHAnsi" w:hAnsiTheme="majorHAnsi" w:cs="Calibri"/>
          <w:b/>
          <w:bCs/>
          <w:kern w:val="2"/>
        </w:rPr>
      </w:pPr>
    </w:p>
    <w:p w14:paraId="272425A7" w14:textId="77777777" w:rsidR="007C7C0F" w:rsidRPr="007C7C0F" w:rsidRDefault="007C7C0F" w:rsidP="003F32AE">
      <w:pPr>
        <w:pStyle w:val="ListParagraph"/>
        <w:numPr>
          <w:ilvl w:val="1"/>
          <w:numId w:val="1"/>
        </w:numPr>
        <w:rPr>
          <w:rFonts w:asciiTheme="majorHAnsi" w:hAnsiTheme="majorHAnsi" w:cs="Calibri"/>
          <w:b/>
          <w:bCs/>
          <w:sz w:val="24"/>
          <w:szCs w:val="24"/>
        </w:rPr>
      </w:pPr>
      <w:r w:rsidRPr="007C7C0F">
        <w:rPr>
          <w:rFonts w:asciiTheme="majorHAnsi" w:hAnsiTheme="majorHAnsi" w:cs="Calibri"/>
          <w:b/>
          <w:bCs/>
          <w:sz w:val="24"/>
          <w:szCs w:val="24"/>
        </w:rPr>
        <w:t>Green Tariff Framework for Sale of Renewable Power to Obligated Entities</w:t>
      </w:r>
    </w:p>
    <w:p w14:paraId="30C5314A" w14:textId="77777777" w:rsidR="007C7C0F" w:rsidRPr="007C7C0F" w:rsidRDefault="007C7C0F" w:rsidP="007C7C0F">
      <w:pPr>
        <w:pStyle w:val="ListParagraph"/>
        <w:tabs>
          <w:tab w:val="left" w:pos="426"/>
        </w:tabs>
        <w:spacing w:before="120" w:after="160" w:line="360" w:lineRule="auto"/>
        <w:ind w:left="0"/>
        <w:rPr>
          <w:rFonts w:asciiTheme="majorHAnsi" w:hAnsiTheme="majorHAnsi" w:cs="Calibri"/>
          <w:b/>
          <w:bCs/>
          <w:sz w:val="24"/>
          <w:szCs w:val="24"/>
        </w:rPr>
      </w:pPr>
    </w:p>
    <w:p w14:paraId="1800B183" w14:textId="77777777" w:rsidR="007C7C0F" w:rsidRPr="007C7C0F" w:rsidRDefault="007C7C0F" w:rsidP="00056389">
      <w:pPr>
        <w:pStyle w:val="ListParagraph"/>
        <w:numPr>
          <w:ilvl w:val="1"/>
          <w:numId w:val="74"/>
        </w:numPr>
        <w:tabs>
          <w:tab w:val="left" w:pos="426"/>
        </w:tabs>
        <w:spacing w:before="120" w:after="160" w:line="360" w:lineRule="auto"/>
        <w:ind w:left="0" w:firstLine="0"/>
        <w:jc w:val="both"/>
        <w:rPr>
          <w:rFonts w:asciiTheme="majorHAnsi" w:hAnsiTheme="majorHAnsi" w:cs="Calibri"/>
          <w:b/>
          <w:bCs/>
          <w:sz w:val="24"/>
          <w:szCs w:val="24"/>
        </w:rPr>
      </w:pPr>
      <w:r w:rsidRPr="007C7C0F">
        <w:rPr>
          <w:rFonts w:asciiTheme="majorHAnsi" w:hAnsiTheme="majorHAnsi" w:cs="Calibri"/>
          <w:b/>
          <w:bCs/>
          <w:sz w:val="24"/>
          <w:szCs w:val="24"/>
        </w:rPr>
        <w:t>Sale of Renewable Power to Industries During Solar Hours through DISCOMs</w:t>
      </w:r>
    </w:p>
    <w:p w14:paraId="5E3095B1" w14:textId="77777777" w:rsidR="00332919" w:rsidRPr="00332919" w:rsidRDefault="00332919" w:rsidP="00332919">
      <w:pPr>
        <w:spacing w:line="360" w:lineRule="auto"/>
        <w:jc w:val="both"/>
        <w:rPr>
          <w:rFonts w:asciiTheme="majorHAnsi" w:hAnsiTheme="majorHAnsi" w:cs="Calibri"/>
          <w:lang w:eastAsia="en-IN" w:bidi="or-IN"/>
        </w:rPr>
      </w:pPr>
      <w:r w:rsidRPr="00332919">
        <w:rPr>
          <w:rFonts w:asciiTheme="majorHAnsi" w:hAnsiTheme="majorHAnsi" w:cs="Calibri"/>
          <w:lang w:eastAsia="en-IN" w:bidi="or-IN"/>
        </w:rPr>
        <w:t>Sale of Renewable Power to Industries During Solar Hours through DISCOM.</w:t>
      </w:r>
    </w:p>
    <w:p w14:paraId="08EB81D1" w14:textId="77777777" w:rsidR="00332919" w:rsidRPr="00332919" w:rsidRDefault="00332919" w:rsidP="00332919">
      <w:pPr>
        <w:spacing w:line="360" w:lineRule="auto"/>
        <w:jc w:val="both"/>
        <w:rPr>
          <w:rFonts w:asciiTheme="majorHAnsi" w:hAnsiTheme="majorHAnsi" w:cs="Calibri"/>
          <w:lang w:eastAsia="en-IN" w:bidi="or-IN"/>
        </w:rPr>
      </w:pPr>
      <w:r w:rsidRPr="00332919">
        <w:rPr>
          <w:rFonts w:asciiTheme="majorHAnsi" w:hAnsiTheme="majorHAnsi" w:cs="Calibri"/>
          <w:lang w:eastAsia="en-IN" w:bidi="or-IN"/>
        </w:rPr>
        <w:t xml:space="preserve">The Ministry of Power, Government of India, under the Green Energy Open Access Rules 2022 and allied policy directives, has mandated that all obligated entities will progressively meet specified portions of their consumption from renewable sources. The RCO trajectory notified by </w:t>
      </w:r>
      <w:proofErr w:type="spellStart"/>
      <w:r w:rsidRPr="00332919">
        <w:rPr>
          <w:rFonts w:asciiTheme="majorHAnsi" w:hAnsiTheme="majorHAnsi" w:cs="Calibri"/>
          <w:lang w:eastAsia="en-IN" w:bidi="or-IN"/>
        </w:rPr>
        <w:t>MoP</w:t>
      </w:r>
      <w:proofErr w:type="spellEnd"/>
      <w:r w:rsidRPr="00332919">
        <w:rPr>
          <w:rFonts w:asciiTheme="majorHAnsi" w:hAnsiTheme="majorHAnsi" w:cs="Calibri"/>
          <w:lang w:eastAsia="en-IN" w:bidi="or-IN"/>
        </w:rPr>
        <w:t xml:space="preserve"> presently requires designated entities including captive and open access consumers to achieve approximately 43.33% renewable consumption by FY 2029-30 with year on year rise from the present value of about 33.33%.</w:t>
      </w:r>
    </w:p>
    <w:p w14:paraId="4DDFF296" w14:textId="77777777" w:rsidR="00332919" w:rsidRPr="00332919" w:rsidRDefault="00332919" w:rsidP="00332919">
      <w:pPr>
        <w:spacing w:line="360" w:lineRule="auto"/>
        <w:jc w:val="both"/>
        <w:rPr>
          <w:rFonts w:asciiTheme="majorHAnsi" w:hAnsiTheme="majorHAnsi" w:cs="Calibri"/>
          <w:lang w:eastAsia="en-IN" w:bidi="or-IN"/>
        </w:rPr>
      </w:pPr>
      <w:r w:rsidRPr="00332919">
        <w:rPr>
          <w:rFonts w:asciiTheme="majorHAnsi" w:hAnsiTheme="majorHAnsi" w:cs="Calibri"/>
          <w:lang w:eastAsia="en-IN" w:bidi="or-IN"/>
        </w:rPr>
        <w:t xml:space="preserve">Odisha is experiencing surplus power during solar hours (08:00 </w:t>
      </w:r>
      <w:proofErr w:type="spellStart"/>
      <w:r w:rsidRPr="00332919">
        <w:rPr>
          <w:rFonts w:asciiTheme="majorHAnsi" w:hAnsiTheme="majorHAnsi" w:cs="Calibri"/>
          <w:lang w:eastAsia="en-IN" w:bidi="or-IN"/>
        </w:rPr>
        <w:t>hrs</w:t>
      </w:r>
      <w:proofErr w:type="spellEnd"/>
      <w:r w:rsidRPr="00332919">
        <w:rPr>
          <w:rFonts w:asciiTheme="majorHAnsi" w:hAnsiTheme="majorHAnsi" w:cs="Calibri"/>
          <w:lang w:eastAsia="en-IN" w:bidi="or-IN"/>
        </w:rPr>
        <w:t xml:space="preserve"> – 16:00 </w:t>
      </w:r>
      <w:proofErr w:type="spellStart"/>
      <w:r w:rsidRPr="00332919">
        <w:rPr>
          <w:rFonts w:asciiTheme="majorHAnsi" w:hAnsiTheme="majorHAnsi" w:cs="Calibri"/>
          <w:lang w:eastAsia="en-IN" w:bidi="or-IN"/>
        </w:rPr>
        <w:t>hrs</w:t>
      </w:r>
      <w:proofErr w:type="spellEnd"/>
      <w:r w:rsidRPr="00332919">
        <w:rPr>
          <w:rFonts w:asciiTheme="majorHAnsi" w:hAnsiTheme="majorHAnsi" w:cs="Calibri"/>
          <w:lang w:eastAsia="en-IN" w:bidi="or-IN"/>
        </w:rPr>
        <w:t>) owing to high renewable generation and the same is expected to continue in the next FY as well. Simultaneously, many industrial and commercial consumers are migrating towards open-access or captive arrangements to source renewable energy for meeting their Renewable Consumption Obligation (RCO).</w:t>
      </w:r>
    </w:p>
    <w:p w14:paraId="236A3F28" w14:textId="77777777" w:rsidR="00332919" w:rsidRPr="00332919" w:rsidRDefault="00332919" w:rsidP="00332919">
      <w:pPr>
        <w:spacing w:line="360" w:lineRule="auto"/>
        <w:jc w:val="both"/>
        <w:rPr>
          <w:rFonts w:asciiTheme="majorHAnsi" w:hAnsiTheme="majorHAnsi" w:cs="Calibri"/>
          <w:lang w:eastAsia="en-IN" w:bidi="or-IN"/>
        </w:rPr>
      </w:pPr>
      <w:r w:rsidRPr="00332919">
        <w:rPr>
          <w:rFonts w:asciiTheme="majorHAnsi" w:hAnsiTheme="majorHAnsi" w:cs="Calibri"/>
          <w:lang w:eastAsia="en-IN" w:bidi="or-IN"/>
        </w:rPr>
        <w:t>In order to retain such consumers within the State grid and provide them an economical avenue to meet their RCO, the licensee  proposes to introduce a scheme for sale of renewable energy (RE) power to interested industries through the  DISCOM at a special rate during the solar hours.</w:t>
      </w:r>
    </w:p>
    <w:p w14:paraId="3E05B321" w14:textId="10DFC7CF" w:rsidR="00332919" w:rsidRPr="00773505" w:rsidRDefault="00332919" w:rsidP="00332919">
      <w:pPr>
        <w:spacing w:line="360" w:lineRule="auto"/>
        <w:jc w:val="both"/>
        <w:rPr>
          <w:rFonts w:asciiTheme="majorHAnsi" w:hAnsiTheme="majorHAnsi" w:cs="Calibri"/>
          <w:b/>
          <w:lang w:eastAsia="en-IN" w:bidi="or-IN"/>
        </w:rPr>
      </w:pPr>
      <w:r w:rsidRPr="00773505">
        <w:rPr>
          <w:rFonts w:asciiTheme="majorHAnsi" w:hAnsiTheme="majorHAnsi" w:cs="Calibri"/>
          <w:b/>
          <w:lang w:eastAsia="en-IN" w:bidi="or-IN"/>
        </w:rPr>
        <w:t>Under this proposed mechanism:</w:t>
      </w:r>
    </w:p>
    <w:p w14:paraId="7BB5CB68" w14:textId="4076A9CF" w:rsidR="00332919" w:rsidRPr="00332919" w:rsidRDefault="00332919" w:rsidP="00773505">
      <w:pPr>
        <w:spacing w:line="360" w:lineRule="auto"/>
        <w:jc w:val="both"/>
        <w:rPr>
          <w:rFonts w:asciiTheme="majorHAnsi" w:hAnsiTheme="majorHAnsi" w:cs="Calibri"/>
          <w:lang w:eastAsia="en-IN" w:bidi="or-IN"/>
        </w:rPr>
      </w:pPr>
      <w:r w:rsidRPr="00332919">
        <w:rPr>
          <w:rFonts w:asciiTheme="majorHAnsi" w:hAnsiTheme="majorHAnsi" w:cs="Calibri"/>
          <w:lang w:eastAsia="en-IN" w:bidi="or-IN"/>
        </w:rPr>
        <w:t>•</w:t>
      </w:r>
      <w:r w:rsidR="00773505">
        <w:rPr>
          <w:rFonts w:asciiTheme="majorHAnsi" w:hAnsiTheme="majorHAnsi" w:cs="Calibri"/>
          <w:lang w:eastAsia="en-IN" w:bidi="or-IN"/>
        </w:rPr>
        <w:t xml:space="preserve"> </w:t>
      </w:r>
      <w:r w:rsidRPr="00332919">
        <w:rPr>
          <w:rFonts w:asciiTheme="majorHAnsi" w:hAnsiTheme="majorHAnsi" w:cs="Calibri"/>
          <w:lang w:eastAsia="en-IN" w:bidi="or-IN"/>
        </w:rPr>
        <w:t>GRIDCO shall act as the aggregator of renewable energy available from various sources</w:t>
      </w:r>
    </w:p>
    <w:p w14:paraId="08494D7F" w14:textId="39FE3330" w:rsidR="00332919" w:rsidRPr="00332919" w:rsidRDefault="00332919" w:rsidP="00773505">
      <w:pPr>
        <w:spacing w:line="360" w:lineRule="auto"/>
        <w:jc w:val="both"/>
        <w:rPr>
          <w:rFonts w:asciiTheme="majorHAnsi" w:hAnsiTheme="majorHAnsi" w:cs="Calibri"/>
          <w:lang w:eastAsia="en-IN" w:bidi="or-IN"/>
        </w:rPr>
      </w:pPr>
      <w:r w:rsidRPr="00332919">
        <w:rPr>
          <w:rFonts w:asciiTheme="majorHAnsi" w:hAnsiTheme="majorHAnsi" w:cs="Calibri"/>
          <w:lang w:eastAsia="en-IN" w:bidi="or-IN"/>
        </w:rPr>
        <w:t>•</w:t>
      </w:r>
      <w:r w:rsidR="00D37BDA">
        <w:rPr>
          <w:rFonts w:asciiTheme="majorHAnsi" w:hAnsiTheme="majorHAnsi" w:cs="Calibri"/>
          <w:lang w:eastAsia="en-IN" w:bidi="or-IN"/>
        </w:rPr>
        <w:t xml:space="preserve"> </w:t>
      </w:r>
      <w:r w:rsidRPr="00332919">
        <w:rPr>
          <w:rFonts w:asciiTheme="majorHAnsi" w:hAnsiTheme="majorHAnsi" w:cs="Calibri"/>
          <w:lang w:eastAsia="en-IN" w:bidi="or-IN"/>
        </w:rPr>
        <w:t>DISCOM shall facilitate the sale of such RE power to eligible consumers within the licensed area.</w:t>
      </w:r>
    </w:p>
    <w:p w14:paraId="7F2EA639" w14:textId="2898497F" w:rsidR="00332919" w:rsidRPr="00332919" w:rsidRDefault="00332919" w:rsidP="00773505">
      <w:pPr>
        <w:spacing w:line="360" w:lineRule="auto"/>
        <w:jc w:val="both"/>
        <w:rPr>
          <w:rFonts w:asciiTheme="majorHAnsi" w:hAnsiTheme="majorHAnsi" w:cs="Calibri"/>
          <w:lang w:eastAsia="en-IN" w:bidi="or-IN"/>
        </w:rPr>
      </w:pPr>
      <w:r w:rsidRPr="00332919">
        <w:rPr>
          <w:rFonts w:asciiTheme="majorHAnsi" w:hAnsiTheme="majorHAnsi" w:cs="Calibri"/>
          <w:lang w:eastAsia="en-IN" w:bidi="or-IN"/>
        </w:rPr>
        <w:t>•</w:t>
      </w:r>
      <w:r w:rsidR="00D37BDA">
        <w:rPr>
          <w:rFonts w:asciiTheme="majorHAnsi" w:hAnsiTheme="majorHAnsi" w:cs="Calibri"/>
          <w:lang w:eastAsia="en-IN" w:bidi="or-IN"/>
        </w:rPr>
        <w:t xml:space="preserve"> </w:t>
      </w:r>
      <w:r w:rsidRPr="00332919">
        <w:rPr>
          <w:rFonts w:asciiTheme="majorHAnsi" w:hAnsiTheme="majorHAnsi" w:cs="Calibri"/>
          <w:lang w:eastAsia="en-IN" w:bidi="or-IN"/>
        </w:rPr>
        <w:t>This sale shall be considered over and above the approved RST sales of the DISCOM similar to TPA Arrangement.</w:t>
      </w:r>
    </w:p>
    <w:p w14:paraId="3BABD58A" w14:textId="7510BD16" w:rsidR="00332919" w:rsidRPr="00332919" w:rsidRDefault="00332919" w:rsidP="00773505">
      <w:pPr>
        <w:spacing w:line="360" w:lineRule="auto"/>
        <w:jc w:val="both"/>
        <w:rPr>
          <w:rFonts w:asciiTheme="majorHAnsi" w:hAnsiTheme="majorHAnsi" w:cs="Calibri"/>
          <w:lang w:eastAsia="en-IN" w:bidi="or-IN"/>
        </w:rPr>
      </w:pPr>
      <w:r w:rsidRPr="00332919">
        <w:rPr>
          <w:rFonts w:asciiTheme="majorHAnsi" w:hAnsiTheme="majorHAnsi" w:cs="Calibri"/>
          <w:lang w:eastAsia="en-IN" w:bidi="or-IN"/>
        </w:rPr>
        <w:t>•</w:t>
      </w:r>
      <w:r w:rsidR="00D37BDA">
        <w:rPr>
          <w:rFonts w:asciiTheme="majorHAnsi" w:hAnsiTheme="majorHAnsi" w:cs="Calibri"/>
          <w:lang w:eastAsia="en-IN" w:bidi="or-IN"/>
        </w:rPr>
        <w:t xml:space="preserve"> </w:t>
      </w:r>
      <w:r w:rsidRPr="00332919">
        <w:rPr>
          <w:rFonts w:asciiTheme="majorHAnsi" w:hAnsiTheme="majorHAnsi" w:cs="Calibri"/>
          <w:lang w:eastAsia="en-IN" w:bidi="or-IN"/>
        </w:rPr>
        <w:t>The interested entities shall place day-ahead requisitions through the DISCOM, indicating desired quantum and time-blocks of purchase limited to solar hours.</w:t>
      </w:r>
    </w:p>
    <w:p w14:paraId="4A2BDA49" w14:textId="20E77417" w:rsidR="00332919" w:rsidRPr="00332919" w:rsidRDefault="00332919" w:rsidP="00773505">
      <w:pPr>
        <w:spacing w:line="360" w:lineRule="auto"/>
        <w:jc w:val="both"/>
        <w:rPr>
          <w:rFonts w:asciiTheme="majorHAnsi" w:hAnsiTheme="majorHAnsi" w:cs="Calibri"/>
          <w:lang w:eastAsia="en-IN" w:bidi="or-IN"/>
        </w:rPr>
      </w:pPr>
      <w:r w:rsidRPr="00332919">
        <w:rPr>
          <w:rFonts w:asciiTheme="majorHAnsi" w:hAnsiTheme="majorHAnsi" w:cs="Calibri"/>
          <w:lang w:eastAsia="en-IN" w:bidi="or-IN"/>
        </w:rPr>
        <w:t>•</w:t>
      </w:r>
      <w:r w:rsidR="00D37BDA">
        <w:rPr>
          <w:rFonts w:asciiTheme="majorHAnsi" w:hAnsiTheme="majorHAnsi" w:cs="Calibri"/>
          <w:lang w:eastAsia="en-IN" w:bidi="or-IN"/>
        </w:rPr>
        <w:t xml:space="preserve"> </w:t>
      </w:r>
      <w:r w:rsidRPr="00332919">
        <w:rPr>
          <w:rFonts w:asciiTheme="majorHAnsi" w:hAnsiTheme="majorHAnsi" w:cs="Calibri"/>
          <w:lang w:eastAsia="en-IN" w:bidi="or-IN"/>
        </w:rPr>
        <w:t xml:space="preserve">The energy accounting shall be carried out on schedule basis and billed at Rs.  4.10/ </w:t>
      </w:r>
      <w:proofErr w:type="spellStart"/>
      <w:r w:rsidRPr="00332919">
        <w:rPr>
          <w:rFonts w:asciiTheme="majorHAnsi" w:hAnsiTheme="majorHAnsi" w:cs="Calibri"/>
          <w:lang w:eastAsia="en-IN" w:bidi="or-IN"/>
        </w:rPr>
        <w:t>kVAh</w:t>
      </w:r>
      <w:proofErr w:type="spellEnd"/>
      <w:r w:rsidRPr="00332919">
        <w:rPr>
          <w:rFonts w:asciiTheme="majorHAnsi" w:hAnsiTheme="majorHAnsi" w:cs="Calibri"/>
          <w:lang w:eastAsia="en-IN" w:bidi="or-IN"/>
        </w:rPr>
        <w:t>* with a revenue sharing as follows:</w:t>
      </w:r>
    </w:p>
    <w:p w14:paraId="0F62037B" w14:textId="72D48DA5" w:rsidR="00332919" w:rsidRPr="00332919" w:rsidRDefault="00332919" w:rsidP="00332919">
      <w:pPr>
        <w:spacing w:line="360" w:lineRule="auto"/>
        <w:jc w:val="both"/>
        <w:rPr>
          <w:rFonts w:asciiTheme="majorHAnsi" w:hAnsiTheme="majorHAnsi" w:cs="Calibri"/>
          <w:lang w:eastAsia="en-IN" w:bidi="or-IN"/>
        </w:rPr>
      </w:pPr>
      <w:r w:rsidRPr="00332919">
        <w:rPr>
          <w:rFonts w:asciiTheme="majorHAnsi" w:hAnsiTheme="majorHAnsi" w:cs="Calibri"/>
          <w:lang w:eastAsia="en-IN" w:bidi="or-IN"/>
        </w:rPr>
        <w:t>a)</w:t>
      </w:r>
      <w:r w:rsidRPr="00332919">
        <w:rPr>
          <w:rFonts w:asciiTheme="majorHAnsi" w:hAnsiTheme="majorHAnsi" w:cs="Calibri"/>
          <w:lang w:eastAsia="en-IN" w:bidi="or-IN"/>
        </w:rPr>
        <w:tab/>
        <w:t xml:space="preserve">GRIDCO* – </w:t>
      </w:r>
      <w:r w:rsidR="003511CB">
        <w:rPr>
          <w:rFonts w:asciiTheme="majorHAnsi" w:hAnsiTheme="majorHAnsi" w:cs="Calibri"/>
          <w:lang w:eastAsia="en-IN" w:bidi="or-IN"/>
        </w:rPr>
        <w:t xml:space="preserve">DISCOM </w:t>
      </w:r>
      <w:r w:rsidRPr="00332919">
        <w:rPr>
          <w:rFonts w:asciiTheme="majorHAnsi" w:hAnsiTheme="majorHAnsi" w:cs="Calibri"/>
          <w:lang w:eastAsia="en-IN" w:bidi="or-IN"/>
        </w:rPr>
        <w:t>BSP</w:t>
      </w:r>
    </w:p>
    <w:p w14:paraId="3E2C3ACF" w14:textId="77777777" w:rsidR="00332919" w:rsidRPr="00332919" w:rsidRDefault="00332919" w:rsidP="00332919">
      <w:pPr>
        <w:spacing w:line="360" w:lineRule="auto"/>
        <w:jc w:val="both"/>
        <w:rPr>
          <w:rFonts w:asciiTheme="majorHAnsi" w:hAnsiTheme="majorHAnsi" w:cs="Calibri"/>
          <w:lang w:eastAsia="en-IN" w:bidi="or-IN"/>
        </w:rPr>
      </w:pPr>
      <w:r w:rsidRPr="00332919">
        <w:rPr>
          <w:rFonts w:asciiTheme="majorHAnsi" w:hAnsiTheme="majorHAnsi" w:cs="Calibri"/>
          <w:lang w:eastAsia="en-IN" w:bidi="or-IN"/>
        </w:rPr>
        <w:t>b)</w:t>
      </w:r>
      <w:r w:rsidRPr="00332919">
        <w:rPr>
          <w:rFonts w:asciiTheme="majorHAnsi" w:hAnsiTheme="majorHAnsi" w:cs="Calibri"/>
          <w:lang w:eastAsia="en-IN" w:bidi="or-IN"/>
        </w:rPr>
        <w:tab/>
        <w:t>OPTCL – Rs. 0.255/ kWh</w:t>
      </w:r>
    </w:p>
    <w:p w14:paraId="41D8E8B9" w14:textId="77777777" w:rsidR="00332919" w:rsidRPr="00332919" w:rsidRDefault="00332919" w:rsidP="00332919">
      <w:pPr>
        <w:spacing w:line="360" w:lineRule="auto"/>
        <w:jc w:val="both"/>
        <w:rPr>
          <w:rFonts w:asciiTheme="majorHAnsi" w:hAnsiTheme="majorHAnsi" w:cs="Calibri"/>
          <w:lang w:eastAsia="en-IN" w:bidi="or-IN"/>
        </w:rPr>
      </w:pPr>
      <w:r w:rsidRPr="00332919">
        <w:rPr>
          <w:rFonts w:asciiTheme="majorHAnsi" w:hAnsiTheme="majorHAnsi" w:cs="Calibri"/>
          <w:lang w:eastAsia="en-IN" w:bidi="or-IN"/>
        </w:rPr>
        <w:t>c)</w:t>
      </w:r>
      <w:r w:rsidRPr="00332919">
        <w:rPr>
          <w:rFonts w:asciiTheme="majorHAnsi" w:hAnsiTheme="majorHAnsi" w:cs="Calibri"/>
          <w:lang w:eastAsia="en-IN" w:bidi="or-IN"/>
        </w:rPr>
        <w:tab/>
        <w:t>Balance with DISCOM</w:t>
      </w:r>
    </w:p>
    <w:p w14:paraId="3964CCA9" w14:textId="5764F915" w:rsidR="00332919" w:rsidRPr="00332919" w:rsidRDefault="00332919" w:rsidP="003511CB">
      <w:pPr>
        <w:jc w:val="both"/>
        <w:rPr>
          <w:rFonts w:asciiTheme="majorHAnsi" w:hAnsiTheme="majorHAnsi" w:cs="Calibri"/>
          <w:lang w:eastAsia="en-IN" w:bidi="or-IN"/>
        </w:rPr>
      </w:pPr>
      <w:r w:rsidRPr="00332919">
        <w:rPr>
          <w:rFonts w:asciiTheme="majorHAnsi" w:hAnsiTheme="majorHAnsi" w:cs="Calibri"/>
          <w:lang w:eastAsia="en-IN" w:bidi="or-IN"/>
        </w:rPr>
        <w:t xml:space="preserve">* </w:t>
      </w:r>
      <w:r w:rsidR="003511CB" w:rsidRPr="003511CB">
        <w:rPr>
          <w:rFonts w:asciiTheme="majorHAnsi" w:hAnsiTheme="majorHAnsi" w:cs="Calibri"/>
          <w:i/>
          <w:lang w:eastAsia="en-IN" w:bidi="or-IN"/>
        </w:rPr>
        <w:t xml:space="preserve">However, </w:t>
      </w:r>
      <w:r w:rsidRPr="003511CB">
        <w:rPr>
          <w:rFonts w:asciiTheme="majorHAnsi" w:hAnsiTheme="majorHAnsi" w:cs="Calibri"/>
          <w:i/>
          <w:lang w:eastAsia="en-IN" w:bidi="or-IN"/>
        </w:rPr>
        <w:t>Hon’ble Commission may determine suitable tariff for sale of power under this scheme which has to be market competitive</w:t>
      </w:r>
      <w:r w:rsidRPr="00332919">
        <w:rPr>
          <w:rFonts w:asciiTheme="majorHAnsi" w:hAnsiTheme="majorHAnsi" w:cs="Calibri"/>
          <w:lang w:eastAsia="en-IN" w:bidi="or-IN"/>
        </w:rPr>
        <w:t>.</w:t>
      </w:r>
    </w:p>
    <w:p w14:paraId="37057C58" w14:textId="77777777" w:rsidR="00EA37BE" w:rsidRDefault="00EA37BE" w:rsidP="00332919">
      <w:pPr>
        <w:spacing w:line="360" w:lineRule="auto"/>
        <w:jc w:val="both"/>
        <w:rPr>
          <w:rFonts w:asciiTheme="majorHAnsi" w:hAnsiTheme="majorHAnsi" w:cs="Calibri"/>
          <w:lang w:eastAsia="en-IN" w:bidi="or-IN"/>
        </w:rPr>
      </w:pPr>
    </w:p>
    <w:p w14:paraId="61EEBBFA" w14:textId="38A89915" w:rsidR="00332919" w:rsidRDefault="00332919" w:rsidP="00332919">
      <w:pPr>
        <w:spacing w:line="360" w:lineRule="auto"/>
        <w:jc w:val="both"/>
        <w:rPr>
          <w:rFonts w:asciiTheme="majorHAnsi" w:hAnsiTheme="majorHAnsi" w:cs="Calibri"/>
          <w:lang w:eastAsia="en-IN" w:bidi="or-IN"/>
        </w:rPr>
      </w:pPr>
      <w:r w:rsidRPr="00332919">
        <w:rPr>
          <w:rFonts w:asciiTheme="majorHAnsi" w:hAnsiTheme="majorHAnsi" w:cs="Calibri"/>
          <w:lang w:eastAsia="en-IN" w:bidi="or-IN"/>
        </w:rPr>
        <w:t xml:space="preserve">This arrangement will create a structured in-State alternative to open access consumption, thereby retaining consumers within the regulated system while enabling fulfilment of renewable-energy obligations. The proposed framework will also strengthen DISCOM revenue, as the sale quantum will be incremental to approved RST sales and will promote higher daytime consumption without impacting peak-hour supply planning. The Sale should be considered for RCO compliance of the consumer as this will attract consumers away from open access transactions. </w:t>
      </w:r>
    </w:p>
    <w:p w14:paraId="07CC1186" w14:textId="77777777" w:rsidR="007C7C0F" w:rsidRPr="007C7C0F" w:rsidRDefault="007C7C0F" w:rsidP="00056389">
      <w:pPr>
        <w:pStyle w:val="ListParagraph"/>
        <w:numPr>
          <w:ilvl w:val="1"/>
          <w:numId w:val="74"/>
        </w:numPr>
        <w:spacing w:before="120" w:after="160" w:line="360" w:lineRule="auto"/>
        <w:ind w:left="284" w:hanging="284"/>
        <w:jc w:val="both"/>
        <w:rPr>
          <w:rFonts w:asciiTheme="majorHAnsi" w:hAnsiTheme="majorHAnsi" w:cs="Calibri"/>
          <w:b/>
          <w:bCs/>
          <w:sz w:val="24"/>
          <w:szCs w:val="24"/>
          <w:lang w:eastAsia="en-IN" w:bidi="or-IN"/>
        </w:rPr>
      </w:pPr>
      <w:r w:rsidRPr="007C7C0F">
        <w:rPr>
          <w:rFonts w:asciiTheme="majorHAnsi" w:hAnsiTheme="majorHAnsi" w:cs="Calibri"/>
          <w:b/>
          <w:bCs/>
          <w:sz w:val="24"/>
          <w:szCs w:val="24"/>
          <w:lang w:eastAsia="en-IN" w:bidi="or-IN"/>
        </w:rPr>
        <w:t>Determination of Green Tariff for Sale of Renewable Power through DISCOMs</w:t>
      </w:r>
    </w:p>
    <w:p w14:paraId="21B58B47" w14:textId="77777777" w:rsidR="00332919" w:rsidRPr="00332919" w:rsidRDefault="00332919" w:rsidP="00332919">
      <w:pPr>
        <w:pStyle w:val="ListParagraph"/>
        <w:spacing w:before="120" w:line="360" w:lineRule="auto"/>
        <w:ind w:left="0"/>
        <w:jc w:val="both"/>
        <w:rPr>
          <w:rFonts w:asciiTheme="majorHAnsi" w:hAnsiTheme="majorHAnsi" w:cs="Calibri"/>
          <w:sz w:val="24"/>
          <w:szCs w:val="24"/>
          <w:lang w:eastAsia="en-IN" w:bidi="or-IN"/>
        </w:rPr>
      </w:pPr>
      <w:r w:rsidRPr="00332919">
        <w:rPr>
          <w:rFonts w:asciiTheme="majorHAnsi" w:hAnsiTheme="majorHAnsi" w:cs="Calibri"/>
          <w:sz w:val="24"/>
          <w:szCs w:val="24"/>
          <w:lang w:eastAsia="en-IN" w:bidi="or-IN"/>
        </w:rPr>
        <w:t>A dedicated Green Tariff will provide transparent and predictable pricing for renewable energy, making it easier for industries to voluntarily buy green power through DISCOMs-GRIDCO route. By including the RCO component (about Rs. 0.40/kWh), which reflects the cost of potential REC purchases, the tariff will remain fair and self-sustaining. This will also remove the need for consumers to go to power exchanges for small RE purchases and will keep all renewable-energy transactions within the State framework.</w:t>
      </w:r>
    </w:p>
    <w:p w14:paraId="1789BA1C" w14:textId="6A5D58BD" w:rsidR="00332919" w:rsidRDefault="00332919" w:rsidP="00332919">
      <w:pPr>
        <w:pStyle w:val="ListParagraph"/>
        <w:spacing w:before="120" w:line="360" w:lineRule="auto"/>
        <w:ind w:left="0"/>
        <w:jc w:val="both"/>
        <w:rPr>
          <w:rFonts w:asciiTheme="majorHAnsi" w:hAnsiTheme="majorHAnsi" w:cs="Calibri"/>
          <w:sz w:val="24"/>
          <w:szCs w:val="24"/>
          <w:lang w:eastAsia="en-IN" w:bidi="or-IN"/>
        </w:rPr>
      </w:pPr>
      <w:r w:rsidRPr="00332919">
        <w:rPr>
          <w:rFonts w:asciiTheme="majorHAnsi" w:hAnsiTheme="majorHAnsi" w:cs="Calibri"/>
          <w:sz w:val="24"/>
          <w:szCs w:val="24"/>
          <w:lang w:eastAsia="en-IN" w:bidi="or-IN"/>
        </w:rPr>
        <w:t>Further, the Licensee requests the Hon’ble Commission to determine a separate Green Tariff for renewable-energy sales under this scheme, as permitted under Clause 3(c) of Regulation 5 of the OERC Green Energy Open Access Regulations, 2023. The tariff should be cost-reflective and include an appropriate RCO component, considering that GRIDCO may have to procure RECs to meet its own RCO requirements. No cross-subsidy surcharge should be levied to these transactions.</w:t>
      </w:r>
    </w:p>
    <w:p w14:paraId="1A224851" w14:textId="77777777" w:rsidR="00D37BDA" w:rsidRDefault="00D37BDA" w:rsidP="00332919">
      <w:pPr>
        <w:pStyle w:val="ListParagraph"/>
        <w:spacing w:before="120" w:line="360" w:lineRule="auto"/>
        <w:ind w:left="0"/>
        <w:jc w:val="both"/>
        <w:rPr>
          <w:rFonts w:asciiTheme="majorHAnsi" w:hAnsiTheme="majorHAnsi" w:cs="Calibri"/>
          <w:sz w:val="24"/>
          <w:szCs w:val="24"/>
          <w:lang w:eastAsia="en-IN" w:bidi="or-IN"/>
        </w:rPr>
      </w:pPr>
    </w:p>
    <w:p w14:paraId="4564D674" w14:textId="77777777" w:rsidR="007C7C0F" w:rsidRPr="007C7C0F" w:rsidRDefault="007C7C0F" w:rsidP="00810955">
      <w:pPr>
        <w:pStyle w:val="ListParagraph"/>
        <w:numPr>
          <w:ilvl w:val="1"/>
          <w:numId w:val="1"/>
        </w:numPr>
        <w:rPr>
          <w:rFonts w:asciiTheme="majorHAnsi" w:hAnsiTheme="majorHAnsi" w:cs="Calibri"/>
          <w:b/>
          <w:bCs/>
          <w:sz w:val="24"/>
          <w:szCs w:val="24"/>
        </w:rPr>
      </w:pPr>
      <w:r w:rsidRPr="007C7C0F">
        <w:rPr>
          <w:rFonts w:asciiTheme="majorHAnsi" w:hAnsiTheme="majorHAnsi" w:cs="Calibri"/>
          <w:b/>
          <w:bCs/>
          <w:sz w:val="24"/>
          <w:szCs w:val="24"/>
        </w:rPr>
        <w:t>Sale mechanism for drawl by the CGP based industries on interim basis</w:t>
      </w:r>
    </w:p>
    <w:p w14:paraId="1379B5C8" w14:textId="77777777" w:rsidR="00635455" w:rsidRPr="00635455" w:rsidRDefault="00635455" w:rsidP="00635455">
      <w:pPr>
        <w:pStyle w:val="NormalWeb"/>
        <w:spacing w:line="360" w:lineRule="auto"/>
        <w:ind w:left="420"/>
        <w:jc w:val="both"/>
        <w:rPr>
          <w:rFonts w:asciiTheme="majorHAnsi" w:hAnsiTheme="majorHAnsi" w:cs="Calibri"/>
        </w:rPr>
      </w:pPr>
      <w:r w:rsidRPr="00635455">
        <w:rPr>
          <w:rFonts w:asciiTheme="majorHAnsi" w:hAnsiTheme="majorHAnsi" w:cs="Calibri"/>
        </w:rPr>
        <w:t xml:space="preserve">Within the DISCOMs’ supply areas, there are more than 80 industrial consumers operating Captive Generating Plants (CGPs) with a cumulative capacity of around 12000 MW in the State. Some of these industries have single generating units, while others operate multiple generating units of similar/ varying capacities. To maintain operational reliability, </w:t>
      </w:r>
      <w:r w:rsidRPr="00E90D43">
        <w:rPr>
          <w:rFonts w:asciiTheme="majorHAnsi" w:hAnsiTheme="majorHAnsi" w:cs="Calibri"/>
          <w:b/>
        </w:rPr>
        <w:t>periodic maintenance and annual overhauling of these CGPs are unavoidable</w:t>
      </w:r>
      <w:r w:rsidRPr="00635455">
        <w:rPr>
          <w:rFonts w:asciiTheme="majorHAnsi" w:hAnsiTheme="majorHAnsi" w:cs="Calibri"/>
        </w:rPr>
        <w:t>, during which their captive generation remains unavailable.</w:t>
      </w:r>
    </w:p>
    <w:p w14:paraId="3F3F8496" w14:textId="77777777" w:rsidR="00635455" w:rsidRPr="00635455" w:rsidRDefault="00635455" w:rsidP="00635455">
      <w:pPr>
        <w:pStyle w:val="NormalWeb"/>
        <w:spacing w:line="360" w:lineRule="auto"/>
        <w:ind w:left="420"/>
        <w:jc w:val="both"/>
        <w:rPr>
          <w:rFonts w:asciiTheme="majorHAnsi" w:hAnsiTheme="majorHAnsi" w:cs="Calibri"/>
        </w:rPr>
      </w:pPr>
      <w:r w:rsidRPr="00635455">
        <w:rPr>
          <w:rFonts w:asciiTheme="majorHAnsi" w:hAnsiTheme="majorHAnsi" w:cs="Calibri"/>
        </w:rPr>
        <w:t>Additionally, several seasonal industries require grid power intermittently, depending on their production cycles. For such temporary outages of CGPs or short-term business requirements, these consumers often approach the respective DISCOMs seeking power supply for a few weeks or months—sometimes even for durations of less than 15 days.</w:t>
      </w:r>
    </w:p>
    <w:p w14:paraId="02CE3A8C" w14:textId="77777777" w:rsidR="00635455" w:rsidRPr="00635455" w:rsidRDefault="00635455" w:rsidP="00635455">
      <w:pPr>
        <w:pStyle w:val="NormalWeb"/>
        <w:spacing w:line="360" w:lineRule="auto"/>
        <w:ind w:left="420"/>
        <w:jc w:val="both"/>
        <w:rPr>
          <w:rFonts w:asciiTheme="majorHAnsi" w:hAnsiTheme="majorHAnsi" w:cs="Calibri"/>
        </w:rPr>
      </w:pPr>
      <w:r w:rsidRPr="00635455">
        <w:rPr>
          <w:rFonts w:asciiTheme="majorHAnsi" w:hAnsiTheme="majorHAnsi" w:cs="Calibri"/>
        </w:rPr>
        <w:t>However, such industries are generally reluctant to apply for temporary enhancement of contract demand (CD), as subsequent reduction in load attracts procedural restrictions under the prevailing regulations. In the absence of a flexible arrangement by the DISCOMs, these industries resort to open-access procurement, leading to potential revenue loss to the State’s distribution sector and underutilization of GRIDCO’s available power during surplus periods.</w:t>
      </w:r>
    </w:p>
    <w:p w14:paraId="3CA8CE59" w14:textId="77777777" w:rsidR="00635455" w:rsidRPr="00635455" w:rsidRDefault="00635455" w:rsidP="00635455">
      <w:pPr>
        <w:pStyle w:val="NormalWeb"/>
        <w:spacing w:line="360" w:lineRule="auto"/>
        <w:ind w:left="420"/>
        <w:jc w:val="both"/>
        <w:rPr>
          <w:rFonts w:asciiTheme="majorHAnsi" w:hAnsiTheme="majorHAnsi" w:cs="Calibri"/>
        </w:rPr>
      </w:pPr>
      <w:r w:rsidRPr="00635455">
        <w:rPr>
          <w:rFonts w:asciiTheme="majorHAnsi" w:hAnsiTheme="majorHAnsi" w:cs="Calibri"/>
        </w:rPr>
        <w:t>In view of the above, the Licensee proposes that the Hon’ble Commission may permit supply of interim or additional power beyond the approved contract demand for a period up to three (3) months, subject to availability of power with GRIDCO. Under the proposed scheme:</w:t>
      </w:r>
    </w:p>
    <w:p w14:paraId="2D831C38" w14:textId="77777777" w:rsidR="00D37BDA" w:rsidRDefault="00635455" w:rsidP="00D37BDA">
      <w:pPr>
        <w:pStyle w:val="NormalWeb"/>
        <w:spacing w:line="360" w:lineRule="auto"/>
        <w:ind w:left="420"/>
        <w:jc w:val="both"/>
        <w:rPr>
          <w:rFonts w:asciiTheme="majorHAnsi" w:hAnsiTheme="majorHAnsi" w:cs="Calibri"/>
        </w:rPr>
      </w:pPr>
      <w:r w:rsidRPr="00635455">
        <w:rPr>
          <w:rFonts w:asciiTheme="majorHAnsi" w:hAnsiTheme="majorHAnsi" w:cs="Calibri"/>
        </w:rPr>
        <w:t>•</w:t>
      </w:r>
      <w:r w:rsidRPr="00635455">
        <w:rPr>
          <w:rFonts w:asciiTheme="majorHAnsi" w:hAnsiTheme="majorHAnsi" w:cs="Calibri"/>
        </w:rPr>
        <w:tab/>
        <w:t>The concerned industry shall submit its day-ahead requisition to the DISCOM/GRIDCO indicating the quantum and duration of requirement.</w:t>
      </w:r>
    </w:p>
    <w:p w14:paraId="47EC7EF4" w14:textId="4AEE280B" w:rsidR="00635455" w:rsidRPr="00635455" w:rsidRDefault="00635455" w:rsidP="00D37BDA">
      <w:pPr>
        <w:pStyle w:val="NormalWeb"/>
        <w:spacing w:line="360" w:lineRule="auto"/>
        <w:ind w:left="420"/>
        <w:jc w:val="both"/>
        <w:rPr>
          <w:rFonts w:asciiTheme="majorHAnsi" w:hAnsiTheme="majorHAnsi" w:cs="Calibri"/>
        </w:rPr>
      </w:pPr>
      <w:r w:rsidRPr="00635455">
        <w:rPr>
          <w:rFonts w:asciiTheme="majorHAnsi" w:hAnsiTheme="majorHAnsi" w:cs="Calibri"/>
        </w:rPr>
        <w:t>•</w:t>
      </w:r>
      <w:r w:rsidRPr="00635455">
        <w:rPr>
          <w:rFonts w:asciiTheme="majorHAnsi" w:hAnsiTheme="majorHAnsi" w:cs="Calibri"/>
        </w:rPr>
        <w:tab/>
        <w:t>GRIDCO shall confirm the supply based on power scenario and grid conditions.</w:t>
      </w:r>
    </w:p>
    <w:p w14:paraId="56CF3B7E" w14:textId="77777777" w:rsidR="00635455" w:rsidRPr="00635455" w:rsidRDefault="00635455" w:rsidP="00D37BDA">
      <w:pPr>
        <w:pStyle w:val="NormalWeb"/>
        <w:spacing w:line="360" w:lineRule="auto"/>
        <w:ind w:left="420"/>
        <w:jc w:val="both"/>
        <w:rPr>
          <w:rFonts w:asciiTheme="majorHAnsi" w:hAnsiTheme="majorHAnsi" w:cs="Calibri"/>
        </w:rPr>
      </w:pPr>
      <w:r w:rsidRPr="00635455">
        <w:rPr>
          <w:rFonts w:asciiTheme="majorHAnsi" w:hAnsiTheme="majorHAnsi" w:cs="Calibri"/>
        </w:rPr>
        <w:t>•</w:t>
      </w:r>
      <w:r w:rsidRPr="00635455">
        <w:rPr>
          <w:rFonts w:asciiTheme="majorHAnsi" w:hAnsiTheme="majorHAnsi" w:cs="Calibri"/>
        </w:rPr>
        <w:tab/>
        <w:t>Scheduling and accounting of such power shall be done on a day-ahead scheduled basis.</w:t>
      </w:r>
    </w:p>
    <w:p w14:paraId="3366C772" w14:textId="77777777" w:rsidR="00956918" w:rsidRDefault="00635455" w:rsidP="00956918">
      <w:pPr>
        <w:pStyle w:val="NormalWeb"/>
        <w:spacing w:line="360" w:lineRule="auto"/>
        <w:ind w:left="420"/>
        <w:jc w:val="both"/>
        <w:rPr>
          <w:rFonts w:asciiTheme="majorHAnsi" w:hAnsiTheme="majorHAnsi" w:cs="Calibri"/>
        </w:rPr>
      </w:pPr>
      <w:r w:rsidRPr="00635455">
        <w:rPr>
          <w:rFonts w:asciiTheme="majorHAnsi" w:hAnsiTheme="majorHAnsi" w:cs="Calibri"/>
        </w:rPr>
        <w:t>•</w:t>
      </w:r>
      <w:r w:rsidRPr="00635455">
        <w:rPr>
          <w:rFonts w:asciiTheme="majorHAnsi" w:hAnsiTheme="majorHAnsi" w:cs="Calibri"/>
        </w:rPr>
        <w:tab/>
        <w:t>Billing shall be based on the scheduled energy, and the consumer shall bear 10% higher charges on both demand and energy components over and above the applicable RST.</w:t>
      </w:r>
    </w:p>
    <w:p w14:paraId="41E051EC" w14:textId="7315C474" w:rsidR="00956918" w:rsidRPr="00956918" w:rsidRDefault="00956918" w:rsidP="00956918">
      <w:pPr>
        <w:pStyle w:val="NormalWeb"/>
        <w:numPr>
          <w:ilvl w:val="0"/>
          <w:numId w:val="92"/>
        </w:numPr>
        <w:spacing w:line="360" w:lineRule="auto"/>
        <w:jc w:val="both"/>
        <w:rPr>
          <w:rFonts w:asciiTheme="majorHAnsi" w:hAnsiTheme="majorHAnsi" w:cs="Calibri"/>
        </w:rPr>
      </w:pPr>
      <w:r w:rsidRPr="00956918">
        <w:rPr>
          <w:rFonts w:asciiTheme="majorHAnsi" w:hAnsiTheme="majorHAnsi" w:cs="Calibri"/>
        </w:rPr>
        <w:t xml:space="preserve">Tariff increase by 10% will make average tariff to Rs. 7.5 per unit and drive consumers to opt for Open Access power so </w:t>
      </w:r>
      <w:r w:rsidR="00E90D43">
        <w:rPr>
          <w:rFonts w:asciiTheme="majorHAnsi" w:hAnsiTheme="majorHAnsi" w:cs="Calibri"/>
        </w:rPr>
        <w:t xml:space="preserve">the Hon’ble Commission is requested to please fix a suitable tariff for this transaction which is to be </w:t>
      </w:r>
      <w:r w:rsidRPr="00956918">
        <w:rPr>
          <w:rFonts w:asciiTheme="majorHAnsi" w:hAnsiTheme="majorHAnsi" w:cs="Calibri"/>
        </w:rPr>
        <w:t>market reflective tariff.</w:t>
      </w:r>
    </w:p>
    <w:p w14:paraId="43C84C50" w14:textId="7CB70D7C" w:rsidR="007C7C0F" w:rsidRPr="007C7C0F" w:rsidRDefault="00635455" w:rsidP="00810955">
      <w:pPr>
        <w:pStyle w:val="NormalWeb"/>
        <w:spacing w:line="360" w:lineRule="auto"/>
        <w:ind w:left="420"/>
        <w:jc w:val="both"/>
        <w:rPr>
          <w:rFonts w:asciiTheme="majorHAnsi" w:hAnsiTheme="majorHAnsi" w:cs="Calibri"/>
        </w:rPr>
      </w:pPr>
      <w:r w:rsidRPr="00635455">
        <w:rPr>
          <w:rFonts w:asciiTheme="majorHAnsi" w:hAnsiTheme="majorHAnsi" w:cs="Calibri"/>
        </w:rPr>
        <w:t xml:space="preserve">Such temporary arrangements shall not be considered towards computation of </w:t>
      </w:r>
      <w:r w:rsidRPr="00956918">
        <w:rPr>
          <w:rFonts w:asciiTheme="majorHAnsi" w:hAnsiTheme="majorHAnsi" w:cs="Calibri"/>
          <w:b/>
        </w:rPr>
        <w:t>DISCOM’s System Maximum Demand (SMD).</w:t>
      </w:r>
      <w:r w:rsidRPr="00635455">
        <w:rPr>
          <w:rFonts w:asciiTheme="majorHAnsi" w:hAnsiTheme="majorHAnsi" w:cs="Calibri"/>
        </w:rPr>
        <w:t xml:space="preserve"> This scheme shall not only help in reducing open access migration and provide additional revenue stream for the DISCOMs/ GRIDCO, but also protect the industries from paying </w:t>
      </w:r>
      <w:proofErr w:type="spellStart"/>
      <w:r w:rsidRPr="00635455">
        <w:rPr>
          <w:rFonts w:asciiTheme="majorHAnsi" w:hAnsiTheme="majorHAnsi" w:cs="Calibri"/>
        </w:rPr>
        <w:t>overdrawl</w:t>
      </w:r>
      <w:proofErr w:type="spellEnd"/>
      <w:r w:rsidRPr="00635455">
        <w:rPr>
          <w:rFonts w:asciiTheme="majorHAnsi" w:hAnsiTheme="majorHAnsi" w:cs="Calibri"/>
        </w:rPr>
        <w:t xml:space="preserve"> penalty </w:t>
      </w:r>
      <w:r>
        <w:rPr>
          <w:rFonts w:asciiTheme="majorHAnsi" w:hAnsiTheme="majorHAnsi" w:cs="Calibri"/>
        </w:rPr>
        <w:t xml:space="preserve">for such excess energy </w:t>
      </w:r>
      <w:r w:rsidR="007C7C0F" w:rsidRPr="007C7C0F">
        <w:rPr>
          <w:rFonts w:asciiTheme="majorHAnsi" w:hAnsiTheme="majorHAnsi" w:cs="Calibri"/>
        </w:rPr>
        <w:t>and shield them from the volatility of the power market.</w:t>
      </w:r>
    </w:p>
    <w:p w14:paraId="7624711A" w14:textId="77777777" w:rsidR="007C7C0F" w:rsidRPr="00810955" w:rsidRDefault="007C7C0F" w:rsidP="00810955">
      <w:pPr>
        <w:pStyle w:val="ListParagraph"/>
        <w:numPr>
          <w:ilvl w:val="1"/>
          <w:numId w:val="1"/>
        </w:numPr>
        <w:rPr>
          <w:rFonts w:asciiTheme="majorHAnsi" w:hAnsiTheme="majorHAnsi"/>
          <w:b/>
          <w:color w:val="000000"/>
          <w:sz w:val="24"/>
          <w:szCs w:val="24"/>
        </w:rPr>
      </w:pPr>
      <w:bookmarkStart w:id="313" w:name="_Toc183802869"/>
      <w:r w:rsidRPr="00810955">
        <w:rPr>
          <w:rFonts w:asciiTheme="majorHAnsi" w:hAnsiTheme="majorHAnsi"/>
          <w:b/>
          <w:bCs/>
          <w:color w:val="000000"/>
          <w:sz w:val="24"/>
          <w:szCs w:val="24"/>
        </w:rPr>
        <w:t>Creation of Category for Mega lift points under EHT</w:t>
      </w:r>
      <w:bookmarkEnd w:id="313"/>
      <w:r w:rsidRPr="00810955">
        <w:rPr>
          <w:rFonts w:asciiTheme="majorHAnsi" w:hAnsiTheme="majorHAnsi"/>
          <w:b/>
          <w:bCs/>
          <w:color w:val="000000"/>
          <w:sz w:val="24"/>
          <w:szCs w:val="24"/>
        </w:rPr>
        <w:t>/HT</w:t>
      </w:r>
    </w:p>
    <w:p w14:paraId="6F13DCB1" w14:textId="77777777" w:rsidR="007C7C0F" w:rsidRPr="007C7C0F" w:rsidRDefault="007C7C0F" w:rsidP="007C7C0F">
      <w:pPr>
        <w:rPr>
          <w:rFonts w:asciiTheme="majorHAnsi" w:eastAsia="Calibri" w:hAnsiTheme="majorHAnsi" w:cs="Calibri"/>
          <w:color w:val="000000"/>
        </w:rPr>
      </w:pPr>
    </w:p>
    <w:p w14:paraId="695C4826" w14:textId="77777777" w:rsidR="00635455" w:rsidRPr="00635455" w:rsidRDefault="00635455" w:rsidP="00635455">
      <w:pPr>
        <w:spacing w:line="360" w:lineRule="auto"/>
        <w:ind w:left="420"/>
        <w:jc w:val="both"/>
        <w:rPr>
          <w:rFonts w:asciiTheme="majorHAnsi" w:hAnsiTheme="majorHAnsi" w:cs="Calibri"/>
          <w:color w:val="000000"/>
        </w:rPr>
      </w:pPr>
      <w:r w:rsidRPr="00635455">
        <w:rPr>
          <w:rFonts w:asciiTheme="majorHAnsi" w:hAnsiTheme="majorHAnsi" w:cs="Calibri"/>
          <w:color w:val="000000"/>
        </w:rPr>
        <w:t>The licensee is having consumers under mega lift category. As there is no such tariff category under EHT for such supply, TPWODL is billing it under HT irrigation as per applicable tariff. The Hon’ble Commission in the RST order dt.13.02.2024 has notified tariff for Mega lift points in the following manner:</w:t>
      </w:r>
    </w:p>
    <w:p w14:paraId="1448C6E7" w14:textId="6F058624" w:rsidR="00635455" w:rsidRPr="00635455" w:rsidRDefault="00635455" w:rsidP="00635455">
      <w:pPr>
        <w:spacing w:line="360" w:lineRule="auto"/>
        <w:ind w:left="420"/>
        <w:jc w:val="both"/>
        <w:rPr>
          <w:rFonts w:asciiTheme="majorHAnsi" w:hAnsiTheme="majorHAnsi" w:cs="Calibri"/>
          <w:color w:val="000000"/>
        </w:rPr>
      </w:pPr>
      <w:r w:rsidRPr="00635455">
        <w:rPr>
          <w:rFonts w:asciiTheme="majorHAnsi" w:hAnsiTheme="majorHAnsi" w:cs="Calibri"/>
          <w:i/>
          <w:color w:val="000000"/>
        </w:rPr>
        <w:t xml:space="preserve">“(xxviii)The Mega Lift consumers (who are using electricity for irrigation purpose and not covered under irrigation pumping and agriculture category of the Regulation) connected either to HT or EHT system shall be treated as GP consumers and shall not pay any demand charges and shall get an </w:t>
      </w:r>
      <w:r w:rsidRPr="00635455">
        <w:rPr>
          <w:rFonts w:asciiTheme="majorHAnsi" w:hAnsiTheme="majorHAnsi" w:cs="Calibri"/>
          <w:b/>
          <w:i/>
          <w:color w:val="000000"/>
        </w:rPr>
        <w:t>additional rebate of Rs.2 per unit (</w:t>
      </w:r>
      <w:proofErr w:type="spellStart"/>
      <w:r w:rsidRPr="00635455">
        <w:rPr>
          <w:rFonts w:asciiTheme="majorHAnsi" w:hAnsiTheme="majorHAnsi" w:cs="Calibri"/>
          <w:b/>
          <w:i/>
          <w:color w:val="000000"/>
        </w:rPr>
        <w:t>kVAh</w:t>
      </w:r>
      <w:proofErr w:type="spellEnd"/>
      <w:r w:rsidRPr="00635455">
        <w:rPr>
          <w:rFonts w:asciiTheme="majorHAnsi" w:hAnsiTheme="majorHAnsi" w:cs="Calibri"/>
          <w:b/>
          <w:i/>
          <w:color w:val="000000"/>
        </w:rPr>
        <w:t>) on the respective energy charges.”</w:t>
      </w:r>
      <w:r w:rsidRPr="00635455">
        <w:rPr>
          <w:rFonts w:asciiTheme="majorHAnsi" w:hAnsiTheme="majorHAnsi" w:cs="Calibri"/>
          <w:b/>
          <w:color w:val="000000"/>
        </w:rPr>
        <w:t xml:space="preserve"> </w:t>
      </w:r>
      <w:r w:rsidRPr="00635455">
        <w:rPr>
          <w:rFonts w:asciiTheme="majorHAnsi" w:hAnsiTheme="majorHAnsi" w:cs="Calibri"/>
          <w:b/>
          <w:color w:val="000000"/>
        </w:rPr>
        <w:tab/>
      </w:r>
      <w:r>
        <w:rPr>
          <w:rFonts w:asciiTheme="majorHAnsi" w:hAnsiTheme="majorHAnsi" w:cs="Calibri"/>
          <w:color w:val="000000"/>
        </w:rPr>
        <w:tab/>
      </w:r>
      <w:r>
        <w:rPr>
          <w:rFonts w:asciiTheme="majorHAnsi" w:hAnsiTheme="majorHAnsi" w:cs="Calibri"/>
          <w:color w:val="000000"/>
        </w:rPr>
        <w:tab/>
      </w:r>
      <w:r>
        <w:rPr>
          <w:rFonts w:asciiTheme="majorHAnsi" w:hAnsiTheme="majorHAnsi" w:cs="Calibri"/>
          <w:color w:val="000000"/>
        </w:rPr>
        <w:tab/>
      </w:r>
      <w:r>
        <w:rPr>
          <w:rFonts w:asciiTheme="majorHAnsi" w:hAnsiTheme="majorHAnsi" w:cs="Calibri"/>
          <w:color w:val="000000"/>
        </w:rPr>
        <w:tab/>
      </w:r>
      <w:r w:rsidRPr="00956918">
        <w:rPr>
          <w:rFonts w:asciiTheme="majorHAnsi" w:hAnsiTheme="majorHAnsi" w:cs="Calibri"/>
          <w:b/>
          <w:color w:val="000000"/>
        </w:rPr>
        <w:t>(Emphasis Added)</w:t>
      </w:r>
    </w:p>
    <w:p w14:paraId="47035160" w14:textId="77777777" w:rsidR="00635455" w:rsidRPr="00635455" w:rsidRDefault="00635455" w:rsidP="00635455">
      <w:pPr>
        <w:spacing w:line="360" w:lineRule="auto"/>
        <w:ind w:left="420"/>
        <w:jc w:val="both"/>
        <w:rPr>
          <w:rFonts w:asciiTheme="majorHAnsi" w:hAnsiTheme="majorHAnsi" w:cs="Calibri"/>
          <w:color w:val="000000"/>
        </w:rPr>
      </w:pPr>
    </w:p>
    <w:p w14:paraId="6CC6BD66" w14:textId="47841702" w:rsidR="007C7C0F" w:rsidRPr="007C7C0F" w:rsidRDefault="00635455" w:rsidP="00810955">
      <w:pPr>
        <w:spacing w:line="360" w:lineRule="auto"/>
        <w:ind w:left="420"/>
        <w:jc w:val="both"/>
        <w:rPr>
          <w:rFonts w:asciiTheme="majorHAnsi" w:hAnsiTheme="majorHAnsi" w:cs="Calibri"/>
          <w:color w:val="000000"/>
        </w:rPr>
      </w:pPr>
      <w:r w:rsidRPr="00635455">
        <w:rPr>
          <w:rFonts w:asciiTheme="majorHAnsi" w:hAnsiTheme="majorHAnsi" w:cs="Calibri"/>
          <w:color w:val="000000"/>
        </w:rPr>
        <w:t>It is respectfully submitted that rebate of Rs.2 per unit on Energy charges may be reduced to Rs 1.5 per unit and limited to Solar Hours only. For Non-Solar Hours, Normal Applicable Tariff has to be paid. This will ensure the flattening of load curve by encouraging the solar hour consumption.</w:t>
      </w:r>
    </w:p>
    <w:p w14:paraId="1F5CEC1D" w14:textId="77777777" w:rsidR="007C7C0F" w:rsidRPr="007C7C0F" w:rsidRDefault="007C7C0F" w:rsidP="007C7C0F">
      <w:pPr>
        <w:pStyle w:val="NoSpacing"/>
        <w:tabs>
          <w:tab w:val="left" w:pos="7230"/>
        </w:tabs>
        <w:spacing w:line="276" w:lineRule="auto"/>
        <w:ind w:left="360"/>
        <w:jc w:val="both"/>
        <w:rPr>
          <w:rFonts w:asciiTheme="majorHAnsi" w:hAnsiTheme="majorHAnsi" w:cs="Calibri"/>
          <w:color w:val="000000"/>
          <w:sz w:val="24"/>
          <w:szCs w:val="24"/>
        </w:rPr>
      </w:pPr>
    </w:p>
    <w:p w14:paraId="4ADAEA54" w14:textId="77777777" w:rsidR="007C7C0F" w:rsidRPr="00810955" w:rsidRDefault="007C7C0F" w:rsidP="00810955">
      <w:pPr>
        <w:pStyle w:val="ListParagraph"/>
        <w:numPr>
          <w:ilvl w:val="1"/>
          <w:numId w:val="1"/>
        </w:numPr>
        <w:rPr>
          <w:rFonts w:asciiTheme="majorHAnsi" w:hAnsiTheme="majorHAnsi"/>
          <w:b/>
          <w:color w:val="000000"/>
          <w:sz w:val="24"/>
          <w:szCs w:val="24"/>
        </w:rPr>
      </w:pPr>
      <w:r w:rsidRPr="00810955">
        <w:rPr>
          <w:rFonts w:asciiTheme="majorHAnsi" w:hAnsiTheme="majorHAnsi"/>
          <w:b/>
          <w:bCs/>
          <w:color w:val="000000"/>
          <w:sz w:val="24"/>
          <w:szCs w:val="24"/>
        </w:rPr>
        <w:t xml:space="preserve">Charging of leading power factor while billing to EHT Consumers i.e. (Lead + Lag) </w:t>
      </w:r>
      <w:proofErr w:type="spellStart"/>
      <w:r w:rsidRPr="00810955">
        <w:rPr>
          <w:rFonts w:asciiTheme="majorHAnsi" w:hAnsiTheme="majorHAnsi"/>
          <w:b/>
          <w:bCs/>
          <w:color w:val="000000"/>
          <w:sz w:val="24"/>
          <w:szCs w:val="24"/>
        </w:rPr>
        <w:t>kVAH</w:t>
      </w:r>
      <w:proofErr w:type="spellEnd"/>
      <w:r w:rsidRPr="00810955">
        <w:rPr>
          <w:rFonts w:asciiTheme="majorHAnsi" w:hAnsiTheme="majorHAnsi"/>
          <w:b/>
          <w:bCs/>
          <w:color w:val="000000"/>
          <w:sz w:val="24"/>
          <w:szCs w:val="24"/>
        </w:rPr>
        <w:t xml:space="preserve"> Billing</w:t>
      </w:r>
    </w:p>
    <w:p w14:paraId="4B5C7188" w14:textId="77777777" w:rsidR="007C7C0F" w:rsidRPr="007C7C0F" w:rsidRDefault="007C7C0F" w:rsidP="007C7C0F">
      <w:pPr>
        <w:rPr>
          <w:rFonts w:asciiTheme="majorHAnsi" w:eastAsia="Calibri" w:hAnsiTheme="majorHAnsi" w:cs="Calibri"/>
          <w:kern w:val="2"/>
        </w:rPr>
      </w:pPr>
    </w:p>
    <w:p w14:paraId="7D912463" w14:textId="77777777" w:rsidR="00635455" w:rsidRPr="00635455" w:rsidRDefault="00635455" w:rsidP="00D37BDA">
      <w:pPr>
        <w:widowControl w:val="0"/>
        <w:tabs>
          <w:tab w:val="left" w:pos="9356"/>
        </w:tabs>
        <w:autoSpaceDE w:val="0"/>
        <w:autoSpaceDN w:val="0"/>
        <w:spacing w:line="360" w:lineRule="auto"/>
        <w:ind w:left="432" w:right="425"/>
        <w:jc w:val="both"/>
        <w:rPr>
          <w:rFonts w:asciiTheme="majorHAnsi" w:eastAsia="Tahoma" w:hAnsiTheme="majorHAnsi" w:cs="Calibri"/>
        </w:rPr>
      </w:pPr>
      <w:r w:rsidRPr="00635455">
        <w:rPr>
          <w:rFonts w:asciiTheme="majorHAnsi" w:eastAsia="Tahoma" w:hAnsiTheme="majorHAnsi" w:cs="Calibri"/>
        </w:rPr>
        <w:t>The present billing scenario is based on lagging reactive power only. Since the reactive lagging as well as leading power both occupy the capacity of electricity network and reduce the useful capacity of system for generation and distribution, it is necessary and imperative to include the lead Reactive Power under billing process. At present, utilities overlook leading Power Factor (PF) values while billing the consumption. This tempts consumers to use capacitors indiscriminately for availing PF incentives but it does more harm than good to the installations of both the utilities and consumers.</w:t>
      </w:r>
    </w:p>
    <w:p w14:paraId="442DF302" w14:textId="77777777" w:rsidR="00635455" w:rsidRPr="00635455" w:rsidRDefault="00635455" w:rsidP="00D37BDA">
      <w:pPr>
        <w:widowControl w:val="0"/>
        <w:tabs>
          <w:tab w:val="left" w:pos="9356"/>
        </w:tabs>
        <w:autoSpaceDE w:val="0"/>
        <w:autoSpaceDN w:val="0"/>
        <w:spacing w:line="360" w:lineRule="auto"/>
        <w:ind w:left="432" w:right="425"/>
        <w:jc w:val="both"/>
        <w:rPr>
          <w:rFonts w:asciiTheme="majorHAnsi" w:eastAsia="Tahoma" w:hAnsiTheme="majorHAnsi" w:cs="Calibri"/>
        </w:rPr>
      </w:pPr>
    </w:p>
    <w:p w14:paraId="31D0761C" w14:textId="77777777" w:rsidR="00635455" w:rsidRPr="00635455" w:rsidRDefault="00635455" w:rsidP="00D37BDA">
      <w:pPr>
        <w:widowControl w:val="0"/>
        <w:tabs>
          <w:tab w:val="left" w:pos="9356"/>
        </w:tabs>
        <w:autoSpaceDE w:val="0"/>
        <w:autoSpaceDN w:val="0"/>
        <w:spacing w:line="360" w:lineRule="auto"/>
        <w:ind w:left="432" w:right="425"/>
        <w:jc w:val="both"/>
        <w:rPr>
          <w:rFonts w:asciiTheme="majorHAnsi" w:eastAsia="Tahoma" w:hAnsiTheme="majorHAnsi" w:cs="Calibri"/>
        </w:rPr>
      </w:pPr>
      <w:r w:rsidRPr="00635455">
        <w:rPr>
          <w:rFonts w:asciiTheme="majorHAnsi" w:eastAsia="Tahoma" w:hAnsiTheme="majorHAnsi" w:cs="Calibri"/>
        </w:rPr>
        <w:t>Consumer equipment and installation are not provided with appropriate and adequate capacitor installations but mostly with use of fixed capacitors, bulk compensation on EHT in fixed mode, use of substandard controllers having erratic and inconsistent performance, thereby leading to additional Reactive (lead) Power Charges, which is causing undesirable unwarranted burden on OPTCL and DISCOMS Network. It is important to note that, more particularly, during winter season, there is hardly any reactive injection, and due to high capacitive injection by high end consumers, the voltage becomes very high and sometimes so much so that it becomes difficult to control the same.</w:t>
      </w:r>
    </w:p>
    <w:p w14:paraId="254FD69B" w14:textId="77777777" w:rsidR="00635455" w:rsidRPr="00635455" w:rsidRDefault="00635455" w:rsidP="00D37BDA">
      <w:pPr>
        <w:widowControl w:val="0"/>
        <w:tabs>
          <w:tab w:val="left" w:pos="9356"/>
        </w:tabs>
        <w:autoSpaceDE w:val="0"/>
        <w:autoSpaceDN w:val="0"/>
        <w:spacing w:line="360" w:lineRule="auto"/>
        <w:ind w:left="432" w:right="425"/>
        <w:jc w:val="both"/>
        <w:rPr>
          <w:rFonts w:asciiTheme="majorHAnsi" w:eastAsia="Tahoma" w:hAnsiTheme="majorHAnsi" w:cs="Calibri"/>
        </w:rPr>
      </w:pPr>
    </w:p>
    <w:p w14:paraId="02E8C843" w14:textId="77777777" w:rsidR="00635455" w:rsidRPr="00635455" w:rsidRDefault="00635455" w:rsidP="00D37BDA">
      <w:pPr>
        <w:widowControl w:val="0"/>
        <w:tabs>
          <w:tab w:val="left" w:pos="9356"/>
        </w:tabs>
        <w:autoSpaceDE w:val="0"/>
        <w:autoSpaceDN w:val="0"/>
        <w:spacing w:line="360" w:lineRule="auto"/>
        <w:ind w:left="432" w:right="425"/>
        <w:jc w:val="both"/>
        <w:rPr>
          <w:rFonts w:asciiTheme="majorHAnsi" w:eastAsia="Tahoma" w:hAnsiTheme="majorHAnsi" w:cs="Calibri"/>
        </w:rPr>
      </w:pPr>
      <w:r w:rsidRPr="00635455">
        <w:rPr>
          <w:rFonts w:asciiTheme="majorHAnsi" w:eastAsia="Tahoma" w:hAnsiTheme="majorHAnsi" w:cs="Calibri"/>
        </w:rPr>
        <w:t xml:space="preserve">The reactive compensation is effective when it is nearer to the load and the extra reactive compensation by industrial consumers cannot be used / compensated against extra reactive energy drawl by agricultural section. Current is higher at lagging or leading power factor as compared to unity power factor and hence losses are also higher. Under leading power factor, excessive over voltages may occur thus endangering the system stability. As a result, in both situations, system stability of GRID is hampered. Also, for serving the same load, a transformer of higher capacity is required due to increase in current due to lead power factor. In view of the above facts, it can be seen that injection of leading power factor in excess is not always beneficial for the system. </w:t>
      </w:r>
    </w:p>
    <w:p w14:paraId="37575E8C" w14:textId="61F678AB" w:rsidR="00635455" w:rsidRPr="00635455" w:rsidRDefault="00635455" w:rsidP="00D37BDA">
      <w:pPr>
        <w:widowControl w:val="0"/>
        <w:tabs>
          <w:tab w:val="left" w:pos="9356"/>
        </w:tabs>
        <w:autoSpaceDE w:val="0"/>
        <w:autoSpaceDN w:val="0"/>
        <w:spacing w:line="360" w:lineRule="auto"/>
        <w:ind w:left="432" w:right="425"/>
        <w:jc w:val="both"/>
        <w:rPr>
          <w:rFonts w:asciiTheme="majorHAnsi" w:eastAsia="Tahoma" w:hAnsiTheme="majorHAnsi" w:cs="Calibri"/>
        </w:rPr>
      </w:pPr>
      <w:r w:rsidRPr="00635455">
        <w:rPr>
          <w:rFonts w:asciiTheme="majorHAnsi" w:eastAsia="Tahoma" w:hAnsiTheme="majorHAnsi" w:cs="Calibri"/>
        </w:rPr>
        <w:t xml:space="preserve">It is thus imperative that every section of consumer has to shoulder it’s responsibility to maintain the system power factor within permissible limits only to maintain Grid stability and full </w:t>
      </w:r>
      <w:r w:rsidR="00956918" w:rsidRPr="00635455">
        <w:rPr>
          <w:rFonts w:asciiTheme="majorHAnsi" w:eastAsia="Tahoma" w:hAnsiTheme="majorHAnsi" w:cs="Calibri"/>
        </w:rPr>
        <w:t>utilization</w:t>
      </w:r>
      <w:r w:rsidRPr="00635455">
        <w:rPr>
          <w:rFonts w:asciiTheme="majorHAnsi" w:eastAsia="Tahoma" w:hAnsiTheme="majorHAnsi" w:cs="Calibri"/>
        </w:rPr>
        <w:t xml:space="preserve"> of Installed capacity of Transmission/ Distribution network. Absence of any punitive measures for overcompensation prompted the consumers to use capacitors indiscriminately, much in excess of their requirements. CEA mandates that power factor of the bulk consumer shall be within ± 0.95 and hence the lead power factor also has to be within prescribed limits and to maintain it, adequate reactive compensation is to be provided and its burden is also on the bulk consumer apart from the distribution licensee.</w:t>
      </w:r>
    </w:p>
    <w:p w14:paraId="2DD30125" w14:textId="77777777" w:rsidR="00635455" w:rsidRPr="00635455" w:rsidRDefault="00635455" w:rsidP="00D37BDA">
      <w:pPr>
        <w:widowControl w:val="0"/>
        <w:tabs>
          <w:tab w:val="left" w:pos="9356"/>
        </w:tabs>
        <w:autoSpaceDE w:val="0"/>
        <w:autoSpaceDN w:val="0"/>
        <w:spacing w:line="360" w:lineRule="auto"/>
        <w:ind w:left="432" w:right="425"/>
        <w:jc w:val="both"/>
        <w:rPr>
          <w:rFonts w:asciiTheme="majorHAnsi" w:eastAsia="Tahoma" w:hAnsiTheme="majorHAnsi" w:cs="Calibri"/>
        </w:rPr>
      </w:pPr>
    </w:p>
    <w:p w14:paraId="12DFC295" w14:textId="77777777" w:rsidR="00635455" w:rsidRPr="00635455" w:rsidRDefault="00635455" w:rsidP="00D37BDA">
      <w:pPr>
        <w:widowControl w:val="0"/>
        <w:tabs>
          <w:tab w:val="left" w:pos="9356"/>
        </w:tabs>
        <w:autoSpaceDE w:val="0"/>
        <w:autoSpaceDN w:val="0"/>
        <w:spacing w:line="360" w:lineRule="auto"/>
        <w:ind w:left="432" w:right="425"/>
        <w:jc w:val="both"/>
        <w:rPr>
          <w:rFonts w:asciiTheme="majorHAnsi" w:eastAsia="Tahoma" w:hAnsiTheme="majorHAnsi" w:cs="Calibri"/>
        </w:rPr>
      </w:pPr>
      <w:r w:rsidRPr="00635455">
        <w:rPr>
          <w:rFonts w:asciiTheme="majorHAnsi" w:eastAsia="Tahoma" w:hAnsiTheme="majorHAnsi" w:cs="Calibri"/>
        </w:rPr>
        <w:t>Maharashtra Electricity Regulatory Commission in its order dated 12th Sep 2018 in Case No. 195/2017 regarding Mid-Term Review Petition of Maharashtra State Electricity Distribution Company Limited for Truing-up of Aggregate Revenue Requirement (ARR) of FY 2015-16 and FY 2016-17, Provisional Truing-up of ARR of FY 2017-18 and Revised Projections of ARR for FY 2018-19 and FY 2019-20 has kept the power factor penalties at the same rate for leading as well as for lagging power factor. No state treats the leading power factor as unity and are not allowing incentive for leading factor.</w:t>
      </w:r>
    </w:p>
    <w:p w14:paraId="2D389550" w14:textId="77777777" w:rsidR="00635455" w:rsidRPr="00635455" w:rsidRDefault="00635455" w:rsidP="00D37BDA">
      <w:pPr>
        <w:widowControl w:val="0"/>
        <w:tabs>
          <w:tab w:val="left" w:pos="9356"/>
        </w:tabs>
        <w:autoSpaceDE w:val="0"/>
        <w:autoSpaceDN w:val="0"/>
        <w:spacing w:line="360" w:lineRule="auto"/>
        <w:ind w:left="432" w:right="425"/>
        <w:jc w:val="both"/>
        <w:rPr>
          <w:rFonts w:asciiTheme="majorHAnsi" w:eastAsia="Tahoma" w:hAnsiTheme="majorHAnsi" w:cs="Calibri"/>
        </w:rPr>
      </w:pPr>
    </w:p>
    <w:p w14:paraId="6EC4E6F7" w14:textId="77777777" w:rsidR="00635455" w:rsidRPr="00635455" w:rsidRDefault="00635455" w:rsidP="00D37BDA">
      <w:pPr>
        <w:widowControl w:val="0"/>
        <w:tabs>
          <w:tab w:val="left" w:pos="9356"/>
        </w:tabs>
        <w:autoSpaceDE w:val="0"/>
        <w:autoSpaceDN w:val="0"/>
        <w:spacing w:line="360" w:lineRule="auto"/>
        <w:ind w:left="432" w:right="425"/>
        <w:jc w:val="both"/>
        <w:rPr>
          <w:rFonts w:asciiTheme="majorHAnsi" w:eastAsia="Tahoma" w:hAnsiTheme="majorHAnsi" w:cs="Calibri"/>
        </w:rPr>
      </w:pPr>
      <w:r w:rsidRPr="00635455">
        <w:rPr>
          <w:rFonts w:asciiTheme="majorHAnsi" w:eastAsia="Tahoma" w:hAnsiTheme="majorHAnsi" w:cs="Calibri"/>
        </w:rPr>
        <w:t xml:space="preserve">The most effective remedy to remove such anomaly is to introduce </w:t>
      </w:r>
      <w:proofErr w:type="spellStart"/>
      <w:r w:rsidRPr="00635455">
        <w:rPr>
          <w:rFonts w:asciiTheme="majorHAnsi" w:eastAsia="Tahoma" w:hAnsiTheme="majorHAnsi" w:cs="Calibri"/>
        </w:rPr>
        <w:t>kVAh</w:t>
      </w:r>
      <w:proofErr w:type="spellEnd"/>
      <w:r w:rsidRPr="00635455">
        <w:rPr>
          <w:rFonts w:asciiTheme="majorHAnsi" w:eastAsia="Tahoma" w:hAnsiTheme="majorHAnsi" w:cs="Calibri"/>
        </w:rPr>
        <w:t xml:space="preserve"> billing in lag + lead mode i.e. </w:t>
      </w:r>
      <w:proofErr w:type="spellStart"/>
      <w:r w:rsidRPr="00635455">
        <w:rPr>
          <w:rFonts w:asciiTheme="majorHAnsi" w:eastAsia="Tahoma" w:hAnsiTheme="majorHAnsi" w:cs="Calibri"/>
        </w:rPr>
        <w:t>kVAh</w:t>
      </w:r>
      <w:proofErr w:type="spellEnd"/>
      <w:r w:rsidRPr="00635455">
        <w:rPr>
          <w:rFonts w:asciiTheme="majorHAnsi" w:eastAsia="Tahoma" w:hAnsiTheme="majorHAnsi" w:cs="Calibri"/>
        </w:rPr>
        <w:t xml:space="preserve"> consumption in the leading power factor mode has to be taken in account as consumption. Introduction of </w:t>
      </w:r>
      <w:proofErr w:type="spellStart"/>
      <w:r w:rsidRPr="00635455">
        <w:rPr>
          <w:rFonts w:asciiTheme="majorHAnsi" w:eastAsia="Tahoma" w:hAnsiTheme="majorHAnsi" w:cs="Calibri"/>
        </w:rPr>
        <w:t>kVAh</w:t>
      </w:r>
      <w:proofErr w:type="spellEnd"/>
      <w:r w:rsidRPr="00635455">
        <w:rPr>
          <w:rFonts w:asciiTheme="majorHAnsi" w:eastAsia="Tahoma" w:hAnsiTheme="majorHAnsi" w:cs="Calibri"/>
        </w:rPr>
        <w:t xml:space="preserve"> metering and tariffs in lead as well lag mode will also encourage the consumers to reduce their electricity bill by ensuring that they do not draw reactive power and switch over to using efficient devices with proper power factor correctors or will install only appropriate capacitors at their premises.</w:t>
      </w:r>
    </w:p>
    <w:p w14:paraId="12DD87D2" w14:textId="77777777" w:rsidR="00635455" w:rsidRPr="00635455" w:rsidRDefault="00635455" w:rsidP="00635455">
      <w:pPr>
        <w:widowControl w:val="0"/>
        <w:tabs>
          <w:tab w:val="left" w:pos="9356"/>
        </w:tabs>
        <w:autoSpaceDE w:val="0"/>
        <w:autoSpaceDN w:val="0"/>
        <w:spacing w:line="360" w:lineRule="auto"/>
        <w:ind w:right="425"/>
        <w:jc w:val="both"/>
        <w:rPr>
          <w:rFonts w:asciiTheme="majorHAnsi" w:eastAsia="Tahoma" w:hAnsiTheme="majorHAnsi" w:cs="Calibri"/>
        </w:rPr>
      </w:pPr>
    </w:p>
    <w:p w14:paraId="0D4281E6" w14:textId="77777777" w:rsidR="00635455" w:rsidRDefault="00635455" w:rsidP="00D37BDA">
      <w:pPr>
        <w:widowControl w:val="0"/>
        <w:tabs>
          <w:tab w:val="left" w:pos="9356"/>
        </w:tabs>
        <w:autoSpaceDE w:val="0"/>
        <w:autoSpaceDN w:val="0"/>
        <w:spacing w:line="360" w:lineRule="auto"/>
        <w:ind w:left="432" w:right="425"/>
        <w:jc w:val="both"/>
        <w:rPr>
          <w:rFonts w:asciiTheme="majorHAnsi" w:eastAsia="Tahoma" w:hAnsiTheme="majorHAnsi" w:cs="Calibri"/>
        </w:rPr>
      </w:pPr>
      <w:r w:rsidRPr="00635455">
        <w:rPr>
          <w:rFonts w:asciiTheme="majorHAnsi" w:eastAsia="Tahoma" w:hAnsiTheme="majorHAnsi" w:cs="Calibri"/>
        </w:rPr>
        <w:t xml:space="preserve">Therefore, to ensure better quality and reliable supply of power for the consumers, it is proposed to charge even the leading power factor cases on </w:t>
      </w:r>
      <w:proofErr w:type="spellStart"/>
      <w:r w:rsidRPr="00635455">
        <w:rPr>
          <w:rFonts w:asciiTheme="majorHAnsi" w:eastAsia="Tahoma" w:hAnsiTheme="majorHAnsi" w:cs="Calibri"/>
        </w:rPr>
        <w:t>kVAh</w:t>
      </w:r>
      <w:proofErr w:type="spellEnd"/>
      <w:r w:rsidRPr="00635455">
        <w:rPr>
          <w:rFonts w:asciiTheme="majorHAnsi" w:eastAsia="Tahoma" w:hAnsiTheme="majorHAnsi" w:cs="Calibri"/>
        </w:rPr>
        <w:t xml:space="preserve"> basis so that the injection by high end consumers is as per their actual requirement and proper voltage is maintained for all the consumers. It will not only be helpful and beneficial for the DISCOMs but to the power sector at a large.</w:t>
      </w:r>
    </w:p>
    <w:p w14:paraId="3D2C4AE6" w14:textId="77777777" w:rsidR="00635455" w:rsidRDefault="00635455" w:rsidP="00635455">
      <w:pPr>
        <w:widowControl w:val="0"/>
        <w:tabs>
          <w:tab w:val="left" w:pos="9356"/>
        </w:tabs>
        <w:autoSpaceDE w:val="0"/>
        <w:autoSpaceDN w:val="0"/>
        <w:spacing w:line="360" w:lineRule="auto"/>
        <w:ind w:right="425"/>
        <w:jc w:val="both"/>
        <w:rPr>
          <w:rFonts w:asciiTheme="majorHAnsi" w:eastAsia="Tahoma" w:hAnsiTheme="majorHAnsi" w:cs="Calibri"/>
        </w:rPr>
      </w:pPr>
    </w:p>
    <w:p w14:paraId="6626C163" w14:textId="77777777" w:rsidR="007C7C0F" w:rsidRPr="007C7C0F" w:rsidRDefault="007C7C0F" w:rsidP="00810955">
      <w:pPr>
        <w:pStyle w:val="ListParagraph"/>
        <w:numPr>
          <w:ilvl w:val="1"/>
          <w:numId w:val="1"/>
        </w:numPr>
        <w:rPr>
          <w:rFonts w:asciiTheme="majorHAnsi" w:hAnsiTheme="majorHAnsi" w:cs="Calibri"/>
          <w:b/>
          <w:kern w:val="2"/>
          <w:sz w:val="24"/>
          <w:szCs w:val="24"/>
          <w:lang w:val="en-IN"/>
        </w:rPr>
      </w:pPr>
      <w:r w:rsidRPr="007C7C0F">
        <w:rPr>
          <w:rFonts w:asciiTheme="majorHAnsi" w:hAnsiTheme="majorHAnsi" w:cs="Calibri"/>
          <w:b/>
          <w:kern w:val="2"/>
          <w:sz w:val="24"/>
          <w:szCs w:val="24"/>
          <w:lang w:val="en-IN"/>
        </w:rPr>
        <w:t>Grid Support Charges.</w:t>
      </w:r>
    </w:p>
    <w:p w14:paraId="73B74EEE" w14:textId="77777777" w:rsidR="00635455" w:rsidRPr="00635455" w:rsidRDefault="00635455" w:rsidP="00D37BDA">
      <w:pPr>
        <w:spacing w:line="360" w:lineRule="auto"/>
        <w:ind w:left="432"/>
        <w:jc w:val="both"/>
        <w:rPr>
          <w:rFonts w:asciiTheme="majorHAnsi" w:eastAsia="Calibri" w:hAnsiTheme="majorHAnsi" w:cs="Calibri"/>
          <w:kern w:val="2"/>
          <w:lang w:val="en-IN"/>
        </w:rPr>
      </w:pPr>
      <w:r w:rsidRPr="00635455">
        <w:rPr>
          <w:rFonts w:asciiTheme="majorHAnsi" w:eastAsia="Calibri" w:hAnsiTheme="majorHAnsi" w:cs="Calibri"/>
          <w:kern w:val="2"/>
          <w:lang w:val="en-IN"/>
        </w:rPr>
        <w:t xml:space="preserve">While disposing Case No. 44/2024 in Order </w:t>
      </w:r>
      <w:proofErr w:type="spellStart"/>
      <w:r w:rsidRPr="00635455">
        <w:rPr>
          <w:rFonts w:asciiTheme="majorHAnsi" w:eastAsia="Calibri" w:hAnsiTheme="majorHAnsi" w:cs="Calibri"/>
          <w:kern w:val="2"/>
          <w:lang w:val="en-IN"/>
        </w:rPr>
        <w:t>dtd</w:t>
      </w:r>
      <w:proofErr w:type="spellEnd"/>
      <w:r w:rsidRPr="00635455">
        <w:rPr>
          <w:rFonts w:asciiTheme="majorHAnsi" w:eastAsia="Calibri" w:hAnsiTheme="majorHAnsi" w:cs="Calibri"/>
          <w:kern w:val="2"/>
          <w:lang w:val="en-IN"/>
        </w:rPr>
        <w:t>. 09/07/2024 vide Clause No. 11, Hon’ble Commission has directed OPTCL that:-</w:t>
      </w:r>
    </w:p>
    <w:p w14:paraId="5A5BFC9E" w14:textId="77777777" w:rsidR="00635455" w:rsidRPr="00635455" w:rsidRDefault="00635455" w:rsidP="00D37BDA">
      <w:pPr>
        <w:spacing w:line="360" w:lineRule="auto"/>
        <w:ind w:left="1152"/>
        <w:jc w:val="both"/>
        <w:rPr>
          <w:rFonts w:asciiTheme="majorHAnsi" w:eastAsia="Calibri" w:hAnsiTheme="majorHAnsi" w:cs="Calibri"/>
          <w:i/>
          <w:kern w:val="2"/>
          <w:lang w:val="en-IN"/>
        </w:rPr>
      </w:pPr>
      <w:r w:rsidRPr="00635455">
        <w:rPr>
          <w:rFonts w:asciiTheme="majorHAnsi" w:eastAsia="Calibri" w:hAnsiTheme="majorHAnsi" w:cs="Calibri"/>
          <w:i/>
          <w:kern w:val="2"/>
          <w:lang w:val="en-IN"/>
        </w:rPr>
        <w:t>“In view of the above, the Commission directs the Petitioner-M/s. OPTCL to submit a consolidated report considering the above observations/ suggestions of the Director (Regulatory Affairs), OERC. Further, in the said Report, M/s. OPTCL should address the observations/queries raised by the stakeholders in the earlier Cases filed by M/s. OPTCL regarding GSC. As prayed by the Petitioner, the Commission allows three months’ time to the Petitioner to submit the aforesaid Report before this Commission on or before 15.10.2024.”</w:t>
      </w:r>
    </w:p>
    <w:p w14:paraId="15F7127E" w14:textId="77777777" w:rsidR="00635455" w:rsidRPr="00635455" w:rsidRDefault="00635455" w:rsidP="00D37BDA">
      <w:pPr>
        <w:spacing w:line="360" w:lineRule="auto"/>
        <w:ind w:left="432"/>
        <w:jc w:val="both"/>
        <w:rPr>
          <w:rFonts w:asciiTheme="majorHAnsi" w:eastAsia="Calibri" w:hAnsiTheme="majorHAnsi" w:cs="Calibri"/>
          <w:kern w:val="2"/>
          <w:lang w:val="en-IN"/>
        </w:rPr>
      </w:pPr>
    </w:p>
    <w:p w14:paraId="768A9610" w14:textId="50115C8F" w:rsidR="007C7C0F" w:rsidRDefault="00635455" w:rsidP="00D37BDA">
      <w:pPr>
        <w:spacing w:line="360" w:lineRule="auto"/>
        <w:ind w:left="432"/>
        <w:jc w:val="both"/>
        <w:rPr>
          <w:rFonts w:asciiTheme="majorHAnsi" w:eastAsia="Calibri" w:hAnsiTheme="majorHAnsi" w:cs="Calibri"/>
          <w:kern w:val="2"/>
          <w:lang w:val="en-IN"/>
        </w:rPr>
      </w:pPr>
      <w:r w:rsidRPr="00635455">
        <w:rPr>
          <w:rFonts w:asciiTheme="majorHAnsi" w:eastAsia="Calibri" w:hAnsiTheme="majorHAnsi" w:cs="Calibri"/>
          <w:kern w:val="2"/>
          <w:lang w:val="en-IN"/>
        </w:rPr>
        <w:t>The Licensee requests Hon’ble Commission that while concluding the matter interest of end consumers may please be considered appropriately. As per Regulatory Framework such charges are to be collected by the DISCOMs from consumers putting required resources. Hence, an appropriate revenue sharing mechanism may be devised so that balance of all stakeholders is protected.</w:t>
      </w:r>
    </w:p>
    <w:p w14:paraId="4518BDE7" w14:textId="77777777" w:rsidR="00635455" w:rsidRPr="007C7C0F" w:rsidRDefault="00635455" w:rsidP="00635455">
      <w:pPr>
        <w:spacing w:line="360" w:lineRule="auto"/>
        <w:jc w:val="both"/>
        <w:rPr>
          <w:rFonts w:asciiTheme="majorHAnsi" w:hAnsiTheme="majorHAnsi" w:cs="Calibri"/>
          <w:b/>
          <w:kern w:val="2"/>
          <w:lang w:val="en-IN"/>
        </w:rPr>
      </w:pPr>
    </w:p>
    <w:p w14:paraId="3DABCA8A" w14:textId="77777777" w:rsidR="007C7C0F" w:rsidRPr="007C7C0F" w:rsidRDefault="007C7C0F" w:rsidP="006200B7">
      <w:pPr>
        <w:pStyle w:val="ListParagraph"/>
        <w:numPr>
          <w:ilvl w:val="1"/>
          <w:numId w:val="1"/>
        </w:numPr>
        <w:rPr>
          <w:rFonts w:asciiTheme="majorHAnsi" w:hAnsiTheme="majorHAnsi" w:cs="Calibri"/>
          <w:b/>
          <w:bCs/>
          <w:sz w:val="24"/>
          <w:szCs w:val="24"/>
          <w:lang w:val="en-IN" w:eastAsia="en-IN" w:bidi="or-IN"/>
        </w:rPr>
      </w:pPr>
      <w:r w:rsidRPr="007C7C0F">
        <w:rPr>
          <w:rFonts w:asciiTheme="majorHAnsi" w:hAnsiTheme="majorHAnsi" w:cs="Calibri"/>
          <w:b/>
          <w:bCs/>
          <w:sz w:val="24"/>
          <w:szCs w:val="24"/>
          <w:lang w:eastAsia="en-IN" w:bidi="or-IN"/>
        </w:rPr>
        <w:t xml:space="preserve">  Methodology for RCO Compliance Computation:</w:t>
      </w:r>
    </w:p>
    <w:p w14:paraId="272AEECE" w14:textId="77777777" w:rsidR="00635455" w:rsidRPr="00635455" w:rsidRDefault="00635455" w:rsidP="00D37BDA">
      <w:pPr>
        <w:pStyle w:val="NoSpacing"/>
        <w:spacing w:line="360" w:lineRule="auto"/>
        <w:ind w:left="432"/>
        <w:jc w:val="both"/>
        <w:rPr>
          <w:rFonts w:asciiTheme="majorHAnsi" w:hAnsiTheme="majorHAnsi" w:cs="Calibri"/>
          <w:color w:val="000000"/>
          <w:sz w:val="24"/>
          <w:szCs w:val="24"/>
        </w:rPr>
      </w:pPr>
      <w:r w:rsidRPr="00635455">
        <w:rPr>
          <w:rFonts w:asciiTheme="majorHAnsi" w:hAnsiTheme="majorHAnsi" w:cs="Calibri"/>
          <w:color w:val="000000"/>
          <w:sz w:val="24"/>
          <w:szCs w:val="24"/>
        </w:rPr>
        <w:t xml:space="preserve">As per the recent </w:t>
      </w:r>
      <w:proofErr w:type="spellStart"/>
      <w:r w:rsidRPr="00635455">
        <w:rPr>
          <w:rFonts w:asciiTheme="majorHAnsi" w:hAnsiTheme="majorHAnsi" w:cs="Calibri"/>
          <w:color w:val="000000"/>
          <w:sz w:val="24"/>
          <w:szCs w:val="24"/>
        </w:rPr>
        <w:t>MoP</w:t>
      </w:r>
      <w:proofErr w:type="spellEnd"/>
      <w:r w:rsidRPr="00635455">
        <w:rPr>
          <w:rFonts w:asciiTheme="majorHAnsi" w:hAnsiTheme="majorHAnsi" w:cs="Calibri"/>
          <w:color w:val="000000"/>
          <w:sz w:val="24"/>
          <w:szCs w:val="24"/>
        </w:rPr>
        <w:t xml:space="preserve"> order (Ministry of power notification dt- 27.09.2025) all the DISCOMs are obligated entities for compliance of RCO based on the electrical energy supplied to the consumers. The relevant clause is replicated below for reference:</w:t>
      </w:r>
    </w:p>
    <w:p w14:paraId="3518217D" w14:textId="77777777" w:rsidR="00635455" w:rsidRPr="00635455" w:rsidRDefault="00635455" w:rsidP="00D37BDA">
      <w:pPr>
        <w:pStyle w:val="NoSpacing"/>
        <w:spacing w:line="276" w:lineRule="auto"/>
        <w:ind w:left="432"/>
        <w:jc w:val="both"/>
        <w:rPr>
          <w:rFonts w:asciiTheme="majorHAnsi" w:hAnsiTheme="majorHAnsi" w:cs="Calibri"/>
          <w:color w:val="000000"/>
          <w:sz w:val="24"/>
          <w:szCs w:val="24"/>
        </w:rPr>
      </w:pPr>
    </w:p>
    <w:p w14:paraId="79C98B47" w14:textId="77777777" w:rsidR="00635455" w:rsidRPr="00635455" w:rsidRDefault="00635455" w:rsidP="00D37BDA">
      <w:pPr>
        <w:pStyle w:val="NoSpacing"/>
        <w:spacing w:line="276" w:lineRule="auto"/>
        <w:ind w:left="1152"/>
        <w:jc w:val="both"/>
        <w:rPr>
          <w:rFonts w:asciiTheme="majorHAnsi" w:hAnsiTheme="majorHAnsi" w:cs="Calibri"/>
          <w:i/>
          <w:color w:val="000000"/>
          <w:sz w:val="24"/>
          <w:szCs w:val="24"/>
        </w:rPr>
      </w:pPr>
      <w:r w:rsidRPr="00635455">
        <w:rPr>
          <w:rFonts w:asciiTheme="majorHAnsi" w:hAnsiTheme="majorHAnsi" w:cs="Calibri"/>
          <w:i/>
          <w:color w:val="000000"/>
          <w:sz w:val="24"/>
          <w:szCs w:val="24"/>
        </w:rPr>
        <w:t xml:space="preserve">“8. For designated consumers who are distribution licensees, the Renewable Consumption Obligation shall be calculated based on the </w:t>
      </w:r>
      <w:r w:rsidRPr="00635455">
        <w:rPr>
          <w:rFonts w:asciiTheme="majorHAnsi" w:hAnsiTheme="majorHAnsi" w:cs="Calibri"/>
          <w:b/>
          <w:i/>
          <w:color w:val="000000"/>
          <w:sz w:val="24"/>
          <w:szCs w:val="24"/>
          <w:u w:val="single"/>
        </w:rPr>
        <w:t>electrical energy supplied to consumers within the periphery of the distribution licensee</w:t>
      </w:r>
      <w:r w:rsidRPr="00635455">
        <w:rPr>
          <w:rFonts w:asciiTheme="majorHAnsi" w:hAnsiTheme="majorHAnsi" w:cs="Calibri"/>
          <w:i/>
          <w:color w:val="000000"/>
          <w:sz w:val="24"/>
          <w:szCs w:val="24"/>
        </w:rPr>
        <w:t>”</w:t>
      </w:r>
    </w:p>
    <w:p w14:paraId="43F11EF3" w14:textId="77777777" w:rsidR="00635455" w:rsidRPr="00635455" w:rsidRDefault="00635455" w:rsidP="00D37BDA">
      <w:pPr>
        <w:pStyle w:val="NoSpacing"/>
        <w:spacing w:line="276" w:lineRule="auto"/>
        <w:ind w:left="432"/>
        <w:jc w:val="both"/>
        <w:rPr>
          <w:rFonts w:asciiTheme="majorHAnsi" w:hAnsiTheme="majorHAnsi" w:cs="Calibri"/>
          <w:color w:val="000000"/>
          <w:sz w:val="24"/>
          <w:szCs w:val="24"/>
        </w:rPr>
      </w:pPr>
    </w:p>
    <w:p w14:paraId="143D295F" w14:textId="77777777" w:rsidR="00635455" w:rsidRPr="00635455" w:rsidRDefault="00635455" w:rsidP="00D37BDA">
      <w:pPr>
        <w:pStyle w:val="NoSpacing"/>
        <w:spacing w:line="360" w:lineRule="auto"/>
        <w:ind w:left="432"/>
        <w:jc w:val="both"/>
        <w:rPr>
          <w:rFonts w:asciiTheme="majorHAnsi" w:hAnsiTheme="majorHAnsi" w:cs="Calibri"/>
          <w:color w:val="000000"/>
          <w:sz w:val="24"/>
          <w:szCs w:val="24"/>
        </w:rPr>
      </w:pPr>
      <w:r w:rsidRPr="00635455">
        <w:rPr>
          <w:rFonts w:asciiTheme="majorHAnsi" w:hAnsiTheme="majorHAnsi" w:cs="Calibri"/>
          <w:color w:val="000000"/>
          <w:sz w:val="24"/>
          <w:szCs w:val="24"/>
        </w:rPr>
        <w:t xml:space="preserve">However, in ODISHA model, GRIDCO being the aggregator complies the RCO obligation of the DISCOMs on the basis of </w:t>
      </w:r>
      <w:r w:rsidRPr="00635455">
        <w:rPr>
          <w:rFonts w:asciiTheme="majorHAnsi" w:hAnsiTheme="majorHAnsi" w:cs="Calibri"/>
          <w:b/>
          <w:color w:val="000000"/>
          <w:sz w:val="24"/>
          <w:szCs w:val="24"/>
          <w:u w:val="single"/>
        </w:rPr>
        <w:t>“Energy Input”</w:t>
      </w:r>
      <w:r w:rsidRPr="00635455">
        <w:rPr>
          <w:rFonts w:asciiTheme="majorHAnsi" w:hAnsiTheme="majorHAnsi" w:cs="Calibri"/>
          <w:color w:val="000000"/>
          <w:sz w:val="24"/>
          <w:szCs w:val="24"/>
        </w:rPr>
        <w:t xml:space="preserve"> to the DISCOMs which is substantially higher than the energy supplied to the consumers owing to T &amp; D losses. Hence the RCO compliance on the loss component can be avoided and the same energy can be sold separately to the interested consumers through the licensee at a competitive price.</w:t>
      </w:r>
    </w:p>
    <w:p w14:paraId="0968D3DE" w14:textId="77777777" w:rsidR="00635455" w:rsidRPr="00635455" w:rsidRDefault="00635455" w:rsidP="00D37BDA">
      <w:pPr>
        <w:pStyle w:val="NoSpacing"/>
        <w:spacing w:line="360" w:lineRule="auto"/>
        <w:ind w:left="432"/>
        <w:jc w:val="both"/>
        <w:rPr>
          <w:rFonts w:asciiTheme="majorHAnsi" w:hAnsiTheme="majorHAnsi" w:cs="Calibri"/>
          <w:color w:val="000000"/>
          <w:sz w:val="24"/>
          <w:szCs w:val="24"/>
        </w:rPr>
      </w:pPr>
    </w:p>
    <w:p w14:paraId="1594A186" w14:textId="6F08692F" w:rsidR="00635455" w:rsidRPr="00635455" w:rsidRDefault="00635455" w:rsidP="00D37BDA">
      <w:pPr>
        <w:pStyle w:val="NoSpacing"/>
        <w:spacing w:line="360" w:lineRule="auto"/>
        <w:ind w:left="432"/>
        <w:jc w:val="both"/>
        <w:rPr>
          <w:rFonts w:asciiTheme="majorHAnsi" w:hAnsiTheme="majorHAnsi" w:cs="Calibri"/>
          <w:color w:val="000000"/>
          <w:sz w:val="24"/>
          <w:szCs w:val="24"/>
        </w:rPr>
      </w:pPr>
      <w:r w:rsidRPr="00635455">
        <w:rPr>
          <w:rFonts w:asciiTheme="majorHAnsi" w:hAnsiTheme="majorHAnsi" w:cs="Calibri"/>
          <w:color w:val="000000"/>
          <w:sz w:val="24"/>
          <w:szCs w:val="24"/>
        </w:rPr>
        <w:t xml:space="preserve">The </w:t>
      </w:r>
      <w:r>
        <w:rPr>
          <w:rFonts w:asciiTheme="majorHAnsi" w:hAnsiTheme="majorHAnsi" w:cs="Calibri"/>
          <w:color w:val="000000"/>
          <w:sz w:val="24"/>
          <w:szCs w:val="24"/>
        </w:rPr>
        <w:t xml:space="preserve">Delhi Electricity Regulatory Commission </w:t>
      </w:r>
      <w:r w:rsidRPr="00635455">
        <w:rPr>
          <w:rFonts w:asciiTheme="majorHAnsi" w:hAnsiTheme="majorHAnsi" w:cs="Calibri"/>
          <w:color w:val="000000"/>
          <w:sz w:val="24"/>
          <w:szCs w:val="24"/>
        </w:rPr>
        <w:t xml:space="preserve">(DERC) also in </w:t>
      </w:r>
      <w:proofErr w:type="spellStart"/>
      <w:r w:rsidRPr="00635455">
        <w:rPr>
          <w:rFonts w:asciiTheme="majorHAnsi" w:hAnsiTheme="majorHAnsi" w:cs="Calibri"/>
          <w:color w:val="000000"/>
          <w:sz w:val="24"/>
          <w:szCs w:val="24"/>
        </w:rPr>
        <w:t>it’s</w:t>
      </w:r>
      <w:proofErr w:type="spellEnd"/>
      <w:r w:rsidRPr="00635455">
        <w:rPr>
          <w:rFonts w:asciiTheme="majorHAnsi" w:hAnsiTheme="majorHAnsi" w:cs="Calibri"/>
          <w:color w:val="000000"/>
          <w:sz w:val="24"/>
          <w:szCs w:val="24"/>
        </w:rPr>
        <w:t xml:space="preserve"> latest notification has notified that RCO Compliance for D</w:t>
      </w:r>
      <w:r>
        <w:rPr>
          <w:rFonts w:asciiTheme="majorHAnsi" w:hAnsiTheme="majorHAnsi" w:cs="Calibri"/>
          <w:color w:val="000000"/>
          <w:sz w:val="24"/>
          <w:szCs w:val="24"/>
        </w:rPr>
        <w:t>ISCOM</w:t>
      </w:r>
      <w:r w:rsidRPr="00635455">
        <w:rPr>
          <w:rFonts w:asciiTheme="majorHAnsi" w:hAnsiTheme="majorHAnsi" w:cs="Calibri"/>
          <w:color w:val="000000"/>
          <w:sz w:val="24"/>
          <w:szCs w:val="24"/>
        </w:rPr>
        <w:t>s and pronounced that  the total sale to retail consumers will be considered for calculations of RCO Compliance. The relevant clause is reproduced below for reference:</w:t>
      </w:r>
    </w:p>
    <w:p w14:paraId="02055C2A" w14:textId="77777777" w:rsidR="00635455" w:rsidRPr="00635455" w:rsidRDefault="00635455" w:rsidP="00D37BDA">
      <w:pPr>
        <w:pStyle w:val="NoSpacing"/>
        <w:spacing w:line="276" w:lineRule="auto"/>
        <w:ind w:left="432"/>
        <w:jc w:val="both"/>
        <w:rPr>
          <w:rFonts w:asciiTheme="majorHAnsi" w:hAnsiTheme="majorHAnsi" w:cs="Calibri"/>
          <w:color w:val="000000"/>
          <w:sz w:val="24"/>
          <w:szCs w:val="24"/>
        </w:rPr>
      </w:pPr>
    </w:p>
    <w:p w14:paraId="22AD5981" w14:textId="77777777" w:rsidR="00635455" w:rsidRPr="00635455" w:rsidRDefault="00635455" w:rsidP="00D37BDA">
      <w:pPr>
        <w:pStyle w:val="NoSpacing"/>
        <w:spacing w:line="276" w:lineRule="auto"/>
        <w:ind w:left="1152"/>
        <w:jc w:val="both"/>
        <w:rPr>
          <w:rFonts w:asciiTheme="majorHAnsi" w:hAnsiTheme="majorHAnsi" w:cs="Calibri"/>
          <w:i/>
          <w:color w:val="000000"/>
          <w:sz w:val="24"/>
          <w:szCs w:val="24"/>
        </w:rPr>
      </w:pPr>
      <w:r w:rsidRPr="00635455">
        <w:rPr>
          <w:rFonts w:asciiTheme="majorHAnsi" w:hAnsiTheme="majorHAnsi" w:cs="Calibri"/>
          <w:i/>
          <w:color w:val="000000"/>
          <w:sz w:val="24"/>
          <w:szCs w:val="24"/>
        </w:rPr>
        <w:t>“(k) “Consumption” means the total quantity of electricity consumed by an Obligated Entity during a financial year, measured at the metering point(s) of drawl, from all sources including procurement through distribution licensees, open access, and captive generation.</w:t>
      </w:r>
    </w:p>
    <w:p w14:paraId="6F4F5DB7" w14:textId="77777777" w:rsidR="00635455" w:rsidRPr="00635455" w:rsidRDefault="00635455" w:rsidP="00D37BDA">
      <w:pPr>
        <w:pStyle w:val="NoSpacing"/>
        <w:spacing w:line="276" w:lineRule="auto"/>
        <w:ind w:left="1152"/>
        <w:jc w:val="both"/>
        <w:rPr>
          <w:rFonts w:asciiTheme="majorHAnsi" w:hAnsiTheme="majorHAnsi" w:cs="Calibri"/>
          <w:i/>
          <w:color w:val="000000"/>
          <w:sz w:val="24"/>
          <w:szCs w:val="24"/>
        </w:rPr>
      </w:pPr>
    </w:p>
    <w:p w14:paraId="52CB1AA2" w14:textId="77777777" w:rsidR="00635455" w:rsidRPr="00635455" w:rsidRDefault="00635455" w:rsidP="00D37BDA">
      <w:pPr>
        <w:pStyle w:val="NoSpacing"/>
        <w:spacing w:line="276" w:lineRule="auto"/>
        <w:ind w:left="1152"/>
        <w:jc w:val="both"/>
        <w:rPr>
          <w:rFonts w:asciiTheme="majorHAnsi" w:hAnsiTheme="majorHAnsi" w:cs="Calibri"/>
          <w:i/>
          <w:color w:val="000000"/>
          <w:sz w:val="24"/>
          <w:szCs w:val="24"/>
        </w:rPr>
      </w:pPr>
      <w:r w:rsidRPr="00635455">
        <w:rPr>
          <w:rFonts w:asciiTheme="majorHAnsi" w:hAnsiTheme="majorHAnsi" w:cs="Calibri"/>
          <w:i/>
          <w:color w:val="000000"/>
          <w:sz w:val="24"/>
          <w:szCs w:val="24"/>
        </w:rPr>
        <w:t xml:space="preserve"> Provided that, in the case of a distribution licensee, it shall mean </w:t>
      </w:r>
      <w:r w:rsidRPr="00635455">
        <w:rPr>
          <w:rFonts w:asciiTheme="majorHAnsi" w:hAnsiTheme="majorHAnsi" w:cs="Calibri"/>
          <w:b/>
          <w:i/>
          <w:color w:val="000000"/>
          <w:sz w:val="24"/>
          <w:szCs w:val="24"/>
          <w:u w:val="single"/>
        </w:rPr>
        <w:t xml:space="preserve">the total sale of power to its retail consumers </w:t>
      </w:r>
      <w:r w:rsidRPr="00635455">
        <w:rPr>
          <w:rFonts w:asciiTheme="majorHAnsi" w:hAnsiTheme="majorHAnsi" w:cs="Calibri"/>
          <w:i/>
          <w:color w:val="000000"/>
          <w:sz w:val="24"/>
          <w:szCs w:val="24"/>
        </w:rPr>
        <w:t>within its area of supply during the year.”</w:t>
      </w:r>
    </w:p>
    <w:p w14:paraId="54C99B15" w14:textId="77777777" w:rsidR="00635455" w:rsidRPr="00635455" w:rsidRDefault="00635455" w:rsidP="00D37BDA">
      <w:pPr>
        <w:pStyle w:val="NoSpacing"/>
        <w:spacing w:line="276" w:lineRule="auto"/>
        <w:ind w:left="432"/>
        <w:jc w:val="both"/>
        <w:rPr>
          <w:rFonts w:asciiTheme="majorHAnsi" w:hAnsiTheme="majorHAnsi" w:cs="Calibri"/>
          <w:color w:val="000000"/>
          <w:sz w:val="24"/>
          <w:szCs w:val="24"/>
        </w:rPr>
      </w:pPr>
    </w:p>
    <w:p w14:paraId="553AEB38" w14:textId="477B959D" w:rsidR="007C7C0F" w:rsidRDefault="00635455" w:rsidP="00D37BDA">
      <w:pPr>
        <w:pStyle w:val="NoSpacing"/>
        <w:spacing w:line="360" w:lineRule="auto"/>
        <w:ind w:left="432"/>
        <w:jc w:val="both"/>
        <w:rPr>
          <w:rFonts w:asciiTheme="majorHAnsi" w:hAnsiTheme="majorHAnsi" w:cs="Calibri"/>
          <w:color w:val="000000"/>
          <w:sz w:val="24"/>
          <w:szCs w:val="24"/>
        </w:rPr>
      </w:pPr>
      <w:r w:rsidRPr="00635455">
        <w:rPr>
          <w:rFonts w:asciiTheme="majorHAnsi" w:hAnsiTheme="majorHAnsi" w:cs="Calibri"/>
          <w:color w:val="000000"/>
          <w:sz w:val="24"/>
          <w:szCs w:val="24"/>
        </w:rPr>
        <w:t xml:space="preserve">Hence, Hon’ble Commission is requested to consider the total sale of power to </w:t>
      </w:r>
      <w:proofErr w:type="spellStart"/>
      <w:r w:rsidRPr="00635455">
        <w:rPr>
          <w:rFonts w:asciiTheme="majorHAnsi" w:hAnsiTheme="majorHAnsi" w:cs="Calibri"/>
          <w:color w:val="000000"/>
          <w:sz w:val="24"/>
          <w:szCs w:val="24"/>
        </w:rPr>
        <w:t>it’s</w:t>
      </w:r>
      <w:proofErr w:type="spellEnd"/>
      <w:r w:rsidRPr="00635455">
        <w:rPr>
          <w:rFonts w:asciiTheme="majorHAnsi" w:hAnsiTheme="majorHAnsi" w:cs="Calibri"/>
          <w:color w:val="000000"/>
          <w:sz w:val="24"/>
          <w:szCs w:val="24"/>
        </w:rPr>
        <w:t xml:space="preserve"> retail consumers by DISCOMs for calculation of RCO Compliance and allow for sale of the extra quantum of energy to the interested consumers through the licensee</w:t>
      </w:r>
      <w:r>
        <w:rPr>
          <w:rFonts w:asciiTheme="majorHAnsi" w:hAnsiTheme="majorHAnsi" w:cs="Calibri"/>
          <w:color w:val="000000"/>
          <w:sz w:val="24"/>
          <w:szCs w:val="24"/>
        </w:rPr>
        <w:t>.</w:t>
      </w:r>
    </w:p>
    <w:p w14:paraId="6B278EFC" w14:textId="23101A0A" w:rsidR="00FA5F4F" w:rsidRDefault="00FA5F4F" w:rsidP="00D37BDA">
      <w:pPr>
        <w:pStyle w:val="NoSpacing"/>
        <w:spacing w:line="360" w:lineRule="auto"/>
        <w:ind w:left="432"/>
        <w:jc w:val="both"/>
        <w:rPr>
          <w:rFonts w:asciiTheme="majorHAnsi" w:hAnsiTheme="majorHAnsi" w:cs="Calibri"/>
          <w:color w:val="000000"/>
          <w:sz w:val="24"/>
          <w:szCs w:val="24"/>
        </w:rPr>
      </w:pPr>
    </w:p>
    <w:p w14:paraId="3BC3BE36" w14:textId="5C466E57" w:rsidR="00FA5F4F" w:rsidRDefault="00FA5F4F" w:rsidP="00FA5F4F">
      <w:pPr>
        <w:pStyle w:val="ListParagraph"/>
        <w:numPr>
          <w:ilvl w:val="1"/>
          <w:numId w:val="1"/>
        </w:numPr>
        <w:rPr>
          <w:rFonts w:asciiTheme="majorHAnsi" w:hAnsiTheme="majorHAnsi" w:cs="Calibri"/>
          <w:b/>
          <w:bCs/>
          <w:sz w:val="24"/>
          <w:szCs w:val="24"/>
          <w:lang w:eastAsia="en-IN" w:bidi="or-IN"/>
        </w:rPr>
      </w:pPr>
      <w:r>
        <w:rPr>
          <w:rFonts w:asciiTheme="majorHAnsi" w:hAnsiTheme="majorHAnsi" w:cs="Calibri"/>
          <w:b/>
          <w:bCs/>
          <w:sz w:val="24"/>
          <w:szCs w:val="24"/>
          <w:lang w:eastAsia="en-IN" w:bidi="or-IN"/>
        </w:rPr>
        <w:t>Mandatory e-bill for Consumers with Smart Meters</w:t>
      </w:r>
    </w:p>
    <w:p w14:paraId="36C0BBCB" w14:textId="1AF11E2F" w:rsidR="00FA5F4F" w:rsidRDefault="00FA5F4F" w:rsidP="00FA5F4F">
      <w:pPr>
        <w:pStyle w:val="ListParagraph"/>
        <w:ind w:left="432"/>
        <w:rPr>
          <w:rFonts w:asciiTheme="majorHAnsi" w:hAnsiTheme="majorHAnsi" w:cs="Calibri"/>
          <w:b/>
          <w:bCs/>
          <w:sz w:val="24"/>
          <w:szCs w:val="24"/>
          <w:lang w:eastAsia="en-IN" w:bidi="or-IN"/>
        </w:rPr>
      </w:pPr>
    </w:p>
    <w:p w14:paraId="6DC45BE9" w14:textId="3C771A8E" w:rsidR="00FA5F4F" w:rsidRPr="00FA5F4F" w:rsidRDefault="00FA5F4F" w:rsidP="00FA5F4F">
      <w:pPr>
        <w:pStyle w:val="ListParagraph"/>
        <w:ind w:left="432"/>
        <w:jc w:val="both"/>
        <w:rPr>
          <w:rFonts w:asciiTheme="majorHAnsi" w:hAnsiTheme="majorHAnsi" w:cs="Calibri"/>
          <w:bCs/>
          <w:sz w:val="24"/>
          <w:szCs w:val="24"/>
          <w:lang w:eastAsia="en-IN" w:bidi="or-IN"/>
        </w:rPr>
      </w:pPr>
      <w:r w:rsidRPr="00FA5F4F">
        <w:rPr>
          <w:rFonts w:asciiTheme="majorHAnsi" w:hAnsiTheme="majorHAnsi" w:cs="Calibri"/>
          <w:bCs/>
          <w:sz w:val="24"/>
          <w:szCs w:val="24"/>
          <w:lang w:eastAsia="en-IN" w:bidi="or-IN"/>
        </w:rPr>
        <w:t>Odisha DISCOMs under the mandate of OERC and Central Government is installing Smart Meters for its Customers. Almost 20 Lakhs Smart Meters has been installed in Odisha till Date. Though Smart Metering Help in Remote Reading of the Consumers however D</w:t>
      </w:r>
      <w:r>
        <w:rPr>
          <w:rFonts w:asciiTheme="majorHAnsi" w:hAnsiTheme="majorHAnsi" w:cs="Calibri"/>
          <w:bCs/>
          <w:sz w:val="24"/>
          <w:szCs w:val="24"/>
          <w:lang w:eastAsia="en-IN" w:bidi="or-IN"/>
        </w:rPr>
        <w:t>ISCOM</w:t>
      </w:r>
      <w:r w:rsidRPr="00FA5F4F">
        <w:rPr>
          <w:rFonts w:asciiTheme="majorHAnsi" w:hAnsiTheme="majorHAnsi" w:cs="Calibri"/>
          <w:bCs/>
          <w:sz w:val="24"/>
          <w:szCs w:val="24"/>
          <w:lang w:eastAsia="en-IN" w:bidi="or-IN"/>
        </w:rPr>
        <w:t xml:space="preserve">s has to still visit the consumer premises to deliver the paper copy of bill. </w:t>
      </w:r>
    </w:p>
    <w:p w14:paraId="2106DA9B" w14:textId="77777777" w:rsidR="00FA5F4F" w:rsidRPr="00FA5F4F" w:rsidRDefault="00FA5F4F" w:rsidP="00FA5F4F">
      <w:pPr>
        <w:pStyle w:val="ListParagraph"/>
        <w:ind w:left="432"/>
        <w:jc w:val="both"/>
        <w:rPr>
          <w:rFonts w:asciiTheme="majorHAnsi" w:hAnsiTheme="majorHAnsi" w:cs="Calibri"/>
          <w:bCs/>
          <w:sz w:val="24"/>
          <w:szCs w:val="24"/>
          <w:lang w:eastAsia="en-IN" w:bidi="or-IN"/>
        </w:rPr>
      </w:pPr>
      <w:r w:rsidRPr="00FA5F4F">
        <w:rPr>
          <w:rFonts w:asciiTheme="majorHAnsi" w:hAnsiTheme="majorHAnsi" w:cs="Calibri"/>
          <w:bCs/>
          <w:sz w:val="24"/>
          <w:szCs w:val="24"/>
          <w:lang w:eastAsia="en-IN" w:bidi="or-IN"/>
        </w:rPr>
        <w:t xml:space="preserve"> </w:t>
      </w:r>
    </w:p>
    <w:p w14:paraId="1EFD2196" w14:textId="30557DA7" w:rsidR="00FA5F4F" w:rsidRPr="00FA5F4F" w:rsidRDefault="00FA5F4F" w:rsidP="00FA5F4F">
      <w:pPr>
        <w:pStyle w:val="ListParagraph"/>
        <w:ind w:left="432"/>
        <w:jc w:val="both"/>
        <w:rPr>
          <w:rFonts w:asciiTheme="majorHAnsi" w:hAnsiTheme="majorHAnsi" w:cs="Calibri"/>
          <w:bCs/>
          <w:sz w:val="24"/>
          <w:szCs w:val="24"/>
          <w:lang w:eastAsia="en-IN" w:bidi="or-IN"/>
        </w:rPr>
      </w:pPr>
      <w:r w:rsidRPr="00FA5F4F">
        <w:rPr>
          <w:rFonts w:asciiTheme="majorHAnsi" w:hAnsiTheme="majorHAnsi" w:cs="Calibri"/>
          <w:bCs/>
          <w:sz w:val="24"/>
          <w:szCs w:val="24"/>
          <w:lang w:eastAsia="en-IN" w:bidi="or-IN"/>
        </w:rPr>
        <w:t>Thus</w:t>
      </w:r>
      <w:r w:rsidR="00BB4B4C">
        <w:rPr>
          <w:rFonts w:asciiTheme="majorHAnsi" w:hAnsiTheme="majorHAnsi" w:cs="Calibri"/>
          <w:bCs/>
          <w:sz w:val="24"/>
          <w:szCs w:val="24"/>
          <w:lang w:eastAsia="en-IN" w:bidi="or-IN"/>
        </w:rPr>
        <w:t>,</w:t>
      </w:r>
      <w:r w:rsidRPr="00FA5F4F">
        <w:rPr>
          <w:rFonts w:asciiTheme="majorHAnsi" w:hAnsiTheme="majorHAnsi" w:cs="Calibri"/>
          <w:bCs/>
          <w:sz w:val="24"/>
          <w:szCs w:val="24"/>
          <w:lang w:eastAsia="en-IN" w:bidi="or-IN"/>
        </w:rPr>
        <w:t xml:space="preserve"> DISCOMs send paper electricity bills to lakhs of consumers every month which is not only wastage of paper but also for resources as </w:t>
      </w:r>
      <w:r>
        <w:rPr>
          <w:rFonts w:asciiTheme="majorHAnsi" w:hAnsiTheme="majorHAnsi" w:cs="Calibri"/>
          <w:bCs/>
          <w:sz w:val="24"/>
          <w:szCs w:val="24"/>
          <w:lang w:eastAsia="en-IN" w:bidi="or-IN"/>
        </w:rPr>
        <w:t>DISCOM</w:t>
      </w:r>
      <w:r w:rsidRPr="00FA5F4F">
        <w:rPr>
          <w:rFonts w:asciiTheme="majorHAnsi" w:hAnsiTheme="majorHAnsi" w:cs="Calibri"/>
          <w:bCs/>
          <w:sz w:val="24"/>
          <w:szCs w:val="24"/>
          <w:lang w:eastAsia="en-IN" w:bidi="or-IN"/>
        </w:rPr>
        <w:t xml:space="preserve">s have to incur the expenses on bill delivery despite getting the Remote Reading. </w:t>
      </w:r>
    </w:p>
    <w:p w14:paraId="6FFE3096" w14:textId="77777777" w:rsidR="00FA5F4F" w:rsidRPr="00FA5F4F" w:rsidRDefault="00FA5F4F" w:rsidP="00FA5F4F">
      <w:pPr>
        <w:pStyle w:val="ListParagraph"/>
        <w:ind w:left="432"/>
        <w:jc w:val="both"/>
        <w:rPr>
          <w:rFonts w:asciiTheme="majorHAnsi" w:hAnsiTheme="majorHAnsi" w:cs="Calibri"/>
          <w:bCs/>
          <w:sz w:val="24"/>
          <w:szCs w:val="24"/>
          <w:lang w:eastAsia="en-IN" w:bidi="or-IN"/>
        </w:rPr>
      </w:pPr>
      <w:r w:rsidRPr="00FA5F4F">
        <w:rPr>
          <w:rFonts w:asciiTheme="majorHAnsi" w:hAnsiTheme="majorHAnsi" w:cs="Calibri"/>
          <w:bCs/>
          <w:sz w:val="24"/>
          <w:szCs w:val="24"/>
          <w:lang w:eastAsia="en-IN" w:bidi="or-IN"/>
        </w:rPr>
        <w:t xml:space="preserve"> </w:t>
      </w:r>
    </w:p>
    <w:p w14:paraId="059AD412" w14:textId="77777777" w:rsidR="00FA5F4F" w:rsidRPr="00FA5F4F" w:rsidRDefault="00FA5F4F" w:rsidP="00FA5F4F">
      <w:pPr>
        <w:pStyle w:val="ListParagraph"/>
        <w:ind w:left="432"/>
        <w:jc w:val="both"/>
        <w:rPr>
          <w:rFonts w:asciiTheme="majorHAnsi" w:hAnsiTheme="majorHAnsi" w:cs="Calibri"/>
          <w:bCs/>
          <w:sz w:val="24"/>
          <w:szCs w:val="24"/>
          <w:lang w:eastAsia="en-IN" w:bidi="or-IN"/>
        </w:rPr>
      </w:pPr>
      <w:proofErr w:type="spellStart"/>
      <w:r w:rsidRPr="00FA5F4F">
        <w:rPr>
          <w:rFonts w:asciiTheme="majorHAnsi" w:hAnsiTheme="majorHAnsi" w:cs="Calibri"/>
          <w:bCs/>
          <w:sz w:val="24"/>
          <w:szCs w:val="24"/>
          <w:lang w:eastAsia="en-IN" w:bidi="or-IN"/>
        </w:rPr>
        <w:t>Infact</w:t>
      </w:r>
      <w:proofErr w:type="spellEnd"/>
      <w:r w:rsidRPr="00FA5F4F">
        <w:rPr>
          <w:rFonts w:asciiTheme="majorHAnsi" w:hAnsiTheme="majorHAnsi" w:cs="Calibri"/>
          <w:bCs/>
          <w:sz w:val="24"/>
          <w:szCs w:val="24"/>
          <w:lang w:eastAsia="en-IN" w:bidi="or-IN"/>
        </w:rPr>
        <w:t xml:space="preserve"> the expenses on Reading and Billing of Smart Meter Consumers is higher in comparison to Normal Consumers due to cost of Sim Rental as well as Bill Delivery Cost.</w:t>
      </w:r>
    </w:p>
    <w:p w14:paraId="1FC66778" w14:textId="77777777" w:rsidR="00FA5F4F" w:rsidRPr="00FA5F4F" w:rsidRDefault="00FA5F4F" w:rsidP="00FA5F4F">
      <w:pPr>
        <w:pStyle w:val="ListParagraph"/>
        <w:ind w:left="432"/>
        <w:jc w:val="both"/>
        <w:rPr>
          <w:rFonts w:asciiTheme="majorHAnsi" w:hAnsiTheme="majorHAnsi" w:cs="Calibri"/>
          <w:bCs/>
          <w:sz w:val="24"/>
          <w:szCs w:val="24"/>
          <w:lang w:eastAsia="en-IN" w:bidi="or-IN"/>
        </w:rPr>
      </w:pPr>
      <w:r w:rsidRPr="00FA5F4F">
        <w:rPr>
          <w:rFonts w:asciiTheme="majorHAnsi" w:hAnsiTheme="majorHAnsi" w:cs="Calibri"/>
          <w:bCs/>
          <w:sz w:val="24"/>
          <w:szCs w:val="24"/>
          <w:lang w:eastAsia="en-IN" w:bidi="or-IN"/>
        </w:rPr>
        <w:t xml:space="preserve"> </w:t>
      </w:r>
    </w:p>
    <w:p w14:paraId="197C3186" w14:textId="77777777" w:rsidR="00FA5F4F" w:rsidRPr="00FA5F4F" w:rsidRDefault="00FA5F4F" w:rsidP="00FA5F4F">
      <w:pPr>
        <w:pStyle w:val="ListParagraph"/>
        <w:ind w:left="432"/>
        <w:jc w:val="both"/>
        <w:rPr>
          <w:rFonts w:asciiTheme="majorHAnsi" w:hAnsiTheme="majorHAnsi" w:cs="Calibri"/>
          <w:bCs/>
          <w:sz w:val="24"/>
          <w:szCs w:val="24"/>
          <w:lang w:eastAsia="en-IN" w:bidi="or-IN"/>
        </w:rPr>
      </w:pPr>
      <w:r w:rsidRPr="00FA5F4F">
        <w:rPr>
          <w:rFonts w:asciiTheme="majorHAnsi" w:hAnsiTheme="majorHAnsi" w:cs="Calibri"/>
          <w:bCs/>
          <w:sz w:val="24"/>
          <w:szCs w:val="24"/>
          <w:lang w:eastAsia="en-IN" w:bidi="or-IN"/>
        </w:rPr>
        <w:t xml:space="preserve">In this era of internet wherein most of the consumers uses </w:t>
      </w:r>
      <w:proofErr w:type="spellStart"/>
      <w:r w:rsidRPr="00FA5F4F">
        <w:rPr>
          <w:rFonts w:asciiTheme="majorHAnsi" w:hAnsiTheme="majorHAnsi" w:cs="Calibri"/>
          <w:bCs/>
          <w:sz w:val="24"/>
          <w:szCs w:val="24"/>
          <w:lang w:eastAsia="en-IN" w:bidi="or-IN"/>
        </w:rPr>
        <w:t>whatsapp</w:t>
      </w:r>
      <w:proofErr w:type="spellEnd"/>
      <w:r w:rsidRPr="00FA5F4F">
        <w:rPr>
          <w:rFonts w:asciiTheme="majorHAnsi" w:hAnsiTheme="majorHAnsi" w:cs="Calibri"/>
          <w:bCs/>
          <w:sz w:val="24"/>
          <w:szCs w:val="24"/>
          <w:lang w:eastAsia="en-IN" w:bidi="or-IN"/>
        </w:rPr>
        <w:t xml:space="preserve">, these expenses can be saved by usage of </w:t>
      </w:r>
      <w:proofErr w:type="spellStart"/>
      <w:r w:rsidRPr="00FA5F4F">
        <w:rPr>
          <w:rFonts w:asciiTheme="majorHAnsi" w:hAnsiTheme="majorHAnsi" w:cs="Calibri"/>
          <w:bCs/>
          <w:sz w:val="24"/>
          <w:szCs w:val="24"/>
          <w:lang w:eastAsia="en-IN" w:bidi="or-IN"/>
        </w:rPr>
        <w:t>whatsapp</w:t>
      </w:r>
      <w:proofErr w:type="spellEnd"/>
      <w:r w:rsidRPr="00FA5F4F">
        <w:rPr>
          <w:rFonts w:asciiTheme="majorHAnsi" w:hAnsiTheme="majorHAnsi" w:cs="Calibri"/>
          <w:bCs/>
          <w:sz w:val="24"/>
          <w:szCs w:val="24"/>
          <w:lang w:eastAsia="en-IN" w:bidi="or-IN"/>
        </w:rPr>
        <w:t xml:space="preserve">/email. A soft copy of the bill can be sent to the consumer on </w:t>
      </w:r>
      <w:proofErr w:type="spellStart"/>
      <w:r w:rsidRPr="00FA5F4F">
        <w:rPr>
          <w:rFonts w:asciiTheme="majorHAnsi" w:hAnsiTheme="majorHAnsi" w:cs="Calibri"/>
          <w:bCs/>
          <w:sz w:val="24"/>
          <w:szCs w:val="24"/>
          <w:lang w:eastAsia="en-IN" w:bidi="or-IN"/>
        </w:rPr>
        <w:t>whatsapp</w:t>
      </w:r>
      <w:proofErr w:type="spellEnd"/>
      <w:r w:rsidRPr="00FA5F4F">
        <w:rPr>
          <w:rFonts w:asciiTheme="majorHAnsi" w:hAnsiTheme="majorHAnsi" w:cs="Calibri"/>
          <w:bCs/>
          <w:sz w:val="24"/>
          <w:szCs w:val="24"/>
          <w:lang w:eastAsia="en-IN" w:bidi="or-IN"/>
        </w:rPr>
        <w:t xml:space="preserve"> or on their email. These e-Bills will also help in providing additional features of payment link to the consumers.</w:t>
      </w:r>
    </w:p>
    <w:p w14:paraId="4C84ADBB" w14:textId="77777777" w:rsidR="00FA5F4F" w:rsidRPr="00FA5F4F" w:rsidRDefault="00FA5F4F" w:rsidP="00FA5F4F">
      <w:pPr>
        <w:pStyle w:val="ListParagraph"/>
        <w:ind w:left="432"/>
        <w:jc w:val="both"/>
        <w:rPr>
          <w:rFonts w:asciiTheme="majorHAnsi" w:hAnsiTheme="majorHAnsi" w:cs="Calibri"/>
          <w:bCs/>
          <w:sz w:val="24"/>
          <w:szCs w:val="24"/>
          <w:lang w:eastAsia="en-IN" w:bidi="or-IN"/>
        </w:rPr>
      </w:pPr>
      <w:r w:rsidRPr="00FA5F4F">
        <w:rPr>
          <w:rFonts w:asciiTheme="majorHAnsi" w:hAnsiTheme="majorHAnsi" w:cs="Calibri"/>
          <w:bCs/>
          <w:sz w:val="24"/>
          <w:szCs w:val="24"/>
          <w:lang w:eastAsia="en-IN" w:bidi="or-IN"/>
        </w:rPr>
        <w:t xml:space="preserve"> </w:t>
      </w:r>
    </w:p>
    <w:p w14:paraId="0F0694EF" w14:textId="463529CC" w:rsidR="00D37BDA" w:rsidRDefault="00FA5F4F" w:rsidP="00FA5F4F">
      <w:pPr>
        <w:pStyle w:val="ListParagraph"/>
        <w:ind w:left="432"/>
        <w:jc w:val="both"/>
        <w:rPr>
          <w:rFonts w:asciiTheme="majorHAnsi" w:eastAsia="Times New Roman" w:hAnsiTheme="majorHAnsi" w:cs="Arial"/>
          <w:b/>
          <w:bCs/>
          <w:sz w:val="24"/>
          <w:szCs w:val="24"/>
        </w:rPr>
      </w:pPr>
      <w:r w:rsidRPr="00FA5F4F">
        <w:rPr>
          <w:rFonts w:asciiTheme="majorHAnsi" w:hAnsiTheme="majorHAnsi" w:cs="Calibri"/>
          <w:bCs/>
          <w:sz w:val="24"/>
          <w:szCs w:val="24"/>
          <w:lang w:eastAsia="en-IN" w:bidi="or-IN"/>
        </w:rPr>
        <w:t>Thus, the Hon’ble Commission is requested to make e-bill mandatory for Smart Meter</w:t>
      </w:r>
      <w:r w:rsidR="00DE5718">
        <w:rPr>
          <w:rFonts w:asciiTheme="majorHAnsi" w:hAnsiTheme="majorHAnsi" w:cs="Calibri"/>
          <w:bCs/>
          <w:sz w:val="24"/>
          <w:szCs w:val="24"/>
          <w:lang w:eastAsia="en-IN" w:bidi="or-IN"/>
        </w:rPr>
        <w:t xml:space="preserve">ed </w:t>
      </w:r>
      <w:r w:rsidRPr="00FA5F4F">
        <w:rPr>
          <w:rFonts w:asciiTheme="majorHAnsi" w:hAnsiTheme="majorHAnsi" w:cs="Calibri"/>
          <w:bCs/>
          <w:sz w:val="24"/>
          <w:szCs w:val="24"/>
          <w:lang w:eastAsia="en-IN" w:bidi="or-IN"/>
        </w:rPr>
        <w:t>consumers</w:t>
      </w:r>
      <w:r w:rsidR="00EA37BE">
        <w:rPr>
          <w:rFonts w:asciiTheme="majorHAnsi" w:hAnsiTheme="majorHAnsi" w:cs="Calibri"/>
          <w:bCs/>
          <w:sz w:val="24"/>
          <w:szCs w:val="24"/>
          <w:lang w:eastAsia="en-IN" w:bidi="or-IN"/>
        </w:rPr>
        <w:t xml:space="preserve">. </w:t>
      </w:r>
      <w:r w:rsidR="00EA37BE" w:rsidRPr="00EA37BE">
        <w:rPr>
          <w:rFonts w:asciiTheme="majorHAnsi" w:hAnsiTheme="majorHAnsi" w:cs="Calibri"/>
          <w:bCs/>
          <w:sz w:val="24"/>
          <w:szCs w:val="24"/>
          <w:lang w:eastAsia="en-IN" w:bidi="or-IN"/>
        </w:rPr>
        <w:t>This will not only save the cost of bill and its delivery but also save environment due to non-use of papers promoting sustainability</w:t>
      </w:r>
      <w:r w:rsidR="00EA37BE">
        <w:rPr>
          <w:rFonts w:asciiTheme="majorHAnsi" w:hAnsiTheme="majorHAnsi" w:cs="Calibri"/>
          <w:bCs/>
          <w:sz w:val="24"/>
          <w:szCs w:val="24"/>
          <w:lang w:eastAsia="en-IN" w:bidi="or-IN"/>
        </w:rPr>
        <w:t>.</w:t>
      </w:r>
      <w:r w:rsidRPr="00FA5F4F">
        <w:rPr>
          <w:rFonts w:asciiTheme="majorHAnsi" w:hAnsiTheme="majorHAnsi" w:cs="Calibri"/>
          <w:bCs/>
          <w:sz w:val="24"/>
          <w:szCs w:val="24"/>
          <w:lang w:eastAsia="en-IN" w:bidi="or-IN"/>
        </w:rPr>
        <w:t xml:space="preserve"> </w:t>
      </w:r>
      <w:bookmarkEnd w:id="162"/>
    </w:p>
    <w:p w14:paraId="0F1A5938" w14:textId="00ECCC6E" w:rsidR="00D37BDA" w:rsidRDefault="00D37BDA" w:rsidP="007C7C0F">
      <w:pPr>
        <w:pStyle w:val="ListParagraph"/>
        <w:ind w:left="432"/>
        <w:rPr>
          <w:rFonts w:asciiTheme="majorHAnsi" w:eastAsia="Times New Roman" w:hAnsiTheme="majorHAnsi" w:cs="Arial"/>
          <w:b/>
          <w:bCs/>
          <w:sz w:val="24"/>
          <w:szCs w:val="24"/>
        </w:rPr>
      </w:pPr>
    </w:p>
    <w:p w14:paraId="176B5ACD" w14:textId="315AAA81" w:rsidR="00D37BDA" w:rsidRDefault="00D37BDA" w:rsidP="007C7C0F">
      <w:pPr>
        <w:pStyle w:val="ListParagraph"/>
        <w:ind w:left="432"/>
        <w:rPr>
          <w:rFonts w:asciiTheme="majorHAnsi" w:eastAsia="Times New Roman" w:hAnsiTheme="majorHAnsi" w:cs="Arial"/>
          <w:b/>
          <w:bCs/>
          <w:sz w:val="24"/>
          <w:szCs w:val="24"/>
        </w:rPr>
      </w:pPr>
    </w:p>
    <w:p w14:paraId="7E4BEA08" w14:textId="508C8CF1" w:rsidR="00D37BDA" w:rsidRDefault="00D37BDA" w:rsidP="007C7C0F">
      <w:pPr>
        <w:pStyle w:val="ListParagraph"/>
        <w:ind w:left="432"/>
        <w:rPr>
          <w:rFonts w:asciiTheme="majorHAnsi" w:eastAsia="Times New Roman" w:hAnsiTheme="majorHAnsi" w:cs="Arial"/>
          <w:b/>
          <w:bCs/>
          <w:sz w:val="24"/>
          <w:szCs w:val="24"/>
        </w:rPr>
      </w:pPr>
    </w:p>
    <w:p w14:paraId="52039CE8" w14:textId="615E1671" w:rsidR="00F37249" w:rsidRPr="00BF0E9D" w:rsidRDefault="00F37249" w:rsidP="00904B4F">
      <w:pPr>
        <w:pStyle w:val="Heading1"/>
        <w:numPr>
          <w:ilvl w:val="0"/>
          <w:numId w:val="1"/>
        </w:numPr>
        <w:spacing w:line="360" w:lineRule="auto"/>
        <w:jc w:val="both"/>
        <w:rPr>
          <w:rFonts w:ascii="Cambria" w:hAnsi="Cambria"/>
          <w:sz w:val="24"/>
          <w:szCs w:val="24"/>
        </w:rPr>
      </w:pPr>
      <w:bookmarkStart w:id="314" w:name="_Toc123992842"/>
      <w:bookmarkStart w:id="315" w:name="_Toc152180159"/>
      <w:bookmarkStart w:id="316" w:name="_Toc183204771"/>
      <w:bookmarkStart w:id="317" w:name="_Toc215250647"/>
      <w:bookmarkEnd w:id="228"/>
      <w:r w:rsidRPr="003D1A20">
        <w:rPr>
          <w:rFonts w:ascii="Cambria" w:hAnsi="Cambria"/>
          <w:sz w:val="24"/>
          <w:szCs w:val="24"/>
        </w:rPr>
        <w:t>Formats</w:t>
      </w:r>
      <w:bookmarkEnd w:id="314"/>
      <w:bookmarkEnd w:id="315"/>
      <w:bookmarkEnd w:id="316"/>
      <w:bookmarkEnd w:id="317"/>
    </w:p>
    <w:p w14:paraId="6FA755A8" w14:textId="0F02C4ED" w:rsidR="00F37249" w:rsidRPr="00BF0E9D" w:rsidRDefault="00F37249" w:rsidP="00F37249">
      <w:pPr>
        <w:spacing w:line="360" w:lineRule="auto"/>
        <w:rPr>
          <w:rFonts w:ascii="Cambria" w:hAnsi="Cambria" w:cs="Arial"/>
        </w:rPr>
      </w:pPr>
      <w:r w:rsidRPr="00BF0E9D">
        <w:rPr>
          <w:rFonts w:ascii="Cambria" w:hAnsi="Cambria" w:cs="Arial"/>
          <w:lang w:val="en-GB"/>
        </w:rPr>
        <w:t>The following filled in formats will form a part of the</w:t>
      </w:r>
      <w:r>
        <w:rPr>
          <w:rFonts w:ascii="Cambria" w:hAnsi="Cambria" w:cs="Arial"/>
          <w:lang w:val="en-GB"/>
        </w:rPr>
        <w:t xml:space="preserve"> revised </w:t>
      </w:r>
      <w:r w:rsidRPr="00BF0E9D">
        <w:rPr>
          <w:rFonts w:ascii="Cambria" w:hAnsi="Cambria" w:cs="Arial"/>
          <w:lang w:val="en-GB"/>
        </w:rPr>
        <w:t xml:space="preserve">ARR and Tariff Application for FY </w:t>
      </w:r>
      <w:r w:rsidR="009A0E63">
        <w:rPr>
          <w:rFonts w:ascii="Cambria" w:hAnsi="Cambria" w:cs="Arial"/>
          <w:lang w:val="en-GB"/>
        </w:rPr>
        <w:t>2026-27</w:t>
      </w:r>
      <w:r w:rsidRPr="00BF0E9D">
        <w:rPr>
          <w:rFonts w:ascii="Cambria" w:hAnsi="Cambria" w:cs="Arial"/>
          <w:lang w:val="en-GB"/>
        </w:rPr>
        <w:t xml:space="preserve"> as annexures.</w:t>
      </w:r>
    </w:p>
    <w:p w14:paraId="28531647" w14:textId="77777777" w:rsidR="00541858" w:rsidRPr="00541858" w:rsidRDefault="00541858" w:rsidP="001972DE">
      <w:pPr>
        <w:pStyle w:val="ListParagraph"/>
        <w:keepNext/>
        <w:numPr>
          <w:ilvl w:val="0"/>
          <w:numId w:val="34"/>
        </w:numPr>
        <w:spacing w:after="0" w:line="240" w:lineRule="auto"/>
        <w:contextualSpacing w:val="0"/>
        <w:jc w:val="both"/>
        <w:outlineLvl w:val="0"/>
        <w:rPr>
          <w:rFonts w:ascii="Cambria" w:eastAsia="Times New Roman" w:hAnsi="Cambria" w:cs="Arial"/>
          <w:b/>
          <w:bCs/>
          <w:vanish/>
          <w:kern w:val="32"/>
          <w:sz w:val="24"/>
          <w:szCs w:val="24"/>
        </w:rPr>
      </w:pPr>
      <w:bookmarkStart w:id="318" w:name="_Toc120649894"/>
      <w:bookmarkStart w:id="319" w:name="_Toc123927512"/>
      <w:bookmarkStart w:id="320" w:name="_Toc123992843"/>
      <w:bookmarkStart w:id="321" w:name="_Toc152180160"/>
      <w:bookmarkStart w:id="322" w:name="_Toc183204772"/>
      <w:bookmarkStart w:id="323" w:name="_Toc183204875"/>
      <w:bookmarkStart w:id="324" w:name="_Toc183205176"/>
      <w:bookmarkStart w:id="325" w:name="_Toc183802786"/>
      <w:bookmarkStart w:id="326" w:name="_Toc183802886"/>
      <w:bookmarkStart w:id="327" w:name="_Toc214104610"/>
      <w:bookmarkStart w:id="328" w:name="_Toc214104711"/>
      <w:bookmarkStart w:id="329" w:name="_Toc214104886"/>
      <w:bookmarkStart w:id="330" w:name="_Toc214107018"/>
      <w:bookmarkStart w:id="331" w:name="_Toc214126759"/>
      <w:bookmarkStart w:id="332" w:name="_Toc214126861"/>
      <w:bookmarkStart w:id="333" w:name="_Toc214294961"/>
      <w:bookmarkStart w:id="334" w:name="_Toc214295124"/>
      <w:bookmarkStart w:id="335" w:name="_Toc214295325"/>
      <w:bookmarkStart w:id="336" w:name="_Toc214295417"/>
      <w:bookmarkStart w:id="337" w:name="_Toc214701538"/>
      <w:bookmarkStart w:id="338" w:name="_Toc214701628"/>
      <w:bookmarkStart w:id="339" w:name="_Toc214735717"/>
      <w:bookmarkStart w:id="340" w:name="_Toc214735781"/>
      <w:bookmarkStart w:id="341" w:name="_Toc214735845"/>
      <w:bookmarkStart w:id="342" w:name="_Toc214790299"/>
      <w:bookmarkStart w:id="343" w:name="_Toc214967008"/>
      <w:bookmarkStart w:id="344" w:name="_Toc214967090"/>
      <w:bookmarkStart w:id="345" w:name="_Toc123992844"/>
      <w:bookmarkStart w:id="346" w:name="_Toc152180162"/>
      <w:bookmarkStart w:id="347" w:name="_Toc215235272"/>
      <w:bookmarkStart w:id="348" w:name="_Toc215250648"/>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7"/>
      <w:bookmarkEnd w:id="348"/>
    </w:p>
    <w:p w14:paraId="589094B7" w14:textId="77777777" w:rsidR="00541858" w:rsidRPr="00541858" w:rsidRDefault="00541858" w:rsidP="001972DE">
      <w:pPr>
        <w:pStyle w:val="ListParagraph"/>
        <w:keepNext/>
        <w:numPr>
          <w:ilvl w:val="0"/>
          <w:numId w:val="34"/>
        </w:numPr>
        <w:spacing w:after="0" w:line="240" w:lineRule="auto"/>
        <w:contextualSpacing w:val="0"/>
        <w:jc w:val="both"/>
        <w:outlineLvl w:val="0"/>
        <w:rPr>
          <w:rFonts w:ascii="Cambria" w:eastAsia="Times New Roman" w:hAnsi="Cambria" w:cs="Arial"/>
          <w:b/>
          <w:bCs/>
          <w:vanish/>
          <w:kern w:val="32"/>
          <w:sz w:val="24"/>
          <w:szCs w:val="24"/>
        </w:rPr>
      </w:pPr>
      <w:bookmarkStart w:id="349" w:name="_Toc183204773"/>
      <w:bookmarkStart w:id="350" w:name="_Toc183204876"/>
      <w:bookmarkStart w:id="351" w:name="_Toc183205177"/>
      <w:bookmarkStart w:id="352" w:name="_Toc183802787"/>
      <w:bookmarkStart w:id="353" w:name="_Toc183802887"/>
      <w:bookmarkStart w:id="354" w:name="_Toc214104611"/>
      <w:bookmarkStart w:id="355" w:name="_Toc214104712"/>
      <w:bookmarkStart w:id="356" w:name="_Toc214104887"/>
      <w:bookmarkStart w:id="357" w:name="_Toc214107019"/>
      <w:bookmarkStart w:id="358" w:name="_Toc214126760"/>
      <w:bookmarkStart w:id="359" w:name="_Toc214126862"/>
      <w:bookmarkStart w:id="360" w:name="_Toc214294962"/>
      <w:bookmarkStart w:id="361" w:name="_Toc214295125"/>
      <w:bookmarkStart w:id="362" w:name="_Toc214295326"/>
      <w:bookmarkStart w:id="363" w:name="_Toc214295418"/>
      <w:bookmarkStart w:id="364" w:name="_Toc214701539"/>
      <w:bookmarkStart w:id="365" w:name="_Toc214701629"/>
      <w:bookmarkStart w:id="366" w:name="_Toc214735718"/>
      <w:bookmarkStart w:id="367" w:name="_Toc214735782"/>
      <w:bookmarkStart w:id="368" w:name="_Toc214735846"/>
      <w:bookmarkStart w:id="369" w:name="_Toc214790300"/>
      <w:bookmarkStart w:id="370" w:name="_Toc214967009"/>
      <w:bookmarkStart w:id="371" w:name="_Toc214967091"/>
      <w:bookmarkStart w:id="372" w:name="_Toc215235273"/>
      <w:bookmarkStart w:id="373" w:name="_Toc215250649"/>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25964115" w14:textId="77777777" w:rsidR="00541858" w:rsidRPr="00541858" w:rsidRDefault="00541858" w:rsidP="001972DE">
      <w:pPr>
        <w:pStyle w:val="ListParagraph"/>
        <w:keepNext/>
        <w:numPr>
          <w:ilvl w:val="0"/>
          <w:numId w:val="34"/>
        </w:numPr>
        <w:spacing w:after="0" w:line="240" w:lineRule="auto"/>
        <w:contextualSpacing w:val="0"/>
        <w:jc w:val="both"/>
        <w:outlineLvl w:val="0"/>
        <w:rPr>
          <w:rFonts w:ascii="Cambria" w:eastAsia="Times New Roman" w:hAnsi="Cambria" w:cs="Arial"/>
          <w:b/>
          <w:bCs/>
          <w:vanish/>
          <w:kern w:val="32"/>
          <w:sz w:val="24"/>
          <w:szCs w:val="24"/>
        </w:rPr>
      </w:pPr>
      <w:bookmarkStart w:id="374" w:name="_Toc183204774"/>
      <w:bookmarkStart w:id="375" w:name="_Toc183204877"/>
      <w:bookmarkStart w:id="376" w:name="_Toc183205178"/>
      <w:bookmarkStart w:id="377" w:name="_Toc183802788"/>
      <w:bookmarkStart w:id="378" w:name="_Toc183802888"/>
      <w:bookmarkStart w:id="379" w:name="_Toc214104612"/>
      <w:bookmarkStart w:id="380" w:name="_Toc214104713"/>
      <w:bookmarkStart w:id="381" w:name="_Toc214104888"/>
      <w:bookmarkStart w:id="382" w:name="_Toc214107020"/>
      <w:bookmarkStart w:id="383" w:name="_Toc214126761"/>
      <w:bookmarkStart w:id="384" w:name="_Toc214126863"/>
      <w:bookmarkStart w:id="385" w:name="_Toc214294963"/>
      <w:bookmarkStart w:id="386" w:name="_Toc214295126"/>
      <w:bookmarkStart w:id="387" w:name="_Toc214295327"/>
      <w:bookmarkStart w:id="388" w:name="_Toc214295419"/>
      <w:bookmarkStart w:id="389" w:name="_Toc214701540"/>
      <w:bookmarkStart w:id="390" w:name="_Toc214701630"/>
      <w:bookmarkStart w:id="391" w:name="_Toc214735719"/>
      <w:bookmarkStart w:id="392" w:name="_Toc214735783"/>
      <w:bookmarkStart w:id="393" w:name="_Toc214735847"/>
      <w:bookmarkStart w:id="394" w:name="_Toc214790301"/>
      <w:bookmarkStart w:id="395" w:name="_Toc214967010"/>
      <w:bookmarkStart w:id="396" w:name="_Toc214967092"/>
      <w:bookmarkStart w:id="397" w:name="_Toc215235274"/>
      <w:bookmarkStart w:id="398" w:name="_Toc215250650"/>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3FB8B986" w14:textId="77777777" w:rsidR="00541858" w:rsidRPr="00541858" w:rsidRDefault="00541858" w:rsidP="001972DE">
      <w:pPr>
        <w:pStyle w:val="ListParagraph"/>
        <w:keepNext/>
        <w:numPr>
          <w:ilvl w:val="0"/>
          <w:numId w:val="34"/>
        </w:numPr>
        <w:spacing w:after="0" w:line="240" w:lineRule="auto"/>
        <w:contextualSpacing w:val="0"/>
        <w:jc w:val="both"/>
        <w:outlineLvl w:val="0"/>
        <w:rPr>
          <w:rFonts w:ascii="Cambria" w:eastAsia="Times New Roman" w:hAnsi="Cambria" w:cs="Arial"/>
          <w:b/>
          <w:bCs/>
          <w:vanish/>
          <w:kern w:val="32"/>
          <w:sz w:val="24"/>
          <w:szCs w:val="24"/>
        </w:rPr>
      </w:pPr>
      <w:bookmarkStart w:id="399" w:name="_Toc183204775"/>
      <w:bookmarkStart w:id="400" w:name="_Toc183204878"/>
      <w:bookmarkStart w:id="401" w:name="_Toc183205179"/>
      <w:bookmarkStart w:id="402" w:name="_Toc183802789"/>
      <w:bookmarkStart w:id="403" w:name="_Toc183802889"/>
      <w:bookmarkStart w:id="404" w:name="_Toc214104613"/>
      <w:bookmarkStart w:id="405" w:name="_Toc214104714"/>
      <w:bookmarkStart w:id="406" w:name="_Toc214104889"/>
      <w:bookmarkStart w:id="407" w:name="_Toc214107021"/>
      <w:bookmarkStart w:id="408" w:name="_Toc214126762"/>
      <w:bookmarkStart w:id="409" w:name="_Toc214126864"/>
      <w:bookmarkStart w:id="410" w:name="_Toc214294964"/>
      <w:bookmarkStart w:id="411" w:name="_Toc214295127"/>
      <w:bookmarkStart w:id="412" w:name="_Toc214295328"/>
      <w:bookmarkStart w:id="413" w:name="_Toc214295420"/>
      <w:bookmarkStart w:id="414" w:name="_Toc214701541"/>
      <w:bookmarkStart w:id="415" w:name="_Toc214701631"/>
      <w:bookmarkStart w:id="416" w:name="_Toc214735720"/>
      <w:bookmarkStart w:id="417" w:name="_Toc214735784"/>
      <w:bookmarkStart w:id="418" w:name="_Toc214735848"/>
      <w:bookmarkStart w:id="419" w:name="_Toc214790302"/>
      <w:bookmarkStart w:id="420" w:name="_Toc214967011"/>
      <w:bookmarkStart w:id="421" w:name="_Toc214967093"/>
      <w:bookmarkStart w:id="422" w:name="_Toc215235275"/>
      <w:bookmarkStart w:id="423" w:name="_Toc215250651"/>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4A34698A" w14:textId="77777777" w:rsidR="00541858" w:rsidRPr="00541858" w:rsidRDefault="00541858" w:rsidP="001972DE">
      <w:pPr>
        <w:pStyle w:val="ListParagraph"/>
        <w:keepNext/>
        <w:numPr>
          <w:ilvl w:val="0"/>
          <w:numId w:val="34"/>
        </w:numPr>
        <w:spacing w:after="0" w:line="240" w:lineRule="auto"/>
        <w:contextualSpacing w:val="0"/>
        <w:jc w:val="both"/>
        <w:outlineLvl w:val="0"/>
        <w:rPr>
          <w:rFonts w:ascii="Cambria" w:eastAsia="Times New Roman" w:hAnsi="Cambria" w:cs="Arial"/>
          <w:b/>
          <w:bCs/>
          <w:vanish/>
          <w:kern w:val="32"/>
          <w:sz w:val="24"/>
          <w:szCs w:val="24"/>
        </w:rPr>
      </w:pPr>
      <w:bookmarkStart w:id="424" w:name="_Toc183204776"/>
      <w:bookmarkStart w:id="425" w:name="_Toc183204879"/>
      <w:bookmarkStart w:id="426" w:name="_Toc183205180"/>
      <w:bookmarkStart w:id="427" w:name="_Toc183802790"/>
      <w:bookmarkStart w:id="428" w:name="_Toc183802890"/>
      <w:bookmarkStart w:id="429" w:name="_Toc214104614"/>
      <w:bookmarkStart w:id="430" w:name="_Toc214104715"/>
      <w:bookmarkStart w:id="431" w:name="_Toc214104890"/>
      <w:bookmarkStart w:id="432" w:name="_Toc214107022"/>
      <w:bookmarkStart w:id="433" w:name="_Toc214126763"/>
      <w:bookmarkStart w:id="434" w:name="_Toc214126865"/>
      <w:bookmarkStart w:id="435" w:name="_Toc214294965"/>
      <w:bookmarkStart w:id="436" w:name="_Toc214295128"/>
      <w:bookmarkStart w:id="437" w:name="_Toc214295329"/>
      <w:bookmarkStart w:id="438" w:name="_Toc214295421"/>
      <w:bookmarkStart w:id="439" w:name="_Toc214701542"/>
      <w:bookmarkStart w:id="440" w:name="_Toc214701632"/>
      <w:bookmarkStart w:id="441" w:name="_Toc214735721"/>
      <w:bookmarkStart w:id="442" w:name="_Toc214735785"/>
      <w:bookmarkStart w:id="443" w:name="_Toc214735849"/>
      <w:bookmarkStart w:id="444" w:name="_Toc214790303"/>
      <w:bookmarkStart w:id="445" w:name="_Toc214967012"/>
      <w:bookmarkStart w:id="446" w:name="_Toc214967094"/>
      <w:bookmarkStart w:id="447" w:name="_Toc215235276"/>
      <w:bookmarkStart w:id="448" w:name="_Toc215250652"/>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40635560" w14:textId="2CB22B50" w:rsidR="00F37249" w:rsidRPr="00051738" w:rsidRDefault="00F37249" w:rsidP="00051738">
      <w:pPr>
        <w:pStyle w:val="Heading2"/>
        <w:numPr>
          <w:ilvl w:val="1"/>
          <w:numId w:val="1"/>
        </w:numPr>
        <w:jc w:val="both"/>
        <w:rPr>
          <w:rFonts w:asciiTheme="majorHAnsi" w:hAnsiTheme="majorHAnsi"/>
          <w:i w:val="0"/>
          <w:iCs w:val="0"/>
          <w:sz w:val="24"/>
          <w:szCs w:val="24"/>
        </w:rPr>
      </w:pPr>
      <w:bookmarkStart w:id="449" w:name="_Toc183204777"/>
      <w:bookmarkStart w:id="450" w:name="_Toc215250653"/>
      <w:r w:rsidRPr="00051738">
        <w:rPr>
          <w:rFonts w:asciiTheme="majorHAnsi" w:hAnsiTheme="majorHAnsi"/>
          <w:i w:val="0"/>
          <w:iCs w:val="0"/>
          <w:sz w:val="24"/>
          <w:szCs w:val="24"/>
        </w:rPr>
        <w:t>Commercial/Technical Formats T1-T9</w:t>
      </w:r>
      <w:bookmarkEnd w:id="345"/>
      <w:bookmarkEnd w:id="346"/>
      <w:bookmarkEnd w:id="449"/>
      <w:bookmarkEnd w:id="450"/>
    </w:p>
    <w:p w14:paraId="3DCF256F" w14:textId="77777777" w:rsidR="00F37249" w:rsidRPr="00051738" w:rsidRDefault="00F37249" w:rsidP="00051738">
      <w:pPr>
        <w:pStyle w:val="Heading2"/>
        <w:numPr>
          <w:ilvl w:val="1"/>
          <w:numId w:val="1"/>
        </w:numPr>
        <w:jc w:val="both"/>
        <w:rPr>
          <w:rFonts w:asciiTheme="majorHAnsi" w:hAnsiTheme="majorHAnsi"/>
          <w:i w:val="0"/>
          <w:iCs w:val="0"/>
          <w:sz w:val="24"/>
          <w:szCs w:val="24"/>
        </w:rPr>
      </w:pPr>
      <w:bookmarkStart w:id="451" w:name="_Toc123992845"/>
      <w:bookmarkStart w:id="452" w:name="_Toc152180163"/>
      <w:bookmarkStart w:id="453" w:name="_Toc183204778"/>
      <w:bookmarkStart w:id="454" w:name="_Toc215250654"/>
      <w:r w:rsidRPr="00051738">
        <w:rPr>
          <w:rFonts w:asciiTheme="majorHAnsi" w:hAnsiTheme="majorHAnsi"/>
          <w:i w:val="0"/>
          <w:iCs w:val="0"/>
          <w:sz w:val="24"/>
          <w:szCs w:val="24"/>
        </w:rPr>
        <w:t>Financial Formats F1-F27</w:t>
      </w:r>
      <w:bookmarkEnd w:id="451"/>
      <w:bookmarkEnd w:id="452"/>
      <w:bookmarkEnd w:id="453"/>
      <w:bookmarkEnd w:id="454"/>
      <w:r w:rsidRPr="00051738">
        <w:rPr>
          <w:rFonts w:asciiTheme="majorHAnsi" w:hAnsiTheme="majorHAnsi"/>
          <w:i w:val="0"/>
          <w:iCs w:val="0"/>
          <w:sz w:val="24"/>
          <w:szCs w:val="24"/>
        </w:rPr>
        <w:t xml:space="preserve"> </w:t>
      </w:r>
    </w:p>
    <w:p w14:paraId="4EDBE54C" w14:textId="77777777" w:rsidR="00F37249" w:rsidRPr="00051738" w:rsidRDefault="00F37249" w:rsidP="00051738">
      <w:pPr>
        <w:pStyle w:val="Heading2"/>
        <w:numPr>
          <w:ilvl w:val="1"/>
          <w:numId w:val="1"/>
        </w:numPr>
        <w:jc w:val="both"/>
        <w:rPr>
          <w:rFonts w:asciiTheme="majorHAnsi" w:hAnsiTheme="majorHAnsi"/>
          <w:i w:val="0"/>
          <w:iCs w:val="0"/>
          <w:sz w:val="24"/>
          <w:szCs w:val="24"/>
        </w:rPr>
      </w:pPr>
      <w:bookmarkStart w:id="455" w:name="_Toc123992846"/>
      <w:bookmarkStart w:id="456" w:name="_Toc152180164"/>
      <w:bookmarkStart w:id="457" w:name="_Toc183204779"/>
      <w:bookmarkStart w:id="458" w:name="_Toc215250655"/>
      <w:r w:rsidRPr="00051738">
        <w:rPr>
          <w:rFonts w:asciiTheme="majorHAnsi" w:hAnsiTheme="majorHAnsi"/>
          <w:i w:val="0"/>
          <w:iCs w:val="0"/>
          <w:sz w:val="24"/>
          <w:szCs w:val="24"/>
        </w:rPr>
        <w:t>Details Performance Formats (P1-P17) in Vol- II</w:t>
      </w:r>
      <w:bookmarkEnd w:id="455"/>
      <w:bookmarkEnd w:id="456"/>
      <w:bookmarkEnd w:id="457"/>
      <w:bookmarkEnd w:id="458"/>
    </w:p>
    <w:p w14:paraId="4C3DB206" w14:textId="77777777" w:rsidR="00F37249" w:rsidRPr="003D1A20" w:rsidRDefault="00F37249" w:rsidP="00904B4F">
      <w:pPr>
        <w:pStyle w:val="Heading1"/>
        <w:numPr>
          <w:ilvl w:val="0"/>
          <w:numId w:val="1"/>
        </w:numPr>
        <w:spacing w:line="360" w:lineRule="auto"/>
        <w:jc w:val="both"/>
        <w:rPr>
          <w:rFonts w:ascii="Cambria" w:hAnsi="Cambria"/>
          <w:sz w:val="24"/>
          <w:szCs w:val="24"/>
        </w:rPr>
      </w:pPr>
      <w:bookmarkStart w:id="459" w:name="_Toc152180165"/>
      <w:bookmarkStart w:id="460" w:name="_Toc183204780"/>
      <w:bookmarkStart w:id="461" w:name="_Toc215250656"/>
      <w:r w:rsidRPr="003D1A20">
        <w:rPr>
          <w:rFonts w:ascii="Cambria" w:hAnsi="Cambria"/>
          <w:sz w:val="24"/>
          <w:szCs w:val="24"/>
        </w:rPr>
        <w:t>Prayer</w:t>
      </w:r>
      <w:bookmarkEnd w:id="459"/>
      <w:bookmarkEnd w:id="460"/>
      <w:bookmarkEnd w:id="461"/>
    </w:p>
    <w:p w14:paraId="75E36DE9" w14:textId="77777777" w:rsidR="00F37249" w:rsidRPr="000B7D3A" w:rsidRDefault="00F37249" w:rsidP="00541858">
      <w:p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t xml:space="preserve">In the aforesaid facts and circumstances, the </w:t>
      </w:r>
      <w:r>
        <w:rPr>
          <w:rFonts w:ascii="Cambria" w:hAnsi="Cambria" w:cs="Arial"/>
          <w:color w:val="000000"/>
          <w:lang w:val="en-GB"/>
        </w:rPr>
        <w:t>utility</w:t>
      </w:r>
      <w:r w:rsidRPr="000B7D3A">
        <w:rPr>
          <w:rFonts w:ascii="Cambria" w:hAnsi="Cambria" w:cs="Arial"/>
          <w:color w:val="000000"/>
          <w:lang w:val="en-GB"/>
        </w:rPr>
        <w:t xml:space="preserve"> prays that the Hon’ble Commission may be pleased to:</w:t>
      </w:r>
    </w:p>
    <w:p w14:paraId="30FC8CC4" w14:textId="77777777" w:rsidR="00F37249" w:rsidRPr="00D71140" w:rsidRDefault="00F37249" w:rsidP="00541858">
      <w:pPr>
        <w:numPr>
          <w:ilvl w:val="0"/>
          <w:numId w:val="3"/>
        </w:numPr>
        <w:autoSpaceDE w:val="0"/>
        <w:autoSpaceDN w:val="0"/>
        <w:adjustRightInd w:val="0"/>
        <w:spacing w:line="360" w:lineRule="auto"/>
        <w:jc w:val="both"/>
        <w:rPr>
          <w:rFonts w:ascii="Cambria" w:hAnsi="Cambria" w:cs="Arial"/>
          <w:color w:val="000000"/>
          <w:lang w:val="en-GB"/>
        </w:rPr>
      </w:pPr>
      <w:r w:rsidRPr="00D71140">
        <w:rPr>
          <w:rFonts w:ascii="Cambria" w:hAnsi="Cambria" w:cs="Arial"/>
          <w:color w:val="000000"/>
          <w:lang w:val="en-GB"/>
        </w:rPr>
        <w:t>Take the revised ARR application and Tariff Petition on record.</w:t>
      </w:r>
    </w:p>
    <w:p w14:paraId="63B0FE43" w14:textId="322409EC" w:rsidR="00F37249" w:rsidRPr="00D71140" w:rsidRDefault="00F37249" w:rsidP="00541858">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 xml:space="preserve">Approve the </w:t>
      </w:r>
      <w:r w:rsidRPr="00D71140">
        <w:rPr>
          <w:rFonts w:ascii="Cambria" w:hAnsi="Cambria" w:cs="Arial"/>
          <w:color w:val="000000"/>
          <w:lang w:val="en-GB"/>
        </w:rPr>
        <w:t xml:space="preserve">Aggregate Revenue Requirement for FY </w:t>
      </w:r>
      <w:r w:rsidR="009A0E63">
        <w:rPr>
          <w:rFonts w:ascii="Cambria" w:hAnsi="Cambria" w:cs="Arial"/>
          <w:color w:val="000000"/>
          <w:lang w:val="en-GB"/>
        </w:rPr>
        <w:t>2026-27</w:t>
      </w:r>
      <w:r w:rsidRPr="00D71140">
        <w:rPr>
          <w:rFonts w:ascii="Cambria" w:hAnsi="Cambria" w:cs="Arial"/>
          <w:color w:val="000000"/>
          <w:lang w:val="en-GB"/>
        </w:rPr>
        <w:t>.</w:t>
      </w:r>
    </w:p>
    <w:p w14:paraId="18173FFC" w14:textId="52ACF17D" w:rsidR="00F37249" w:rsidRDefault="00F37249" w:rsidP="00F37249">
      <w:pPr>
        <w:autoSpaceDE w:val="0"/>
        <w:autoSpaceDN w:val="0"/>
        <w:adjustRightInd w:val="0"/>
        <w:spacing w:after="240" w:line="360" w:lineRule="auto"/>
        <w:ind w:left="1080"/>
        <w:jc w:val="both"/>
        <w:rPr>
          <w:rFonts w:ascii="Cambria" w:hAnsi="Cambria" w:cs="Arial"/>
          <w:b/>
          <w:highlight w:val="yellow"/>
          <w:u w:val="single"/>
          <w:lang w:val="en-GB"/>
        </w:rPr>
      </w:pPr>
      <w:r>
        <w:rPr>
          <w:rFonts w:ascii="Cambria" w:hAnsi="Cambria" w:cs="Arial"/>
          <w:color w:val="000000" w:themeColor="text1"/>
          <w:lang w:val="en-GB"/>
        </w:rPr>
        <w:t xml:space="preserve">Allow additional R&amp;M and additional A&amp;G cost for special drive </w:t>
      </w:r>
      <w:r w:rsidRPr="009A2083">
        <w:rPr>
          <w:rFonts w:ascii="Cambria" w:hAnsi="Cambria" w:cs="Arial"/>
          <w:color w:val="000000" w:themeColor="text1"/>
          <w:lang w:val="en-GB"/>
        </w:rPr>
        <w:t xml:space="preserve">for the </w:t>
      </w:r>
      <w:r>
        <w:rPr>
          <w:rFonts w:ascii="Cambria" w:hAnsi="Cambria" w:cs="Arial"/>
          <w:color w:val="000000" w:themeColor="text1"/>
          <w:lang w:val="en-GB"/>
        </w:rPr>
        <w:t xml:space="preserve">ensuing year </w:t>
      </w:r>
      <w:r w:rsidRPr="00D71140">
        <w:rPr>
          <w:rFonts w:ascii="Cambria" w:hAnsi="Cambria" w:cs="Arial"/>
          <w:color w:val="000000" w:themeColor="text1"/>
          <w:lang w:val="en-GB"/>
        </w:rPr>
        <w:t xml:space="preserve">FY </w:t>
      </w:r>
      <w:r w:rsidR="009A0E63">
        <w:rPr>
          <w:rFonts w:ascii="Cambria" w:hAnsi="Cambria" w:cs="Arial"/>
          <w:color w:val="000000" w:themeColor="text1"/>
          <w:lang w:val="en-GB"/>
        </w:rPr>
        <w:t>2026-27</w:t>
      </w:r>
      <w:r w:rsidRPr="009A2083">
        <w:rPr>
          <w:rFonts w:ascii="Cambria" w:hAnsi="Cambria" w:cs="Arial"/>
          <w:color w:val="000000" w:themeColor="text1"/>
          <w:lang w:val="en-GB"/>
        </w:rPr>
        <w:t xml:space="preserve"> out of surplus revenue generated from </w:t>
      </w:r>
      <w:r w:rsidR="00C7069F">
        <w:rPr>
          <w:rFonts w:ascii="Cambria" w:hAnsi="Cambria" w:cs="Arial"/>
          <w:color w:val="000000" w:themeColor="text1"/>
          <w:lang w:val="en-GB"/>
        </w:rPr>
        <w:t xml:space="preserve">earlier years </w:t>
      </w:r>
      <w:r>
        <w:rPr>
          <w:rFonts w:ascii="Cambria" w:hAnsi="Cambria" w:cs="Arial"/>
          <w:color w:val="000000" w:themeColor="text1"/>
          <w:lang w:val="en-GB"/>
        </w:rPr>
        <w:t>along with efficiency gain and additional sale though proposed tariff rationalisation measures without burdening the consumer of the state assuming no increase in BST &amp; Transmission charges</w:t>
      </w:r>
      <w:r w:rsidRPr="00C11C1E">
        <w:rPr>
          <w:rFonts w:ascii="Cambria" w:hAnsi="Cambria" w:cs="Arial"/>
          <w:color w:val="000000" w:themeColor="text1"/>
          <w:lang w:val="en-GB"/>
        </w:rPr>
        <w:t xml:space="preserve">. </w:t>
      </w:r>
    </w:p>
    <w:p w14:paraId="4EFE72C0" w14:textId="14C052AF" w:rsidR="00F37249" w:rsidRDefault="00F37249" w:rsidP="00F37249">
      <w:pPr>
        <w:autoSpaceDE w:val="0"/>
        <w:autoSpaceDN w:val="0"/>
        <w:adjustRightInd w:val="0"/>
        <w:spacing w:after="240" w:line="276" w:lineRule="auto"/>
        <w:ind w:left="1080"/>
        <w:jc w:val="both"/>
        <w:rPr>
          <w:rFonts w:ascii="Cambria" w:hAnsi="Cambria" w:cs="Arial"/>
          <w:b/>
          <w:u w:val="single"/>
          <w:lang w:val="en-GB"/>
        </w:rPr>
      </w:pPr>
      <w:r w:rsidRPr="00D37BDA">
        <w:rPr>
          <w:rFonts w:ascii="Cambria" w:hAnsi="Cambria" w:cs="Arial"/>
          <w:b/>
          <w:u w:val="single"/>
          <w:lang w:val="en-GB"/>
        </w:rPr>
        <w:t xml:space="preserve">Allow the following Tariff rationalisation measures as proposed </w:t>
      </w:r>
      <w:r w:rsidR="003508CD" w:rsidRPr="00D37BDA">
        <w:rPr>
          <w:rFonts w:ascii="Cambria" w:hAnsi="Cambria" w:cs="Arial"/>
          <w:b/>
          <w:u w:val="single"/>
          <w:lang w:val="en-GB"/>
        </w:rPr>
        <w:t>w.r.t</w:t>
      </w:r>
      <w:r w:rsidRPr="00D37BDA">
        <w:rPr>
          <w:rFonts w:ascii="Cambria" w:hAnsi="Cambria" w:cs="Arial"/>
          <w:b/>
          <w:u w:val="single"/>
          <w:lang w:val="en-GB"/>
        </w:rPr>
        <w:t xml:space="preserve"> consumer benefit schemes:</w:t>
      </w:r>
    </w:p>
    <w:p w14:paraId="061884AE" w14:textId="66E46115"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 xml:space="preserve">Digital rebate </w:t>
      </w:r>
      <w:r>
        <w:rPr>
          <w:rFonts w:asciiTheme="majorHAnsi" w:hAnsiTheme="majorHAnsi"/>
          <w:sz w:val="24"/>
          <w:szCs w:val="24"/>
        </w:rPr>
        <w:t>of</w:t>
      </w:r>
      <w:r w:rsidRPr="00D37BDA">
        <w:rPr>
          <w:rFonts w:asciiTheme="majorHAnsi" w:hAnsiTheme="majorHAnsi"/>
          <w:sz w:val="24"/>
          <w:szCs w:val="24"/>
        </w:rPr>
        <w:t xml:space="preserve"> 4% for LT Domestic, LT GP single phase &amp; Single-phase irrigation consumers</w:t>
      </w:r>
    </w:p>
    <w:p w14:paraId="75A6ABD9" w14:textId="4C665736"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 xml:space="preserve">Discount of 10 </w:t>
      </w:r>
      <w:proofErr w:type="spellStart"/>
      <w:r w:rsidRPr="00D37BDA">
        <w:rPr>
          <w:rFonts w:asciiTheme="majorHAnsi" w:hAnsiTheme="majorHAnsi"/>
          <w:sz w:val="24"/>
          <w:szCs w:val="24"/>
        </w:rPr>
        <w:t>paise</w:t>
      </w:r>
      <w:proofErr w:type="spellEnd"/>
      <w:r w:rsidRPr="00D37BDA">
        <w:rPr>
          <w:rFonts w:asciiTheme="majorHAnsi" w:hAnsiTheme="majorHAnsi"/>
          <w:sz w:val="24"/>
          <w:szCs w:val="24"/>
        </w:rPr>
        <w:t xml:space="preserve"> to Domestic Rural Consumers if consumed on actual meter reading</w:t>
      </w:r>
    </w:p>
    <w:p w14:paraId="161B9D38" w14:textId="3154AB3A"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Levy of CSS on RE power</w:t>
      </w:r>
    </w:p>
    <w:p w14:paraId="3C6B2AB6" w14:textId="1EECA3C3"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Special tariff to steel industries at 33 kV level without having CGP</w:t>
      </w:r>
    </w:p>
    <w:p w14:paraId="765258E3" w14:textId="5F4BE4CC"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 xml:space="preserve">Continuity of Special tariff for industries having CGP with CD up to 20 MW to avail up to double the CD without levy of over </w:t>
      </w:r>
      <w:proofErr w:type="spellStart"/>
      <w:r w:rsidRPr="00D37BDA">
        <w:rPr>
          <w:rFonts w:asciiTheme="majorHAnsi" w:hAnsiTheme="majorHAnsi"/>
          <w:sz w:val="24"/>
          <w:szCs w:val="24"/>
        </w:rPr>
        <w:t>drawal</w:t>
      </w:r>
      <w:proofErr w:type="spellEnd"/>
      <w:r w:rsidRPr="00D37BDA">
        <w:rPr>
          <w:rFonts w:asciiTheme="majorHAnsi" w:hAnsiTheme="majorHAnsi"/>
          <w:sz w:val="24"/>
          <w:szCs w:val="24"/>
        </w:rPr>
        <w:t xml:space="preserve"> penalty. But the licensee shall have to operate within the approved SMD in such cases. In addition to this an industry availing this benefit shall not be permitted to avail the benefit of another scheme. </w:t>
      </w:r>
    </w:p>
    <w:p w14:paraId="5028F553" w14:textId="5E354922"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Special tariff for Existing industries having CGP with CD &gt;20 MW with minimum offtake 60% of existing CD with TPA among GRIDCO, DISCOM &amp; Consumer with certain modifications as suggested in the proposal considering business requirement.</w:t>
      </w:r>
    </w:p>
    <w:p w14:paraId="4E584A8B" w14:textId="57B44719"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 xml:space="preserve">Continuity of Special tariff for industries without CGP at 33 kV level with CD up to 10 MVA to avail up to double the CD without levy of over </w:t>
      </w:r>
      <w:proofErr w:type="spellStart"/>
      <w:r w:rsidRPr="00D37BDA">
        <w:rPr>
          <w:rFonts w:asciiTheme="majorHAnsi" w:hAnsiTheme="majorHAnsi"/>
          <w:sz w:val="24"/>
          <w:szCs w:val="24"/>
        </w:rPr>
        <w:t>drawal</w:t>
      </w:r>
      <w:proofErr w:type="spellEnd"/>
      <w:r w:rsidRPr="00D37BDA">
        <w:rPr>
          <w:rFonts w:asciiTheme="majorHAnsi" w:hAnsiTheme="majorHAnsi"/>
          <w:sz w:val="24"/>
          <w:szCs w:val="24"/>
        </w:rPr>
        <w:t xml:space="preserve"> penalty. But the licensee shall have to operate within the approved SMD in such cases. In addition to this an industry availing this benefit shall not be permitted to avail the benefit of another scheme including </w:t>
      </w:r>
      <w:proofErr w:type="spellStart"/>
      <w:r w:rsidRPr="00D37BDA">
        <w:rPr>
          <w:rFonts w:asciiTheme="majorHAnsi" w:hAnsiTheme="majorHAnsi"/>
          <w:sz w:val="24"/>
          <w:szCs w:val="24"/>
        </w:rPr>
        <w:t>drawal</w:t>
      </w:r>
      <w:proofErr w:type="spellEnd"/>
      <w:r w:rsidRPr="00D37BDA">
        <w:rPr>
          <w:rFonts w:asciiTheme="majorHAnsi" w:hAnsiTheme="majorHAnsi"/>
          <w:sz w:val="24"/>
          <w:szCs w:val="24"/>
        </w:rPr>
        <w:t xml:space="preserve"> in Open Access.</w:t>
      </w:r>
    </w:p>
    <w:p w14:paraId="2C3084B9" w14:textId="359FD6CB"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Continuation Green Tariff Premium (GTP) mechanism.</w:t>
      </w:r>
    </w:p>
    <w:p w14:paraId="5C6078F5" w14:textId="0292C6BA"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E-bill rebate of Rs.10 per bill.</w:t>
      </w:r>
    </w:p>
    <w:p w14:paraId="7C0D4157" w14:textId="7F636D5E"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Proposal for simplification of fixed charges i.e. MMFC</w:t>
      </w:r>
    </w:p>
    <w:p w14:paraId="2390ADDA" w14:textId="19AB4039"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 xml:space="preserve">DPS on Electricity Bills </w:t>
      </w:r>
    </w:p>
    <w:p w14:paraId="006A58CB" w14:textId="790654B5"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Sale of intermittent surplus power under TPA Arrangement with minimum offtake of 60% CD</w:t>
      </w:r>
    </w:p>
    <w:p w14:paraId="0ADD19FF" w14:textId="2531CFFA"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Re-structuring of TOD based RST for Open Access / CGP Consumers</w:t>
      </w:r>
    </w:p>
    <w:p w14:paraId="5F3B1298" w14:textId="587E64CB"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 xml:space="preserve">Minimum Contract Demand Drawl @ 25 % for Industries with CGP having CD &gt; 1 MW During Solar Hours (08:00 </w:t>
      </w:r>
      <w:proofErr w:type="spellStart"/>
      <w:r w:rsidRPr="00D37BDA">
        <w:rPr>
          <w:rFonts w:asciiTheme="majorHAnsi" w:hAnsiTheme="majorHAnsi"/>
          <w:sz w:val="24"/>
          <w:szCs w:val="24"/>
        </w:rPr>
        <w:t>hrs</w:t>
      </w:r>
      <w:proofErr w:type="spellEnd"/>
      <w:r w:rsidRPr="00D37BDA">
        <w:rPr>
          <w:rFonts w:asciiTheme="majorHAnsi" w:hAnsiTheme="majorHAnsi"/>
          <w:sz w:val="24"/>
          <w:szCs w:val="24"/>
        </w:rPr>
        <w:t xml:space="preserve"> – 16:00 </w:t>
      </w:r>
      <w:proofErr w:type="spellStart"/>
      <w:r w:rsidRPr="00D37BDA">
        <w:rPr>
          <w:rFonts w:asciiTheme="majorHAnsi" w:hAnsiTheme="majorHAnsi"/>
          <w:sz w:val="24"/>
          <w:szCs w:val="24"/>
        </w:rPr>
        <w:t>hrs</w:t>
      </w:r>
      <w:proofErr w:type="spellEnd"/>
      <w:r w:rsidRPr="00D37BDA">
        <w:rPr>
          <w:rFonts w:asciiTheme="majorHAnsi" w:hAnsiTheme="majorHAnsi"/>
          <w:sz w:val="24"/>
          <w:szCs w:val="24"/>
        </w:rPr>
        <w:t>)</w:t>
      </w:r>
    </w:p>
    <w:p w14:paraId="78453715" w14:textId="1BDF62A1"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Load factor rebate to HT &amp; EHT industries</w:t>
      </w:r>
    </w:p>
    <w:p w14:paraId="125F0B54" w14:textId="1644053A"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 xml:space="preserve">Enhancement of </w:t>
      </w:r>
      <w:proofErr w:type="spellStart"/>
      <w:r w:rsidRPr="00D37BDA">
        <w:rPr>
          <w:rFonts w:asciiTheme="majorHAnsi" w:hAnsiTheme="majorHAnsi"/>
          <w:sz w:val="24"/>
          <w:szCs w:val="24"/>
        </w:rPr>
        <w:t>ToD</w:t>
      </w:r>
      <w:proofErr w:type="spellEnd"/>
      <w:r w:rsidRPr="00D37BDA">
        <w:rPr>
          <w:rFonts w:asciiTheme="majorHAnsi" w:hAnsiTheme="majorHAnsi"/>
          <w:sz w:val="24"/>
          <w:szCs w:val="24"/>
        </w:rPr>
        <w:t xml:space="preserve"> benefit in solar hour and rationalization of </w:t>
      </w:r>
      <w:proofErr w:type="spellStart"/>
      <w:r w:rsidRPr="00D37BDA">
        <w:rPr>
          <w:rFonts w:asciiTheme="majorHAnsi" w:hAnsiTheme="majorHAnsi"/>
          <w:sz w:val="24"/>
          <w:szCs w:val="24"/>
        </w:rPr>
        <w:t>ToD</w:t>
      </w:r>
      <w:proofErr w:type="spellEnd"/>
      <w:r w:rsidRPr="00D37BDA">
        <w:rPr>
          <w:rFonts w:asciiTheme="majorHAnsi" w:hAnsiTheme="majorHAnsi"/>
          <w:sz w:val="24"/>
          <w:szCs w:val="24"/>
        </w:rPr>
        <w:t xml:space="preserve"> Surcharge</w:t>
      </w:r>
    </w:p>
    <w:p w14:paraId="6342622A" w14:textId="6545530E"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proofErr w:type="spellStart"/>
      <w:r w:rsidRPr="00D37BDA">
        <w:rPr>
          <w:rFonts w:asciiTheme="majorHAnsi" w:hAnsiTheme="majorHAnsi"/>
          <w:sz w:val="24"/>
          <w:szCs w:val="24"/>
        </w:rPr>
        <w:t>kVAh</w:t>
      </w:r>
      <w:proofErr w:type="spellEnd"/>
      <w:r w:rsidRPr="00D37BDA">
        <w:rPr>
          <w:rFonts w:asciiTheme="majorHAnsi" w:hAnsiTheme="majorHAnsi"/>
          <w:sz w:val="24"/>
          <w:szCs w:val="24"/>
        </w:rPr>
        <w:t xml:space="preserve"> Billing to LT Category of consumers.</w:t>
      </w:r>
    </w:p>
    <w:p w14:paraId="04BCDE7F" w14:textId="2E983995"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Allocation of Green Power to industries having CGP</w:t>
      </w:r>
    </w:p>
    <w:p w14:paraId="5CB05D91" w14:textId="1DBB70DC"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Minimum Contract Demand for the industries having CGP.</w:t>
      </w:r>
    </w:p>
    <w:p w14:paraId="75025CB0" w14:textId="6C727D96"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Installation of Smart Meter under Capex and abolition of meter rent for consumers above 2KW.</w:t>
      </w:r>
    </w:p>
    <w:p w14:paraId="76AAC40B" w14:textId="7B499CD9"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 xml:space="preserve">Amnesty scheme for clearance of Arrears </w:t>
      </w:r>
    </w:p>
    <w:p w14:paraId="102FE0CC" w14:textId="2CF50243"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Green Tariff Framework for Sale of Renewable Power to Obligated Entities</w:t>
      </w:r>
    </w:p>
    <w:p w14:paraId="17CF9CE5" w14:textId="5C1A6073"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Sale mechanism for drawl by the CGP based industries on interim basis</w:t>
      </w:r>
    </w:p>
    <w:p w14:paraId="12C2CC2B" w14:textId="31911AE5"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Creation of Category for Mega lift points under EHT/HT</w:t>
      </w:r>
    </w:p>
    <w:p w14:paraId="561F5254" w14:textId="513AF7BE"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 xml:space="preserve">Charging of leading power factor while billing to EHT Consumers i.e. (Lead + Lag) </w:t>
      </w:r>
      <w:proofErr w:type="spellStart"/>
      <w:r w:rsidRPr="00D37BDA">
        <w:rPr>
          <w:rFonts w:asciiTheme="majorHAnsi" w:hAnsiTheme="majorHAnsi"/>
          <w:sz w:val="24"/>
          <w:szCs w:val="24"/>
        </w:rPr>
        <w:t>kVAH</w:t>
      </w:r>
      <w:proofErr w:type="spellEnd"/>
      <w:r w:rsidRPr="00D37BDA">
        <w:rPr>
          <w:rFonts w:asciiTheme="majorHAnsi" w:hAnsiTheme="majorHAnsi"/>
          <w:sz w:val="24"/>
          <w:szCs w:val="24"/>
        </w:rPr>
        <w:t xml:space="preserve"> Billing</w:t>
      </w:r>
    </w:p>
    <w:p w14:paraId="0AA65003" w14:textId="1B8A1E6E" w:rsidR="00D37BDA" w:rsidRP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Grid Support Charges.</w:t>
      </w:r>
    </w:p>
    <w:p w14:paraId="39D017BA" w14:textId="1941B3E0" w:rsidR="00D37BDA" w:rsidRDefault="00D37BDA" w:rsidP="00D37BDA">
      <w:pPr>
        <w:pStyle w:val="ListParagraph"/>
        <w:numPr>
          <w:ilvl w:val="1"/>
          <w:numId w:val="90"/>
        </w:numPr>
        <w:spacing w:after="160" w:line="360" w:lineRule="auto"/>
        <w:jc w:val="both"/>
        <w:rPr>
          <w:rFonts w:asciiTheme="majorHAnsi" w:hAnsiTheme="majorHAnsi"/>
          <w:sz w:val="24"/>
          <w:szCs w:val="24"/>
        </w:rPr>
      </w:pPr>
      <w:r w:rsidRPr="00D37BDA">
        <w:rPr>
          <w:rFonts w:asciiTheme="majorHAnsi" w:hAnsiTheme="majorHAnsi"/>
          <w:sz w:val="24"/>
          <w:szCs w:val="24"/>
        </w:rPr>
        <w:t>Methodology for RCO Compliance Computation</w:t>
      </w:r>
    </w:p>
    <w:p w14:paraId="089E639B" w14:textId="2F416605" w:rsidR="00FA5F4F" w:rsidRPr="00D37BDA" w:rsidRDefault="00FA5F4F" w:rsidP="00D37BDA">
      <w:pPr>
        <w:pStyle w:val="ListParagraph"/>
        <w:numPr>
          <w:ilvl w:val="1"/>
          <w:numId w:val="90"/>
        </w:numPr>
        <w:spacing w:after="160" w:line="360" w:lineRule="auto"/>
        <w:jc w:val="both"/>
        <w:rPr>
          <w:rFonts w:asciiTheme="majorHAnsi" w:hAnsiTheme="majorHAnsi"/>
          <w:sz w:val="24"/>
          <w:szCs w:val="24"/>
        </w:rPr>
      </w:pPr>
      <w:r>
        <w:rPr>
          <w:rFonts w:asciiTheme="majorHAnsi" w:hAnsiTheme="majorHAnsi"/>
          <w:sz w:val="24"/>
          <w:szCs w:val="24"/>
        </w:rPr>
        <w:t>Mandatory e-bill f</w:t>
      </w:r>
      <w:r w:rsidR="00C41847">
        <w:rPr>
          <w:rFonts w:asciiTheme="majorHAnsi" w:hAnsiTheme="majorHAnsi"/>
          <w:sz w:val="24"/>
          <w:szCs w:val="24"/>
        </w:rPr>
        <w:t>or Consumers</w:t>
      </w:r>
      <w:r>
        <w:rPr>
          <w:rFonts w:asciiTheme="majorHAnsi" w:hAnsiTheme="majorHAnsi"/>
          <w:sz w:val="24"/>
          <w:szCs w:val="24"/>
        </w:rPr>
        <w:t xml:space="preserve"> with Smart Meters</w:t>
      </w:r>
    </w:p>
    <w:p w14:paraId="1E31B10A" w14:textId="38C87649" w:rsidR="003508CD" w:rsidRPr="00D37BDA" w:rsidRDefault="003508CD" w:rsidP="00D37BDA">
      <w:pPr>
        <w:spacing w:after="160" w:line="360" w:lineRule="auto"/>
        <w:jc w:val="both"/>
        <w:rPr>
          <w:rFonts w:asciiTheme="majorHAnsi" w:hAnsiTheme="majorHAnsi"/>
        </w:rPr>
      </w:pPr>
    </w:p>
    <w:p w14:paraId="43DE87E6" w14:textId="09928C19" w:rsidR="00F37249" w:rsidRDefault="00F37249" w:rsidP="0029607A">
      <w:pPr>
        <w:pStyle w:val="ARR-normalbody"/>
        <w:rPr>
          <w:b/>
        </w:rPr>
      </w:pPr>
      <w:r w:rsidRPr="000B7D3A">
        <w:t>Any other relief, order or direction which the Hon’ble Commission deems fit</w:t>
      </w:r>
      <w:r>
        <w:t>.</w:t>
      </w:r>
    </w:p>
    <w:p w14:paraId="05825F32" w14:textId="77777777" w:rsidR="00F37249" w:rsidRPr="00BF0E9D" w:rsidRDefault="00F37249" w:rsidP="00F37249">
      <w:pPr>
        <w:pStyle w:val="BodyText2"/>
        <w:spacing w:before="0" w:after="0" w:line="360" w:lineRule="auto"/>
        <w:ind w:left="5040" w:firstLine="720"/>
        <w:jc w:val="both"/>
        <w:rPr>
          <w:rFonts w:ascii="Cambria" w:hAnsi="Cambria" w:cs="Arial"/>
          <w:b/>
          <w:sz w:val="24"/>
          <w:szCs w:val="24"/>
        </w:rPr>
      </w:pPr>
    </w:p>
    <w:p w14:paraId="4B104FBB" w14:textId="77777777" w:rsidR="00F37249" w:rsidRPr="00BF0E9D" w:rsidRDefault="00F37249" w:rsidP="00F37249">
      <w:pPr>
        <w:pStyle w:val="BodyText2"/>
        <w:spacing w:before="0" w:after="0" w:line="360" w:lineRule="auto"/>
        <w:ind w:left="5040" w:firstLine="720"/>
        <w:jc w:val="both"/>
        <w:rPr>
          <w:rFonts w:ascii="Cambria" w:hAnsi="Cambria" w:cs="Arial"/>
          <w:b/>
          <w:sz w:val="24"/>
          <w:szCs w:val="24"/>
        </w:rPr>
      </w:pPr>
      <w:r w:rsidRPr="00BF0E9D">
        <w:rPr>
          <w:rFonts w:ascii="Cambria" w:hAnsi="Cambria" w:cs="Arial"/>
          <w:b/>
          <w:sz w:val="24"/>
          <w:szCs w:val="24"/>
        </w:rPr>
        <w:t xml:space="preserve">By the Applicant </w:t>
      </w:r>
    </w:p>
    <w:p w14:paraId="4BCF9638" w14:textId="57340D61" w:rsidR="00F37249" w:rsidRPr="00BF0E9D" w:rsidRDefault="00F37249" w:rsidP="00F37249">
      <w:pPr>
        <w:pStyle w:val="BodyText2"/>
        <w:spacing w:line="360" w:lineRule="auto"/>
        <w:jc w:val="both"/>
        <w:rPr>
          <w:rFonts w:ascii="Cambria" w:hAnsi="Cambria" w:cs="Arial"/>
          <w:b/>
          <w:sz w:val="24"/>
          <w:szCs w:val="24"/>
        </w:rPr>
      </w:pP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t xml:space="preserve"> Through its </w:t>
      </w:r>
      <w:r>
        <w:rPr>
          <w:rFonts w:ascii="Cambria" w:hAnsi="Cambria" w:cs="Arial"/>
          <w:b/>
          <w:sz w:val="24"/>
          <w:szCs w:val="24"/>
        </w:rPr>
        <w:t>Authorized representative</w:t>
      </w:r>
      <w:r w:rsidRPr="00BF0E9D">
        <w:rPr>
          <w:rFonts w:ascii="Cambria" w:hAnsi="Cambria" w:cs="Arial"/>
          <w:b/>
          <w:sz w:val="24"/>
          <w:szCs w:val="24"/>
        </w:rPr>
        <w:t>.</w:t>
      </w:r>
    </w:p>
    <w:p w14:paraId="75C2C1A6" w14:textId="77777777" w:rsidR="00F37249" w:rsidRDefault="00F37249" w:rsidP="00F37249">
      <w:pPr>
        <w:pStyle w:val="BodyText2"/>
        <w:spacing w:line="360" w:lineRule="auto"/>
        <w:ind w:firstLine="720"/>
        <w:jc w:val="both"/>
        <w:rPr>
          <w:rFonts w:ascii="Cambria" w:hAnsi="Cambria" w:cs="Arial"/>
          <w:sz w:val="24"/>
          <w:szCs w:val="24"/>
        </w:rPr>
      </w:pPr>
      <w:r w:rsidRPr="00BF0E9D">
        <w:rPr>
          <w:rFonts w:ascii="Cambria" w:hAnsi="Cambria" w:cs="Arial"/>
          <w:sz w:val="24"/>
          <w:szCs w:val="24"/>
        </w:rPr>
        <w:t>Dated:</w:t>
      </w:r>
    </w:p>
    <w:p w14:paraId="76E50D57" w14:textId="3CB43B7B" w:rsidR="00F37249" w:rsidRPr="00BB706A" w:rsidRDefault="00F37249" w:rsidP="00F37249">
      <w:pPr>
        <w:pStyle w:val="BodyText2"/>
        <w:spacing w:line="360" w:lineRule="auto"/>
        <w:ind w:firstLine="720"/>
        <w:jc w:val="both"/>
        <w:rPr>
          <w:rFonts w:asciiTheme="majorHAnsi" w:hAnsiTheme="majorHAnsi"/>
        </w:rPr>
      </w:pPr>
      <w:r>
        <w:rPr>
          <w:rFonts w:ascii="Cambria" w:hAnsi="Cambria" w:cs="Arial"/>
          <w:sz w:val="24"/>
          <w:szCs w:val="24"/>
        </w:rPr>
        <w:t>Place:</w:t>
      </w:r>
      <w:r w:rsidRPr="00BF0E9D">
        <w:rPr>
          <w:rFonts w:ascii="Cambria" w:hAnsi="Cambria" w:cs="Arial"/>
          <w:sz w:val="24"/>
          <w:szCs w:val="24"/>
        </w:rPr>
        <w:t xml:space="preserve">  </w:t>
      </w:r>
    </w:p>
    <w:sectPr w:rsidR="00F37249" w:rsidRPr="00BB706A" w:rsidSect="00124794">
      <w:pgSz w:w="11909" w:h="16834" w:code="9"/>
      <w:pgMar w:top="1560" w:right="1077" w:bottom="1418" w:left="1622"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DC3AA" w14:textId="77777777" w:rsidR="00EC121F" w:rsidRDefault="00EC121F">
      <w:r>
        <w:separator/>
      </w:r>
    </w:p>
  </w:endnote>
  <w:endnote w:type="continuationSeparator" w:id="0">
    <w:p w14:paraId="48426BEE" w14:textId="77777777" w:rsidR="00EC121F" w:rsidRDefault="00EC121F">
      <w:r>
        <w:continuationSeparator/>
      </w:r>
    </w:p>
  </w:endnote>
  <w:endnote w:type="continuationNotice" w:id="1">
    <w:p w14:paraId="4BF935AD" w14:textId="77777777" w:rsidR="00EC121F" w:rsidRDefault="00EC1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FKACP+TimesNew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ELGMPJ+TimesNewRoman,Bold">
    <w:altName w:val="Times New Roman"/>
    <w:panose1 w:val="00000000000000000000"/>
    <w:charset w:val="00"/>
    <w:family w:val="roman"/>
    <w:notTrueType/>
    <w:pitch w:val="default"/>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Thoma">
    <w:altName w:val="Times New Roman"/>
    <w:panose1 w:val="00000000000000000000"/>
    <w:charset w:val="00"/>
    <w:family w:val="roman"/>
    <w:notTrueType/>
    <w:pitch w:val="default"/>
  </w:font>
  <w:font w:name="Arial MT">
    <w:altName w:val="Arial"/>
    <w:charset w:val="01"/>
    <w:family w:val="swiss"/>
    <w:pitch w:val="variable"/>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IDFont+F3">
    <w:altName w:val="Calibri"/>
    <w:panose1 w:val="00000000000000000000"/>
    <w:charset w:val="00"/>
    <w:family w:val="auto"/>
    <w:notTrueType/>
    <w:pitch w:val="default"/>
    <w:sig w:usb0="00000003" w:usb1="00000000" w:usb2="00000000" w:usb3="00000000" w:csb0="00000001" w:csb1="00000000"/>
  </w:font>
  <w:font w:name="CIDFont+F1">
    <w:altName w:val="Calibri"/>
    <w:panose1 w:val="00000000000000000000"/>
    <w:charset w:val="00"/>
    <w:family w:val="auto"/>
    <w:notTrueType/>
    <w:pitch w:val="default"/>
    <w:sig w:usb0="00000003"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5430388"/>
      <w:docPartObj>
        <w:docPartGallery w:val="Page Numbers (Bottom of Page)"/>
        <w:docPartUnique/>
      </w:docPartObj>
    </w:sdtPr>
    <w:sdtEndPr>
      <w:rPr>
        <w:noProof/>
      </w:rPr>
    </w:sdtEndPr>
    <w:sdtContent>
      <w:p w14:paraId="2E7F947E" w14:textId="44F73418" w:rsidR="00EC121F" w:rsidRDefault="00EC121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FC36EF2" w14:textId="77777777" w:rsidR="00EC121F" w:rsidRDefault="00EC12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F0245" w14:textId="77777777" w:rsidR="00EC121F" w:rsidRDefault="00EC121F">
      <w:r>
        <w:separator/>
      </w:r>
    </w:p>
  </w:footnote>
  <w:footnote w:type="continuationSeparator" w:id="0">
    <w:p w14:paraId="68788D7E" w14:textId="77777777" w:rsidR="00EC121F" w:rsidRDefault="00EC121F">
      <w:r>
        <w:continuationSeparator/>
      </w:r>
    </w:p>
  </w:footnote>
  <w:footnote w:type="continuationNotice" w:id="1">
    <w:p w14:paraId="67D369A6" w14:textId="77777777" w:rsidR="00EC121F" w:rsidRDefault="00EC12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4AB64" w14:textId="7063F067" w:rsidR="00EC121F" w:rsidRDefault="00EC121F" w:rsidP="00F17569">
    <w:pPr>
      <w:pStyle w:val="Header"/>
      <w:rPr>
        <w:rFonts w:ascii="Arial" w:hAnsi="Arial" w:cs="Arial"/>
        <w:b/>
        <w:bCs/>
        <w:i/>
        <w:sz w:val="22"/>
        <w:szCs w:val="22"/>
        <w:u w:val="single"/>
      </w:rPr>
    </w:pPr>
    <w:r w:rsidRPr="00962AA6">
      <w:rPr>
        <w:b/>
        <w:bCs/>
        <w:noProof/>
      </w:rPr>
      <w:drawing>
        <wp:anchor distT="0" distB="0" distL="114300" distR="114300" simplePos="0" relativeHeight="251658240" behindDoc="0" locked="0" layoutInCell="1" allowOverlap="1" wp14:anchorId="7DBF68DB" wp14:editId="466EF7D8">
          <wp:simplePos x="0" y="0"/>
          <wp:positionH relativeFrom="column">
            <wp:posOffset>4356100</wp:posOffset>
          </wp:positionH>
          <wp:positionV relativeFrom="paragraph">
            <wp:posOffset>40005</wp:posOffset>
          </wp:positionV>
          <wp:extent cx="1689100" cy="349250"/>
          <wp:effectExtent l="0" t="0" r="6350" b="0"/>
          <wp:wrapNone/>
          <wp:docPr id="1058733185" name="Picture 1058733185" descr="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om"/>
                  <pic:cNvPicPr>
                    <a:picLocks noChangeAspect="1"/>
                  </pic:cNvPicPr>
                </pic:nvPicPr>
                <pic:blipFill>
                  <a:blip r:embed="rId1"/>
                  <a:srcRect b="50032"/>
                  <a:stretch>
                    <a:fillRect/>
                  </a:stretch>
                </pic:blipFill>
                <pic:spPr>
                  <a:xfrm>
                    <a:off x="0" y="0"/>
                    <a:ext cx="1689100" cy="349250"/>
                  </a:xfrm>
                  <a:prstGeom prst="rect">
                    <a:avLst/>
                  </a:prstGeom>
                </pic:spPr>
              </pic:pic>
            </a:graphicData>
          </a:graphic>
          <wp14:sizeRelH relativeFrom="margin">
            <wp14:pctWidth>0</wp14:pctWidth>
          </wp14:sizeRelH>
          <wp14:sizeRelV relativeFrom="margin">
            <wp14:pctHeight>0</wp14:pctHeight>
          </wp14:sizeRelV>
        </wp:anchor>
      </w:drawing>
    </w:r>
  </w:p>
  <w:p w14:paraId="5FB0B1E1" w14:textId="0B799592" w:rsidR="00EC121F" w:rsidRPr="00962AA6" w:rsidRDefault="00EC121F" w:rsidP="00F17569">
    <w:pPr>
      <w:pStyle w:val="Header"/>
      <w:rPr>
        <w:rFonts w:ascii="Arial" w:hAnsi="Arial" w:cs="Arial"/>
        <w:b/>
        <w:bCs/>
        <w:i/>
        <w:sz w:val="22"/>
        <w:szCs w:val="22"/>
        <w:u w:val="single"/>
      </w:rPr>
    </w:pPr>
    <w:r w:rsidRPr="00962AA6">
      <w:rPr>
        <w:rFonts w:ascii="Arial" w:hAnsi="Arial" w:cs="Arial"/>
        <w:b/>
        <w:bCs/>
        <w:i/>
        <w:sz w:val="22"/>
        <w:szCs w:val="22"/>
        <w:u w:val="single"/>
      </w:rPr>
      <w:t>ARR Application – FY 202</w:t>
    </w:r>
    <w:r>
      <w:rPr>
        <w:rFonts w:ascii="Arial" w:hAnsi="Arial" w:cs="Arial"/>
        <w:b/>
        <w:bCs/>
        <w:i/>
        <w:sz w:val="22"/>
        <w:szCs w:val="22"/>
        <w:u w:val="single"/>
      </w:rPr>
      <w:t>6</w:t>
    </w:r>
    <w:r w:rsidRPr="00962AA6">
      <w:rPr>
        <w:rFonts w:ascii="Arial" w:hAnsi="Arial" w:cs="Arial"/>
        <w:b/>
        <w:bCs/>
        <w:i/>
        <w:sz w:val="22"/>
        <w:szCs w:val="22"/>
        <w:u w:val="single"/>
      </w:rPr>
      <w:t>-2</w:t>
    </w:r>
    <w:r>
      <w:rPr>
        <w:rFonts w:ascii="Arial" w:hAnsi="Arial" w:cs="Arial"/>
        <w:b/>
        <w:bCs/>
        <w:i/>
        <w:sz w:val="22"/>
        <w:szCs w:val="22"/>
        <w:u w:val="single"/>
      </w:rPr>
      <w:t>7</w:t>
    </w:r>
  </w:p>
</w:hdr>
</file>

<file path=word/intelligence.xml><?xml version="1.0" encoding="utf-8"?>
<int:Intelligence xmlns:int="http://schemas.microsoft.com/office/intelligence/2019/intelligence">
  <int:IntelligenceSettings/>
  <int:Manifest>
    <int:WordHash hashCode="WVrgDuEBfMzXtG" id="KiCBRugb"/>
    <int:WordHash hashCode="6wPzcuxPDYVUPc" id="+OE4C6v5"/>
  </int:Manifest>
  <int:Observations>
    <int:Content id="KiCBRugb">
      <int:Rejection type="LegacyProofing"/>
    </int:Content>
    <int:Content id="+OE4C6v5">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1137E"/>
    <w:multiLevelType w:val="multilevel"/>
    <w:tmpl w:val="0030A8B8"/>
    <w:lvl w:ilvl="0">
      <w:start w:val="1"/>
      <w:numFmt w:val="decimal"/>
      <w:lvlText w:val="%1."/>
      <w:lvlJc w:val="left"/>
      <w:pPr>
        <w:tabs>
          <w:tab w:val="num" w:pos="990"/>
        </w:tabs>
        <w:ind w:left="990" w:hanging="360"/>
      </w:pPr>
    </w:lvl>
    <w:lvl w:ilvl="1" w:tentative="1">
      <w:start w:val="1"/>
      <w:numFmt w:val="decimal"/>
      <w:lvlText w:val="%2."/>
      <w:lvlJc w:val="left"/>
      <w:pPr>
        <w:tabs>
          <w:tab w:val="num" w:pos="1710"/>
        </w:tabs>
        <w:ind w:left="1710" w:hanging="360"/>
      </w:pPr>
    </w:lvl>
    <w:lvl w:ilvl="2" w:tentative="1">
      <w:start w:val="1"/>
      <w:numFmt w:val="decimal"/>
      <w:lvlText w:val="%3."/>
      <w:lvlJc w:val="left"/>
      <w:pPr>
        <w:tabs>
          <w:tab w:val="num" w:pos="2430"/>
        </w:tabs>
        <w:ind w:left="2430" w:hanging="360"/>
      </w:pPr>
    </w:lvl>
    <w:lvl w:ilvl="3" w:tentative="1">
      <w:start w:val="1"/>
      <w:numFmt w:val="decimal"/>
      <w:lvlText w:val="%4."/>
      <w:lvlJc w:val="left"/>
      <w:pPr>
        <w:tabs>
          <w:tab w:val="num" w:pos="3150"/>
        </w:tabs>
        <w:ind w:left="3150" w:hanging="360"/>
      </w:pPr>
    </w:lvl>
    <w:lvl w:ilvl="4" w:tentative="1">
      <w:start w:val="1"/>
      <w:numFmt w:val="decimal"/>
      <w:lvlText w:val="%5."/>
      <w:lvlJc w:val="left"/>
      <w:pPr>
        <w:tabs>
          <w:tab w:val="num" w:pos="3870"/>
        </w:tabs>
        <w:ind w:left="3870" w:hanging="360"/>
      </w:pPr>
    </w:lvl>
    <w:lvl w:ilvl="5" w:tentative="1">
      <w:start w:val="1"/>
      <w:numFmt w:val="decimal"/>
      <w:lvlText w:val="%6."/>
      <w:lvlJc w:val="left"/>
      <w:pPr>
        <w:tabs>
          <w:tab w:val="num" w:pos="4590"/>
        </w:tabs>
        <w:ind w:left="4590" w:hanging="360"/>
      </w:pPr>
    </w:lvl>
    <w:lvl w:ilvl="6" w:tentative="1">
      <w:start w:val="1"/>
      <w:numFmt w:val="decimal"/>
      <w:lvlText w:val="%7."/>
      <w:lvlJc w:val="left"/>
      <w:pPr>
        <w:tabs>
          <w:tab w:val="num" w:pos="5310"/>
        </w:tabs>
        <w:ind w:left="5310" w:hanging="360"/>
      </w:pPr>
    </w:lvl>
    <w:lvl w:ilvl="7" w:tentative="1">
      <w:start w:val="1"/>
      <w:numFmt w:val="decimal"/>
      <w:lvlText w:val="%8."/>
      <w:lvlJc w:val="left"/>
      <w:pPr>
        <w:tabs>
          <w:tab w:val="num" w:pos="6030"/>
        </w:tabs>
        <w:ind w:left="6030" w:hanging="360"/>
      </w:pPr>
    </w:lvl>
    <w:lvl w:ilvl="8" w:tentative="1">
      <w:start w:val="1"/>
      <w:numFmt w:val="decimal"/>
      <w:lvlText w:val="%9."/>
      <w:lvlJc w:val="left"/>
      <w:pPr>
        <w:tabs>
          <w:tab w:val="num" w:pos="6750"/>
        </w:tabs>
        <w:ind w:left="6750" w:hanging="360"/>
      </w:pPr>
    </w:lvl>
  </w:abstractNum>
  <w:abstractNum w:abstractNumId="1" w15:restartNumberingAfterBreak="0">
    <w:nsid w:val="06A93111"/>
    <w:multiLevelType w:val="multilevel"/>
    <w:tmpl w:val="3AE6E46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 w15:restartNumberingAfterBreak="0">
    <w:nsid w:val="08FE1A2D"/>
    <w:multiLevelType w:val="hybridMultilevel"/>
    <w:tmpl w:val="C40212E2"/>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3" w15:restartNumberingAfterBreak="0">
    <w:nsid w:val="09011EA3"/>
    <w:multiLevelType w:val="hybridMultilevel"/>
    <w:tmpl w:val="519090C8"/>
    <w:lvl w:ilvl="0" w:tplc="570242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95E1747"/>
    <w:multiLevelType w:val="hybridMultilevel"/>
    <w:tmpl w:val="86B4185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9EF4E56"/>
    <w:multiLevelType w:val="multilevel"/>
    <w:tmpl w:val="5EF8DADC"/>
    <w:lvl w:ilvl="0">
      <w:start w:val="1"/>
      <w:numFmt w:val="lowerRoman"/>
      <w:lvlText w:val="%1."/>
      <w:lvlJc w:val="right"/>
      <w:pPr>
        <w:tabs>
          <w:tab w:val="num" w:pos="720"/>
        </w:tabs>
        <w:ind w:left="720" w:hanging="360"/>
      </w:pPr>
      <w:rPr>
        <w:rFonts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DA71FE"/>
    <w:multiLevelType w:val="hybridMultilevel"/>
    <w:tmpl w:val="3F342F02"/>
    <w:lvl w:ilvl="0" w:tplc="791CB0C0">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0C740343"/>
    <w:multiLevelType w:val="hybridMultilevel"/>
    <w:tmpl w:val="764497D0"/>
    <w:lvl w:ilvl="0" w:tplc="4009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0D3E3B65"/>
    <w:multiLevelType w:val="hybridMultilevel"/>
    <w:tmpl w:val="764A81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0FBB1D3C"/>
    <w:multiLevelType w:val="hybridMultilevel"/>
    <w:tmpl w:val="0D70D40A"/>
    <w:lvl w:ilvl="0" w:tplc="40090013">
      <w:start w:val="1"/>
      <w:numFmt w:val="upperRoman"/>
      <w:lvlText w:val="%1."/>
      <w:lvlJc w:val="righ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 w15:restartNumberingAfterBreak="0">
    <w:nsid w:val="111463F8"/>
    <w:multiLevelType w:val="hybridMultilevel"/>
    <w:tmpl w:val="DC9E46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21440FB"/>
    <w:multiLevelType w:val="hybridMultilevel"/>
    <w:tmpl w:val="255456E8"/>
    <w:lvl w:ilvl="0" w:tplc="FF60952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3420DA2"/>
    <w:multiLevelType w:val="hybridMultilevel"/>
    <w:tmpl w:val="528ADC40"/>
    <w:lvl w:ilvl="0" w:tplc="4009000F">
      <w:start w:val="1"/>
      <w:numFmt w:val="decimal"/>
      <w:lvlText w:val="%1."/>
      <w:lvlJc w:val="lef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3" w15:restartNumberingAfterBreak="0">
    <w:nsid w:val="138F0CA0"/>
    <w:multiLevelType w:val="hybridMultilevel"/>
    <w:tmpl w:val="35C4096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5564275"/>
    <w:multiLevelType w:val="hybridMultilevel"/>
    <w:tmpl w:val="7368F77E"/>
    <w:lvl w:ilvl="0" w:tplc="40090017">
      <w:start w:val="1"/>
      <w:numFmt w:val="lowerLetter"/>
      <w:lvlText w:val="%1)"/>
      <w:lvlJc w:val="lef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5" w15:restartNumberingAfterBreak="0">
    <w:nsid w:val="159C392E"/>
    <w:multiLevelType w:val="hybridMultilevel"/>
    <w:tmpl w:val="E390AC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1ACD4F41"/>
    <w:multiLevelType w:val="hybridMultilevel"/>
    <w:tmpl w:val="53880C3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1BE4381B"/>
    <w:multiLevelType w:val="hybridMultilevel"/>
    <w:tmpl w:val="27E62A4E"/>
    <w:lvl w:ilvl="0" w:tplc="FFFFFFFF">
      <w:start w:val="1"/>
      <w:numFmt w:val="decimal"/>
      <w:lvlText w:val="%1."/>
      <w:lvlJc w:val="left"/>
      <w:pPr>
        <w:ind w:left="720" w:hanging="360"/>
      </w:pPr>
      <w:rPr>
        <w:rFonts w:hint="default"/>
        <w:b/>
        <w:bCs/>
      </w:rPr>
    </w:lvl>
    <w:lvl w:ilvl="1" w:tplc="40090001">
      <w:start w:val="1"/>
      <w:numFmt w:val="bullet"/>
      <w:lvlText w:val=""/>
      <w:lvlJc w:val="left"/>
      <w:pPr>
        <w:ind w:left="108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E81731F"/>
    <w:multiLevelType w:val="hybridMultilevel"/>
    <w:tmpl w:val="74242C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1F36151E"/>
    <w:multiLevelType w:val="multilevel"/>
    <w:tmpl w:val="BE183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F9D0CD7"/>
    <w:multiLevelType w:val="hybridMultilevel"/>
    <w:tmpl w:val="73922582"/>
    <w:lvl w:ilvl="0" w:tplc="4009000F">
      <w:start w:val="1"/>
      <w:numFmt w:val="decimal"/>
      <w:lvlText w:val="%1."/>
      <w:lvlJc w:val="lef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21" w15:restartNumberingAfterBreak="0">
    <w:nsid w:val="20174B3F"/>
    <w:multiLevelType w:val="hybridMultilevel"/>
    <w:tmpl w:val="E5BE5B76"/>
    <w:lvl w:ilvl="0" w:tplc="DF7C2FF2">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2" w15:restartNumberingAfterBreak="0">
    <w:nsid w:val="202D1290"/>
    <w:multiLevelType w:val="hybridMultilevel"/>
    <w:tmpl w:val="19542DE0"/>
    <w:lvl w:ilvl="0" w:tplc="4009000F">
      <w:start w:val="1"/>
      <w:numFmt w:val="decimal"/>
      <w:lvlText w:val="%1."/>
      <w:lvlJc w:val="left"/>
      <w:pPr>
        <w:ind w:left="720" w:hanging="360"/>
      </w:pPr>
    </w:lvl>
    <w:lvl w:ilvl="1" w:tplc="F7588126">
      <w:start w:val="1"/>
      <w:numFmt w:val="lowerRoman"/>
      <w:lvlText w:val="%2."/>
      <w:lvlJc w:val="left"/>
      <w:pPr>
        <w:ind w:left="1800" w:hanging="720"/>
      </w:pPr>
      <w:rPr>
        <w:rFonts w:hint="default"/>
      </w:rPr>
    </w:lvl>
    <w:lvl w:ilvl="2" w:tplc="B8DC64A4">
      <w:start w:val="5"/>
      <w:numFmt w:val="bullet"/>
      <w:lvlText w:val="•"/>
      <w:lvlJc w:val="left"/>
      <w:pPr>
        <w:ind w:left="2700" w:hanging="720"/>
      </w:pPr>
      <w:rPr>
        <w:rFonts w:ascii="Cambria" w:eastAsiaTheme="minorHAnsi" w:hAnsi="Cambria" w:cstheme="minorBidi" w:hint="default"/>
      </w:rPr>
    </w:lvl>
    <w:lvl w:ilvl="3" w:tplc="A03212DA">
      <w:start w:val="1"/>
      <w:numFmt w:val="lowerRoman"/>
      <w:lvlText w:val="%4)"/>
      <w:lvlJc w:val="left"/>
      <w:pPr>
        <w:ind w:left="3240" w:hanging="720"/>
      </w:pPr>
      <w:rPr>
        <w:rFonts w:hint="default"/>
      </w:rPr>
    </w:lvl>
    <w:lvl w:ilvl="4" w:tplc="71E0F9B2">
      <w:start w:val="1"/>
      <w:numFmt w:val="upperLetter"/>
      <w:lvlText w:val="%5."/>
      <w:lvlJc w:val="left"/>
      <w:pPr>
        <w:ind w:left="3600" w:hanging="360"/>
      </w:pPr>
      <w:rPr>
        <w:rFonts w:hint="default"/>
      </w:rPr>
    </w:lvl>
    <w:lvl w:ilvl="5" w:tplc="7696C702">
      <w:start w:val="1"/>
      <w:numFmt w:val="decimal"/>
      <w:lvlText w:val="%6)"/>
      <w:lvlJc w:val="left"/>
      <w:pPr>
        <w:ind w:left="4500" w:hanging="360"/>
      </w:pPr>
      <w:rPr>
        <w:rFonts w:hint="default"/>
      </w:r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1A330A6"/>
    <w:multiLevelType w:val="hybridMultilevel"/>
    <w:tmpl w:val="20B64694"/>
    <w:lvl w:ilvl="0" w:tplc="8D68659A">
      <w:start w:val="1"/>
      <w:numFmt w:val="upperLetter"/>
      <w:lvlText w:val="%1."/>
      <w:lvlJc w:val="left"/>
      <w:pPr>
        <w:ind w:left="720" w:hanging="360"/>
      </w:pPr>
      <w:rPr>
        <w:b/>
        <w:bCs/>
      </w:rPr>
    </w:lvl>
    <w:lvl w:ilvl="1" w:tplc="16AABEA0">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1BE1FA6"/>
    <w:multiLevelType w:val="hybridMultilevel"/>
    <w:tmpl w:val="9D9270B6"/>
    <w:lvl w:ilvl="0" w:tplc="AA66BE0E">
      <w:start w:val="1"/>
      <w:numFmt w:val="bullet"/>
      <w:lvlText w:val=""/>
      <w:lvlJc w:val="left"/>
      <w:pPr>
        <w:tabs>
          <w:tab w:val="num" w:pos="1080"/>
        </w:tabs>
        <w:ind w:left="1080" w:hanging="360"/>
      </w:pPr>
      <w:rPr>
        <w:rFonts w:ascii="Symbol" w:hAnsi="Symbol" w:hint="default"/>
        <w:sz w:val="16"/>
      </w:rPr>
    </w:lvl>
    <w:lvl w:ilvl="1" w:tplc="AA66BE0E">
      <w:start w:val="1"/>
      <w:numFmt w:val="bullet"/>
      <w:lvlText w:val=""/>
      <w:lvlJc w:val="left"/>
      <w:pPr>
        <w:ind w:left="1800" w:hanging="360"/>
      </w:pPr>
      <w:rPr>
        <w:rFonts w:ascii="Symbol" w:hAnsi="Symbol" w:hint="default"/>
        <w:sz w:val="16"/>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227472C5"/>
    <w:multiLevelType w:val="hybridMultilevel"/>
    <w:tmpl w:val="5A946378"/>
    <w:lvl w:ilvl="0" w:tplc="4009001B">
      <w:start w:val="1"/>
      <w:numFmt w:val="lowerRoman"/>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33A30B1"/>
    <w:multiLevelType w:val="hybridMultilevel"/>
    <w:tmpl w:val="7EEED2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23E53B22"/>
    <w:multiLevelType w:val="hybridMultilevel"/>
    <w:tmpl w:val="DAE41CC4"/>
    <w:lvl w:ilvl="0" w:tplc="14902640">
      <w:start w:val="1"/>
      <w:numFmt w:val="lowerRoman"/>
      <w:lvlText w:val="(%1)"/>
      <w:lvlJc w:val="left"/>
      <w:pPr>
        <w:ind w:left="795" w:hanging="72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8" w15:restartNumberingAfterBreak="0">
    <w:nsid w:val="25306997"/>
    <w:multiLevelType w:val="multilevel"/>
    <w:tmpl w:val="02640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56D0203"/>
    <w:multiLevelType w:val="hybridMultilevel"/>
    <w:tmpl w:val="2B80217A"/>
    <w:lvl w:ilvl="0" w:tplc="E22E996C">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30" w15:restartNumberingAfterBreak="0">
    <w:nsid w:val="27E36AB2"/>
    <w:multiLevelType w:val="hybridMultilevel"/>
    <w:tmpl w:val="AA868096"/>
    <w:lvl w:ilvl="0" w:tplc="66403980">
      <w:start w:val="1"/>
      <w:numFmt w:val="decimal"/>
      <w:lvlText w:val="%1)"/>
      <w:lvlJc w:val="left"/>
      <w:pPr>
        <w:ind w:left="2912" w:hanging="360"/>
      </w:pPr>
      <w:rPr>
        <w:color w:val="auto"/>
      </w:rPr>
    </w:lvl>
    <w:lvl w:ilvl="1" w:tplc="C5FC0314">
      <w:start w:val="1"/>
      <w:numFmt w:val="lowerLetter"/>
      <w:lvlText w:val="%2."/>
      <w:lvlJc w:val="left"/>
      <w:pPr>
        <w:ind w:left="1440" w:hanging="360"/>
      </w:pPr>
    </w:lvl>
    <w:lvl w:ilvl="2" w:tplc="6666AE7A">
      <w:start w:val="1"/>
      <w:numFmt w:val="lowerRoman"/>
      <w:lvlText w:val="%3."/>
      <w:lvlJc w:val="right"/>
      <w:pPr>
        <w:ind w:left="2160" w:hanging="180"/>
      </w:pPr>
    </w:lvl>
    <w:lvl w:ilvl="3" w:tplc="2EEC8F6A">
      <w:start w:val="1"/>
      <w:numFmt w:val="decimal"/>
      <w:lvlText w:val="%4."/>
      <w:lvlJc w:val="left"/>
      <w:pPr>
        <w:ind w:left="2880" w:hanging="360"/>
      </w:pPr>
    </w:lvl>
    <w:lvl w:ilvl="4" w:tplc="6BC87618">
      <w:start w:val="1"/>
      <w:numFmt w:val="lowerLetter"/>
      <w:lvlText w:val="%5."/>
      <w:lvlJc w:val="left"/>
      <w:pPr>
        <w:ind w:left="3600" w:hanging="360"/>
      </w:pPr>
    </w:lvl>
    <w:lvl w:ilvl="5" w:tplc="FA8EC840">
      <w:start w:val="1"/>
      <w:numFmt w:val="lowerRoman"/>
      <w:lvlText w:val="%6."/>
      <w:lvlJc w:val="right"/>
      <w:pPr>
        <w:ind w:left="4320" w:hanging="180"/>
      </w:pPr>
    </w:lvl>
    <w:lvl w:ilvl="6" w:tplc="FB64BAAC">
      <w:start w:val="1"/>
      <w:numFmt w:val="decimal"/>
      <w:lvlText w:val="%7."/>
      <w:lvlJc w:val="left"/>
      <w:pPr>
        <w:ind w:left="5040" w:hanging="360"/>
      </w:pPr>
    </w:lvl>
    <w:lvl w:ilvl="7" w:tplc="114840BC">
      <w:start w:val="1"/>
      <w:numFmt w:val="lowerLetter"/>
      <w:lvlText w:val="%8."/>
      <w:lvlJc w:val="left"/>
      <w:pPr>
        <w:ind w:left="5760" w:hanging="360"/>
      </w:pPr>
    </w:lvl>
    <w:lvl w:ilvl="8" w:tplc="C8AE3BC0">
      <w:start w:val="1"/>
      <w:numFmt w:val="lowerRoman"/>
      <w:lvlText w:val="%9."/>
      <w:lvlJc w:val="right"/>
      <w:pPr>
        <w:ind w:left="6480" w:hanging="180"/>
      </w:pPr>
    </w:lvl>
  </w:abstractNum>
  <w:abstractNum w:abstractNumId="31" w15:restartNumberingAfterBreak="0">
    <w:nsid w:val="28613A36"/>
    <w:multiLevelType w:val="hybridMultilevel"/>
    <w:tmpl w:val="6F6291AC"/>
    <w:lvl w:ilvl="0" w:tplc="744852BC">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32" w15:restartNumberingAfterBreak="0">
    <w:nsid w:val="28D35534"/>
    <w:multiLevelType w:val="hybridMultilevel"/>
    <w:tmpl w:val="3F342F02"/>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2A15113E"/>
    <w:multiLevelType w:val="multilevel"/>
    <w:tmpl w:val="2FF63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E2216F"/>
    <w:multiLevelType w:val="hybridMultilevel"/>
    <w:tmpl w:val="27B00A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31F546AF"/>
    <w:multiLevelType w:val="hybridMultilevel"/>
    <w:tmpl w:val="C4B4B570"/>
    <w:lvl w:ilvl="0" w:tplc="2BBAE932">
      <w:start w:val="1"/>
      <w:numFmt w:val="upperRoman"/>
      <w:lvlText w:val="%1."/>
      <w:lvlJc w:val="right"/>
      <w:pPr>
        <w:ind w:left="1778" w:hanging="360"/>
      </w:pPr>
      <w:rPr>
        <w:b/>
        <w:bCs/>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36" w15:restartNumberingAfterBreak="0">
    <w:nsid w:val="32BA5871"/>
    <w:multiLevelType w:val="hybridMultilevel"/>
    <w:tmpl w:val="71DEAB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33FA2B20"/>
    <w:multiLevelType w:val="hybridMultilevel"/>
    <w:tmpl w:val="29202588"/>
    <w:lvl w:ilvl="0" w:tplc="65E8FDA4">
      <w:start w:val="1"/>
      <w:numFmt w:val="lowerRoman"/>
      <w:lvlText w:val="%1."/>
      <w:lvlJc w:val="left"/>
      <w:pPr>
        <w:ind w:left="1287" w:hanging="720"/>
      </w:pPr>
    </w:lvl>
    <w:lvl w:ilvl="1" w:tplc="40090019">
      <w:start w:val="1"/>
      <w:numFmt w:val="lowerLetter"/>
      <w:lvlText w:val="%2."/>
      <w:lvlJc w:val="left"/>
      <w:pPr>
        <w:ind w:left="1647" w:hanging="360"/>
      </w:pPr>
    </w:lvl>
    <w:lvl w:ilvl="2" w:tplc="4009001B">
      <w:start w:val="1"/>
      <w:numFmt w:val="lowerRoman"/>
      <w:lvlText w:val="%3."/>
      <w:lvlJc w:val="right"/>
      <w:pPr>
        <w:ind w:left="2367" w:hanging="180"/>
      </w:pPr>
    </w:lvl>
    <w:lvl w:ilvl="3" w:tplc="4009000F">
      <w:start w:val="1"/>
      <w:numFmt w:val="decimal"/>
      <w:lvlText w:val="%4."/>
      <w:lvlJc w:val="left"/>
      <w:pPr>
        <w:ind w:left="3087" w:hanging="360"/>
      </w:pPr>
    </w:lvl>
    <w:lvl w:ilvl="4" w:tplc="40090019">
      <w:start w:val="1"/>
      <w:numFmt w:val="lowerLetter"/>
      <w:lvlText w:val="%5."/>
      <w:lvlJc w:val="left"/>
      <w:pPr>
        <w:ind w:left="3807" w:hanging="360"/>
      </w:pPr>
    </w:lvl>
    <w:lvl w:ilvl="5" w:tplc="4009001B">
      <w:start w:val="1"/>
      <w:numFmt w:val="lowerRoman"/>
      <w:lvlText w:val="%6."/>
      <w:lvlJc w:val="right"/>
      <w:pPr>
        <w:ind w:left="4527" w:hanging="180"/>
      </w:pPr>
    </w:lvl>
    <w:lvl w:ilvl="6" w:tplc="4009000F">
      <w:start w:val="1"/>
      <w:numFmt w:val="decimal"/>
      <w:lvlText w:val="%7."/>
      <w:lvlJc w:val="left"/>
      <w:pPr>
        <w:ind w:left="5247" w:hanging="360"/>
      </w:pPr>
    </w:lvl>
    <w:lvl w:ilvl="7" w:tplc="40090019">
      <w:start w:val="1"/>
      <w:numFmt w:val="lowerLetter"/>
      <w:lvlText w:val="%8."/>
      <w:lvlJc w:val="left"/>
      <w:pPr>
        <w:ind w:left="5967" w:hanging="360"/>
      </w:pPr>
    </w:lvl>
    <w:lvl w:ilvl="8" w:tplc="4009001B">
      <w:start w:val="1"/>
      <w:numFmt w:val="lowerRoman"/>
      <w:lvlText w:val="%9."/>
      <w:lvlJc w:val="right"/>
      <w:pPr>
        <w:ind w:left="6687" w:hanging="180"/>
      </w:pPr>
    </w:lvl>
  </w:abstractNum>
  <w:abstractNum w:abstractNumId="38" w15:restartNumberingAfterBreak="0">
    <w:nsid w:val="34A7226A"/>
    <w:multiLevelType w:val="hybridMultilevel"/>
    <w:tmpl w:val="F4E4788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37C25C74"/>
    <w:multiLevelType w:val="hybridMultilevel"/>
    <w:tmpl w:val="8BD01ABA"/>
    <w:lvl w:ilvl="0" w:tplc="C212BED8">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3A1B5B67"/>
    <w:multiLevelType w:val="hybridMultilevel"/>
    <w:tmpl w:val="1A407856"/>
    <w:lvl w:ilvl="0" w:tplc="FFFFFFFF">
      <w:start w:val="1"/>
      <w:numFmt w:val="lowerLetter"/>
      <w:lvlText w:val="%1."/>
      <w:lvlJc w:val="left"/>
      <w:pPr>
        <w:tabs>
          <w:tab w:val="num" w:pos="720"/>
        </w:tabs>
        <w:ind w:left="720" w:hanging="360"/>
      </w:pPr>
    </w:lvl>
    <w:lvl w:ilvl="1" w:tplc="F01AC3DC">
      <w:start w:val="1"/>
      <w:numFmt w:val="decimal"/>
      <w:lvlText w:val="%2."/>
      <w:lvlJc w:val="left"/>
      <w:pPr>
        <w:tabs>
          <w:tab w:val="num" w:pos="810"/>
        </w:tabs>
        <w:ind w:left="810" w:hanging="360"/>
      </w:pPr>
      <w:rPr>
        <w:rFonts w:hint="default"/>
      </w:rPr>
    </w:lvl>
    <w:lvl w:ilvl="2" w:tplc="8DBAB90C">
      <w:start w:val="1"/>
      <w:numFmt w:val="lowerLetter"/>
      <w:lvlText w:val="%3)"/>
      <w:lvlJc w:val="left"/>
      <w:pPr>
        <w:tabs>
          <w:tab w:val="num" w:pos="1620"/>
        </w:tabs>
        <w:ind w:left="1620" w:hanging="360"/>
      </w:pPr>
      <w:rPr>
        <w:rFonts w:cs="Arial" w:hint="default"/>
      </w:rPr>
    </w:lvl>
    <w:lvl w:ilvl="3" w:tplc="0B9CC95A">
      <w:numFmt w:val="bullet"/>
      <w:lvlText w:val="•"/>
      <w:lvlJc w:val="left"/>
      <w:pPr>
        <w:ind w:left="2520" w:hanging="720"/>
      </w:pPr>
      <w:rPr>
        <w:rFonts w:ascii="Cambria" w:eastAsia="Times New Roman" w:hAnsi="Cambria" w:cs="Times New Roman" w:hint="default"/>
        <w:color w:val="auto"/>
      </w:r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1" w15:restartNumberingAfterBreak="0">
    <w:nsid w:val="3A756833"/>
    <w:multiLevelType w:val="hybridMultilevel"/>
    <w:tmpl w:val="618CB92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3BF434F2"/>
    <w:multiLevelType w:val="hybridMultilevel"/>
    <w:tmpl w:val="C74EB5F8"/>
    <w:lvl w:ilvl="0" w:tplc="40090017">
      <w:start w:val="1"/>
      <w:numFmt w:val="lowerLetter"/>
      <w:lvlText w:val="%1)"/>
      <w:lvlJc w:val="left"/>
      <w:pPr>
        <w:ind w:left="1146" w:hanging="360"/>
      </w:pPr>
    </w:lvl>
    <w:lvl w:ilvl="1" w:tplc="40090019">
      <w:start w:val="1"/>
      <w:numFmt w:val="lowerLetter"/>
      <w:lvlText w:val="%2."/>
      <w:lvlJc w:val="left"/>
      <w:pPr>
        <w:ind w:left="1866" w:hanging="360"/>
      </w:pPr>
    </w:lvl>
    <w:lvl w:ilvl="2" w:tplc="4009001B">
      <w:start w:val="1"/>
      <w:numFmt w:val="lowerRoman"/>
      <w:lvlText w:val="%3."/>
      <w:lvlJc w:val="right"/>
      <w:pPr>
        <w:ind w:left="2586" w:hanging="180"/>
      </w:pPr>
    </w:lvl>
    <w:lvl w:ilvl="3" w:tplc="4009000F">
      <w:start w:val="1"/>
      <w:numFmt w:val="decimal"/>
      <w:lvlText w:val="%4."/>
      <w:lvlJc w:val="left"/>
      <w:pPr>
        <w:ind w:left="3306" w:hanging="360"/>
      </w:pPr>
    </w:lvl>
    <w:lvl w:ilvl="4" w:tplc="40090019">
      <w:start w:val="1"/>
      <w:numFmt w:val="lowerLetter"/>
      <w:lvlText w:val="%5."/>
      <w:lvlJc w:val="left"/>
      <w:pPr>
        <w:ind w:left="4026" w:hanging="360"/>
      </w:pPr>
    </w:lvl>
    <w:lvl w:ilvl="5" w:tplc="4009001B">
      <w:start w:val="1"/>
      <w:numFmt w:val="lowerRoman"/>
      <w:lvlText w:val="%6."/>
      <w:lvlJc w:val="right"/>
      <w:pPr>
        <w:ind w:left="4746" w:hanging="180"/>
      </w:pPr>
    </w:lvl>
    <w:lvl w:ilvl="6" w:tplc="4009000F">
      <w:start w:val="1"/>
      <w:numFmt w:val="decimal"/>
      <w:lvlText w:val="%7."/>
      <w:lvlJc w:val="left"/>
      <w:pPr>
        <w:ind w:left="5466" w:hanging="360"/>
      </w:pPr>
    </w:lvl>
    <w:lvl w:ilvl="7" w:tplc="40090019">
      <w:start w:val="1"/>
      <w:numFmt w:val="lowerLetter"/>
      <w:lvlText w:val="%8."/>
      <w:lvlJc w:val="left"/>
      <w:pPr>
        <w:ind w:left="6186" w:hanging="360"/>
      </w:pPr>
    </w:lvl>
    <w:lvl w:ilvl="8" w:tplc="4009001B">
      <w:start w:val="1"/>
      <w:numFmt w:val="lowerRoman"/>
      <w:lvlText w:val="%9."/>
      <w:lvlJc w:val="right"/>
      <w:pPr>
        <w:ind w:left="6906" w:hanging="180"/>
      </w:pPr>
    </w:lvl>
  </w:abstractNum>
  <w:abstractNum w:abstractNumId="43" w15:restartNumberingAfterBreak="0">
    <w:nsid w:val="3CB5398A"/>
    <w:multiLevelType w:val="multilevel"/>
    <w:tmpl w:val="5EF8DADC"/>
    <w:lvl w:ilvl="0">
      <w:start w:val="1"/>
      <w:numFmt w:val="lowerRoman"/>
      <w:lvlText w:val="%1."/>
      <w:lvlJc w:val="right"/>
      <w:pPr>
        <w:tabs>
          <w:tab w:val="num" w:pos="720"/>
        </w:tabs>
        <w:ind w:left="720" w:hanging="360"/>
      </w:pPr>
      <w:rPr>
        <w:rFonts w:hint="default"/>
        <w:b w:val="0"/>
        <w:bCs w:val="0"/>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D4F2FE3"/>
    <w:multiLevelType w:val="multilevel"/>
    <w:tmpl w:val="09A8F204"/>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402A4BD9"/>
    <w:multiLevelType w:val="hybridMultilevel"/>
    <w:tmpl w:val="1FFE989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6" w15:restartNumberingAfterBreak="0">
    <w:nsid w:val="40D02467"/>
    <w:multiLevelType w:val="hybridMultilevel"/>
    <w:tmpl w:val="66B6C2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15:restartNumberingAfterBreak="0">
    <w:nsid w:val="41A10E27"/>
    <w:multiLevelType w:val="hybridMultilevel"/>
    <w:tmpl w:val="FACE746A"/>
    <w:lvl w:ilvl="0" w:tplc="A7340572">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35008B3"/>
    <w:multiLevelType w:val="hybridMultilevel"/>
    <w:tmpl w:val="1FBA883C"/>
    <w:lvl w:ilvl="0" w:tplc="ECB46336">
      <w:start w:val="1"/>
      <w:numFmt w:val="upperLetter"/>
      <w:lvlText w:val="%1."/>
      <w:lvlJc w:val="left"/>
      <w:pPr>
        <w:ind w:left="720" w:hanging="360"/>
      </w:pPr>
      <w:rPr>
        <w:sz w:val="24"/>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438B5F0E"/>
    <w:multiLevelType w:val="hybridMultilevel"/>
    <w:tmpl w:val="3342BDC4"/>
    <w:lvl w:ilvl="0" w:tplc="158AB9DE">
      <w:start w:val="1"/>
      <w:numFmt w:val="decimal"/>
      <w:lvlText w:val="%1."/>
      <w:lvlJc w:val="left"/>
      <w:pPr>
        <w:ind w:left="0" w:firstLine="0"/>
      </w:pPr>
      <w:rPr>
        <w:rFonts w:hint="default"/>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0" w15:restartNumberingAfterBreak="0">
    <w:nsid w:val="447F724A"/>
    <w:multiLevelType w:val="hybridMultilevel"/>
    <w:tmpl w:val="523C27EA"/>
    <w:lvl w:ilvl="0" w:tplc="80C21B3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1" w15:restartNumberingAfterBreak="0">
    <w:nsid w:val="44AD7286"/>
    <w:multiLevelType w:val="multilevel"/>
    <w:tmpl w:val="9CB2F2DA"/>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b/>
        <w:bCs/>
        <w:sz w:val="24"/>
        <w:szCs w:val="24"/>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4D90B76"/>
    <w:multiLevelType w:val="multilevel"/>
    <w:tmpl w:val="075EF624"/>
    <w:lvl w:ilvl="0">
      <w:start w:val="1"/>
      <w:numFmt w:val="lowerRoman"/>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ADE5A85"/>
    <w:multiLevelType w:val="hybridMultilevel"/>
    <w:tmpl w:val="D65AC37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4B3205C2"/>
    <w:multiLevelType w:val="multilevel"/>
    <w:tmpl w:val="962C8DA6"/>
    <w:lvl w:ilvl="0">
      <w:start w:val="1"/>
      <w:numFmt w:val="decimal"/>
      <w:lvlText w:val="%1."/>
      <w:lvlJc w:val="left"/>
      <w:pPr>
        <w:ind w:left="360" w:hanging="360"/>
      </w:pPr>
      <w:rPr>
        <w:rFonts w:hint="default"/>
        <w:b/>
        <w:bCs/>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5" w15:restartNumberingAfterBreak="0">
    <w:nsid w:val="4C2C7E69"/>
    <w:multiLevelType w:val="hybridMultilevel"/>
    <w:tmpl w:val="B7D26FF8"/>
    <w:lvl w:ilvl="0" w:tplc="03369788">
      <w:start w:val="1"/>
      <w:numFmt w:val="decimal"/>
      <w:lvlText w:val="%1."/>
      <w:lvlJc w:val="left"/>
      <w:pPr>
        <w:ind w:left="720" w:hanging="360"/>
      </w:pPr>
      <w:rPr>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4DBC589C"/>
    <w:multiLevelType w:val="multilevel"/>
    <w:tmpl w:val="C2FA84D2"/>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b/>
        <w:bCs/>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E682029"/>
    <w:multiLevelType w:val="hybridMultilevel"/>
    <w:tmpl w:val="16CCDD8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8" w15:restartNumberingAfterBreak="0">
    <w:nsid w:val="4F4A1FFA"/>
    <w:multiLevelType w:val="multilevel"/>
    <w:tmpl w:val="5EF8DADC"/>
    <w:lvl w:ilvl="0">
      <w:start w:val="1"/>
      <w:numFmt w:val="lowerRoman"/>
      <w:lvlText w:val="%1."/>
      <w:lvlJc w:val="right"/>
      <w:pPr>
        <w:tabs>
          <w:tab w:val="num" w:pos="720"/>
        </w:tabs>
        <w:ind w:left="720" w:hanging="360"/>
      </w:pPr>
      <w:rPr>
        <w:rFonts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0A46A0E"/>
    <w:multiLevelType w:val="multilevel"/>
    <w:tmpl w:val="235E1D5A"/>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21819ED"/>
    <w:multiLevelType w:val="hybridMultilevel"/>
    <w:tmpl w:val="8B4ECD1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1" w15:restartNumberingAfterBreak="0">
    <w:nsid w:val="54B60748"/>
    <w:multiLevelType w:val="hybridMultilevel"/>
    <w:tmpl w:val="DEE0F948"/>
    <w:lvl w:ilvl="0" w:tplc="FFFFFFFF">
      <w:start w:val="1"/>
      <w:numFmt w:val="decimal"/>
      <w:lvlText w:val="%1)"/>
      <w:lvlJc w:val="left"/>
      <w:pPr>
        <w:ind w:left="2912"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2" w15:restartNumberingAfterBreak="0">
    <w:nsid w:val="54DA03DC"/>
    <w:multiLevelType w:val="hybridMultilevel"/>
    <w:tmpl w:val="A038F6B6"/>
    <w:lvl w:ilvl="0" w:tplc="FFFFFFFF">
      <w:start w:val="1"/>
      <w:numFmt w:val="decimal"/>
      <w:lvlText w:val="%1)"/>
      <w:lvlJc w:val="left"/>
      <w:pPr>
        <w:ind w:left="2912"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3" w15:restartNumberingAfterBreak="0">
    <w:nsid w:val="55AF643F"/>
    <w:multiLevelType w:val="multilevel"/>
    <w:tmpl w:val="FBDA7F06"/>
    <w:lvl w:ilvl="0">
      <w:start w:val="1"/>
      <w:numFmt w:val="decimal"/>
      <w:lvlText w:val="%1."/>
      <w:lvlJc w:val="left"/>
      <w:pPr>
        <w:tabs>
          <w:tab w:val="num" w:pos="360"/>
        </w:tabs>
        <w:ind w:left="360" w:hanging="360"/>
      </w:pPr>
      <w:rPr>
        <w:rFonts w:hint="default"/>
        <w:b/>
        <w:bCs w:val="0"/>
      </w:rPr>
    </w:lvl>
    <w:lvl w:ilvl="1">
      <w:start w:val="1"/>
      <w:numFmt w:val="decimal"/>
      <w:lvlText w:val="%1.%2."/>
      <w:lvlJc w:val="left"/>
      <w:pPr>
        <w:tabs>
          <w:tab w:val="num" w:pos="432"/>
        </w:tabs>
        <w:ind w:left="432" w:hanging="432"/>
      </w:pPr>
      <w:rPr>
        <w:rFonts w:hint="default"/>
        <w:b/>
        <w:i w:val="0"/>
        <w:sz w:val="24"/>
        <w:szCs w:val="22"/>
      </w:rPr>
    </w:lvl>
    <w:lvl w:ilvl="2">
      <w:start w:val="1"/>
      <w:numFmt w:val="decimal"/>
      <w:lvlText w:val="%1.%2.%3."/>
      <w:lvlJc w:val="left"/>
      <w:pPr>
        <w:tabs>
          <w:tab w:val="num" w:pos="504"/>
        </w:tabs>
        <w:ind w:left="504" w:hanging="504"/>
      </w:pPr>
      <w:rPr>
        <w:rFonts w:hint="default"/>
        <w:b/>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55FC6D4E"/>
    <w:multiLevelType w:val="hybridMultilevel"/>
    <w:tmpl w:val="A890260E"/>
    <w:lvl w:ilvl="0" w:tplc="46E8BC3A">
      <w:start w:val="1"/>
      <w:numFmt w:val="lowerRoman"/>
      <w:lvlText w:val="%1."/>
      <w:lvlJc w:val="left"/>
      <w:pPr>
        <w:ind w:left="1440" w:hanging="72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65" w15:restartNumberingAfterBreak="0">
    <w:nsid w:val="582F42CA"/>
    <w:multiLevelType w:val="multilevel"/>
    <w:tmpl w:val="DA86C922"/>
    <w:lvl w:ilvl="0">
      <w:start w:val="1"/>
      <w:numFmt w:val="lowerRoman"/>
      <w:lvlText w:val="%1."/>
      <w:lvlJc w:val="righ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9F56104"/>
    <w:multiLevelType w:val="hybridMultilevel"/>
    <w:tmpl w:val="EA30BB10"/>
    <w:lvl w:ilvl="0" w:tplc="281AF992">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7" w15:restartNumberingAfterBreak="0">
    <w:nsid w:val="5A1363B3"/>
    <w:multiLevelType w:val="hybridMultilevel"/>
    <w:tmpl w:val="3676B26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 w15:restartNumberingAfterBreak="0">
    <w:nsid w:val="5A792FF6"/>
    <w:multiLevelType w:val="multilevel"/>
    <w:tmpl w:val="09A8F204"/>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5AA83572"/>
    <w:multiLevelType w:val="multilevel"/>
    <w:tmpl w:val="9F4CCF78"/>
    <w:lvl w:ilvl="0">
      <w:start w:val="5"/>
      <w:numFmt w:val="decimal"/>
      <w:lvlText w:val="%1"/>
      <w:lvlJc w:val="left"/>
      <w:pPr>
        <w:ind w:left="360" w:hanging="360"/>
      </w:pPr>
      <w:rPr>
        <w:rFonts w:hint="default"/>
      </w:rPr>
    </w:lvl>
    <w:lvl w:ilvl="1">
      <w:start w:val="1"/>
      <w:numFmt w:val="decimal"/>
      <w:lvlText w:val="%1.%2"/>
      <w:lvlJc w:val="left"/>
      <w:pPr>
        <w:ind w:left="990" w:hanging="360"/>
      </w:pPr>
      <w:rPr>
        <w:rFonts w:hint="default"/>
        <w:b/>
        <w:bCs/>
        <w:color w:val="auto"/>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6840" w:hanging="1800"/>
      </w:pPr>
      <w:rPr>
        <w:rFonts w:hint="default"/>
      </w:rPr>
    </w:lvl>
  </w:abstractNum>
  <w:abstractNum w:abstractNumId="70" w15:restartNumberingAfterBreak="0">
    <w:nsid w:val="5C917499"/>
    <w:multiLevelType w:val="hybridMultilevel"/>
    <w:tmpl w:val="84120E9C"/>
    <w:lvl w:ilvl="0" w:tplc="2092FCC4">
      <w:start w:val="1"/>
      <w:numFmt w:val="lowerLetter"/>
      <w:lvlText w:val="(%1)"/>
      <w:lvlJc w:val="left"/>
      <w:pPr>
        <w:ind w:left="1074" w:hanging="360"/>
      </w:pPr>
      <w:rPr>
        <w:rFonts w:hint="default"/>
      </w:rPr>
    </w:lvl>
    <w:lvl w:ilvl="1" w:tplc="C9205422">
      <w:start w:val="1"/>
      <w:numFmt w:val="lowerRoman"/>
      <w:lvlText w:val="%2."/>
      <w:lvlJc w:val="left"/>
      <w:pPr>
        <w:ind w:left="2164" w:hanging="730"/>
      </w:pPr>
      <w:rPr>
        <w:rFonts w:hint="default"/>
      </w:rPr>
    </w:lvl>
    <w:lvl w:ilvl="2" w:tplc="4009001B" w:tentative="1">
      <w:start w:val="1"/>
      <w:numFmt w:val="lowerRoman"/>
      <w:lvlText w:val="%3."/>
      <w:lvlJc w:val="right"/>
      <w:pPr>
        <w:ind w:left="2514" w:hanging="180"/>
      </w:pPr>
    </w:lvl>
    <w:lvl w:ilvl="3" w:tplc="4009000F" w:tentative="1">
      <w:start w:val="1"/>
      <w:numFmt w:val="decimal"/>
      <w:lvlText w:val="%4."/>
      <w:lvlJc w:val="left"/>
      <w:pPr>
        <w:ind w:left="3234" w:hanging="360"/>
      </w:pPr>
    </w:lvl>
    <w:lvl w:ilvl="4" w:tplc="40090019" w:tentative="1">
      <w:start w:val="1"/>
      <w:numFmt w:val="lowerLetter"/>
      <w:lvlText w:val="%5."/>
      <w:lvlJc w:val="left"/>
      <w:pPr>
        <w:ind w:left="3954" w:hanging="360"/>
      </w:pPr>
    </w:lvl>
    <w:lvl w:ilvl="5" w:tplc="4009001B" w:tentative="1">
      <w:start w:val="1"/>
      <w:numFmt w:val="lowerRoman"/>
      <w:lvlText w:val="%6."/>
      <w:lvlJc w:val="right"/>
      <w:pPr>
        <w:ind w:left="4674" w:hanging="180"/>
      </w:pPr>
    </w:lvl>
    <w:lvl w:ilvl="6" w:tplc="4009000F" w:tentative="1">
      <w:start w:val="1"/>
      <w:numFmt w:val="decimal"/>
      <w:lvlText w:val="%7."/>
      <w:lvlJc w:val="left"/>
      <w:pPr>
        <w:ind w:left="5394" w:hanging="360"/>
      </w:pPr>
    </w:lvl>
    <w:lvl w:ilvl="7" w:tplc="40090019" w:tentative="1">
      <w:start w:val="1"/>
      <w:numFmt w:val="lowerLetter"/>
      <w:lvlText w:val="%8."/>
      <w:lvlJc w:val="left"/>
      <w:pPr>
        <w:ind w:left="6114" w:hanging="360"/>
      </w:pPr>
    </w:lvl>
    <w:lvl w:ilvl="8" w:tplc="4009001B" w:tentative="1">
      <w:start w:val="1"/>
      <w:numFmt w:val="lowerRoman"/>
      <w:lvlText w:val="%9."/>
      <w:lvlJc w:val="right"/>
      <w:pPr>
        <w:ind w:left="6834" w:hanging="180"/>
      </w:pPr>
    </w:lvl>
  </w:abstractNum>
  <w:abstractNum w:abstractNumId="71" w15:restartNumberingAfterBreak="0">
    <w:nsid w:val="60642348"/>
    <w:multiLevelType w:val="hybridMultilevel"/>
    <w:tmpl w:val="27B00A8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2" w15:restartNumberingAfterBreak="0">
    <w:nsid w:val="607B0A5A"/>
    <w:multiLevelType w:val="hybridMultilevel"/>
    <w:tmpl w:val="94282DBA"/>
    <w:lvl w:ilvl="0" w:tplc="40090001">
      <w:start w:val="1"/>
      <w:numFmt w:val="bullet"/>
      <w:lvlText w:val=""/>
      <w:lvlJc w:val="left"/>
      <w:pPr>
        <w:ind w:left="1860" w:hanging="360"/>
      </w:pPr>
      <w:rPr>
        <w:rFonts w:ascii="Symbol" w:hAnsi="Symbol" w:hint="default"/>
      </w:rPr>
    </w:lvl>
    <w:lvl w:ilvl="1" w:tplc="40090003" w:tentative="1">
      <w:start w:val="1"/>
      <w:numFmt w:val="bullet"/>
      <w:lvlText w:val="o"/>
      <w:lvlJc w:val="left"/>
      <w:pPr>
        <w:ind w:left="2580" w:hanging="360"/>
      </w:pPr>
      <w:rPr>
        <w:rFonts w:ascii="Courier New" w:hAnsi="Courier New" w:cs="Courier New" w:hint="default"/>
      </w:rPr>
    </w:lvl>
    <w:lvl w:ilvl="2" w:tplc="40090005" w:tentative="1">
      <w:start w:val="1"/>
      <w:numFmt w:val="bullet"/>
      <w:lvlText w:val=""/>
      <w:lvlJc w:val="left"/>
      <w:pPr>
        <w:ind w:left="3300" w:hanging="360"/>
      </w:pPr>
      <w:rPr>
        <w:rFonts w:ascii="Wingdings" w:hAnsi="Wingdings" w:hint="default"/>
      </w:rPr>
    </w:lvl>
    <w:lvl w:ilvl="3" w:tplc="40090001" w:tentative="1">
      <w:start w:val="1"/>
      <w:numFmt w:val="bullet"/>
      <w:lvlText w:val=""/>
      <w:lvlJc w:val="left"/>
      <w:pPr>
        <w:ind w:left="4020" w:hanging="360"/>
      </w:pPr>
      <w:rPr>
        <w:rFonts w:ascii="Symbol" w:hAnsi="Symbol" w:hint="default"/>
      </w:rPr>
    </w:lvl>
    <w:lvl w:ilvl="4" w:tplc="40090003" w:tentative="1">
      <w:start w:val="1"/>
      <w:numFmt w:val="bullet"/>
      <w:lvlText w:val="o"/>
      <w:lvlJc w:val="left"/>
      <w:pPr>
        <w:ind w:left="4740" w:hanging="360"/>
      </w:pPr>
      <w:rPr>
        <w:rFonts w:ascii="Courier New" w:hAnsi="Courier New" w:cs="Courier New" w:hint="default"/>
      </w:rPr>
    </w:lvl>
    <w:lvl w:ilvl="5" w:tplc="40090005" w:tentative="1">
      <w:start w:val="1"/>
      <w:numFmt w:val="bullet"/>
      <w:lvlText w:val=""/>
      <w:lvlJc w:val="left"/>
      <w:pPr>
        <w:ind w:left="5460" w:hanging="360"/>
      </w:pPr>
      <w:rPr>
        <w:rFonts w:ascii="Wingdings" w:hAnsi="Wingdings" w:hint="default"/>
      </w:rPr>
    </w:lvl>
    <w:lvl w:ilvl="6" w:tplc="40090001" w:tentative="1">
      <w:start w:val="1"/>
      <w:numFmt w:val="bullet"/>
      <w:lvlText w:val=""/>
      <w:lvlJc w:val="left"/>
      <w:pPr>
        <w:ind w:left="6180" w:hanging="360"/>
      </w:pPr>
      <w:rPr>
        <w:rFonts w:ascii="Symbol" w:hAnsi="Symbol" w:hint="default"/>
      </w:rPr>
    </w:lvl>
    <w:lvl w:ilvl="7" w:tplc="40090003" w:tentative="1">
      <w:start w:val="1"/>
      <w:numFmt w:val="bullet"/>
      <w:lvlText w:val="o"/>
      <w:lvlJc w:val="left"/>
      <w:pPr>
        <w:ind w:left="6900" w:hanging="360"/>
      </w:pPr>
      <w:rPr>
        <w:rFonts w:ascii="Courier New" w:hAnsi="Courier New" w:cs="Courier New" w:hint="default"/>
      </w:rPr>
    </w:lvl>
    <w:lvl w:ilvl="8" w:tplc="40090005" w:tentative="1">
      <w:start w:val="1"/>
      <w:numFmt w:val="bullet"/>
      <w:lvlText w:val=""/>
      <w:lvlJc w:val="left"/>
      <w:pPr>
        <w:ind w:left="7620" w:hanging="360"/>
      </w:pPr>
      <w:rPr>
        <w:rFonts w:ascii="Wingdings" w:hAnsi="Wingdings" w:hint="default"/>
      </w:rPr>
    </w:lvl>
  </w:abstractNum>
  <w:abstractNum w:abstractNumId="73" w15:restartNumberingAfterBreak="0">
    <w:nsid w:val="60A027CB"/>
    <w:multiLevelType w:val="hybridMultilevel"/>
    <w:tmpl w:val="DAE41CC4"/>
    <w:lvl w:ilvl="0" w:tplc="14902640">
      <w:start w:val="1"/>
      <w:numFmt w:val="lowerRoman"/>
      <w:lvlText w:val="(%1)"/>
      <w:lvlJc w:val="left"/>
      <w:pPr>
        <w:ind w:left="795" w:hanging="72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74" w15:restartNumberingAfterBreak="0">
    <w:nsid w:val="6454367D"/>
    <w:multiLevelType w:val="hybridMultilevel"/>
    <w:tmpl w:val="1D36E15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 w15:restartNumberingAfterBreak="0">
    <w:nsid w:val="69343460"/>
    <w:multiLevelType w:val="multilevel"/>
    <w:tmpl w:val="1AEE8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94E1CE5"/>
    <w:multiLevelType w:val="hybridMultilevel"/>
    <w:tmpl w:val="A7AAA0F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7" w15:restartNumberingAfterBreak="0">
    <w:nsid w:val="69DE264E"/>
    <w:multiLevelType w:val="multilevel"/>
    <w:tmpl w:val="3F04CDCA"/>
    <w:lvl w:ilvl="0">
      <w:start w:val="1"/>
      <w:numFmt w:val="decimal"/>
      <w:lvlText w:val="%1"/>
      <w:lvlJc w:val="left"/>
      <w:pPr>
        <w:tabs>
          <w:tab w:val="num" w:pos="360"/>
        </w:tabs>
        <w:ind w:left="360" w:hanging="360"/>
      </w:pPr>
      <w:rPr>
        <w:rFonts w:hint="default"/>
      </w:rPr>
    </w:lvl>
    <w:lvl w:ilvl="1">
      <w:start w:val="1"/>
      <w:numFmt w:val="lowerRoman"/>
      <w:lvlText w:val="%2."/>
      <w:lvlJc w:val="righ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6EAD3A5B"/>
    <w:multiLevelType w:val="multilevel"/>
    <w:tmpl w:val="A58201E8"/>
    <w:lvl w:ilvl="0">
      <w:start w:val="1"/>
      <w:numFmt w:val="decimal"/>
      <w:lvlText w:val="%1."/>
      <w:lvlJc w:val="left"/>
      <w:pPr>
        <w:tabs>
          <w:tab w:val="num" w:pos="720"/>
        </w:tabs>
        <w:ind w:left="720" w:hanging="360"/>
      </w:pPr>
    </w:lvl>
    <w:lvl w:ilvl="1">
      <w:start w:val="1"/>
      <w:numFmt w:val="upp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15:restartNumberingAfterBreak="0">
    <w:nsid w:val="6F1A19C8"/>
    <w:multiLevelType w:val="multilevel"/>
    <w:tmpl w:val="A1861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4F123C4"/>
    <w:multiLevelType w:val="hybridMultilevel"/>
    <w:tmpl w:val="AB8493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1" w15:restartNumberingAfterBreak="0">
    <w:nsid w:val="75854630"/>
    <w:multiLevelType w:val="hybridMultilevel"/>
    <w:tmpl w:val="A80EBC96"/>
    <w:lvl w:ilvl="0" w:tplc="78CED52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 w15:restartNumberingAfterBreak="0">
    <w:nsid w:val="75FE75AF"/>
    <w:multiLevelType w:val="hybridMultilevel"/>
    <w:tmpl w:val="93DCE678"/>
    <w:lvl w:ilvl="0" w:tplc="40090001">
      <w:start w:val="1"/>
      <w:numFmt w:val="bullet"/>
      <w:lvlText w:val=""/>
      <w:lvlJc w:val="left"/>
      <w:pPr>
        <w:ind w:left="1089" w:hanging="360"/>
      </w:pPr>
      <w:rPr>
        <w:rFonts w:ascii="Symbol" w:hAnsi="Symbol" w:hint="default"/>
      </w:rPr>
    </w:lvl>
    <w:lvl w:ilvl="1" w:tplc="FFFFFFFF">
      <w:start w:val="1"/>
      <w:numFmt w:val="bullet"/>
      <w:lvlText w:val="o"/>
      <w:lvlJc w:val="left"/>
      <w:pPr>
        <w:ind w:left="1809" w:hanging="360"/>
      </w:pPr>
      <w:rPr>
        <w:rFonts w:ascii="Courier New" w:hAnsi="Courier New" w:cs="Courier New" w:hint="default"/>
      </w:rPr>
    </w:lvl>
    <w:lvl w:ilvl="2" w:tplc="FFFFFFFF" w:tentative="1">
      <w:start w:val="1"/>
      <w:numFmt w:val="bullet"/>
      <w:lvlText w:val=""/>
      <w:lvlJc w:val="left"/>
      <w:pPr>
        <w:ind w:left="2529" w:hanging="360"/>
      </w:pPr>
      <w:rPr>
        <w:rFonts w:ascii="Wingdings" w:hAnsi="Wingdings" w:hint="default"/>
      </w:rPr>
    </w:lvl>
    <w:lvl w:ilvl="3" w:tplc="FFFFFFFF" w:tentative="1">
      <w:start w:val="1"/>
      <w:numFmt w:val="bullet"/>
      <w:lvlText w:val=""/>
      <w:lvlJc w:val="left"/>
      <w:pPr>
        <w:ind w:left="3249" w:hanging="360"/>
      </w:pPr>
      <w:rPr>
        <w:rFonts w:ascii="Symbol" w:hAnsi="Symbol" w:hint="default"/>
      </w:rPr>
    </w:lvl>
    <w:lvl w:ilvl="4" w:tplc="FFFFFFFF" w:tentative="1">
      <w:start w:val="1"/>
      <w:numFmt w:val="bullet"/>
      <w:lvlText w:val="o"/>
      <w:lvlJc w:val="left"/>
      <w:pPr>
        <w:ind w:left="3969" w:hanging="360"/>
      </w:pPr>
      <w:rPr>
        <w:rFonts w:ascii="Courier New" w:hAnsi="Courier New" w:cs="Courier New" w:hint="default"/>
      </w:rPr>
    </w:lvl>
    <w:lvl w:ilvl="5" w:tplc="FFFFFFFF" w:tentative="1">
      <w:start w:val="1"/>
      <w:numFmt w:val="bullet"/>
      <w:lvlText w:val=""/>
      <w:lvlJc w:val="left"/>
      <w:pPr>
        <w:ind w:left="4689" w:hanging="360"/>
      </w:pPr>
      <w:rPr>
        <w:rFonts w:ascii="Wingdings" w:hAnsi="Wingdings" w:hint="default"/>
      </w:rPr>
    </w:lvl>
    <w:lvl w:ilvl="6" w:tplc="FFFFFFFF" w:tentative="1">
      <w:start w:val="1"/>
      <w:numFmt w:val="bullet"/>
      <w:lvlText w:val=""/>
      <w:lvlJc w:val="left"/>
      <w:pPr>
        <w:ind w:left="5409" w:hanging="360"/>
      </w:pPr>
      <w:rPr>
        <w:rFonts w:ascii="Symbol" w:hAnsi="Symbol" w:hint="default"/>
      </w:rPr>
    </w:lvl>
    <w:lvl w:ilvl="7" w:tplc="FFFFFFFF" w:tentative="1">
      <w:start w:val="1"/>
      <w:numFmt w:val="bullet"/>
      <w:lvlText w:val="o"/>
      <w:lvlJc w:val="left"/>
      <w:pPr>
        <w:ind w:left="6129" w:hanging="360"/>
      </w:pPr>
      <w:rPr>
        <w:rFonts w:ascii="Courier New" w:hAnsi="Courier New" w:cs="Courier New" w:hint="default"/>
      </w:rPr>
    </w:lvl>
    <w:lvl w:ilvl="8" w:tplc="FFFFFFFF" w:tentative="1">
      <w:start w:val="1"/>
      <w:numFmt w:val="bullet"/>
      <w:lvlText w:val=""/>
      <w:lvlJc w:val="left"/>
      <w:pPr>
        <w:ind w:left="6849" w:hanging="360"/>
      </w:pPr>
      <w:rPr>
        <w:rFonts w:ascii="Wingdings" w:hAnsi="Wingdings" w:hint="default"/>
      </w:rPr>
    </w:lvl>
  </w:abstractNum>
  <w:abstractNum w:abstractNumId="83" w15:restartNumberingAfterBreak="0">
    <w:nsid w:val="77136239"/>
    <w:multiLevelType w:val="hybridMultilevel"/>
    <w:tmpl w:val="8A58EB02"/>
    <w:lvl w:ilvl="0" w:tplc="40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84" w15:restartNumberingAfterBreak="0">
    <w:nsid w:val="77F425AD"/>
    <w:multiLevelType w:val="hybridMultilevel"/>
    <w:tmpl w:val="3DAA225A"/>
    <w:lvl w:ilvl="0" w:tplc="40090017">
      <w:start w:val="1"/>
      <w:numFmt w:val="lowerLetter"/>
      <w:lvlText w:val="%1)"/>
      <w:lvlJc w:val="left"/>
      <w:pPr>
        <w:ind w:left="774" w:hanging="360"/>
      </w:p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85" w15:restartNumberingAfterBreak="0">
    <w:nsid w:val="77F82F8F"/>
    <w:multiLevelType w:val="hybridMultilevel"/>
    <w:tmpl w:val="839423AA"/>
    <w:lvl w:ilvl="0" w:tplc="40090001">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6" w15:restartNumberingAfterBreak="0">
    <w:nsid w:val="786926D0"/>
    <w:multiLevelType w:val="hybridMultilevel"/>
    <w:tmpl w:val="D0A83D46"/>
    <w:lvl w:ilvl="0" w:tplc="40090017">
      <w:start w:val="1"/>
      <w:numFmt w:val="lowerLetter"/>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 w15:restartNumberingAfterBreak="0">
    <w:nsid w:val="7BA7039A"/>
    <w:multiLevelType w:val="multilevel"/>
    <w:tmpl w:val="5010F32E"/>
    <w:lvl w:ilvl="0">
      <w:start w:val="2"/>
      <w:numFmt w:val="decimal"/>
      <w:lvlText w:val="%1."/>
      <w:lvlJc w:val="left"/>
      <w:pPr>
        <w:ind w:left="630" w:hanging="630"/>
      </w:pPr>
      <w:rPr>
        <w:rFonts w:hint="default"/>
      </w:rPr>
    </w:lvl>
    <w:lvl w:ilvl="1">
      <w:start w:val="9"/>
      <w:numFmt w:val="decimal"/>
      <w:lvlText w:val="%1.%2."/>
      <w:lvlJc w:val="left"/>
      <w:pPr>
        <w:ind w:left="1440" w:hanging="720"/>
      </w:pPr>
      <w:rPr>
        <w:rFonts w:hint="default"/>
      </w:rPr>
    </w:lvl>
    <w:lvl w:ilvl="2">
      <w:start w:val="1"/>
      <w:numFmt w:val="decimal"/>
      <w:lvlText w:val="%1.%2.%3."/>
      <w:lvlJc w:val="left"/>
      <w:pPr>
        <w:ind w:left="1004" w:hanging="720"/>
      </w:pPr>
      <w:rPr>
        <w:rFonts w:hint="default"/>
        <w:sz w:val="24"/>
        <w:szCs w:val="24"/>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8" w15:restartNumberingAfterBreak="0">
    <w:nsid w:val="7C7F5DEF"/>
    <w:multiLevelType w:val="multilevel"/>
    <w:tmpl w:val="E1B6A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DB5633D"/>
    <w:multiLevelType w:val="multilevel"/>
    <w:tmpl w:val="B46C3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3"/>
  </w:num>
  <w:num w:numId="2">
    <w:abstractNumId w:val="77"/>
  </w:num>
  <w:num w:numId="3">
    <w:abstractNumId w:val="24"/>
  </w:num>
  <w:num w:numId="4">
    <w:abstractNumId w:val="40"/>
  </w:num>
  <w:num w:numId="5">
    <w:abstractNumId w:val="87"/>
  </w:num>
  <w:num w:numId="6">
    <w:abstractNumId w:val="6"/>
  </w:num>
  <w:num w:numId="7">
    <w:abstractNumId w:val="45"/>
  </w:num>
  <w:num w:numId="8">
    <w:abstractNumId w:val="39"/>
  </w:num>
  <w:num w:numId="9">
    <w:abstractNumId w:val="0"/>
  </w:num>
  <w:num w:numId="10">
    <w:abstractNumId w:val="55"/>
  </w:num>
  <w:num w:numId="11">
    <w:abstractNumId w:val="68"/>
  </w:num>
  <w:num w:numId="12">
    <w:abstractNumId w:val="54"/>
  </w:num>
  <w:num w:numId="13">
    <w:abstractNumId w:val="50"/>
  </w:num>
  <w:num w:numId="14">
    <w:abstractNumId w:val="16"/>
  </w:num>
  <w:num w:numId="15">
    <w:abstractNumId w:val="74"/>
  </w:num>
  <w:num w:numId="16">
    <w:abstractNumId w:val="3"/>
  </w:num>
  <w:num w:numId="17">
    <w:abstractNumId w:val="71"/>
  </w:num>
  <w:num w:numId="18">
    <w:abstractNumId w:val="34"/>
  </w:num>
  <w:num w:numId="19">
    <w:abstractNumId w:val="13"/>
  </w:num>
  <w:num w:numId="20">
    <w:abstractNumId w:val="26"/>
  </w:num>
  <w:num w:numId="21">
    <w:abstractNumId w:val="57"/>
  </w:num>
  <w:num w:numId="22">
    <w:abstractNumId w:val="10"/>
  </w:num>
  <w:num w:numId="23">
    <w:abstractNumId w:val="67"/>
  </w:num>
  <w:num w:numId="24">
    <w:abstractNumId w:val="48"/>
  </w:num>
  <w:num w:numId="25">
    <w:abstractNumId w:val="20"/>
  </w:num>
  <w:num w:numId="26">
    <w:abstractNumId w:val="12"/>
  </w:num>
  <w:num w:numId="27">
    <w:abstractNumId w:val="23"/>
  </w:num>
  <w:num w:numId="28">
    <w:abstractNumId w:val="86"/>
  </w:num>
  <w:num w:numId="29">
    <w:abstractNumId w:val="47"/>
  </w:num>
  <w:num w:numId="30">
    <w:abstractNumId w:val="35"/>
  </w:num>
  <w:num w:numId="31">
    <w:abstractNumId w:val="22"/>
  </w:num>
  <w:num w:numId="32">
    <w:abstractNumId w:val="15"/>
  </w:num>
  <w:num w:numId="33">
    <w:abstractNumId w:val="81"/>
  </w:num>
  <w:num w:numId="34">
    <w:abstractNumId w:val="44"/>
  </w:num>
  <w:num w:numId="35">
    <w:abstractNumId w:val="41"/>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9"/>
  </w:num>
  <w:num w:numId="41">
    <w:abstractNumId w:val="4"/>
  </w:num>
  <w:num w:numId="42">
    <w:abstractNumId w:val="84"/>
  </w:num>
  <w:num w:numId="43">
    <w:abstractNumId w:val="36"/>
  </w:num>
  <w:num w:numId="44">
    <w:abstractNumId w:val="76"/>
  </w:num>
  <w:num w:numId="45">
    <w:abstractNumId w:val="7"/>
  </w:num>
  <w:num w:numId="46">
    <w:abstractNumId w:val="83"/>
  </w:num>
  <w:num w:numId="47">
    <w:abstractNumId w:val="53"/>
  </w:num>
  <w:num w:numId="48">
    <w:abstractNumId w:val="25"/>
  </w:num>
  <w:num w:numId="49">
    <w:abstractNumId w:val="65"/>
  </w:num>
  <w:num w:numId="50">
    <w:abstractNumId w:val="52"/>
  </w:num>
  <w:num w:numId="51">
    <w:abstractNumId w:val="58"/>
  </w:num>
  <w:num w:numId="52">
    <w:abstractNumId w:val="5"/>
  </w:num>
  <w:num w:numId="53">
    <w:abstractNumId w:val="43"/>
  </w:num>
  <w:num w:numId="54">
    <w:abstractNumId w:val="28"/>
  </w:num>
  <w:num w:numId="55">
    <w:abstractNumId w:val="19"/>
  </w:num>
  <w:num w:numId="56">
    <w:abstractNumId w:val="89"/>
  </w:num>
  <w:num w:numId="57">
    <w:abstractNumId w:val="79"/>
  </w:num>
  <w:num w:numId="58">
    <w:abstractNumId w:val="59"/>
  </w:num>
  <w:num w:numId="59">
    <w:abstractNumId w:val="33"/>
  </w:num>
  <w:num w:numId="60">
    <w:abstractNumId w:val="32"/>
  </w:num>
  <w:num w:numId="61">
    <w:abstractNumId w:val="46"/>
  </w:num>
  <w:num w:numId="62">
    <w:abstractNumId w:val="56"/>
  </w:num>
  <w:num w:numId="63">
    <w:abstractNumId w:val="82"/>
  </w:num>
  <w:num w:numId="64">
    <w:abstractNumId w:val="51"/>
  </w:num>
  <w:num w:numId="65">
    <w:abstractNumId w:val="1"/>
  </w:num>
  <w:num w:numId="66">
    <w:abstractNumId w:val="60"/>
  </w:num>
  <w:num w:numId="67">
    <w:abstractNumId w:val="17"/>
  </w:num>
  <w:num w:numId="68">
    <w:abstractNumId w:val="88"/>
  </w:num>
  <w:num w:numId="69">
    <w:abstractNumId w:val="38"/>
  </w:num>
  <w:num w:numId="70">
    <w:abstractNumId w:val="80"/>
  </w:num>
  <w:num w:numId="71">
    <w:abstractNumId w:val="49"/>
  </w:num>
  <w:num w:numId="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8"/>
  </w:num>
  <w:num w:numId="75">
    <w:abstractNumId w:val="75"/>
  </w:num>
  <w:num w:numId="76">
    <w:abstractNumId w:val="27"/>
  </w:num>
  <w:num w:numId="77">
    <w:abstractNumId w:val="73"/>
  </w:num>
  <w:num w:numId="78">
    <w:abstractNumId w:val="21"/>
  </w:num>
  <w:num w:numId="79">
    <w:abstractNumId w:val="31"/>
  </w:num>
  <w:num w:numId="80">
    <w:abstractNumId w:val="29"/>
  </w:num>
  <w:num w:numId="81">
    <w:abstractNumId w:val="18"/>
  </w:num>
  <w:num w:numId="82">
    <w:abstractNumId w:val="30"/>
  </w:num>
  <w:num w:numId="83">
    <w:abstractNumId w:val="70"/>
  </w:num>
  <w:num w:numId="84">
    <w:abstractNumId w:val="14"/>
  </w:num>
  <w:num w:numId="85">
    <w:abstractNumId w:val="66"/>
  </w:num>
  <w:num w:numId="86">
    <w:abstractNumId w:val="62"/>
  </w:num>
  <w:num w:numId="87">
    <w:abstractNumId w:val="61"/>
  </w:num>
  <w:num w:numId="88">
    <w:abstractNumId w:val="9"/>
  </w:num>
  <w:num w:numId="89">
    <w:abstractNumId w:val="11"/>
  </w:num>
  <w:num w:numId="90">
    <w:abstractNumId w:val="85"/>
  </w:num>
  <w:num w:numId="91">
    <w:abstractNumId w:val="72"/>
  </w:num>
  <w:num w:numId="92">
    <w:abstractNumId w:val="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C04"/>
    <w:rsid w:val="000001C2"/>
    <w:rsid w:val="00000BE5"/>
    <w:rsid w:val="000014AD"/>
    <w:rsid w:val="0000171F"/>
    <w:rsid w:val="000017C3"/>
    <w:rsid w:val="00001A17"/>
    <w:rsid w:val="00001C33"/>
    <w:rsid w:val="00001DCC"/>
    <w:rsid w:val="00001FDA"/>
    <w:rsid w:val="00002460"/>
    <w:rsid w:val="00002763"/>
    <w:rsid w:val="00002911"/>
    <w:rsid w:val="00002A42"/>
    <w:rsid w:val="00002BB5"/>
    <w:rsid w:val="00002C14"/>
    <w:rsid w:val="00003081"/>
    <w:rsid w:val="00003419"/>
    <w:rsid w:val="00003797"/>
    <w:rsid w:val="00003916"/>
    <w:rsid w:val="00003B49"/>
    <w:rsid w:val="00003EC5"/>
    <w:rsid w:val="00004A37"/>
    <w:rsid w:val="00004EE1"/>
    <w:rsid w:val="0000553D"/>
    <w:rsid w:val="000055A4"/>
    <w:rsid w:val="0000569F"/>
    <w:rsid w:val="00005A2B"/>
    <w:rsid w:val="00006006"/>
    <w:rsid w:val="00006024"/>
    <w:rsid w:val="000060C7"/>
    <w:rsid w:val="00006375"/>
    <w:rsid w:val="00006789"/>
    <w:rsid w:val="0000703D"/>
    <w:rsid w:val="0000761B"/>
    <w:rsid w:val="00007F0A"/>
    <w:rsid w:val="000102DB"/>
    <w:rsid w:val="00010336"/>
    <w:rsid w:val="00010711"/>
    <w:rsid w:val="00010B3F"/>
    <w:rsid w:val="00011214"/>
    <w:rsid w:val="000112AC"/>
    <w:rsid w:val="000115A5"/>
    <w:rsid w:val="0001193C"/>
    <w:rsid w:val="00011CA7"/>
    <w:rsid w:val="000127DA"/>
    <w:rsid w:val="000129C4"/>
    <w:rsid w:val="00012F8A"/>
    <w:rsid w:val="0001323E"/>
    <w:rsid w:val="00013A4E"/>
    <w:rsid w:val="00013CF2"/>
    <w:rsid w:val="00013FE1"/>
    <w:rsid w:val="000147B3"/>
    <w:rsid w:val="000149DC"/>
    <w:rsid w:val="00014AE7"/>
    <w:rsid w:val="00015092"/>
    <w:rsid w:val="000152D7"/>
    <w:rsid w:val="0001555D"/>
    <w:rsid w:val="00015643"/>
    <w:rsid w:val="000156BE"/>
    <w:rsid w:val="000156F8"/>
    <w:rsid w:val="0001573A"/>
    <w:rsid w:val="0001593A"/>
    <w:rsid w:val="00015D5B"/>
    <w:rsid w:val="00015F5C"/>
    <w:rsid w:val="000161C6"/>
    <w:rsid w:val="00016653"/>
    <w:rsid w:val="00016C33"/>
    <w:rsid w:val="00016FB8"/>
    <w:rsid w:val="000203E0"/>
    <w:rsid w:val="0002102D"/>
    <w:rsid w:val="00021054"/>
    <w:rsid w:val="00021267"/>
    <w:rsid w:val="000213E4"/>
    <w:rsid w:val="0002196E"/>
    <w:rsid w:val="00021A7D"/>
    <w:rsid w:val="00021D0C"/>
    <w:rsid w:val="000220F6"/>
    <w:rsid w:val="0002252F"/>
    <w:rsid w:val="000225DE"/>
    <w:rsid w:val="000227D6"/>
    <w:rsid w:val="00022A45"/>
    <w:rsid w:val="0002321E"/>
    <w:rsid w:val="0002356C"/>
    <w:rsid w:val="00023703"/>
    <w:rsid w:val="000239DA"/>
    <w:rsid w:val="00023FBA"/>
    <w:rsid w:val="00024455"/>
    <w:rsid w:val="000245C1"/>
    <w:rsid w:val="0002483D"/>
    <w:rsid w:val="00024BF0"/>
    <w:rsid w:val="00024C7D"/>
    <w:rsid w:val="00024CF8"/>
    <w:rsid w:val="00025381"/>
    <w:rsid w:val="00025FF8"/>
    <w:rsid w:val="000261E1"/>
    <w:rsid w:val="00026308"/>
    <w:rsid w:val="000263F3"/>
    <w:rsid w:val="000268B2"/>
    <w:rsid w:val="0002724E"/>
    <w:rsid w:val="0002730A"/>
    <w:rsid w:val="0002770F"/>
    <w:rsid w:val="00027C67"/>
    <w:rsid w:val="00027C95"/>
    <w:rsid w:val="00027F54"/>
    <w:rsid w:val="00030943"/>
    <w:rsid w:val="00030E63"/>
    <w:rsid w:val="00030F34"/>
    <w:rsid w:val="000312E2"/>
    <w:rsid w:val="0003172B"/>
    <w:rsid w:val="00031FA4"/>
    <w:rsid w:val="00032130"/>
    <w:rsid w:val="000322F2"/>
    <w:rsid w:val="00032715"/>
    <w:rsid w:val="00032731"/>
    <w:rsid w:val="000329B3"/>
    <w:rsid w:val="00032B11"/>
    <w:rsid w:val="00032BFA"/>
    <w:rsid w:val="00032D80"/>
    <w:rsid w:val="00032FA8"/>
    <w:rsid w:val="000330EC"/>
    <w:rsid w:val="00033200"/>
    <w:rsid w:val="000333FE"/>
    <w:rsid w:val="000334F1"/>
    <w:rsid w:val="00033816"/>
    <w:rsid w:val="00033B0C"/>
    <w:rsid w:val="00033C0B"/>
    <w:rsid w:val="000340E4"/>
    <w:rsid w:val="00034221"/>
    <w:rsid w:val="00034316"/>
    <w:rsid w:val="00034433"/>
    <w:rsid w:val="00034801"/>
    <w:rsid w:val="00034C6A"/>
    <w:rsid w:val="00034C7C"/>
    <w:rsid w:val="000350B2"/>
    <w:rsid w:val="00035533"/>
    <w:rsid w:val="00035B5F"/>
    <w:rsid w:val="00035F47"/>
    <w:rsid w:val="000369A6"/>
    <w:rsid w:val="00036E57"/>
    <w:rsid w:val="00037055"/>
    <w:rsid w:val="00037329"/>
    <w:rsid w:val="00037A8B"/>
    <w:rsid w:val="00037AF8"/>
    <w:rsid w:val="00037E2F"/>
    <w:rsid w:val="0004034E"/>
    <w:rsid w:val="00040B73"/>
    <w:rsid w:val="00040C52"/>
    <w:rsid w:val="00040F47"/>
    <w:rsid w:val="00041054"/>
    <w:rsid w:val="00041C82"/>
    <w:rsid w:val="00041CF1"/>
    <w:rsid w:val="000420F7"/>
    <w:rsid w:val="00042124"/>
    <w:rsid w:val="00042BEB"/>
    <w:rsid w:val="00042CED"/>
    <w:rsid w:val="00042F17"/>
    <w:rsid w:val="000430D0"/>
    <w:rsid w:val="0004331A"/>
    <w:rsid w:val="0004362A"/>
    <w:rsid w:val="000438F2"/>
    <w:rsid w:val="00043C66"/>
    <w:rsid w:val="00043D77"/>
    <w:rsid w:val="00043F1B"/>
    <w:rsid w:val="0004407D"/>
    <w:rsid w:val="00044A10"/>
    <w:rsid w:val="0004578A"/>
    <w:rsid w:val="00045850"/>
    <w:rsid w:val="00045C4A"/>
    <w:rsid w:val="00045CAE"/>
    <w:rsid w:val="00045DD6"/>
    <w:rsid w:val="00046440"/>
    <w:rsid w:val="0004650F"/>
    <w:rsid w:val="0004652A"/>
    <w:rsid w:val="00046763"/>
    <w:rsid w:val="000467FB"/>
    <w:rsid w:val="0004692C"/>
    <w:rsid w:val="00046940"/>
    <w:rsid w:val="00046E01"/>
    <w:rsid w:val="000474A2"/>
    <w:rsid w:val="000475EB"/>
    <w:rsid w:val="0004791F"/>
    <w:rsid w:val="0004799D"/>
    <w:rsid w:val="00047F77"/>
    <w:rsid w:val="00050A59"/>
    <w:rsid w:val="00050C90"/>
    <w:rsid w:val="000512ED"/>
    <w:rsid w:val="00051389"/>
    <w:rsid w:val="00051718"/>
    <w:rsid w:val="00051738"/>
    <w:rsid w:val="00051CA1"/>
    <w:rsid w:val="00052929"/>
    <w:rsid w:val="00052955"/>
    <w:rsid w:val="0005295A"/>
    <w:rsid w:val="000529BC"/>
    <w:rsid w:val="00052D1B"/>
    <w:rsid w:val="00052E7A"/>
    <w:rsid w:val="00052EEC"/>
    <w:rsid w:val="0005349D"/>
    <w:rsid w:val="00053658"/>
    <w:rsid w:val="00053748"/>
    <w:rsid w:val="00053A3D"/>
    <w:rsid w:val="0005411D"/>
    <w:rsid w:val="0005422D"/>
    <w:rsid w:val="00054420"/>
    <w:rsid w:val="000551FD"/>
    <w:rsid w:val="0005578F"/>
    <w:rsid w:val="00056389"/>
    <w:rsid w:val="000565A2"/>
    <w:rsid w:val="00056AAE"/>
    <w:rsid w:val="00056C2A"/>
    <w:rsid w:val="00056C4C"/>
    <w:rsid w:val="00056F8D"/>
    <w:rsid w:val="0005724A"/>
    <w:rsid w:val="00057413"/>
    <w:rsid w:val="0005747C"/>
    <w:rsid w:val="0005769E"/>
    <w:rsid w:val="000577DE"/>
    <w:rsid w:val="00060587"/>
    <w:rsid w:val="00060603"/>
    <w:rsid w:val="000609AA"/>
    <w:rsid w:val="00060B2E"/>
    <w:rsid w:val="00061DB1"/>
    <w:rsid w:val="00062648"/>
    <w:rsid w:val="00062BDA"/>
    <w:rsid w:val="00063040"/>
    <w:rsid w:val="0006325B"/>
    <w:rsid w:val="000636C2"/>
    <w:rsid w:val="00063DA4"/>
    <w:rsid w:val="00064461"/>
    <w:rsid w:val="0006486E"/>
    <w:rsid w:val="00064FE2"/>
    <w:rsid w:val="000650D0"/>
    <w:rsid w:val="00065345"/>
    <w:rsid w:val="00065835"/>
    <w:rsid w:val="0006596A"/>
    <w:rsid w:val="00066131"/>
    <w:rsid w:val="00066311"/>
    <w:rsid w:val="00066348"/>
    <w:rsid w:val="000663EA"/>
    <w:rsid w:val="00067136"/>
    <w:rsid w:val="00067331"/>
    <w:rsid w:val="00067424"/>
    <w:rsid w:val="0006753B"/>
    <w:rsid w:val="000675EE"/>
    <w:rsid w:val="000677CC"/>
    <w:rsid w:val="00067994"/>
    <w:rsid w:val="00067BC8"/>
    <w:rsid w:val="00067D49"/>
    <w:rsid w:val="00067FBE"/>
    <w:rsid w:val="0007009F"/>
    <w:rsid w:val="0007057F"/>
    <w:rsid w:val="000713D7"/>
    <w:rsid w:val="00071410"/>
    <w:rsid w:val="000714E0"/>
    <w:rsid w:val="0007162A"/>
    <w:rsid w:val="00071D4E"/>
    <w:rsid w:val="00071E9A"/>
    <w:rsid w:val="0007246A"/>
    <w:rsid w:val="00072527"/>
    <w:rsid w:val="0007272F"/>
    <w:rsid w:val="000729B9"/>
    <w:rsid w:val="00072B11"/>
    <w:rsid w:val="00072D98"/>
    <w:rsid w:val="00073332"/>
    <w:rsid w:val="0007387D"/>
    <w:rsid w:val="00073D16"/>
    <w:rsid w:val="00073DEE"/>
    <w:rsid w:val="000740AE"/>
    <w:rsid w:val="0007466B"/>
    <w:rsid w:val="000748BC"/>
    <w:rsid w:val="00074EF6"/>
    <w:rsid w:val="00074FA6"/>
    <w:rsid w:val="000751F3"/>
    <w:rsid w:val="000753B9"/>
    <w:rsid w:val="0007569D"/>
    <w:rsid w:val="00075A94"/>
    <w:rsid w:val="00075DFE"/>
    <w:rsid w:val="00075E4F"/>
    <w:rsid w:val="00075F40"/>
    <w:rsid w:val="000760E2"/>
    <w:rsid w:val="00076DEF"/>
    <w:rsid w:val="00076FB1"/>
    <w:rsid w:val="000774F7"/>
    <w:rsid w:val="00077EA7"/>
    <w:rsid w:val="0008000F"/>
    <w:rsid w:val="000800B4"/>
    <w:rsid w:val="00080911"/>
    <w:rsid w:val="00080B1E"/>
    <w:rsid w:val="0008124C"/>
    <w:rsid w:val="00081297"/>
    <w:rsid w:val="00081359"/>
    <w:rsid w:val="000814E4"/>
    <w:rsid w:val="00081D87"/>
    <w:rsid w:val="00081DA0"/>
    <w:rsid w:val="000821DF"/>
    <w:rsid w:val="000823EE"/>
    <w:rsid w:val="00082F15"/>
    <w:rsid w:val="00083363"/>
    <w:rsid w:val="00083462"/>
    <w:rsid w:val="00083499"/>
    <w:rsid w:val="00083C89"/>
    <w:rsid w:val="00083E45"/>
    <w:rsid w:val="000841C8"/>
    <w:rsid w:val="000845B1"/>
    <w:rsid w:val="000845C1"/>
    <w:rsid w:val="00084BB9"/>
    <w:rsid w:val="00084D75"/>
    <w:rsid w:val="00084FF9"/>
    <w:rsid w:val="000852EC"/>
    <w:rsid w:val="000855D9"/>
    <w:rsid w:val="00085757"/>
    <w:rsid w:val="00085D94"/>
    <w:rsid w:val="00086E59"/>
    <w:rsid w:val="00086FD1"/>
    <w:rsid w:val="0008775C"/>
    <w:rsid w:val="0008776E"/>
    <w:rsid w:val="0008784A"/>
    <w:rsid w:val="00087948"/>
    <w:rsid w:val="00087EFF"/>
    <w:rsid w:val="00090424"/>
    <w:rsid w:val="000909C7"/>
    <w:rsid w:val="00090CB7"/>
    <w:rsid w:val="00090FBC"/>
    <w:rsid w:val="000910C0"/>
    <w:rsid w:val="000914CC"/>
    <w:rsid w:val="00091641"/>
    <w:rsid w:val="000919D0"/>
    <w:rsid w:val="00091CFF"/>
    <w:rsid w:val="0009247D"/>
    <w:rsid w:val="000929C1"/>
    <w:rsid w:val="00092BA6"/>
    <w:rsid w:val="00093681"/>
    <w:rsid w:val="00093E6F"/>
    <w:rsid w:val="00094190"/>
    <w:rsid w:val="00094678"/>
    <w:rsid w:val="0009486F"/>
    <w:rsid w:val="000948BB"/>
    <w:rsid w:val="000948C5"/>
    <w:rsid w:val="000952FF"/>
    <w:rsid w:val="00095479"/>
    <w:rsid w:val="00095B27"/>
    <w:rsid w:val="00096701"/>
    <w:rsid w:val="00096AB4"/>
    <w:rsid w:val="00096B6C"/>
    <w:rsid w:val="00096C7C"/>
    <w:rsid w:val="00096FD2"/>
    <w:rsid w:val="00097007"/>
    <w:rsid w:val="0009728C"/>
    <w:rsid w:val="0009747B"/>
    <w:rsid w:val="00097805"/>
    <w:rsid w:val="0009780D"/>
    <w:rsid w:val="00097922"/>
    <w:rsid w:val="00097C33"/>
    <w:rsid w:val="00097D94"/>
    <w:rsid w:val="00097E49"/>
    <w:rsid w:val="000A0102"/>
    <w:rsid w:val="000A092A"/>
    <w:rsid w:val="000A0A43"/>
    <w:rsid w:val="000A0CD1"/>
    <w:rsid w:val="000A0D29"/>
    <w:rsid w:val="000A13AE"/>
    <w:rsid w:val="000A1C1B"/>
    <w:rsid w:val="000A1C65"/>
    <w:rsid w:val="000A256C"/>
    <w:rsid w:val="000A2671"/>
    <w:rsid w:val="000A2A52"/>
    <w:rsid w:val="000A2B28"/>
    <w:rsid w:val="000A2C12"/>
    <w:rsid w:val="000A2EA8"/>
    <w:rsid w:val="000A366B"/>
    <w:rsid w:val="000A4031"/>
    <w:rsid w:val="000A42CF"/>
    <w:rsid w:val="000A4A0E"/>
    <w:rsid w:val="000A51AC"/>
    <w:rsid w:val="000A606C"/>
    <w:rsid w:val="000A6072"/>
    <w:rsid w:val="000A6150"/>
    <w:rsid w:val="000A6635"/>
    <w:rsid w:val="000A6973"/>
    <w:rsid w:val="000A6C45"/>
    <w:rsid w:val="000A6D1A"/>
    <w:rsid w:val="000A6E75"/>
    <w:rsid w:val="000A7423"/>
    <w:rsid w:val="000A758F"/>
    <w:rsid w:val="000A771E"/>
    <w:rsid w:val="000A7998"/>
    <w:rsid w:val="000B0010"/>
    <w:rsid w:val="000B0370"/>
    <w:rsid w:val="000B03A4"/>
    <w:rsid w:val="000B03D5"/>
    <w:rsid w:val="000B0965"/>
    <w:rsid w:val="000B09F1"/>
    <w:rsid w:val="000B0A25"/>
    <w:rsid w:val="000B0A9F"/>
    <w:rsid w:val="000B0BB2"/>
    <w:rsid w:val="000B15EC"/>
    <w:rsid w:val="000B1C88"/>
    <w:rsid w:val="000B214C"/>
    <w:rsid w:val="000B24C2"/>
    <w:rsid w:val="000B2896"/>
    <w:rsid w:val="000B29B6"/>
    <w:rsid w:val="000B30C6"/>
    <w:rsid w:val="000B34A7"/>
    <w:rsid w:val="000B379E"/>
    <w:rsid w:val="000B3A3D"/>
    <w:rsid w:val="000B3C9E"/>
    <w:rsid w:val="000B3FE0"/>
    <w:rsid w:val="000B48FC"/>
    <w:rsid w:val="000B4B96"/>
    <w:rsid w:val="000B4D1A"/>
    <w:rsid w:val="000B55F7"/>
    <w:rsid w:val="000B562D"/>
    <w:rsid w:val="000B6037"/>
    <w:rsid w:val="000B62F5"/>
    <w:rsid w:val="000B6349"/>
    <w:rsid w:val="000B6664"/>
    <w:rsid w:val="000B6755"/>
    <w:rsid w:val="000B6892"/>
    <w:rsid w:val="000B6A39"/>
    <w:rsid w:val="000B6AF1"/>
    <w:rsid w:val="000B6CAC"/>
    <w:rsid w:val="000B70FE"/>
    <w:rsid w:val="000B7253"/>
    <w:rsid w:val="000B7405"/>
    <w:rsid w:val="000B7BB6"/>
    <w:rsid w:val="000B7D3A"/>
    <w:rsid w:val="000C01C8"/>
    <w:rsid w:val="000C01E2"/>
    <w:rsid w:val="000C01F7"/>
    <w:rsid w:val="000C045E"/>
    <w:rsid w:val="000C07DE"/>
    <w:rsid w:val="000C0904"/>
    <w:rsid w:val="000C0957"/>
    <w:rsid w:val="000C0F76"/>
    <w:rsid w:val="000C1158"/>
    <w:rsid w:val="000C1488"/>
    <w:rsid w:val="000C14A5"/>
    <w:rsid w:val="000C1604"/>
    <w:rsid w:val="000C1679"/>
    <w:rsid w:val="000C1A57"/>
    <w:rsid w:val="000C21B7"/>
    <w:rsid w:val="000C22DA"/>
    <w:rsid w:val="000C291D"/>
    <w:rsid w:val="000C2942"/>
    <w:rsid w:val="000C2DD0"/>
    <w:rsid w:val="000C2FFF"/>
    <w:rsid w:val="000C3456"/>
    <w:rsid w:val="000C3D82"/>
    <w:rsid w:val="000C3DC1"/>
    <w:rsid w:val="000C46D2"/>
    <w:rsid w:val="000C4724"/>
    <w:rsid w:val="000C4984"/>
    <w:rsid w:val="000C4B6B"/>
    <w:rsid w:val="000C4CBA"/>
    <w:rsid w:val="000C4CF7"/>
    <w:rsid w:val="000C4FBD"/>
    <w:rsid w:val="000C52C7"/>
    <w:rsid w:val="000C53A5"/>
    <w:rsid w:val="000C624C"/>
    <w:rsid w:val="000C66EF"/>
    <w:rsid w:val="000C67DC"/>
    <w:rsid w:val="000C6913"/>
    <w:rsid w:val="000C699F"/>
    <w:rsid w:val="000C7050"/>
    <w:rsid w:val="000C73C7"/>
    <w:rsid w:val="000C749C"/>
    <w:rsid w:val="000C783F"/>
    <w:rsid w:val="000C7A35"/>
    <w:rsid w:val="000C7A5A"/>
    <w:rsid w:val="000C7C2D"/>
    <w:rsid w:val="000C7D33"/>
    <w:rsid w:val="000C7F7A"/>
    <w:rsid w:val="000D013D"/>
    <w:rsid w:val="000D04D7"/>
    <w:rsid w:val="000D0549"/>
    <w:rsid w:val="000D07D2"/>
    <w:rsid w:val="000D104B"/>
    <w:rsid w:val="000D10FE"/>
    <w:rsid w:val="000D179E"/>
    <w:rsid w:val="000D2CE6"/>
    <w:rsid w:val="000D2DF5"/>
    <w:rsid w:val="000D2E3C"/>
    <w:rsid w:val="000D32F6"/>
    <w:rsid w:val="000D3775"/>
    <w:rsid w:val="000D3A1A"/>
    <w:rsid w:val="000D3E99"/>
    <w:rsid w:val="000D4620"/>
    <w:rsid w:val="000D4D4C"/>
    <w:rsid w:val="000D5A3F"/>
    <w:rsid w:val="000D5B62"/>
    <w:rsid w:val="000D5B66"/>
    <w:rsid w:val="000D5BBD"/>
    <w:rsid w:val="000D5D2B"/>
    <w:rsid w:val="000D643D"/>
    <w:rsid w:val="000D6E3B"/>
    <w:rsid w:val="000D6EFE"/>
    <w:rsid w:val="000D6FB5"/>
    <w:rsid w:val="000D72AD"/>
    <w:rsid w:val="000D730F"/>
    <w:rsid w:val="000D7D1C"/>
    <w:rsid w:val="000D7FEF"/>
    <w:rsid w:val="000E03DD"/>
    <w:rsid w:val="000E06B1"/>
    <w:rsid w:val="000E0789"/>
    <w:rsid w:val="000E0984"/>
    <w:rsid w:val="000E0AC4"/>
    <w:rsid w:val="000E0C05"/>
    <w:rsid w:val="000E1100"/>
    <w:rsid w:val="000E14EE"/>
    <w:rsid w:val="000E1615"/>
    <w:rsid w:val="000E1AEC"/>
    <w:rsid w:val="000E1B25"/>
    <w:rsid w:val="000E1BCE"/>
    <w:rsid w:val="000E205C"/>
    <w:rsid w:val="000E211A"/>
    <w:rsid w:val="000E2660"/>
    <w:rsid w:val="000E2869"/>
    <w:rsid w:val="000E2B82"/>
    <w:rsid w:val="000E2C3C"/>
    <w:rsid w:val="000E2E62"/>
    <w:rsid w:val="000E2F27"/>
    <w:rsid w:val="000E3B21"/>
    <w:rsid w:val="000E3B55"/>
    <w:rsid w:val="000E3CD8"/>
    <w:rsid w:val="000E3CDF"/>
    <w:rsid w:val="000E4222"/>
    <w:rsid w:val="000E47A2"/>
    <w:rsid w:val="000E49A1"/>
    <w:rsid w:val="000E49D8"/>
    <w:rsid w:val="000E4BAF"/>
    <w:rsid w:val="000E4E49"/>
    <w:rsid w:val="000E51D7"/>
    <w:rsid w:val="000E53F9"/>
    <w:rsid w:val="000E545F"/>
    <w:rsid w:val="000E5714"/>
    <w:rsid w:val="000E5796"/>
    <w:rsid w:val="000E60F2"/>
    <w:rsid w:val="000E614C"/>
    <w:rsid w:val="000E632F"/>
    <w:rsid w:val="000E6CEB"/>
    <w:rsid w:val="000E6E93"/>
    <w:rsid w:val="000E783E"/>
    <w:rsid w:val="000E7C41"/>
    <w:rsid w:val="000E7F4B"/>
    <w:rsid w:val="000F0185"/>
    <w:rsid w:val="000F0436"/>
    <w:rsid w:val="000F0AAD"/>
    <w:rsid w:val="000F0CB6"/>
    <w:rsid w:val="000F0D4C"/>
    <w:rsid w:val="000F11D8"/>
    <w:rsid w:val="000F13CF"/>
    <w:rsid w:val="000F1445"/>
    <w:rsid w:val="000F1592"/>
    <w:rsid w:val="000F16F3"/>
    <w:rsid w:val="000F1ED2"/>
    <w:rsid w:val="000F221E"/>
    <w:rsid w:val="000F2486"/>
    <w:rsid w:val="000F24BA"/>
    <w:rsid w:val="000F2575"/>
    <w:rsid w:val="000F2B9B"/>
    <w:rsid w:val="000F2C5E"/>
    <w:rsid w:val="000F2EBC"/>
    <w:rsid w:val="000F2EEC"/>
    <w:rsid w:val="000F3A26"/>
    <w:rsid w:val="000F3BA5"/>
    <w:rsid w:val="000F3C65"/>
    <w:rsid w:val="000F3ECE"/>
    <w:rsid w:val="000F419E"/>
    <w:rsid w:val="000F4840"/>
    <w:rsid w:val="000F4F80"/>
    <w:rsid w:val="000F5037"/>
    <w:rsid w:val="000F51C1"/>
    <w:rsid w:val="000F51F7"/>
    <w:rsid w:val="000F57C6"/>
    <w:rsid w:val="000F5D1D"/>
    <w:rsid w:val="000F5DC0"/>
    <w:rsid w:val="000F5FEB"/>
    <w:rsid w:val="000F62F3"/>
    <w:rsid w:val="000F65EB"/>
    <w:rsid w:val="000F6963"/>
    <w:rsid w:val="000F6EB0"/>
    <w:rsid w:val="000F6F24"/>
    <w:rsid w:val="000F73B0"/>
    <w:rsid w:val="000F73B8"/>
    <w:rsid w:val="000F761D"/>
    <w:rsid w:val="000F77A5"/>
    <w:rsid w:val="000F789C"/>
    <w:rsid w:val="000F7DCF"/>
    <w:rsid w:val="000F7E8E"/>
    <w:rsid w:val="0010004C"/>
    <w:rsid w:val="00100964"/>
    <w:rsid w:val="00100AA6"/>
    <w:rsid w:val="00100ACE"/>
    <w:rsid w:val="00100CBD"/>
    <w:rsid w:val="00100F6F"/>
    <w:rsid w:val="00101082"/>
    <w:rsid w:val="0010111D"/>
    <w:rsid w:val="001014EA"/>
    <w:rsid w:val="001016C0"/>
    <w:rsid w:val="001022A0"/>
    <w:rsid w:val="0010237C"/>
    <w:rsid w:val="00102CBF"/>
    <w:rsid w:val="00102DC7"/>
    <w:rsid w:val="00102EFF"/>
    <w:rsid w:val="001031D0"/>
    <w:rsid w:val="00103881"/>
    <w:rsid w:val="00103BB6"/>
    <w:rsid w:val="00103BCB"/>
    <w:rsid w:val="00103E3F"/>
    <w:rsid w:val="00104151"/>
    <w:rsid w:val="00104986"/>
    <w:rsid w:val="00104A9D"/>
    <w:rsid w:val="00104D3A"/>
    <w:rsid w:val="00104DC5"/>
    <w:rsid w:val="00104EB6"/>
    <w:rsid w:val="00105953"/>
    <w:rsid w:val="00105B21"/>
    <w:rsid w:val="00106080"/>
    <w:rsid w:val="00106843"/>
    <w:rsid w:val="0010685E"/>
    <w:rsid w:val="001068B0"/>
    <w:rsid w:val="001068B7"/>
    <w:rsid w:val="001070A4"/>
    <w:rsid w:val="0010734C"/>
    <w:rsid w:val="00107929"/>
    <w:rsid w:val="00107950"/>
    <w:rsid w:val="00107E7D"/>
    <w:rsid w:val="00110022"/>
    <w:rsid w:val="00110056"/>
    <w:rsid w:val="0011025F"/>
    <w:rsid w:val="00110E09"/>
    <w:rsid w:val="001112D5"/>
    <w:rsid w:val="001114E8"/>
    <w:rsid w:val="0011171F"/>
    <w:rsid w:val="00111CEF"/>
    <w:rsid w:val="00112054"/>
    <w:rsid w:val="00112927"/>
    <w:rsid w:val="00112FB3"/>
    <w:rsid w:val="001131F9"/>
    <w:rsid w:val="001135E4"/>
    <w:rsid w:val="00113D4D"/>
    <w:rsid w:val="001141DC"/>
    <w:rsid w:val="00114633"/>
    <w:rsid w:val="00114CF8"/>
    <w:rsid w:val="00114FD3"/>
    <w:rsid w:val="00115058"/>
    <w:rsid w:val="00115086"/>
    <w:rsid w:val="0011573F"/>
    <w:rsid w:val="00115909"/>
    <w:rsid w:val="00115C9C"/>
    <w:rsid w:val="001160CA"/>
    <w:rsid w:val="001164F9"/>
    <w:rsid w:val="0011654B"/>
    <w:rsid w:val="00116752"/>
    <w:rsid w:val="0011694D"/>
    <w:rsid w:val="00116ACD"/>
    <w:rsid w:val="00116AF0"/>
    <w:rsid w:val="0011720F"/>
    <w:rsid w:val="00117232"/>
    <w:rsid w:val="0011746C"/>
    <w:rsid w:val="00117738"/>
    <w:rsid w:val="0012011E"/>
    <w:rsid w:val="0012044D"/>
    <w:rsid w:val="0012078F"/>
    <w:rsid w:val="00120861"/>
    <w:rsid w:val="00120CA5"/>
    <w:rsid w:val="001210D3"/>
    <w:rsid w:val="001213C8"/>
    <w:rsid w:val="001217FD"/>
    <w:rsid w:val="0012198C"/>
    <w:rsid w:val="00121A7B"/>
    <w:rsid w:val="00121A81"/>
    <w:rsid w:val="00121C14"/>
    <w:rsid w:val="00122082"/>
    <w:rsid w:val="001221BC"/>
    <w:rsid w:val="00122B70"/>
    <w:rsid w:val="00122D5F"/>
    <w:rsid w:val="00122E8D"/>
    <w:rsid w:val="00123021"/>
    <w:rsid w:val="001241EB"/>
    <w:rsid w:val="00124232"/>
    <w:rsid w:val="00124263"/>
    <w:rsid w:val="00124773"/>
    <w:rsid w:val="00124794"/>
    <w:rsid w:val="00124FED"/>
    <w:rsid w:val="00125790"/>
    <w:rsid w:val="00125DAC"/>
    <w:rsid w:val="00125F60"/>
    <w:rsid w:val="00126345"/>
    <w:rsid w:val="0012666B"/>
    <w:rsid w:val="0012669B"/>
    <w:rsid w:val="0012693D"/>
    <w:rsid w:val="0012715C"/>
    <w:rsid w:val="0012742F"/>
    <w:rsid w:val="00127B23"/>
    <w:rsid w:val="00127BA7"/>
    <w:rsid w:val="001306F3"/>
    <w:rsid w:val="00130797"/>
    <w:rsid w:val="00130BEC"/>
    <w:rsid w:val="00130C74"/>
    <w:rsid w:val="00131360"/>
    <w:rsid w:val="00131689"/>
    <w:rsid w:val="00131772"/>
    <w:rsid w:val="0013195A"/>
    <w:rsid w:val="0013197F"/>
    <w:rsid w:val="00131BE6"/>
    <w:rsid w:val="00131CCB"/>
    <w:rsid w:val="00132C93"/>
    <w:rsid w:val="00132D0C"/>
    <w:rsid w:val="00132DC4"/>
    <w:rsid w:val="00132E55"/>
    <w:rsid w:val="0013340A"/>
    <w:rsid w:val="00133861"/>
    <w:rsid w:val="001340B8"/>
    <w:rsid w:val="0013418D"/>
    <w:rsid w:val="001341A2"/>
    <w:rsid w:val="001343BD"/>
    <w:rsid w:val="001345E6"/>
    <w:rsid w:val="001349C6"/>
    <w:rsid w:val="00134C32"/>
    <w:rsid w:val="00134DA0"/>
    <w:rsid w:val="00134ECC"/>
    <w:rsid w:val="0013519B"/>
    <w:rsid w:val="001359A9"/>
    <w:rsid w:val="00136852"/>
    <w:rsid w:val="00136880"/>
    <w:rsid w:val="00137254"/>
    <w:rsid w:val="001374C0"/>
    <w:rsid w:val="00137F11"/>
    <w:rsid w:val="00137FD4"/>
    <w:rsid w:val="00140385"/>
    <w:rsid w:val="0014049A"/>
    <w:rsid w:val="001407C1"/>
    <w:rsid w:val="001408A6"/>
    <w:rsid w:val="001408F4"/>
    <w:rsid w:val="00140F1C"/>
    <w:rsid w:val="0014130F"/>
    <w:rsid w:val="00141691"/>
    <w:rsid w:val="001419F3"/>
    <w:rsid w:val="00141BA5"/>
    <w:rsid w:val="001423F6"/>
    <w:rsid w:val="00142450"/>
    <w:rsid w:val="001425BA"/>
    <w:rsid w:val="00142668"/>
    <w:rsid w:val="00143554"/>
    <w:rsid w:val="001437F3"/>
    <w:rsid w:val="00143CE1"/>
    <w:rsid w:val="0014404B"/>
    <w:rsid w:val="001440EC"/>
    <w:rsid w:val="001442C3"/>
    <w:rsid w:val="001442D6"/>
    <w:rsid w:val="00144306"/>
    <w:rsid w:val="001443C4"/>
    <w:rsid w:val="00144484"/>
    <w:rsid w:val="001445D7"/>
    <w:rsid w:val="0014528F"/>
    <w:rsid w:val="00145397"/>
    <w:rsid w:val="00145631"/>
    <w:rsid w:val="001456A8"/>
    <w:rsid w:val="0014573F"/>
    <w:rsid w:val="001458B5"/>
    <w:rsid w:val="0014591E"/>
    <w:rsid w:val="00145BF0"/>
    <w:rsid w:val="00145CA5"/>
    <w:rsid w:val="00145CFF"/>
    <w:rsid w:val="00146408"/>
    <w:rsid w:val="00146481"/>
    <w:rsid w:val="00146567"/>
    <w:rsid w:val="00146979"/>
    <w:rsid w:val="00146BFB"/>
    <w:rsid w:val="00147403"/>
    <w:rsid w:val="001474D0"/>
    <w:rsid w:val="001478FC"/>
    <w:rsid w:val="00147B9B"/>
    <w:rsid w:val="00150027"/>
    <w:rsid w:val="001501C2"/>
    <w:rsid w:val="001505A2"/>
    <w:rsid w:val="0015090B"/>
    <w:rsid w:val="001513DC"/>
    <w:rsid w:val="00151916"/>
    <w:rsid w:val="00151AFE"/>
    <w:rsid w:val="00151BCC"/>
    <w:rsid w:val="00151FBF"/>
    <w:rsid w:val="001523B0"/>
    <w:rsid w:val="001527FD"/>
    <w:rsid w:val="00152B8D"/>
    <w:rsid w:val="00152F2A"/>
    <w:rsid w:val="00152F47"/>
    <w:rsid w:val="00153249"/>
    <w:rsid w:val="00153364"/>
    <w:rsid w:val="00153456"/>
    <w:rsid w:val="00153E6D"/>
    <w:rsid w:val="0015506A"/>
    <w:rsid w:val="00155571"/>
    <w:rsid w:val="00156121"/>
    <w:rsid w:val="001561B3"/>
    <w:rsid w:val="0015643C"/>
    <w:rsid w:val="00156DAA"/>
    <w:rsid w:val="00157564"/>
    <w:rsid w:val="00157B9B"/>
    <w:rsid w:val="00157C67"/>
    <w:rsid w:val="001608D7"/>
    <w:rsid w:val="00160CC7"/>
    <w:rsid w:val="001611E0"/>
    <w:rsid w:val="001613A4"/>
    <w:rsid w:val="00161A2E"/>
    <w:rsid w:val="00161A4B"/>
    <w:rsid w:val="00161B28"/>
    <w:rsid w:val="0016216A"/>
    <w:rsid w:val="0016272D"/>
    <w:rsid w:val="001629FE"/>
    <w:rsid w:val="00163084"/>
    <w:rsid w:val="00163091"/>
    <w:rsid w:val="00163323"/>
    <w:rsid w:val="00163375"/>
    <w:rsid w:val="00163567"/>
    <w:rsid w:val="00163979"/>
    <w:rsid w:val="00163EE4"/>
    <w:rsid w:val="00164093"/>
    <w:rsid w:val="0016458D"/>
    <w:rsid w:val="00164736"/>
    <w:rsid w:val="001647C8"/>
    <w:rsid w:val="00164BD6"/>
    <w:rsid w:val="00164D84"/>
    <w:rsid w:val="00165627"/>
    <w:rsid w:val="00165796"/>
    <w:rsid w:val="00165800"/>
    <w:rsid w:val="00165964"/>
    <w:rsid w:val="00166374"/>
    <w:rsid w:val="00166D19"/>
    <w:rsid w:val="00166F2D"/>
    <w:rsid w:val="0016702A"/>
    <w:rsid w:val="0016757C"/>
    <w:rsid w:val="00167776"/>
    <w:rsid w:val="00170142"/>
    <w:rsid w:val="00170238"/>
    <w:rsid w:val="001704CD"/>
    <w:rsid w:val="001705ED"/>
    <w:rsid w:val="00170D31"/>
    <w:rsid w:val="00171220"/>
    <w:rsid w:val="0017170A"/>
    <w:rsid w:val="00171835"/>
    <w:rsid w:val="0017189B"/>
    <w:rsid w:val="00171CB6"/>
    <w:rsid w:val="00171DE5"/>
    <w:rsid w:val="00172324"/>
    <w:rsid w:val="001724B4"/>
    <w:rsid w:val="001724F3"/>
    <w:rsid w:val="00172781"/>
    <w:rsid w:val="00172788"/>
    <w:rsid w:val="00172F52"/>
    <w:rsid w:val="001734B8"/>
    <w:rsid w:val="0017381B"/>
    <w:rsid w:val="0017383A"/>
    <w:rsid w:val="00173871"/>
    <w:rsid w:val="0017393E"/>
    <w:rsid w:val="00174468"/>
    <w:rsid w:val="001746B4"/>
    <w:rsid w:val="00174782"/>
    <w:rsid w:val="0017494F"/>
    <w:rsid w:val="00174A8B"/>
    <w:rsid w:val="00174AA3"/>
    <w:rsid w:val="00175581"/>
    <w:rsid w:val="00175753"/>
    <w:rsid w:val="001760C9"/>
    <w:rsid w:val="00176D7A"/>
    <w:rsid w:val="00177000"/>
    <w:rsid w:val="001774FA"/>
    <w:rsid w:val="00177584"/>
    <w:rsid w:val="00177B1F"/>
    <w:rsid w:val="00180172"/>
    <w:rsid w:val="001806A4"/>
    <w:rsid w:val="00180A4F"/>
    <w:rsid w:val="00180B7E"/>
    <w:rsid w:val="00180D33"/>
    <w:rsid w:val="00180DA2"/>
    <w:rsid w:val="00180E66"/>
    <w:rsid w:val="00182308"/>
    <w:rsid w:val="001825F3"/>
    <w:rsid w:val="00182D05"/>
    <w:rsid w:val="0018324E"/>
    <w:rsid w:val="001832BD"/>
    <w:rsid w:val="001834C4"/>
    <w:rsid w:val="00183549"/>
    <w:rsid w:val="001839BF"/>
    <w:rsid w:val="00183CB7"/>
    <w:rsid w:val="00184526"/>
    <w:rsid w:val="00184A4F"/>
    <w:rsid w:val="00184D82"/>
    <w:rsid w:val="00184E34"/>
    <w:rsid w:val="00184F12"/>
    <w:rsid w:val="00185E6A"/>
    <w:rsid w:val="00185E86"/>
    <w:rsid w:val="0018616B"/>
    <w:rsid w:val="001861EF"/>
    <w:rsid w:val="0018684F"/>
    <w:rsid w:val="00186C7D"/>
    <w:rsid w:val="00187407"/>
    <w:rsid w:val="0018799B"/>
    <w:rsid w:val="00187B87"/>
    <w:rsid w:val="00190041"/>
    <w:rsid w:val="00190613"/>
    <w:rsid w:val="001912FA"/>
    <w:rsid w:val="001915D9"/>
    <w:rsid w:val="001916EE"/>
    <w:rsid w:val="001926AB"/>
    <w:rsid w:val="001927D8"/>
    <w:rsid w:val="001928E3"/>
    <w:rsid w:val="00192A72"/>
    <w:rsid w:val="00192BB7"/>
    <w:rsid w:val="00192CEA"/>
    <w:rsid w:val="00192E14"/>
    <w:rsid w:val="00192EEA"/>
    <w:rsid w:val="00192F5D"/>
    <w:rsid w:val="00192FDA"/>
    <w:rsid w:val="0019345E"/>
    <w:rsid w:val="001938C1"/>
    <w:rsid w:val="00193962"/>
    <w:rsid w:val="00193C91"/>
    <w:rsid w:val="00193F8D"/>
    <w:rsid w:val="0019401A"/>
    <w:rsid w:val="00194184"/>
    <w:rsid w:val="00194205"/>
    <w:rsid w:val="00194700"/>
    <w:rsid w:val="00194762"/>
    <w:rsid w:val="001949D3"/>
    <w:rsid w:val="00194D12"/>
    <w:rsid w:val="00194E6F"/>
    <w:rsid w:val="00194FFA"/>
    <w:rsid w:val="00195525"/>
    <w:rsid w:val="00195EA4"/>
    <w:rsid w:val="00195ED2"/>
    <w:rsid w:val="001960A4"/>
    <w:rsid w:val="00196CAE"/>
    <w:rsid w:val="00196E9B"/>
    <w:rsid w:val="00197252"/>
    <w:rsid w:val="001972DE"/>
    <w:rsid w:val="00197C95"/>
    <w:rsid w:val="00197CC1"/>
    <w:rsid w:val="00197F45"/>
    <w:rsid w:val="001A0988"/>
    <w:rsid w:val="001A0C9D"/>
    <w:rsid w:val="001A110F"/>
    <w:rsid w:val="001A1B46"/>
    <w:rsid w:val="001A1D8F"/>
    <w:rsid w:val="001A2032"/>
    <w:rsid w:val="001A20BA"/>
    <w:rsid w:val="001A217C"/>
    <w:rsid w:val="001A253C"/>
    <w:rsid w:val="001A2796"/>
    <w:rsid w:val="001A2B63"/>
    <w:rsid w:val="001A2D92"/>
    <w:rsid w:val="001A3354"/>
    <w:rsid w:val="001A3D2D"/>
    <w:rsid w:val="001A40AC"/>
    <w:rsid w:val="001A4658"/>
    <w:rsid w:val="001A4969"/>
    <w:rsid w:val="001A4AE3"/>
    <w:rsid w:val="001A4AFD"/>
    <w:rsid w:val="001A4D0A"/>
    <w:rsid w:val="001A4EF4"/>
    <w:rsid w:val="001A52A4"/>
    <w:rsid w:val="001A5723"/>
    <w:rsid w:val="001A631B"/>
    <w:rsid w:val="001A637A"/>
    <w:rsid w:val="001A639E"/>
    <w:rsid w:val="001A6639"/>
    <w:rsid w:val="001A6DDF"/>
    <w:rsid w:val="001A7812"/>
    <w:rsid w:val="001A786D"/>
    <w:rsid w:val="001A7A02"/>
    <w:rsid w:val="001A7DC6"/>
    <w:rsid w:val="001AA323"/>
    <w:rsid w:val="001B0493"/>
    <w:rsid w:val="001B085D"/>
    <w:rsid w:val="001B09D6"/>
    <w:rsid w:val="001B0EDB"/>
    <w:rsid w:val="001B15D7"/>
    <w:rsid w:val="001B17E9"/>
    <w:rsid w:val="001B2198"/>
    <w:rsid w:val="001B2509"/>
    <w:rsid w:val="001B270C"/>
    <w:rsid w:val="001B288F"/>
    <w:rsid w:val="001B2B40"/>
    <w:rsid w:val="001B2C79"/>
    <w:rsid w:val="001B2C8D"/>
    <w:rsid w:val="001B351F"/>
    <w:rsid w:val="001B3552"/>
    <w:rsid w:val="001B4C60"/>
    <w:rsid w:val="001B50F4"/>
    <w:rsid w:val="001B52D2"/>
    <w:rsid w:val="001B5382"/>
    <w:rsid w:val="001B5481"/>
    <w:rsid w:val="001B56A6"/>
    <w:rsid w:val="001B59F5"/>
    <w:rsid w:val="001B6259"/>
    <w:rsid w:val="001B6BFF"/>
    <w:rsid w:val="001B70E3"/>
    <w:rsid w:val="001B74CC"/>
    <w:rsid w:val="001B76A8"/>
    <w:rsid w:val="001B7A60"/>
    <w:rsid w:val="001B7AA4"/>
    <w:rsid w:val="001B7AF2"/>
    <w:rsid w:val="001C0195"/>
    <w:rsid w:val="001C0EE8"/>
    <w:rsid w:val="001C0F64"/>
    <w:rsid w:val="001C1122"/>
    <w:rsid w:val="001C1374"/>
    <w:rsid w:val="001C1D75"/>
    <w:rsid w:val="001C2824"/>
    <w:rsid w:val="001C2DB3"/>
    <w:rsid w:val="001C2E48"/>
    <w:rsid w:val="001C35B7"/>
    <w:rsid w:val="001C3CDF"/>
    <w:rsid w:val="001C3EC4"/>
    <w:rsid w:val="001C4832"/>
    <w:rsid w:val="001C4847"/>
    <w:rsid w:val="001C49A5"/>
    <w:rsid w:val="001C4A7A"/>
    <w:rsid w:val="001C4AF6"/>
    <w:rsid w:val="001C4FEC"/>
    <w:rsid w:val="001C5230"/>
    <w:rsid w:val="001C5373"/>
    <w:rsid w:val="001C5458"/>
    <w:rsid w:val="001C54BF"/>
    <w:rsid w:val="001C5646"/>
    <w:rsid w:val="001C56DC"/>
    <w:rsid w:val="001C5E7A"/>
    <w:rsid w:val="001C5EA5"/>
    <w:rsid w:val="001C5FC6"/>
    <w:rsid w:val="001C60BD"/>
    <w:rsid w:val="001C6490"/>
    <w:rsid w:val="001C6A27"/>
    <w:rsid w:val="001C6A43"/>
    <w:rsid w:val="001C6A7C"/>
    <w:rsid w:val="001C6BB2"/>
    <w:rsid w:val="001C706F"/>
    <w:rsid w:val="001C7545"/>
    <w:rsid w:val="001C78F1"/>
    <w:rsid w:val="001C7925"/>
    <w:rsid w:val="001C7D74"/>
    <w:rsid w:val="001D0126"/>
    <w:rsid w:val="001D04BE"/>
    <w:rsid w:val="001D0873"/>
    <w:rsid w:val="001D0CB2"/>
    <w:rsid w:val="001D0FC4"/>
    <w:rsid w:val="001D0FE4"/>
    <w:rsid w:val="001D1287"/>
    <w:rsid w:val="001D18B0"/>
    <w:rsid w:val="001D18B1"/>
    <w:rsid w:val="001D1D8D"/>
    <w:rsid w:val="001D1EDC"/>
    <w:rsid w:val="001D1FBE"/>
    <w:rsid w:val="001D2094"/>
    <w:rsid w:val="001D2306"/>
    <w:rsid w:val="001D245C"/>
    <w:rsid w:val="001D2503"/>
    <w:rsid w:val="001D250B"/>
    <w:rsid w:val="001D2663"/>
    <w:rsid w:val="001D2762"/>
    <w:rsid w:val="001D2895"/>
    <w:rsid w:val="001D2FD9"/>
    <w:rsid w:val="001D3A9C"/>
    <w:rsid w:val="001D4514"/>
    <w:rsid w:val="001D47E0"/>
    <w:rsid w:val="001D53D7"/>
    <w:rsid w:val="001D55BD"/>
    <w:rsid w:val="001D5791"/>
    <w:rsid w:val="001D5A5E"/>
    <w:rsid w:val="001D5C75"/>
    <w:rsid w:val="001D5E1C"/>
    <w:rsid w:val="001D5F4F"/>
    <w:rsid w:val="001D6181"/>
    <w:rsid w:val="001D693F"/>
    <w:rsid w:val="001D6949"/>
    <w:rsid w:val="001D699F"/>
    <w:rsid w:val="001D6DE1"/>
    <w:rsid w:val="001D6F87"/>
    <w:rsid w:val="001D7D2F"/>
    <w:rsid w:val="001D7D42"/>
    <w:rsid w:val="001D7F7D"/>
    <w:rsid w:val="001E09DA"/>
    <w:rsid w:val="001E0A7B"/>
    <w:rsid w:val="001E0ADC"/>
    <w:rsid w:val="001E0E3A"/>
    <w:rsid w:val="001E140A"/>
    <w:rsid w:val="001E148F"/>
    <w:rsid w:val="001E1AC2"/>
    <w:rsid w:val="001E2141"/>
    <w:rsid w:val="001E22B8"/>
    <w:rsid w:val="001E28C0"/>
    <w:rsid w:val="001E2908"/>
    <w:rsid w:val="001E2E51"/>
    <w:rsid w:val="001E363F"/>
    <w:rsid w:val="001E3699"/>
    <w:rsid w:val="001E3E92"/>
    <w:rsid w:val="001E3FCC"/>
    <w:rsid w:val="001E40A6"/>
    <w:rsid w:val="001E4218"/>
    <w:rsid w:val="001E4372"/>
    <w:rsid w:val="001E43E1"/>
    <w:rsid w:val="001E47E4"/>
    <w:rsid w:val="001E4A75"/>
    <w:rsid w:val="001E4EC4"/>
    <w:rsid w:val="001E5101"/>
    <w:rsid w:val="001E523E"/>
    <w:rsid w:val="001E5AD0"/>
    <w:rsid w:val="001E5AF7"/>
    <w:rsid w:val="001E5BAB"/>
    <w:rsid w:val="001E5F18"/>
    <w:rsid w:val="001E65A5"/>
    <w:rsid w:val="001E67D0"/>
    <w:rsid w:val="001E6D9D"/>
    <w:rsid w:val="001E716D"/>
    <w:rsid w:val="001E72C2"/>
    <w:rsid w:val="001E7473"/>
    <w:rsid w:val="001E7935"/>
    <w:rsid w:val="001E7A8D"/>
    <w:rsid w:val="001E7D04"/>
    <w:rsid w:val="001E7FE6"/>
    <w:rsid w:val="001F02C0"/>
    <w:rsid w:val="001F05F5"/>
    <w:rsid w:val="001F0652"/>
    <w:rsid w:val="001F06F3"/>
    <w:rsid w:val="001F079D"/>
    <w:rsid w:val="001F08C0"/>
    <w:rsid w:val="001F0BCA"/>
    <w:rsid w:val="001F10D6"/>
    <w:rsid w:val="001F14B5"/>
    <w:rsid w:val="001F15F5"/>
    <w:rsid w:val="001F1ABB"/>
    <w:rsid w:val="001F1E27"/>
    <w:rsid w:val="001F21DF"/>
    <w:rsid w:val="001F2DBB"/>
    <w:rsid w:val="001F36C1"/>
    <w:rsid w:val="001F3711"/>
    <w:rsid w:val="001F38C2"/>
    <w:rsid w:val="001F3EED"/>
    <w:rsid w:val="001F43C3"/>
    <w:rsid w:val="001F44E8"/>
    <w:rsid w:val="001F4932"/>
    <w:rsid w:val="001F4A39"/>
    <w:rsid w:val="001F4D3B"/>
    <w:rsid w:val="001F5F96"/>
    <w:rsid w:val="001F6010"/>
    <w:rsid w:val="001F6846"/>
    <w:rsid w:val="001F6882"/>
    <w:rsid w:val="001F6A26"/>
    <w:rsid w:val="001F6B60"/>
    <w:rsid w:val="001F6BBC"/>
    <w:rsid w:val="001F7131"/>
    <w:rsid w:val="001F7362"/>
    <w:rsid w:val="001F772C"/>
    <w:rsid w:val="001F78C1"/>
    <w:rsid w:val="001F7D5D"/>
    <w:rsid w:val="0020037D"/>
    <w:rsid w:val="00200C76"/>
    <w:rsid w:val="0020130D"/>
    <w:rsid w:val="00201CD0"/>
    <w:rsid w:val="00201F91"/>
    <w:rsid w:val="002020C9"/>
    <w:rsid w:val="0020242F"/>
    <w:rsid w:val="00202497"/>
    <w:rsid w:val="00202508"/>
    <w:rsid w:val="0020277A"/>
    <w:rsid w:val="002029C1"/>
    <w:rsid w:val="00202A48"/>
    <w:rsid w:val="00202B5B"/>
    <w:rsid w:val="00203087"/>
    <w:rsid w:val="0020317C"/>
    <w:rsid w:val="00203295"/>
    <w:rsid w:val="00203A18"/>
    <w:rsid w:val="00203A81"/>
    <w:rsid w:val="00203B2C"/>
    <w:rsid w:val="0020476A"/>
    <w:rsid w:val="002048A6"/>
    <w:rsid w:val="00204A81"/>
    <w:rsid w:val="00204FB5"/>
    <w:rsid w:val="00205022"/>
    <w:rsid w:val="00205D9B"/>
    <w:rsid w:val="00206CE7"/>
    <w:rsid w:val="00206F51"/>
    <w:rsid w:val="00206FC4"/>
    <w:rsid w:val="0020739D"/>
    <w:rsid w:val="00207743"/>
    <w:rsid w:val="00207A32"/>
    <w:rsid w:val="00207A7F"/>
    <w:rsid w:val="00207B33"/>
    <w:rsid w:val="00207E99"/>
    <w:rsid w:val="0021001A"/>
    <w:rsid w:val="00210146"/>
    <w:rsid w:val="00210E15"/>
    <w:rsid w:val="002113C5"/>
    <w:rsid w:val="00211757"/>
    <w:rsid w:val="00212527"/>
    <w:rsid w:val="0021288C"/>
    <w:rsid w:val="00212EF0"/>
    <w:rsid w:val="00212F4F"/>
    <w:rsid w:val="002137CE"/>
    <w:rsid w:val="00213D7B"/>
    <w:rsid w:val="0021450E"/>
    <w:rsid w:val="00214851"/>
    <w:rsid w:val="00215456"/>
    <w:rsid w:val="00215E5C"/>
    <w:rsid w:val="002160CD"/>
    <w:rsid w:val="00216159"/>
    <w:rsid w:val="00216234"/>
    <w:rsid w:val="00216720"/>
    <w:rsid w:val="00216827"/>
    <w:rsid w:val="002168EC"/>
    <w:rsid w:val="00216C0B"/>
    <w:rsid w:val="0021710A"/>
    <w:rsid w:val="00217471"/>
    <w:rsid w:val="002174F9"/>
    <w:rsid w:val="002179D6"/>
    <w:rsid w:val="00220001"/>
    <w:rsid w:val="0022009E"/>
    <w:rsid w:val="00220484"/>
    <w:rsid w:val="00220D14"/>
    <w:rsid w:val="00220F7F"/>
    <w:rsid w:val="002216A1"/>
    <w:rsid w:val="00221EF2"/>
    <w:rsid w:val="00221F08"/>
    <w:rsid w:val="00221F38"/>
    <w:rsid w:val="00222584"/>
    <w:rsid w:val="00222AA8"/>
    <w:rsid w:val="00222C89"/>
    <w:rsid w:val="00222E46"/>
    <w:rsid w:val="00222F63"/>
    <w:rsid w:val="00223142"/>
    <w:rsid w:val="00223A40"/>
    <w:rsid w:val="00223A96"/>
    <w:rsid w:val="00224437"/>
    <w:rsid w:val="0022445E"/>
    <w:rsid w:val="00224575"/>
    <w:rsid w:val="002249EC"/>
    <w:rsid w:val="00224E0F"/>
    <w:rsid w:val="0022545A"/>
    <w:rsid w:val="0022547D"/>
    <w:rsid w:val="0022573E"/>
    <w:rsid w:val="002257B3"/>
    <w:rsid w:val="00227031"/>
    <w:rsid w:val="0022785D"/>
    <w:rsid w:val="00230415"/>
    <w:rsid w:val="002306E2"/>
    <w:rsid w:val="00230965"/>
    <w:rsid w:val="00230A83"/>
    <w:rsid w:val="00230AFE"/>
    <w:rsid w:val="00230C80"/>
    <w:rsid w:val="00231207"/>
    <w:rsid w:val="0023127F"/>
    <w:rsid w:val="00231326"/>
    <w:rsid w:val="00231910"/>
    <w:rsid w:val="00231940"/>
    <w:rsid w:val="00231CD5"/>
    <w:rsid w:val="00231D09"/>
    <w:rsid w:val="00231F1D"/>
    <w:rsid w:val="00231FB8"/>
    <w:rsid w:val="002325EB"/>
    <w:rsid w:val="00232683"/>
    <w:rsid w:val="00232C92"/>
    <w:rsid w:val="002330C8"/>
    <w:rsid w:val="0023336B"/>
    <w:rsid w:val="002337C9"/>
    <w:rsid w:val="00233CE2"/>
    <w:rsid w:val="00233FA3"/>
    <w:rsid w:val="002343A8"/>
    <w:rsid w:val="002344CD"/>
    <w:rsid w:val="002344E9"/>
    <w:rsid w:val="00235185"/>
    <w:rsid w:val="0023551C"/>
    <w:rsid w:val="00235AE0"/>
    <w:rsid w:val="00235D20"/>
    <w:rsid w:val="00235DEA"/>
    <w:rsid w:val="00237029"/>
    <w:rsid w:val="002370A2"/>
    <w:rsid w:val="0023719A"/>
    <w:rsid w:val="00237400"/>
    <w:rsid w:val="002374A9"/>
    <w:rsid w:val="00237577"/>
    <w:rsid w:val="00237580"/>
    <w:rsid w:val="002375BB"/>
    <w:rsid w:val="00237BE1"/>
    <w:rsid w:val="00240086"/>
    <w:rsid w:val="0024069D"/>
    <w:rsid w:val="00240A99"/>
    <w:rsid w:val="00240B5F"/>
    <w:rsid w:val="00240B66"/>
    <w:rsid w:val="00241093"/>
    <w:rsid w:val="00241251"/>
    <w:rsid w:val="002414E6"/>
    <w:rsid w:val="00241625"/>
    <w:rsid w:val="00241802"/>
    <w:rsid w:val="00241810"/>
    <w:rsid w:val="00241958"/>
    <w:rsid w:val="002419ED"/>
    <w:rsid w:val="00241E8A"/>
    <w:rsid w:val="00241F81"/>
    <w:rsid w:val="002420E8"/>
    <w:rsid w:val="00242691"/>
    <w:rsid w:val="00243195"/>
    <w:rsid w:val="002431BD"/>
    <w:rsid w:val="00243714"/>
    <w:rsid w:val="00243860"/>
    <w:rsid w:val="00243B13"/>
    <w:rsid w:val="00243E22"/>
    <w:rsid w:val="0024414C"/>
    <w:rsid w:val="00244229"/>
    <w:rsid w:val="00244448"/>
    <w:rsid w:val="00244651"/>
    <w:rsid w:val="00244A2E"/>
    <w:rsid w:val="00244A87"/>
    <w:rsid w:val="00245479"/>
    <w:rsid w:val="00245A3B"/>
    <w:rsid w:val="00245AC2"/>
    <w:rsid w:val="00246071"/>
    <w:rsid w:val="00246975"/>
    <w:rsid w:val="00246D4D"/>
    <w:rsid w:val="0024738E"/>
    <w:rsid w:val="002474F5"/>
    <w:rsid w:val="00247880"/>
    <w:rsid w:val="002478E0"/>
    <w:rsid w:val="00247ADC"/>
    <w:rsid w:val="00247BB5"/>
    <w:rsid w:val="0025020C"/>
    <w:rsid w:val="00250355"/>
    <w:rsid w:val="0025057D"/>
    <w:rsid w:val="002512BD"/>
    <w:rsid w:val="00251B0E"/>
    <w:rsid w:val="00251D47"/>
    <w:rsid w:val="002520B9"/>
    <w:rsid w:val="0025248C"/>
    <w:rsid w:val="002526C4"/>
    <w:rsid w:val="002529DC"/>
    <w:rsid w:val="00252A3E"/>
    <w:rsid w:val="00252C6A"/>
    <w:rsid w:val="00252CF5"/>
    <w:rsid w:val="00252F0E"/>
    <w:rsid w:val="002534CD"/>
    <w:rsid w:val="002539B9"/>
    <w:rsid w:val="00253F1D"/>
    <w:rsid w:val="00254323"/>
    <w:rsid w:val="0025451F"/>
    <w:rsid w:val="0025481E"/>
    <w:rsid w:val="002549BC"/>
    <w:rsid w:val="002550DC"/>
    <w:rsid w:val="00255892"/>
    <w:rsid w:val="00255928"/>
    <w:rsid w:val="00255AEC"/>
    <w:rsid w:val="00255E3B"/>
    <w:rsid w:val="00256205"/>
    <w:rsid w:val="0025627B"/>
    <w:rsid w:val="002563C9"/>
    <w:rsid w:val="00256682"/>
    <w:rsid w:val="0025670D"/>
    <w:rsid w:val="002568AF"/>
    <w:rsid w:val="00256B65"/>
    <w:rsid w:val="00257228"/>
    <w:rsid w:val="002605D8"/>
    <w:rsid w:val="00260D36"/>
    <w:rsid w:val="00260E56"/>
    <w:rsid w:val="0026134E"/>
    <w:rsid w:val="002613EC"/>
    <w:rsid w:val="00261608"/>
    <w:rsid w:val="002616AA"/>
    <w:rsid w:val="00261772"/>
    <w:rsid w:val="00261EB5"/>
    <w:rsid w:val="00261FB2"/>
    <w:rsid w:val="00262133"/>
    <w:rsid w:val="002621BC"/>
    <w:rsid w:val="002624A8"/>
    <w:rsid w:val="00262546"/>
    <w:rsid w:val="002629D2"/>
    <w:rsid w:val="00262B07"/>
    <w:rsid w:val="00262FFD"/>
    <w:rsid w:val="0026320B"/>
    <w:rsid w:val="002634FA"/>
    <w:rsid w:val="0026358B"/>
    <w:rsid w:val="00263923"/>
    <w:rsid w:val="002639BA"/>
    <w:rsid w:val="00263A68"/>
    <w:rsid w:val="00263EE4"/>
    <w:rsid w:val="0026401A"/>
    <w:rsid w:val="00264282"/>
    <w:rsid w:val="00264A94"/>
    <w:rsid w:val="00264B52"/>
    <w:rsid w:val="00264BD3"/>
    <w:rsid w:val="00264D31"/>
    <w:rsid w:val="00265861"/>
    <w:rsid w:val="00265C06"/>
    <w:rsid w:val="0026616B"/>
    <w:rsid w:val="00266240"/>
    <w:rsid w:val="00266622"/>
    <w:rsid w:val="00266BB8"/>
    <w:rsid w:val="00267095"/>
    <w:rsid w:val="002670E1"/>
    <w:rsid w:val="00267168"/>
    <w:rsid w:val="002675A2"/>
    <w:rsid w:val="002678BF"/>
    <w:rsid w:val="00267A60"/>
    <w:rsid w:val="00267B1B"/>
    <w:rsid w:val="00267CDF"/>
    <w:rsid w:val="0027008E"/>
    <w:rsid w:val="002700EB"/>
    <w:rsid w:val="0027095A"/>
    <w:rsid w:val="002710BB"/>
    <w:rsid w:val="00271425"/>
    <w:rsid w:val="002719AE"/>
    <w:rsid w:val="002719E7"/>
    <w:rsid w:val="00271B27"/>
    <w:rsid w:val="002720B5"/>
    <w:rsid w:val="00272192"/>
    <w:rsid w:val="002724BD"/>
    <w:rsid w:val="00272904"/>
    <w:rsid w:val="002729FD"/>
    <w:rsid w:val="00273036"/>
    <w:rsid w:val="00273219"/>
    <w:rsid w:val="00273622"/>
    <w:rsid w:val="00273682"/>
    <w:rsid w:val="0027385C"/>
    <w:rsid w:val="002739A3"/>
    <w:rsid w:val="00273D32"/>
    <w:rsid w:val="00274210"/>
    <w:rsid w:val="002748BD"/>
    <w:rsid w:val="00274BB7"/>
    <w:rsid w:val="00274F68"/>
    <w:rsid w:val="002750BE"/>
    <w:rsid w:val="002752BD"/>
    <w:rsid w:val="00275A41"/>
    <w:rsid w:val="00275D12"/>
    <w:rsid w:val="002762CD"/>
    <w:rsid w:val="002768AA"/>
    <w:rsid w:val="0027699D"/>
    <w:rsid w:val="00277067"/>
    <w:rsid w:val="002772B7"/>
    <w:rsid w:val="00277432"/>
    <w:rsid w:val="002776EE"/>
    <w:rsid w:val="00277D6C"/>
    <w:rsid w:val="00277E8C"/>
    <w:rsid w:val="00280406"/>
    <w:rsid w:val="0028054A"/>
    <w:rsid w:val="0028087D"/>
    <w:rsid w:val="00280C56"/>
    <w:rsid w:val="00280EB2"/>
    <w:rsid w:val="0028159F"/>
    <w:rsid w:val="002815DD"/>
    <w:rsid w:val="00281818"/>
    <w:rsid w:val="00281AB1"/>
    <w:rsid w:val="00281CC9"/>
    <w:rsid w:val="00281CCC"/>
    <w:rsid w:val="00281F74"/>
    <w:rsid w:val="0028201E"/>
    <w:rsid w:val="00282CF0"/>
    <w:rsid w:val="00282E0E"/>
    <w:rsid w:val="0028330D"/>
    <w:rsid w:val="0028342C"/>
    <w:rsid w:val="002837F3"/>
    <w:rsid w:val="00283EF9"/>
    <w:rsid w:val="002844CD"/>
    <w:rsid w:val="002845CD"/>
    <w:rsid w:val="00284699"/>
    <w:rsid w:val="002846F4"/>
    <w:rsid w:val="00284CF4"/>
    <w:rsid w:val="00285128"/>
    <w:rsid w:val="002854FC"/>
    <w:rsid w:val="00285BB1"/>
    <w:rsid w:val="00285D79"/>
    <w:rsid w:val="002860B6"/>
    <w:rsid w:val="0028623C"/>
    <w:rsid w:val="002862D3"/>
    <w:rsid w:val="00286401"/>
    <w:rsid w:val="00286530"/>
    <w:rsid w:val="00286B24"/>
    <w:rsid w:val="00286D1F"/>
    <w:rsid w:val="002870C8"/>
    <w:rsid w:val="002876FE"/>
    <w:rsid w:val="00287739"/>
    <w:rsid w:val="00287926"/>
    <w:rsid w:val="00287A63"/>
    <w:rsid w:val="00287B9A"/>
    <w:rsid w:val="00287CF3"/>
    <w:rsid w:val="00287FA6"/>
    <w:rsid w:val="00290183"/>
    <w:rsid w:val="00290754"/>
    <w:rsid w:val="00290C97"/>
    <w:rsid w:val="00291179"/>
    <w:rsid w:val="002911DF"/>
    <w:rsid w:val="00291B75"/>
    <w:rsid w:val="00291C14"/>
    <w:rsid w:val="00291CA5"/>
    <w:rsid w:val="00291D2C"/>
    <w:rsid w:val="00291F82"/>
    <w:rsid w:val="00291FAE"/>
    <w:rsid w:val="002923FF"/>
    <w:rsid w:val="00292623"/>
    <w:rsid w:val="00292CDD"/>
    <w:rsid w:val="00292D6F"/>
    <w:rsid w:val="00292F1B"/>
    <w:rsid w:val="002930EF"/>
    <w:rsid w:val="002933A0"/>
    <w:rsid w:val="00293DE8"/>
    <w:rsid w:val="00293F96"/>
    <w:rsid w:val="00294007"/>
    <w:rsid w:val="0029440E"/>
    <w:rsid w:val="002949F9"/>
    <w:rsid w:val="00294F64"/>
    <w:rsid w:val="00295E71"/>
    <w:rsid w:val="00295F1B"/>
    <w:rsid w:val="00296044"/>
    <w:rsid w:val="0029607A"/>
    <w:rsid w:val="002967ED"/>
    <w:rsid w:val="00296E22"/>
    <w:rsid w:val="00296FFC"/>
    <w:rsid w:val="002973D3"/>
    <w:rsid w:val="00297A8E"/>
    <w:rsid w:val="00297BF1"/>
    <w:rsid w:val="00297C8F"/>
    <w:rsid w:val="00297EBD"/>
    <w:rsid w:val="002A01E9"/>
    <w:rsid w:val="002A0276"/>
    <w:rsid w:val="002A0477"/>
    <w:rsid w:val="002A0867"/>
    <w:rsid w:val="002A0F33"/>
    <w:rsid w:val="002A1088"/>
    <w:rsid w:val="002A1156"/>
    <w:rsid w:val="002A1806"/>
    <w:rsid w:val="002A1885"/>
    <w:rsid w:val="002A1B9F"/>
    <w:rsid w:val="002A2599"/>
    <w:rsid w:val="002A3050"/>
    <w:rsid w:val="002A32CB"/>
    <w:rsid w:val="002A372E"/>
    <w:rsid w:val="002A3813"/>
    <w:rsid w:val="002A38D2"/>
    <w:rsid w:val="002A3CAB"/>
    <w:rsid w:val="002A3F9B"/>
    <w:rsid w:val="002A45DF"/>
    <w:rsid w:val="002A46D8"/>
    <w:rsid w:val="002A481F"/>
    <w:rsid w:val="002A4E96"/>
    <w:rsid w:val="002A5060"/>
    <w:rsid w:val="002A56EE"/>
    <w:rsid w:val="002A57DB"/>
    <w:rsid w:val="002A59A6"/>
    <w:rsid w:val="002A5BC8"/>
    <w:rsid w:val="002A5CAF"/>
    <w:rsid w:val="002A641B"/>
    <w:rsid w:val="002A6606"/>
    <w:rsid w:val="002A66FA"/>
    <w:rsid w:val="002A6B81"/>
    <w:rsid w:val="002A6D27"/>
    <w:rsid w:val="002A708B"/>
    <w:rsid w:val="002A7545"/>
    <w:rsid w:val="002A784B"/>
    <w:rsid w:val="002A7CC6"/>
    <w:rsid w:val="002A7F54"/>
    <w:rsid w:val="002B01D5"/>
    <w:rsid w:val="002B0434"/>
    <w:rsid w:val="002B0578"/>
    <w:rsid w:val="002B0A5C"/>
    <w:rsid w:val="002B0A88"/>
    <w:rsid w:val="002B0CF0"/>
    <w:rsid w:val="002B11A8"/>
    <w:rsid w:val="002B1656"/>
    <w:rsid w:val="002B1672"/>
    <w:rsid w:val="002B16FE"/>
    <w:rsid w:val="002B1C1A"/>
    <w:rsid w:val="002B1CD4"/>
    <w:rsid w:val="002B217E"/>
    <w:rsid w:val="002B21DD"/>
    <w:rsid w:val="002B22D9"/>
    <w:rsid w:val="002B2A68"/>
    <w:rsid w:val="002B2A9F"/>
    <w:rsid w:val="002B2BD3"/>
    <w:rsid w:val="002B391C"/>
    <w:rsid w:val="002B3A42"/>
    <w:rsid w:val="002B3AAB"/>
    <w:rsid w:val="002B457C"/>
    <w:rsid w:val="002B47AC"/>
    <w:rsid w:val="002B4856"/>
    <w:rsid w:val="002B4973"/>
    <w:rsid w:val="002B4B8C"/>
    <w:rsid w:val="002B4D7D"/>
    <w:rsid w:val="002B56A1"/>
    <w:rsid w:val="002B56B8"/>
    <w:rsid w:val="002B5A52"/>
    <w:rsid w:val="002B5AEA"/>
    <w:rsid w:val="002B5EA1"/>
    <w:rsid w:val="002B6014"/>
    <w:rsid w:val="002B604A"/>
    <w:rsid w:val="002B697B"/>
    <w:rsid w:val="002B6988"/>
    <w:rsid w:val="002B6AAF"/>
    <w:rsid w:val="002B7154"/>
    <w:rsid w:val="002C028D"/>
    <w:rsid w:val="002C030F"/>
    <w:rsid w:val="002C0370"/>
    <w:rsid w:val="002C0945"/>
    <w:rsid w:val="002C0A8F"/>
    <w:rsid w:val="002C0C04"/>
    <w:rsid w:val="002C0D34"/>
    <w:rsid w:val="002C189E"/>
    <w:rsid w:val="002C18EC"/>
    <w:rsid w:val="002C1F8A"/>
    <w:rsid w:val="002C1FA3"/>
    <w:rsid w:val="002C24F8"/>
    <w:rsid w:val="002C26AF"/>
    <w:rsid w:val="002C2881"/>
    <w:rsid w:val="002C28A7"/>
    <w:rsid w:val="002C29F6"/>
    <w:rsid w:val="002C2DB2"/>
    <w:rsid w:val="002C31DF"/>
    <w:rsid w:val="002C3301"/>
    <w:rsid w:val="002C35E1"/>
    <w:rsid w:val="002C3781"/>
    <w:rsid w:val="002C37BA"/>
    <w:rsid w:val="002C3867"/>
    <w:rsid w:val="002C3AE4"/>
    <w:rsid w:val="002C3B73"/>
    <w:rsid w:val="002C3E09"/>
    <w:rsid w:val="002C46D8"/>
    <w:rsid w:val="002C498A"/>
    <w:rsid w:val="002C4C54"/>
    <w:rsid w:val="002C4E19"/>
    <w:rsid w:val="002C557C"/>
    <w:rsid w:val="002C5781"/>
    <w:rsid w:val="002C578B"/>
    <w:rsid w:val="002C59EE"/>
    <w:rsid w:val="002C59F0"/>
    <w:rsid w:val="002C5D62"/>
    <w:rsid w:val="002C5E90"/>
    <w:rsid w:val="002C602A"/>
    <w:rsid w:val="002C6216"/>
    <w:rsid w:val="002C68DA"/>
    <w:rsid w:val="002C6E34"/>
    <w:rsid w:val="002C6E40"/>
    <w:rsid w:val="002C7050"/>
    <w:rsid w:val="002C75A1"/>
    <w:rsid w:val="002C77B9"/>
    <w:rsid w:val="002C78F2"/>
    <w:rsid w:val="002C7ABE"/>
    <w:rsid w:val="002C7C75"/>
    <w:rsid w:val="002C7CBB"/>
    <w:rsid w:val="002D05BA"/>
    <w:rsid w:val="002D0BFF"/>
    <w:rsid w:val="002D0D0B"/>
    <w:rsid w:val="002D0ECD"/>
    <w:rsid w:val="002D11B0"/>
    <w:rsid w:val="002D13C6"/>
    <w:rsid w:val="002D13D7"/>
    <w:rsid w:val="002D1852"/>
    <w:rsid w:val="002D1999"/>
    <w:rsid w:val="002D210C"/>
    <w:rsid w:val="002D2112"/>
    <w:rsid w:val="002D227F"/>
    <w:rsid w:val="002D2538"/>
    <w:rsid w:val="002D2F99"/>
    <w:rsid w:val="002D30D2"/>
    <w:rsid w:val="002D3205"/>
    <w:rsid w:val="002D32E5"/>
    <w:rsid w:val="002D35C0"/>
    <w:rsid w:val="002D3784"/>
    <w:rsid w:val="002D3AB8"/>
    <w:rsid w:val="002D3B01"/>
    <w:rsid w:val="002D40CB"/>
    <w:rsid w:val="002D4160"/>
    <w:rsid w:val="002D41A9"/>
    <w:rsid w:val="002D4296"/>
    <w:rsid w:val="002D4500"/>
    <w:rsid w:val="002D4672"/>
    <w:rsid w:val="002D4C76"/>
    <w:rsid w:val="002D4E03"/>
    <w:rsid w:val="002D4E73"/>
    <w:rsid w:val="002D5647"/>
    <w:rsid w:val="002D58CE"/>
    <w:rsid w:val="002D58FF"/>
    <w:rsid w:val="002D5A23"/>
    <w:rsid w:val="002D5C03"/>
    <w:rsid w:val="002D5E27"/>
    <w:rsid w:val="002D5EEF"/>
    <w:rsid w:val="002D60C5"/>
    <w:rsid w:val="002D6153"/>
    <w:rsid w:val="002D63AA"/>
    <w:rsid w:val="002D6663"/>
    <w:rsid w:val="002D667D"/>
    <w:rsid w:val="002D6B26"/>
    <w:rsid w:val="002D75B5"/>
    <w:rsid w:val="002D765F"/>
    <w:rsid w:val="002D794E"/>
    <w:rsid w:val="002D79CF"/>
    <w:rsid w:val="002D7B6A"/>
    <w:rsid w:val="002E07A5"/>
    <w:rsid w:val="002E11E3"/>
    <w:rsid w:val="002E1661"/>
    <w:rsid w:val="002E1949"/>
    <w:rsid w:val="002E1993"/>
    <w:rsid w:val="002E1B0A"/>
    <w:rsid w:val="002E1C0E"/>
    <w:rsid w:val="002E1C92"/>
    <w:rsid w:val="002E1F0A"/>
    <w:rsid w:val="002E2983"/>
    <w:rsid w:val="002E2D56"/>
    <w:rsid w:val="002E3618"/>
    <w:rsid w:val="002E389E"/>
    <w:rsid w:val="002E40F1"/>
    <w:rsid w:val="002E44C8"/>
    <w:rsid w:val="002E4B8E"/>
    <w:rsid w:val="002E5185"/>
    <w:rsid w:val="002E532F"/>
    <w:rsid w:val="002E5467"/>
    <w:rsid w:val="002E5620"/>
    <w:rsid w:val="002E5F03"/>
    <w:rsid w:val="002E6209"/>
    <w:rsid w:val="002E6381"/>
    <w:rsid w:val="002E6D3D"/>
    <w:rsid w:val="002E7210"/>
    <w:rsid w:val="002E727A"/>
    <w:rsid w:val="002E7394"/>
    <w:rsid w:val="002E7B3E"/>
    <w:rsid w:val="002E7CE5"/>
    <w:rsid w:val="002F01F8"/>
    <w:rsid w:val="002F1089"/>
    <w:rsid w:val="002F140A"/>
    <w:rsid w:val="002F14A7"/>
    <w:rsid w:val="002F19C4"/>
    <w:rsid w:val="002F1BE1"/>
    <w:rsid w:val="002F216A"/>
    <w:rsid w:val="002F27F1"/>
    <w:rsid w:val="002F2BE4"/>
    <w:rsid w:val="002F2C8D"/>
    <w:rsid w:val="002F2E2C"/>
    <w:rsid w:val="002F308B"/>
    <w:rsid w:val="002F360C"/>
    <w:rsid w:val="002F3711"/>
    <w:rsid w:val="002F37FC"/>
    <w:rsid w:val="002F3AAB"/>
    <w:rsid w:val="002F3FF1"/>
    <w:rsid w:val="002F4153"/>
    <w:rsid w:val="002F4718"/>
    <w:rsid w:val="002F4906"/>
    <w:rsid w:val="002F49E1"/>
    <w:rsid w:val="002F49FD"/>
    <w:rsid w:val="002F4F27"/>
    <w:rsid w:val="002F5096"/>
    <w:rsid w:val="002F536C"/>
    <w:rsid w:val="002F592B"/>
    <w:rsid w:val="002F62B9"/>
    <w:rsid w:val="002F67A8"/>
    <w:rsid w:val="002F6945"/>
    <w:rsid w:val="002F6995"/>
    <w:rsid w:val="002F6F2B"/>
    <w:rsid w:val="002F7829"/>
    <w:rsid w:val="002FB1D0"/>
    <w:rsid w:val="0030048C"/>
    <w:rsid w:val="00300596"/>
    <w:rsid w:val="003005CE"/>
    <w:rsid w:val="00300730"/>
    <w:rsid w:val="00300A13"/>
    <w:rsid w:val="00300E07"/>
    <w:rsid w:val="00300E6C"/>
    <w:rsid w:val="00301209"/>
    <w:rsid w:val="003012C6"/>
    <w:rsid w:val="00301601"/>
    <w:rsid w:val="00301819"/>
    <w:rsid w:val="0030196D"/>
    <w:rsid w:val="00301B60"/>
    <w:rsid w:val="00302204"/>
    <w:rsid w:val="003023CE"/>
    <w:rsid w:val="0030267F"/>
    <w:rsid w:val="0030269F"/>
    <w:rsid w:val="00302A54"/>
    <w:rsid w:val="00302AA4"/>
    <w:rsid w:val="0030340A"/>
    <w:rsid w:val="00303633"/>
    <w:rsid w:val="003038E9"/>
    <w:rsid w:val="00303AA4"/>
    <w:rsid w:val="0030401E"/>
    <w:rsid w:val="00304420"/>
    <w:rsid w:val="00304E25"/>
    <w:rsid w:val="0030584A"/>
    <w:rsid w:val="00305D5C"/>
    <w:rsid w:val="00305FAE"/>
    <w:rsid w:val="003060BF"/>
    <w:rsid w:val="003069B4"/>
    <w:rsid w:val="00306DE6"/>
    <w:rsid w:val="00307318"/>
    <w:rsid w:val="0030758C"/>
    <w:rsid w:val="00307788"/>
    <w:rsid w:val="00307A11"/>
    <w:rsid w:val="00310197"/>
    <w:rsid w:val="00310712"/>
    <w:rsid w:val="0031086B"/>
    <w:rsid w:val="003108EA"/>
    <w:rsid w:val="00310A9F"/>
    <w:rsid w:val="00310B3A"/>
    <w:rsid w:val="00310B5E"/>
    <w:rsid w:val="00310B7A"/>
    <w:rsid w:val="00310C90"/>
    <w:rsid w:val="00310F6A"/>
    <w:rsid w:val="00310FF3"/>
    <w:rsid w:val="00311018"/>
    <w:rsid w:val="0031161A"/>
    <w:rsid w:val="003120E2"/>
    <w:rsid w:val="00312413"/>
    <w:rsid w:val="003124E7"/>
    <w:rsid w:val="003129BF"/>
    <w:rsid w:val="00312FC6"/>
    <w:rsid w:val="00313283"/>
    <w:rsid w:val="0031343B"/>
    <w:rsid w:val="003137A7"/>
    <w:rsid w:val="003138FF"/>
    <w:rsid w:val="003139CB"/>
    <w:rsid w:val="00313CEF"/>
    <w:rsid w:val="00313DE3"/>
    <w:rsid w:val="003144C5"/>
    <w:rsid w:val="00314A1D"/>
    <w:rsid w:val="003151DB"/>
    <w:rsid w:val="00315254"/>
    <w:rsid w:val="0031590A"/>
    <w:rsid w:val="00315C85"/>
    <w:rsid w:val="00315F05"/>
    <w:rsid w:val="00316357"/>
    <w:rsid w:val="00316C9F"/>
    <w:rsid w:val="00317009"/>
    <w:rsid w:val="00317BEC"/>
    <w:rsid w:val="00317C86"/>
    <w:rsid w:val="00317F15"/>
    <w:rsid w:val="00320316"/>
    <w:rsid w:val="0032051A"/>
    <w:rsid w:val="00320618"/>
    <w:rsid w:val="00320628"/>
    <w:rsid w:val="003206BE"/>
    <w:rsid w:val="00320810"/>
    <w:rsid w:val="00320A91"/>
    <w:rsid w:val="00320B13"/>
    <w:rsid w:val="00320CE2"/>
    <w:rsid w:val="00320DDE"/>
    <w:rsid w:val="00320FCC"/>
    <w:rsid w:val="0032115F"/>
    <w:rsid w:val="003212A9"/>
    <w:rsid w:val="003217FC"/>
    <w:rsid w:val="00321A08"/>
    <w:rsid w:val="00321B55"/>
    <w:rsid w:val="00321B63"/>
    <w:rsid w:val="003220A9"/>
    <w:rsid w:val="00322157"/>
    <w:rsid w:val="003221F2"/>
    <w:rsid w:val="003221FB"/>
    <w:rsid w:val="00322262"/>
    <w:rsid w:val="003222E3"/>
    <w:rsid w:val="00322797"/>
    <w:rsid w:val="00322969"/>
    <w:rsid w:val="00322FA2"/>
    <w:rsid w:val="00323026"/>
    <w:rsid w:val="0032324C"/>
    <w:rsid w:val="00323362"/>
    <w:rsid w:val="0032379E"/>
    <w:rsid w:val="00323EBE"/>
    <w:rsid w:val="00323F40"/>
    <w:rsid w:val="003241DD"/>
    <w:rsid w:val="003245B4"/>
    <w:rsid w:val="0032501B"/>
    <w:rsid w:val="0032543F"/>
    <w:rsid w:val="00325449"/>
    <w:rsid w:val="00325577"/>
    <w:rsid w:val="00325682"/>
    <w:rsid w:val="00325C6A"/>
    <w:rsid w:val="0032648A"/>
    <w:rsid w:val="003265EB"/>
    <w:rsid w:val="00326DD8"/>
    <w:rsid w:val="00326E25"/>
    <w:rsid w:val="00326F2B"/>
    <w:rsid w:val="00326FC4"/>
    <w:rsid w:val="00327113"/>
    <w:rsid w:val="003271CB"/>
    <w:rsid w:val="00327319"/>
    <w:rsid w:val="00327752"/>
    <w:rsid w:val="0032789D"/>
    <w:rsid w:val="0032791F"/>
    <w:rsid w:val="0032794D"/>
    <w:rsid w:val="00327BC3"/>
    <w:rsid w:val="00327CFA"/>
    <w:rsid w:val="00327E7B"/>
    <w:rsid w:val="003300C3"/>
    <w:rsid w:val="00330491"/>
    <w:rsid w:val="0033059E"/>
    <w:rsid w:val="003305F2"/>
    <w:rsid w:val="00330651"/>
    <w:rsid w:val="003308FF"/>
    <w:rsid w:val="0033090E"/>
    <w:rsid w:val="003311F3"/>
    <w:rsid w:val="003312A3"/>
    <w:rsid w:val="00331774"/>
    <w:rsid w:val="00331840"/>
    <w:rsid w:val="00331897"/>
    <w:rsid w:val="00331949"/>
    <w:rsid w:val="00331D79"/>
    <w:rsid w:val="00331F47"/>
    <w:rsid w:val="00332013"/>
    <w:rsid w:val="00332919"/>
    <w:rsid w:val="00332C92"/>
    <w:rsid w:val="003333F9"/>
    <w:rsid w:val="00333D48"/>
    <w:rsid w:val="00333F4D"/>
    <w:rsid w:val="00334749"/>
    <w:rsid w:val="00334C1D"/>
    <w:rsid w:val="00334DF4"/>
    <w:rsid w:val="003352B7"/>
    <w:rsid w:val="003356A7"/>
    <w:rsid w:val="0033577D"/>
    <w:rsid w:val="003359BB"/>
    <w:rsid w:val="00335E41"/>
    <w:rsid w:val="00335F2D"/>
    <w:rsid w:val="003360B2"/>
    <w:rsid w:val="003362D3"/>
    <w:rsid w:val="00336342"/>
    <w:rsid w:val="0033653F"/>
    <w:rsid w:val="003366C0"/>
    <w:rsid w:val="00336A97"/>
    <w:rsid w:val="00336CB4"/>
    <w:rsid w:val="00336F92"/>
    <w:rsid w:val="00337561"/>
    <w:rsid w:val="00337577"/>
    <w:rsid w:val="00337E13"/>
    <w:rsid w:val="00340360"/>
    <w:rsid w:val="0034161B"/>
    <w:rsid w:val="00341985"/>
    <w:rsid w:val="0034276A"/>
    <w:rsid w:val="003427A8"/>
    <w:rsid w:val="00342853"/>
    <w:rsid w:val="00342BC8"/>
    <w:rsid w:val="003433DC"/>
    <w:rsid w:val="00343567"/>
    <w:rsid w:val="003437F8"/>
    <w:rsid w:val="0034383C"/>
    <w:rsid w:val="00343B66"/>
    <w:rsid w:val="00343BD6"/>
    <w:rsid w:val="00343D16"/>
    <w:rsid w:val="00344238"/>
    <w:rsid w:val="003449CE"/>
    <w:rsid w:val="00345224"/>
    <w:rsid w:val="00345467"/>
    <w:rsid w:val="00345763"/>
    <w:rsid w:val="00345BB1"/>
    <w:rsid w:val="00345CC1"/>
    <w:rsid w:val="00345CD4"/>
    <w:rsid w:val="00345D92"/>
    <w:rsid w:val="00345DEE"/>
    <w:rsid w:val="00347A44"/>
    <w:rsid w:val="00347CBA"/>
    <w:rsid w:val="00347F1A"/>
    <w:rsid w:val="00350107"/>
    <w:rsid w:val="00350130"/>
    <w:rsid w:val="00350338"/>
    <w:rsid w:val="003508CD"/>
    <w:rsid w:val="00350EBE"/>
    <w:rsid w:val="00351071"/>
    <w:rsid w:val="003511CB"/>
    <w:rsid w:val="00351210"/>
    <w:rsid w:val="00351727"/>
    <w:rsid w:val="003517F9"/>
    <w:rsid w:val="00351C1A"/>
    <w:rsid w:val="00352046"/>
    <w:rsid w:val="003520AD"/>
    <w:rsid w:val="003522F4"/>
    <w:rsid w:val="00352704"/>
    <w:rsid w:val="00353071"/>
    <w:rsid w:val="0035374C"/>
    <w:rsid w:val="00353F7C"/>
    <w:rsid w:val="00354272"/>
    <w:rsid w:val="00354320"/>
    <w:rsid w:val="0035445C"/>
    <w:rsid w:val="00354551"/>
    <w:rsid w:val="0035471B"/>
    <w:rsid w:val="00354E21"/>
    <w:rsid w:val="00354EDA"/>
    <w:rsid w:val="0035627F"/>
    <w:rsid w:val="00356626"/>
    <w:rsid w:val="00356BE2"/>
    <w:rsid w:val="00356E6F"/>
    <w:rsid w:val="00357272"/>
    <w:rsid w:val="003573E7"/>
    <w:rsid w:val="003576FD"/>
    <w:rsid w:val="003578DA"/>
    <w:rsid w:val="00357D20"/>
    <w:rsid w:val="00357DAD"/>
    <w:rsid w:val="0036010C"/>
    <w:rsid w:val="00360354"/>
    <w:rsid w:val="00360467"/>
    <w:rsid w:val="00360553"/>
    <w:rsid w:val="00360D42"/>
    <w:rsid w:val="003610F0"/>
    <w:rsid w:val="003612D4"/>
    <w:rsid w:val="00361561"/>
    <w:rsid w:val="0036157F"/>
    <w:rsid w:val="00361598"/>
    <w:rsid w:val="00361784"/>
    <w:rsid w:val="00361C2C"/>
    <w:rsid w:val="00361C41"/>
    <w:rsid w:val="00361D66"/>
    <w:rsid w:val="00361E59"/>
    <w:rsid w:val="00361EBF"/>
    <w:rsid w:val="00362127"/>
    <w:rsid w:val="00362222"/>
    <w:rsid w:val="00362676"/>
    <w:rsid w:val="0036269F"/>
    <w:rsid w:val="003626E0"/>
    <w:rsid w:val="00362873"/>
    <w:rsid w:val="0036287C"/>
    <w:rsid w:val="00362CA1"/>
    <w:rsid w:val="00363094"/>
    <w:rsid w:val="00363604"/>
    <w:rsid w:val="00363681"/>
    <w:rsid w:val="00363739"/>
    <w:rsid w:val="00364965"/>
    <w:rsid w:val="0036496B"/>
    <w:rsid w:val="00365080"/>
    <w:rsid w:val="003652B3"/>
    <w:rsid w:val="0036561C"/>
    <w:rsid w:val="00365B21"/>
    <w:rsid w:val="00366111"/>
    <w:rsid w:val="003661AA"/>
    <w:rsid w:val="0036636F"/>
    <w:rsid w:val="0036653E"/>
    <w:rsid w:val="00367D59"/>
    <w:rsid w:val="00367E49"/>
    <w:rsid w:val="00370553"/>
    <w:rsid w:val="0037141B"/>
    <w:rsid w:val="003719A8"/>
    <w:rsid w:val="00371B00"/>
    <w:rsid w:val="00371F23"/>
    <w:rsid w:val="003724F1"/>
    <w:rsid w:val="00372853"/>
    <w:rsid w:val="00372FC1"/>
    <w:rsid w:val="00373330"/>
    <w:rsid w:val="003733F4"/>
    <w:rsid w:val="00373508"/>
    <w:rsid w:val="00373BA8"/>
    <w:rsid w:val="00373BE8"/>
    <w:rsid w:val="00373D48"/>
    <w:rsid w:val="0037480A"/>
    <w:rsid w:val="00374CD3"/>
    <w:rsid w:val="00374F4F"/>
    <w:rsid w:val="00375121"/>
    <w:rsid w:val="0037536B"/>
    <w:rsid w:val="00375516"/>
    <w:rsid w:val="003755AE"/>
    <w:rsid w:val="00375AB0"/>
    <w:rsid w:val="003762B0"/>
    <w:rsid w:val="00376583"/>
    <w:rsid w:val="003766F7"/>
    <w:rsid w:val="003769EE"/>
    <w:rsid w:val="0037724F"/>
    <w:rsid w:val="003772FC"/>
    <w:rsid w:val="00377690"/>
    <w:rsid w:val="0037777A"/>
    <w:rsid w:val="003779C9"/>
    <w:rsid w:val="00377FD0"/>
    <w:rsid w:val="00380822"/>
    <w:rsid w:val="0038087E"/>
    <w:rsid w:val="00380EB9"/>
    <w:rsid w:val="00380F91"/>
    <w:rsid w:val="00380FF2"/>
    <w:rsid w:val="003812CA"/>
    <w:rsid w:val="00381714"/>
    <w:rsid w:val="00381D05"/>
    <w:rsid w:val="00381F15"/>
    <w:rsid w:val="0038219C"/>
    <w:rsid w:val="0038247C"/>
    <w:rsid w:val="0038259B"/>
    <w:rsid w:val="003825E7"/>
    <w:rsid w:val="003825E9"/>
    <w:rsid w:val="003829A1"/>
    <w:rsid w:val="00382A4E"/>
    <w:rsid w:val="00382E29"/>
    <w:rsid w:val="00383109"/>
    <w:rsid w:val="003834F3"/>
    <w:rsid w:val="00383666"/>
    <w:rsid w:val="003837D9"/>
    <w:rsid w:val="003838E3"/>
    <w:rsid w:val="00383C71"/>
    <w:rsid w:val="00384064"/>
    <w:rsid w:val="003841D1"/>
    <w:rsid w:val="003844F5"/>
    <w:rsid w:val="003844FC"/>
    <w:rsid w:val="003849E9"/>
    <w:rsid w:val="00384A72"/>
    <w:rsid w:val="00384B18"/>
    <w:rsid w:val="00384B75"/>
    <w:rsid w:val="00384CBC"/>
    <w:rsid w:val="00384D90"/>
    <w:rsid w:val="003850CF"/>
    <w:rsid w:val="0038582A"/>
    <w:rsid w:val="00385A19"/>
    <w:rsid w:val="00385B6B"/>
    <w:rsid w:val="0038664C"/>
    <w:rsid w:val="00386702"/>
    <w:rsid w:val="00386AA2"/>
    <w:rsid w:val="00386CEB"/>
    <w:rsid w:val="00386D24"/>
    <w:rsid w:val="00386F3A"/>
    <w:rsid w:val="003874AD"/>
    <w:rsid w:val="003875A8"/>
    <w:rsid w:val="0038770E"/>
    <w:rsid w:val="0038798A"/>
    <w:rsid w:val="00387C73"/>
    <w:rsid w:val="00387D44"/>
    <w:rsid w:val="00387F76"/>
    <w:rsid w:val="00390139"/>
    <w:rsid w:val="003901E9"/>
    <w:rsid w:val="00391063"/>
    <w:rsid w:val="003911BE"/>
    <w:rsid w:val="00391339"/>
    <w:rsid w:val="003914DE"/>
    <w:rsid w:val="0039156C"/>
    <w:rsid w:val="003916F6"/>
    <w:rsid w:val="00391A1F"/>
    <w:rsid w:val="00391EC8"/>
    <w:rsid w:val="003922F7"/>
    <w:rsid w:val="00392542"/>
    <w:rsid w:val="00392825"/>
    <w:rsid w:val="003929A5"/>
    <w:rsid w:val="00392D5D"/>
    <w:rsid w:val="00392F88"/>
    <w:rsid w:val="0039379E"/>
    <w:rsid w:val="00393A70"/>
    <w:rsid w:val="00393BD5"/>
    <w:rsid w:val="003943C5"/>
    <w:rsid w:val="0039442B"/>
    <w:rsid w:val="0039447E"/>
    <w:rsid w:val="003944AF"/>
    <w:rsid w:val="00394B9A"/>
    <w:rsid w:val="00394EA6"/>
    <w:rsid w:val="0039546B"/>
    <w:rsid w:val="00395556"/>
    <w:rsid w:val="0039675A"/>
    <w:rsid w:val="00396941"/>
    <w:rsid w:val="00396A94"/>
    <w:rsid w:val="00397352"/>
    <w:rsid w:val="00397417"/>
    <w:rsid w:val="00397728"/>
    <w:rsid w:val="00397950"/>
    <w:rsid w:val="00397A65"/>
    <w:rsid w:val="00397A7C"/>
    <w:rsid w:val="00397CDD"/>
    <w:rsid w:val="003A015A"/>
    <w:rsid w:val="003A0BF7"/>
    <w:rsid w:val="003A0E8E"/>
    <w:rsid w:val="003A14B6"/>
    <w:rsid w:val="003A1725"/>
    <w:rsid w:val="003A17C0"/>
    <w:rsid w:val="003A1D25"/>
    <w:rsid w:val="003A1E89"/>
    <w:rsid w:val="003A2136"/>
    <w:rsid w:val="003A2856"/>
    <w:rsid w:val="003A2D46"/>
    <w:rsid w:val="003A3145"/>
    <w:rsid w:val="003A3712"/>
    <w:rsid w:val="003A3F8D"/>
    <w:rsid w:val="003A457B"/>
    <w:rsid w:val="003A4614"/>
    <w:rsid w:val="003A473B"/>
    <w:rsid w:val="003A4BF9"/>
    <w:rsid w:val="003A527A"/>
    <w:rsid w:val="003A5BED"/>
    <w:rsid w:val="003A615E"/>
    <w:rsid w:val="003A6416"/>
    <w:rsid w:val="003A6424"/>
    <w:rsid w:val="003A642F"/>
    <w:rsid w:val="003A6707"/>
    <w:rsid w:val="003A6BE0"/>
    <w:rsid w:val="003A6C60"/>
    <w:rsid w:val="003A6E81"/>
    <w:rsid w:val="003A7159"/>
    <w:rsid w:val="003A751A"/>
    <w:rsid w:val="003A7790"/>
    <w:rsid w:val="003A7F54"/>
    <w:rsid w:val="003A7FF5"/>
    <w:rsid w:val="003B0148"/>
    <w:rsid w:val="003B0F2B"/>
    <w:rsid w:val="003B1638"/>
    <w:rsid w:val="003B17D5"/>
    <w:rsid w:val="003B1801"/>
    <w:rsid w:val="003B1A30"/>
    <w:rsid w:val="003B21DB"/>
    <w:rsid w:val="003B22F6"/>
    <w:rsid w:val="003B2392"/>
    <w:rsid w:val="003B26EC"/>
    <w:rsid w:val="003B2A12"/>
    <w:rsid w:val="003B2B37"/>
    <w:rsid w:val="003B2C57"/>
    <w:rsid w:val="003B2EC2"/>
    <w:rsid w:val="003B35A5"/>
    <w:rsid w:val="003B3839"/>
    <w:rsid w:val="003B405F"/>
    <w:rsid w:val="003B41D1"/>
    <w:rsid w:val="003B45D3"/>
    <w:rsid w:val="003B464A"/>
    <w:rsid w:val="003B4960"/>
    <w:rsid w:val="003B4A20"/>
    <w:rsid w:val="003B4A90"/>
    <w:rsid w:val="003B4C86"/>
    <w:rsid w:val="003B4E82"/>
    <w:rsid w:val="003B5017"/>
    <w:rsid w:val="003B509E"/>
    <w:rsid w:val="003B589E"/>
    <w:rsid w:val="003B5A66"/>
    <w:rsid w:val="003B69D3"/>
    <w:rsid w:val="003B6CD5"/>
    <w:rsid w:val="003B6EB3"/>
    <w:rsid w:val="003B75A8"/>
    <w:rsid w:val="003B784E"/>
    <w:rsid w:val="003B787D"/>
    <w:rsid w:val="003B7B0A"/>
    <w:rsid w:val="003B7CD8"/>
    <w:rsid w:val="003B7FBC"/>
    <w:rsid w:val="003C0BB5"/>
    <w:rsid w:val="003C0D57"/>
    <w:rsid w:val="003C1062"/>
    <w:rsid w:val="003C11A7"/>
    <w:rsid w:val="003C1215"/>
    <w:rsid w:val="003C1269"/>
    <w:rsid w:val="003C13F3"/>
    <w:rsid w:val="003C1F53"/>
    <w:rsid w:val="003C1FEC"/>
    <w:rsid w:val="003C237F"/>
    <w:rsid w:val="003C262A"/>
    <w:rsid w:val="003C2808"/>
    <w:rsid w:val="003C2F01"/>
    <w:rsid w:val="003C308D"/>
    <w:rsid w:val="003C354A"/>
    <w:rsid w:val="003C35C7"/>
    <w:rsid w:val="003C3659"/>
    <w:rsid w:val="003C36DC"/>
    <w:rsid w:val="003C3928"/>
    <w:rsid w:val="003C3A9F"/>
    <w:rsid w:val="003C3F9E"/>
    <w:rsid w:val="003C415A"/>
    <w:rsid w:val="003C4525"/>
    <w:rsid w:val="003C4754"/>
    <w:rsid w:val="003C4869"/>
    <w:rsid w:val="003C4A72"/>
    <w:rsid w:val="003C4F17"/>
    <w:rsid w:val="003C510D"/>
    <w:rsid w:val="003C5594"/>
    <w:rsid w:val="003C5D85"/>
    <w:rsid w:val="003C5D98"/>
    <w:rsid w:val="003C5E2E"/>
    <w:rsid w:val="003C5E97"/>
    <w:rsid w:val="003C6213"/>
    <w:rsid w:val="003C688A"/>
    <w:rsid w:val="003C690E"/>
    <w:rsid w:val="003C6C23"/>
    <w:rsid w:val="003C6C82"/>
    <w:rsid w:val="003C6E38"/>
    <w:rsid w:val="003C73DE"/>
    <w:rsid w:val="003C75D4"/>
    <w:rsid w:val="003C789B"/>
    <w:rsid w:val="003C7BB5"/>
    <w:rsid w:val="003C7DDC"/>
    <w:rsid w:val="003C7EB6"/>
    <w:rsid w:val="003D0161"/>
    <w:rsid w:val="003D0182"/>
    <w:rsid w:val="003D020A"/>
    <w:rsid w:val="003D033F"/>
    <w:rsid w:val="003D0985"/>
    <w:rsid w:val="003D0C9C"/>
    <w:rsid w:val="003D0FB6"/>
    <w:rsid w:val="003D1A20"/>
    <w:rsid w:val="003D1C6D"/>
    <w:rsid w:val="003D1FB4"/>
    <w:rsid w:val="003D22D7"/>
    <w:rsid w:val="003D2327"/>
    <w:rsid w:val="003D2734"/>
    <w:rsid w:val="003D2747"/>
    <w:rsid w:val="003D297C"/>
    <w:rsid w:val="003D2AC4"/>
    <w:rsid w:val="003D2CF3"/>
    <w:rsid w:val="003D2DC2"/>
    <w:rsid w:val="003D3D09"/>
    <w:rsid w:val="003D3D7F"/>
    <w:rsid w:val="003D4076"/>
    <w:rsid w:val="003D4130"/>
    <w:rsid w:val="003D4395"/>
    <w:rsid w:val="003D4477"/>
    <w:rsid w:val="003D47BD"/>
    <w:rsid w:val="003D4A02"/>
    <w:rsid w:val="003D4BAF"/>
    <w:rsid w:val="003D4DEF"/>
    <w:rsid w:val="003D4F57"/>
    <w:rsid w:val="003D5207"/>
    <w:rsid w:val="003D5212"/>
    <w:rsid w:val="003D551A"/>
    <w:rsid w:val="003D56E2"/>
    <w:rsid w:val="003D5887"/>
    <w:rsid w:val="003D5FFB"/>
    <w:rsid w:val="003D6866"/>
    <w:rsid w:val="003D6967"/>
    <w:rsid w:val="003D6DB7"/>
    <w:rsid w:val="003D6F9E"/>
    <w:rsid w:val="003D7018"/>
    <w:rsid w:val="003D7183"/>
    <w:rsid w:val="003D7218"/>
    <w:rsid w:val="003E0226"/>
    <w:rsid w:val="003E0553"/>
    <w:rsid w:val="003E06AC"/>
    <w:rsid w:val="003E0747"/>
    <w:rsid w:val="003E13F6"/>
    <w:rsid w:val="003E1428"/>
    <w:rsid w:val="003E14ED"/>
    <w:rsid w:val="003E1944"/>
    <w:rsid w:val="003E2890"/>
    <w:rsid w:val="003E2936"/>
    <w:rsid w:val="003E2B1E"/>
    <w:rsid w:val="003E2D2A"/>
    <w:rsid w:val="003E3129"/>
    <w:rsid w:val="003E31E4"/>
    <w:rsid w:val="003E450C"/>
    <w:rsid w:val="003E4785"/>
    <w:rsid w:val="003E4AB9"/>
    <w:rsid w:val="003E4C0B"/>
    <w:rsid w:val="003E4C8A"/>
    <w:rsid w:val="003E503B"/>
    <w:rsid w:val="003E5C96"/>
    <w:rsid w:val="003E6120"/>
    <w:rsid w:val="003E61B8"/>
    <w:rsid w:val="003E63F1"/>
    <w:rsid w:val="003E6C00"/>
    <w:rsid w:val="003E6C5B"/>
    <w:rsid w:val="003E70BF"/>
    <w:rsid w:val="003E740F"/>
    <w:rsid w:val="003E779A"/>
    <w:rsid w:val="003E79F1"/>
    <w:rsid w:val="003E7A6F"/>
    <w:rsid w:val="003F0762"/>
    <w:rsid w:val="003F08BE"/>
    <w:rsid w:val="003F0E64"/>
    <w:rsid w:val="003F10DA"/>
    <w:rsid w:val="003F117A"/>
    <w:rsid w:val="003F14E2"/>
    <w:rsid w:val="003F154B"/>
    <w:rsid w:val="003F16D8"/>
    <w:rsid w:val="003F226A"/>
    <w:rsid w:val="003F2362"/>
    <w:rsid w:val="003F24E0"/>
    <w:rsid w:val="003F2557"/>
    <w:rsid w:val="003F26FF"/>
    <w:rsid w:val="003F27E3"/>
    <w:rsid w:val="003F2928"/>
    <w:rsid w:val="003F32AE"/>
    <w:rsid w:val="003F3A31"/>
    <w:rsid w:val="003F3AFA"/>
    <w:rsid w:val="003F3BD2"/>
    <w:rsid w:val="003F3C2E"/>
    <w:rsid w:val="003F3C87"/>
    <w:rsid w:val="003F4333"/>
    <w:rsid w:val="003F4BBB"/>
    <w:rsid w:val="003F5E43"/>
    <w:rsid w:val="003F6188"/>
    <w:rsid w:val="003F6343"/>
    <w:rsid w:val="003F66B1"/>
    <w:rsid w:val="003F6858"/>
    <w:rsid w:val="003F6B0A"/>
    <w:rsid w:val="003F6CC7"/>
    <w:rsid w:val="003F6E89"/>
    <w:rsid w:val="003F7282"/>
    <w:rsid w:val="003F776E"/>
    <w:rsid w:val="003F7886"/>
    <w:rsid w:val="00400373"/>
    <w:rsid w:val="00401B96"/>
    <w:rsid w:val="00401BF7"/>
    <w:rsid w:val="00401F48"/>
    <w:rsid w:val="00402407"/>
    <w:rsid w:val="0040243E"/>
    <w:rsid w:val="004027D5"/>
    <w:rsid w:val="0040295C"/>
    <w:rsid w:val="00402C29"/>
    <w:rsid w:val="00402D6A"/>
    <w:rsid w:val="004031DC"/>
    <w:rsid w:val="00403751"/>
    <w:rsid w:val="00403914"/>
    <w:rsid w:val="00403D80"/>
    <w:rsid w:val="00404093"/>
    <w:rsid w:val="0040444E"/>
    <w:rsid w:val="00404B35"/>
    <w:rsid w:val="00404D5A"/>
    <w:rsid w:val="00404EEC"/>
    <w:rsid w:val="00404EF7"/>
    <w:rsid w:val="004050E6"/>
    <w:rsid w:val="0040523A"/>
    <w:rsid w:val="00405E84"/>
    <w:rsid w:val="0040609D"/>
    <w:rsid w:val="00406529"/>
    <w:rsid w:val="004067CB"/>
    <w:rsid w:val="00406880"/>
    <w:rsid w:val="00406B35"/>
    <w:rsid w:val="00406E3E"/>
    <w:rsid w:val="00407391"/>
    <w:rsid w:val="004077F7"/>
    <w:rsid w:val="004079BE"/>
    <w:rsid w:val="00407C29"/>
    <w:rsid w:val="004100F1"/>
    <w:rsid w:val="004101BA"/>
    <w:rsid w:val="00410304"/>
    <w:rsid w:val="00410311"/>
    <w:rsid w:val="004109A5"/>
    <w:rsid w:val="004109D7"/>
    <w:rsid w:val="00410CED"/>
    <w:rsid w:val="00410F12"/>
    <w:rsid w:val="004110D1"/>
    <w:rsid w:val="004118A8"/>
    <w:rsid w:val="004119B0"/>
    <w:rsid w:val="00411B82"/>
    <w:rsid w:val="00411C0F"/>
    <w:rsid w:val="00411CDA"/>
    <w:rsid w:val="00412119"/>
    <w:rsid w:val="004125FE"/>
    <w:rsid w:val="004127FA"/>
    <w:rsid w:val="00412C78"/>
    <w:rsid w:val="00412F59"/>
    <w:rsid w:val="00413092"/>
    <w:rsid w:val="00413265"/>
    <w:rsid w:val="0041392E"/>
    <w:rsid w:val="00413BF3"/>
    <w:rsid w:val="004146DD"/>
    <w:rsid w:val="00415014"/>
    <w:rsid w:val="004155ED"/>
    <w:rsid w:val="00415680"/>
    <w:rsid w:val="004158F6"/>
    <w:rsid w:val="00415942"/>
    <w:rsid w:val="00416211"/>
    <w:rsid w:val="00416367"/>
    <w:rsid w:val="0041682D"/>
    <w:rsid w:val="0041684E"/>
    <w:rsid w:val="00416CA9"/>
    <w:rsid w:val="004171A3"/>
    <w:rsid w:val="00417473"/>
    <w:rsid w:val="00417AFF"/>
    <w:rsid w:val="0042040D"/>
    <w:rsid w:val="004208C5"/>
    <w:rsid w:val="00420935"/>
    <w:rsid w:val="004209C8"/>
    <w:rsid w:val="00420E0D"/>
    <w:rsid w:val="00420EB9"/>
    <w:rsid w:val="0042136F"/>
    <w:rsid w:val="00421C17"/>
    <w:rsid w:val="00421F18"/>
    <w:rsid w:val="00421F72"/>
    <w:rsid w:val="00422414"/>
    <w:rsid w:val="00422734"/>
    <w:rsid w:val="00422AA7"/>
    <w:rsid w:val="00422AEE"/>
    <w:rsid w:val="00422C54"/>
    <w:rsid w:val="00423250"/>
    <w:rsid w:val="00423B5B"/>
    <w:rsid w:val="00423C58"/>
    <w:rsid w:val="00423DEF"/>
    <w:rsid w:val="00423F91"/>
    <w:rsid w:val="00424427"/>
    <w:rsid w:val="004245C6"/>
    <w:rsid w:val="00424894"/>
    <w:rsid w:val="00424984"/>
    <w:rsid w:val="004250DF"/>
    <w:rsid w:val="00425A54"/>
    <w:rsid w:val="00425B81"/>
    <w:rsid w:val="00425B92"/>
    <w:rsid w:val="00425D4F"/>
    <w:rsid w:val="00425E96"/>
    <w:rsid w:val="00426175"/>
    <w:rsid w:val="0042640E"/>
    <w:rsid w:val="00426607"/>
    <w:rsid w:val="0042679F"/>
    <w:rsid w:val="0042724A"/>
    <w:rsid w:val="0042734F"/>
    <w:rsid w:val="004274A4"/>
    <w:rsid w:val="004275E2"/>
    <w:rsid w:val="004276A0"/>
    <w:rsid w:val="004278CB"/>
    <w:rsid w:val="00427FF7"/>
    <w:rsid w:val="004302D2"/>
    <w:rsid w:val="00430475"/>
    <w:rsid w:val="004305D4"/>
    <w:rsid w:val="004305FA"/>
    <w:rsid w:val="00430676"/>
    <w:rsid w:val="004306EA"/>
    <w:rsid w:val="00430714"/>
    <w:rsid w:val="0043079E"/>
    <w:rsid w:val="00430A55"/>
    <w:rsid w:val="00430BC1"/>
    <w:rsid w:val="00430E8F"/>
    <w:rsid w:val="00430EAB"/>
    <w:rsid w:val="00431273"/>
    <w:rsid w:val="00431452"/>
    <w:rsid w:val="004314ED"/>
    <w:rsid w:val="00431542"/>
    <w:rsid w:val="00431984"/>
    <w:rsid w:val="00431B83"/>
    <w:rsid w:val="00431DC5"/>
    <w:rsid w:val="00431FD9"/>
    <w:rsid w:val="00432627"/>
    <w:rsid w:val="00432776"/>
    <w:rsid w:val="004329F2"/>
    <w:rsid w:val="00432B96"/>
    <w:rsid w:val="00433205"/>
    <w:rsid w:val="004333AF"/>
    <w:rsid w:val="0043390E"/>
    <w:rsid w:val="00433AAF"/>
    <w:rsid w:val="00433B10"/>
    <w:rsid w:val="0043401B"/>
    <w:rsid w:val="00434029"/>
    <w:rsid w:val="004342EF"/>
    <w:rsid w:val="0043444F"/>
    <w:rsid w:val="00434B8F"/>
    <w:rsid w:val="00434BA4"/>
    <w:rsid w:val="00435731"/>
    <w:rsid w:val="004358F4"/>
    <w:rsid w:val="004359EF"/>
    <w:rsid w:val="00436585"/>
    <w:rsid w:val="00436F5E"/>
    <w:rsid w:val="00437194"/>
    <w:rsid w:val="004372C9"/>
    <w:rsid w:val="004377DD"/>
    <w:rsid w:val="004378BD"/>
    <w:rsid w:val="00437A97"/>
    <w:rsid w:val="00437BCE"/>
    <w:rsid w:val="00437D40"/>
    <w:rsid w:val="00440CF5"/>
    <w:rsid w:val="00441541"/>
    <w:rsid w:val="004418C8"/>
    <w:rsid w:val="00441C35"/>
    <w:rsid w:val="004421CE"/>
    <w:rsid w:val="004424F6"/>
    <w:rsid w:val="0044297A"/>
    <w:rsid w:val="00442B03"/>
    <w:rsid w:val="00442BB6"/>
    <w:rsid w:val="00442C76"/>
    <w:rsid w:val="00442E91"/>
    <w:rsid w:val="0044334E"/>
    <w:rsid w:val="004433F7"/>
    <w:rsid w:val="00443966"/>
    <w:rsid w:val="00443C07"/>
    <w:rsid w:val="00443C2F"/>
    <w:rsid w:val="00444274"/>
    <w:rsid w:val="00444C43"/>
    <w:rsid w:val="00444DDB"/>
    <w:rsid w:val="00444F70"/>
    <w:rsid w:val="0044504E"/>
    <w:rsid w:val="004454CD"/>
    <w:rsid w:val="004455B5"/>
    <w:rsid w:val="004456BA"/>
    <w:rsid w:val="00445887"/>
    <w:rsid w:val="00445F18"/>
    <w:rsid w:val="00446583"/>
    <w:rsid w:val="004467EC"/>
    <w:rsid w:val="004467EE"/>
    <w:rsid w:val="004468ED"/>
    <w:rsid w:val="004469F0"/>
    <w:rsid w:val="00446D73"/>
    <w:rsid w:val="00447193"/>
    <w:rsid w:val="004472E3"/>
    <w:rsid w:val="004473A7"/>
    <w:rsid w:val="00447416"/>
    <w:rsid w:val="0044779F"/>
    <w:rsid w:val="00447A1A"/>
    <w:rsid w:val="00450163"/>
    <w:rsid w:val="00450B2C"/>
    <w:rsid w:val="0045121E"/>
    <w:rsid w:val="00451D9C"/>
    <w:rsid w:val="0045207C"/>
    <w:rsid w:val="0045219D"/>
    <w:rsid w:val="00452280"/>
    <w:rsid w:val="0045228A"/>
    <w:rsid w:val="00452BCD"/>
    <w:rsid w:val="004535CD"/>
    <w:rsid w:val="00453735"/>
    <w:rsid w:val="004537AE"/>
    <w:rsid w:val="0045391D"/>
    <w:rsid w:val="00453B26"/>
    <w:rsid w:val="00453D15"/>
    <w:rsid w:val="004541F8"/>
    <w:rsid w:val="004547C8"/>
    <w:rsid w:val="00454907"/>
    <w:rsid w:val="0045575C"/>
    <w:rsid w:val="004557C1"/>
    <w:rsid w:val="00455B61"/>
    <w:rsid w:val="00455D83"/>
    <w:rsid w:val="00456298"/>
    <w:rsid w:val="004565FA"/>
    <w:rsid w:val="00456D09"/>
    <w:rsid w:val="00456D53"/>
    <w:rsid w:val="00456FC2"/>
    <w:rsid w:val="00457322"/>
    <w:rsid w:val="0045743D"/>
    <w:rsid w:val="0045758C"/>
    <w:rsid w:val="00457F51"/>
    <w:rsid w:val="0046035B"/>
    <w:rsid w:val="004604E9"/>
    <w:rsid w:val="004605C9"/>
    <w:rsid w:val="00460C3C"/>
    <w:rsid w:val="00461209"/>
    <w:rsid w:val="0046223A"/>
    <w:rsid w:val="004628B4"/>
    <w:rsid w:val="00462A89"/>
    <w:rsid w:val="00462CF1"/>
    <w:rsid w:val="00462E4F"/>
    <w:rsid w:val="00462F6C"/>
    <w:rsid w:val="004632DF"/>
    <w:rsid w:val="0046399C"/>
    <w:rsid w:val="00463B51"/>
    <w:rsid w:val="00463DA1"/>
    <w:rsid w:val="00463E2D"/>
    <w:rsid w:val="00463FB5"/>
    <w:rsid w:val="00464027"/>
    <w:rsid w:val="00464148"/>
    <w:rsid w:val="004641EA"/>
    <w:rsid w:val="004643FE"/>
    <w:rsid w:val="0046447D"/>
    <w:rsid w:val="0046471A"/>
    <w:rsid w:val="00464776"/>
    <w:rsid w:val="00464BB0"/>
    <w:rsid w:val="00464CEE"/>
    <w:rsid w:val="00464D0E"/>
    <w:rsid w:val="00464FF8"/>
    <w:rsid w:val="00465116"/>
    <w:rsid w:val="00465174"/>
    <w:rsid w:val="00465198"/>
    <w:rsid w:val="004651F7"/>
    <w:rsid w:val="004660B0"/>
    <w:rsid w:val="00466412"/>
    <w:rsid w:val="0046659D"/>
    <w:rsid w:val="00466D45"/>
    <w:rsid w:val="0046773A"/>
    <w:rsid w:val="00467A4C"/>
    <w:rsid w:val="00467A77"/>
    <w:rsid w:val="00467CA5"/>
    <w:rsid w:val="00467D18"/>
    <w:rsid w:val="00467DB9"/>
    <w:rsid w:val="004700DC"/>
    <w:rsid w:val="0047018E"/>
    <w:rsid w:val="00470472"/>
    <w:rsid w:val="004707B3"/>
    <w:rsid w:val="0047085D"/>
    <w:rsid w:val="00470BC4"/>
    <w:rsid w:val="00470C53"/>
    <w:rsid w:val="004711CA"/>
    <w:rsid w:val="00471201"/>
    <w:rsid w:val="00471E82"/>
    <w:rsid w:val="004720E3"/>
    <w:rsid w:val="004722AF"/>
    <w:rsid w:val="00472685"/>
    <w:rsid w:val="004726B9"/>
    <w:rsid w:val="00472A08"/>
    <w:rsid w:val="00472A4D"/>
    <w:rsid w:val="00472B2B"/>
    <w:rsid w:val="00472BEF"/>
    <w:rsid w:val="00472E44"/>
    <w:rsid w:val="004730F8"/>
    <w:rsid w:val="004734BB"/>
    <w:rsid w:val="00473E70"/>
    <w:rsid w:val="00473E9E"/>
    <w:rsid w:val="00473F2C"/>
    <w:rsid w:val="004741F8"/>
    <w:rsid w:val="004742A7"/>
    <w:rsid w:val="004743C9"/>
    <w:rsid w:val="00474DE3"/>
    <w:rsid w:val="00474E05"/>
    <w:rsid w:val="004751D1"/>
    <w:rsid w:val="00475628"/>
    <w:rsid w:val="004757A6"/>
    <w:rsid w:val="004761D6"/>
    <w:rsid w:val="004766F8"/>
    <w:rsid w:val="00476B93"/>
    <w:rsid w:val="00476C2D"/>
    <w:rsid w:val="00477351"/>
    <w:rsid w:val="00477922"/>
    <w:rsid w:val="00477C2E"/>
    <w:rsid w:val="004805DE"/>
    <w:rsid w:val="0048099C"/>
    <w:rsid w:val="00480C46"/>
    <w:rsid w:val="00480F20"/>
    <w:rsid w:val="0048100F"/>
    <w:rsid w:val="00481049"/>
    <w:rsid w:val="004814ED"/>
    <w:rsid w:val="00481975"/>
    <w:rsid w:val="00481DC1"/>
    <w:rsid w:val="00481E04"/>
    <w:rsid w:val="00482A2C"/>
    <w:rsid w:val="00482D0E"/>
    <w:rsid w:val="00482D57"/>
    <w:rsid w:val="00483071"/>
    <w:rsid w:val="00483AC2"/>
    <w:rsid w:val="004846C2"/>
    <w:rsid w:val="00484CAC"/>
    <w:rsid w:val="00485120"/>
    <w:rsid w:val="004851E2"/>
    <w:rsid w:val="004853B3"/>
    <w:rsid w:val="00485A51"/>
    <w:rsid w:val="00485BA9"/>
    <w:rsid w:val="00485C98"/>
    <w:rsid w:val="00486135"/>
    <w:rsid w:val="0048642D"/>
    <w:rsid w:val="004865BB"/>
    <w:rsid w:val="00486B37"/>
    <w:rsid w:val="00486D1B"/>
    <w:rsid w:val="00486F3C"/>
    <w:rsid w:val="00487082"/>
    <w:rsid w:val="00487E4F"/>
    <w:rsid w:val="00487EBE"/>
    <w:rsid w:val="004901F4"/>
    <w:rsid w:val="004902F4"/>
    <w:rsid w:val="004908D3"/>
    <w:rsid w:val="004909D8"/>
    <w:rsid w:val="004909EE"/>
    <w:rsid w:val="00490DBF"/>
    <w:rsid w:val="004910CD"/>
    <w:rsid w:val="00492143"/>
    <w:rsid w:val="00492390"/>
    <w:rsid w:val="0049268E"/>
    <w:rsid w:val="00492A5D"/>
    <w:rsid w:val="00492E81"/>
    <w:rsid w:val="004930B0"/>
    <w:rsid w:val="0049385B"/>
    <w:rsid w:val="00493D85"/>
    <w:rsid w:val="004941EA"/>
    <w:rsid w:val="00494247"/>
    <w:rsid w:val="00494F52"/>
    <w:rsid w:val="00495032"/>
    <w:rsid w:val="004950F2"/>
    <w:rsid w:val="0049518D"/>
    <w:rsid w:val="004956DD"/>
    <w:rsid w:val="00495735"/>
    <w:rsid w:val="00495B9B"/>
    <w:rsid w:val="00495BE1"/>
    <w:rsid w:val="00495D60"/>
    <w:rsid w:val="004962EA"/>
    <w:rsid w:val="00496BEB"/>
    <w:rsid w:val="00496C7F"/>
    <w:rsid w:val="004973A6"/>
    <w:rsid w:val="0049764E"/>
    <w:rsid w:val="004979F0"/>
    <w:rsid w:val="00497B18"/>
    <w:rsid w:val="00497C77"/>
    <w:rsid w:val="00497E0B"/>
    <w:rsid w:val="004A067F"/>
    <w:rsid w:val="004A0A4E"/>
    <w:rsid w:val="004A10F3"/>
    <w:rsid w:val="004A1385"/>
    <w:rsid w:val="004A171E"/>
    <w:rsid w:val="004A1782"/>
    <w:rsid w:val="004A1805"/>
    <w:rsid w:val="004A1A37"/>
    <w:rsid w:val="004A2263"/>
    <w:rsid w:val="004A267B"/>
    <w:rsid w:val="004A2702"/>
    <w:rsid w:val="004A28DE"/>
    <w:rsid w:val="004A29C9"/>
    <w:rsid w:val="004A304B"/>
    <w:rsid w:val="004A32EB"/>
    <w:rsid w:val="004A3800"/>
    <w:rsid w:val="004A3B22"/>
    <w:rsid w:val="004A4065"/>
    <w:rsid w:val="004A5160"/>
    <w:rsid w:val="004A5166"/>
    <w:rsid w:val="004A5B09"/>
    <w:rsid w:val="004A5B35"/>
    <w:rsid w:val="004A5EB4"/>
    <w:rsid w:val="004A5FAF"/>
    <w:rsid w:val="004A69B5"/>
    <w:rsid w:val="004A6AA7"/>
    <w:rsid w:val="004A6E6D"/>
    <w:rsid w:val="004A7140"/>
    <w:rsid w:val="004A73C3"/>
    <w:rsid w:val="004A77BD"/>
    <w:rsid w:val="004A77CC"/>
    <w:rsid w:val="004A7998"/>
    <w:rsid w:val="004A79FF"/>
    <w:rsid w:val="004B0360"/>
    <w:rsid w:val="004B05DE"/>
    <w:rsid w:val="004B0BBE"/>
    <w:rsid w:val="004B0E4E"/>
    <w:rsid w:val="004B0F99"/>
    <w:rsid w:val="004B16ED"/>
    <w:rsid w:val="004B1918"/>
    <w:rsid w:val="004B1BC0"/>
    <w:rsid w:val="004B2303"/>
    <w:rsid w:val="004B243C"/>
    <w:rsid w:val="004B2465"/>
    <w:rsid w:val="004B24CA"/>
    <w:rsid w:val="004B29FE"/>
    <w:rsid w:val="004B2DFA"/>
    <w:rsid w:val="004B30D0"/>
    <w:rsid w:val="004B357A"/>
    <w:rsid w:val="004B38C5"/>
    <w:rsid w:val="004B3B64"/>
    <w:rsid w:val="004B43BE"/>
    <w:rsid w:val="004B4A11"/>
    <w:rsid w:val="004B50DE"/>
    <w:rsid w:val="004B53BB"/>
    <w:rsid w:val="004B566F"/>
    <w:rsid w:val="004B5A09"/>
    <w:rsid w:val="004B5A55"/>
    <w:rsid w:val="004B5AA2"/>
    <w:rsid w:val="004B6152"/>
    <w:rsid w:val="004B6155"/>
    <w:rsid w:val="004B61F8"/>
    <w:rsid w:val="004B63D1"/>
    <w:rsid w:val="004B6F59"/>
    <w:rsid w:val="004B793D"/>
    <w:rsid w:val="004B7F74"/>
    <w:rsid w:val="004C0496"/>
    <w:rsid w:val="004C0711"/>
    <w:rsid w:val="004C0C09"/>
    <w:rsid w:val="004C0CFF"/>
    <w:rsid w:val="004C11D4"/>
    <w:rsid w:val="004C129E"/>
    <w:rsid w:val="004C1400"/>
    <w:rsid w:val="004C14ED"/>
    <w:rsid w:val="004C1548"/>
    <w:rsid w:val="004C155A"/>
    <w:rsid w:val="004C1EB5"/>
    <w:rsid w:val="004C20CD"/>
    <w:rsid w:val="004C2181"/>
    <w:rsid w:val="004C2B8B"/>
    <w:rsid w:val="004C2F07"/>
    <w:rsid w:val="004C31F5"/>
    <w:rsid w:val="004C347F"/>
    <w:rsid w:val="004C3702"/>
    <w:rsid w:val="004C380B"/>
    <w:rsid w:val="004C3EDA"/>
    <w:rsid w:val="004C4333"/>
    <w:rsid w:val="004C45C7"/>
    <w:rsid w:val="004C49F7"/>
    <w:rsid w:val="004C4AA4"/>
    <w:rsid w:val="004C4DC8"/>
    <w:rsid w:val="004C57AF"/>
    <w:rsid w:val="004C58B2"/>
    <w:rsid w:val="004C5B1E"/>
    <w:rsid w:val="004C5D7D"/>
    <w:rsid w:val="004C61DB"/>
    <w:rsid w:val="004C6372"/>
    <w:rsid w:val="004C6680"/>
    <w:rsid w:val="004C6F78"/>
    <w:rsid w:val="004C70BF"/>
    <w:rsid w:val="004C7A66"/>
    <w:rsid w:val="004D024E"/>
    <w:rsid w:val="004D0A39"/>
    <w:rsid w:val="004D0D21"/>
    <w:rsid w:val="004D0EB7"/>
    <w:rsid w:val="004D0FB6"/>
    <w:rsid w:val="004D108D"/>
    <w:rsid w:val="004D10DE"/>
    <w:rsid w:val="004D11A9"/>
    <w:rsid w:val="004D16ED"/>
    <w:rsid w:val="004D1D85"/>
    <w:rsid w:val="004D2145"/>
    <w:rsid w:val="004D215D"/>
    <w:rsid w:val="004D2240"/>
    <w:rsid w:val="004D2279"/>
    <w:rsid w:val="004D2D07"/>
    <w:rsid w:val="004D2E4C"/>
    <w:rsid w:val="004D384A"/>
    <w:rsid w:val="004D3C4A"/>
    <w:rsid w:val="004D3DBB"/>
    <w:rsid w:val="004D47E6"/>
    <w:rsid w:val="004D4998"/>
    <w:rsid w:val="004D4B64"/>
    <w:rsid w:val="004D4BF6"/>
    <w:rsid w:val="004D4C04"/>
    <w:rsid w:val="004D4C42"/>
    <w:rsid w:val="004D504A"/>
    <w:rsid w:val="004D5303"/>
    <w:rsid w:val="004D5B72"/>
    <w:rsid w:val="004D5F1B"/>
    <w:rsid w:val="004D63B4"/>
    <w:rsid w:val="004D64CA"/>
    <w:rsid w:val="004D69FD"/>
    <w:rsid w:val="004D6CB9"/>
    <w:rsid w:val="004D7162"/>
    <w:rsid w:val="004D7367"/>
    <w:rsid w:val="004D750B"/>
    <w:rsid w:val="004D7B6B"/>
    <w:rsid w:val="004D7BC4"/>
    <w:rsid w:val="004D7E9C"/>
    <w:rsid w:val="004E00CB"/>
    <w:rsid w:val="004E01D9"/>
    <w:rsid w:val="004E050E"/>
    <w:rsid w:val="004E0675"/>
    <w:rsid w:val="004E0816"/>
    <w:rsid w:val="004E09B5"/>
    <w:rsid w:val="004E0A4C"/>
    <w:rsid w:val="004E0B30"/>
    <w:rsid w:val="004E0B6C"/>
    <w:rsid w:val="004E0B7B"/>
    <w:rsid w:val="004E0DBE"/>
    <w:rsid w:val="004E1199"/>
    <w:rsid w:val="004E1513"/>
    <w:rsid w:val="004E1F9F"/>
    <w:rsid w:val="004E2362"/>
    <w:rsid w:val="004E23A6"/>
    <w:rsid w:val="004E285E"/>
    <w:rsid w:val="004E28F2"/>
    <w:rsid w:val="004E2EF9"/>
    <w:rsid w:val="004E3044"/>
    <w:rsid w:val="004E3045"/>
    <w:rsid w:val="004E3121"/>
    <w:rsid w:val="004E355C"/>
    <w:rsid w:val="004E3A14"/>
    <w:rsid w:val="004E3C43"/>
    <w:rsid w:val="004E3F93"/>
    <w:rsid w:val="004E401B"/>
    <w:rsid w:val="004E4087"/>
    <w:rsid w:val="004E415D"/>
    <w:rsid w:val="004E4280"/>
    <w:rsid w:val="004E4687"/>
    <w:rsid w:val="004E4D7D"/>
    <w:rsid w:val="004E4DAA"/>
    <w:rsid w:val="004E521E"/>
    <w:rsid w:val="004E52EE"/>
    <w:rsid w:val="004E5722"/>
    <w:rsid w:val="004E5743"/>
    <w:rsid w:val="004E5924"/>
    <w:rsid w:val="004E5C4F"/>
    <w:rsid w:val="004E60C2"/>
    <w:rsid w:val="004E7329"/>
    <w:rsid w:val="004E7638"/>
    <w:rsid w:val="004E798B"/>
    <w:rsid w:val="004E79A8"/>
    <w:rsid w:val="004E7BCA"/>
    <w:rsid w:val="004E7DE3"/>
    <w:rsid w:val="004E7DF6"/>
    <w:rsid w:val="004E7E69"/>
    <w:rsid w:val="004F03E0"/>
    <w:rsid w:val="004F071C"/>
    <w:rsid w:val="004F0725"/>
    <w:rsid w:val="004F0986"/>
    <w:rsid w:val="004F0AFF"/>
    <w:rsid w:val="004F0D72"/>
    <w:rsid w:val="004F1554"/>
    <w:rsid w:val="004F1587"/>
    <w:rsid w:val="004F1650"/>
    <w:rsid w:val="004F1728"/>
    <w:rsid w:val="004F17E6"/>
    <w:rsid w:val="004F1964"/>
    <w:rsid w:val="004F1A5F"/>
    <w:rsid w:val="004F1AA8"/>
    <w:rsid w:val="004F1D6B"/>
    <w:rsid w:val="004F24D2"/>
    <w:rsid w:val="004F24FD"/>
    <w:rsid w:val="004F268B"/>
    <w:rsid w:val="004F26AA"/>
    <w:rsid w:val="004F367D"/>
    <w:rsid w:val="004F39D2"/>
    <w:rsid w:val="004F3D82"/>
    <w:rsid w:val="004F3ED0"/>
    <w:rsid w:val="004F4404"/>
    <w:rsid w:val="004F45FC"/>
    <w:rsid w:val="004F46A0"/>
    <w:rsid w:val="004F476F"/>
    <w:rsid w:val="004F47C1"/>
    <w:rsid w:val="004F56CE"/>
    <w:rsid w:val="004F5D05"/>
    <w:rsid w:val="004F5E6F"/>
    <w:rsid w:val="004F63CA"/>
    <w:rsid w:val="004F6695"/>
    <w:rsid w:val="004F6B88"/>
    <w:rsid w:val="004F6F13"/>
    <w:rsid w:val="004F761A"/>
    <w:rsid w:val="004F7777"/>
    <w:rsid w:val="004F7AB9"/>
    <w:rsid w:val="004F7C33"/>
    <w:rsid w:val="005001B9"/>
    <w:rsid w:val="00500C53"/>
    <w:rsid w:val="0050147A"/>
    <w:rsid w:val="0050159E"/>
    <w:rsid w:val="00501C71"/>
    <w:rsid w:val="0050222D"/>
    <w:rsid w:val="0050223C"/>
    <w:rsid w:val="00502576"/>
    <w:rsid w:val="0050285A"/>
    <w:rsid w:val="00502CBB"/>
    <w:rsid w:val="00502FF6"/>
    <w:rsid w:val="00503006"/>
    <w:rsid w:val="0050369C"/>
    <w:rsid w:val="005036BB"/>
    <w:rsid w:val="005037F5"/>
    <w:rsid w:val="0050385F"/>
    <w:rsid w:val="00504188"/>
    <w:rsid w:val="005044C2"/>
    <w:rsid w:val="00504792"/>
    <w:rsid w:val="00504965"/>
    <w:rsid w:val="005052A8"/>
    <w:rsid w:val="005053AB"/>
    <w:rsid w:val="005053F2"/>
    <w:rsid w:val="00505566"/>
    <w:rsid w:val="0050561A"/>
    <w:rsid w:val="00505766"/>
    <w:rsid w:val="005059C0"/>
    <w:rsid w:val="00505D3C"/>
    <w:rsid w:val="0050636C"/>
    <w:rsid w:val="00506695"/>
    <w:rsid w:val="00506C83"/>
    <w:rsid w:val="00506DB4"/>
    <w:rsid w:val="00506E5B"/>
    <w:rsid w:val="00506F0B"/>
    <w:rsid w:val="0050751F"/>
    <w:rsid w:val="00507AD4"/>
    <w:rsid w:val="00510148"/>
    <w:rsid w:val="00510188"/>
    <w:rsid w:val="005105D2"/>
    <w:rsid w:val="00510ADE"/>
    <w:rsid w:val="00510BC3"/>
    <w:rsid w:val="005113B1"/>
    <w:rsid w:val="00511696"/>
    <w:rsid w:val="005118F5"/>
    <w:rsid w:val="00511ABA"/>
    <w:rsid w:val="00511C7F"/>
    <w:rsid w:val="00511D16"/>
    <w:rsid w:val="005125E4"/>
    <w:rsid w:val="00512787"/>
    <w:rsid w:val="00512970"/>
    <w:rsid w:val="00512AD6"/>
    <w:rsid w:val="005130CC"/>
    <w:rsid w:val="0051361D"/>
    <w:rsid w:val="00513716"/>
    <w:rsid w:val="005142AD"/>
    <w:rsid w:val="005143B0"/>
    <w:rsid w:val="0051440C"/>
    <w:rsid w:val="00514805"/>
    <w:rsid w:val="005148EC"/>
    <w:rsid w:val="00514A1B"/>
    <w:rsid w:val="00514F15"/>
    <w:rsid w:val="00515078"/>
    <w:rsid w:val="005158BB"/>
    <w:rsid w:val="00515CDA"/>
    <w:rsid w:val="00516344"/>
    <w:rsid w:val="00516915"/>
    <w:rsid w:val="00516A1F"/>
    <w:rsid w:val="00516CBE"/>
    <w:rsid w:val="0051709D"/>
    <w:rsid w:val="00517297"/>
    <w:rsid w:val="00517451"/>
    <w:rsid w:val="00517759"/>
    <w:rsid w:val="005178F2"/>
    <w:rsid w:val="00517B44"/>
    <w:rsid w:val="00517FA0"/>
    <w:rsid w:val="005201D8"/>
    <w:rsid w:val="00520854"/>
    <w:rsid w:val="00520A76"/>
    <w:rsid w:val="00520BAB"/>
    <w:rsid w:val="005211FF"/>
    <w:rsid w:val="00521380"/>
    <w:rsid w:val="005215D1"/>
    <w:rsid w:val="00521E6C"/>
    <w:rsid w:val="00521F4B"/>
    <w:rsid w:val="005221EC"/>
    <w:rsid w:val="005223B4"/>
    <w:rsid w:val="005225A9"/>
    <w:rsid w:val="00522A58"/>
    <w:rsid w:val="005230DC"/>
    <w:rsid w:val="00523923"/>
    <w:rsid w:val="0052394A"/>
    <w:rsid w:val="00523B5B"/>
    <w:rsid w:val="00523C02"/>
    <w:rsid w:val="00523C45"/>
    <w:rsid w:val="00523C8B"/>
    <w:rsid w:val="0052408E"/>
    <w:rsid w:val="005240BA"/>
    <w:rsid w:val="005241DA"/>
    <w:rsid w:val="005242CA"/>
    <w:rsid w:val="00524456"/>
    <w:rsid w:val="00524686"/>
    <w:rsid w:val="0052489F"/>
    <w:rsid w:val="005249F8"/>
    <w:rsid w:val="005250AA"/>
    <w:rsid w:val="005255C2"/>
    <w:rsid w:val="00525A91"/>
    <w:rsid w:val="00525EA6"/>
    <w:rsid w:val="00526079"/>
    <w:rsid w:val="0052608E"/>
    <w:rsid w:val="00526286"/>
    <w:rsid w:val="00526476"/>
    <w:rsid w:val="005265C4"/>
    <w:rsid w:val="005269F3"/>
    <w:rsid w:val="00526B76"/>
    <w:rsid w:val="00526BA7"/>
    <w:rsid w:val="00526EF0"/>
    <w:rsid w:val="00527050"/>
    <w:rsid w:val="005274FD"/>
    <w:rsid w:val="0052752B"/>
    <w:rsid w:val="00527EAD"/>
    <w:rsid w:val="00527F3A"/>
    <w:rsid w:val="005300F0"/>
    <w:rsid w:val="005301A0"/>
    <w:rsid w:val="00530233"/>
    <w:rsid w:val="005304A5"/>
    <w:rsid w:val="005305E7"/>
    <w:rsid w:val="00530BCD"/>
    <w:rsid w:val="00530BFA"/>
    <w:rsid w:val="005314B9"/>
    <w:rsid w:val="00531EC6"/>
    <w:rsid w:val="00531F30"/>
    <w:rsid w:val="00531FF2"/>
    <w:rsid w:val="005324C6"/>
    <w:rsid w:val="00532817"/>
    <w:rsid w:val="0053392A"/>
    <w:rsid w:val="00533A01"/>
    <w:rsid w:val="0053418E"/>
    <w:rsid w:val="00534CF6"/>
    <w:rsid w:val="0053593A"/>
    <w:rsid w:val="00535B20"/>
    <w:rsid w:val="00535D9C"/>
    <w:rsid w:val="00536276"/>
    <w:rsid w:val="00536AFF"/>
    <w:rsid w:val="00536DEE"/>
    <w:rsid w:val="00536EF2"/>
    <w:rsid w:val="00537004"/>
    <w:rsid w:val="005372DD"/>
    <w:rsid w:val="00537730"/>
    <w:rsid w:val="0053794D"/>
    <w:rsid w:val="005401F3"/>
    <w:rsid w:val="0054037C"/>
    <w:rsid w:val="00540763"/>
    <w:rsid w:val="005408A3"/>
    <w:rsid w:val="00541398"/>
    <w:rsid w:val="00541435"/>
    <w:rsid w:val="005414D8"/>
    <w:rsid w:val="00541858"/>
    <w:rsid w:val="00541C79"/>
    <w:rsid w:val="00541F00"/>
    <w:rsid w:val="00541F02"/>
    <w:rsid w:val="0054204A"/>
    <w:rsid w:val="00542616"/>
    <w:rsid w:val="005428DF"/>
    <w:rsid w:val="00542B6A"/>
    <w:rsid w:val="00542B9D"/>
    <w:rsid w:val="005434CF"/>
    <w:rsid w:val="00543FB1"/>
    <w:rsid w:val="00544777"/>
    <w:rsid w:val="005447F8"/>
    <w:rsid w:val="00544922"/>
    <w:rsid w:val="00544AA7"/>
    <w:rsid w:val="00544D49"/>
    <w:rsid w:val="005453A4"/>
    <w:rsid w:val="00545504"/>
    <w:rsid w:val="005456BE"/>
    <w:rsid w:val="005459B9"/>
    <w:rsid w:val="00545B2D"/>
    <w:rsid w:val="00546007"/>
    <w:rsid w:val="00546E00"/>
    <w:rsid w:val="00546EC2"/>
    <w:rsid w:val="00547032"/>
    <w:rsid w:val="005471D1"/>
    <w:rsid w:val="005472A7"/>
    <w:rsid w:val="005475C8"/>
    <w:rsid w:val="00547B13"/>
    <w:rsid w:val="00547B30"/>
    <w:rsid w:val="00547DE7"/>
    <w:rsid w:val="00550273"/>
    <w:rsid w:val="0055045A"/>
    <w:rsid w:val="005507A8"/>
    <w:rsid w:val="00550935"/>
    <w:rsid w:val="005509CC"/>
    <w:rsid w:val="00550AEB"/>
    <w:rsid w:val="00550D24"/>
    <w:rsid w:val="005513CF"/>
    <w:rsid w:val="0055170D"/>
    <w:rsid w:val="00551826"/>
    <w:rsid w:val="00551D4C"/>
    <w:rsid w:val="00552255"/>
    <w:rsid w:val="00552526"/>
    <w:rsid w:val="0055278B"/>
    <w:rsid w:val="00553263"/>
    <w:rsid w:val="005534FD"/>
    <w:rsid w:val="00553863"/>
    <w:rsid w:val="00553C88"/>
    <w:rsid w:val="00553CC9"/>
    <w:rsid w:val="00553CF4"/>
    <w:rsid w:val="00553D4B"/>
    <w:rsid w:val="005540E2"/>
    <w:rsid w:val="0055474C"/>
    <w:rsid w:val="00554AE1"/>
    <w:rsid w:val="00554D1B"/>
    <w:rsid w:val="005553F4"/>
    <w:rsid w:val="00556194"/>
    <w:rsid w:val="00556409"/>
    <w:rsid w:val="0055646B"/>
    <w:rsid w:val="00556C54"/>
    <w:rsid w:val="00556CB8"/>
    <w:rsid w:val="00556E3A"/>
    <w:rsid w:val="00556FEB"/>
    <w:rsid w:val="005571F3"/>
    <w:rsid w:val="005572CB"/>
    <w:rsid w:val="0055752D"/>
    <w:rsid w:val="005576F4"/>
    <w:rsid w:val="00557724"/>
    <w:rsid w:val="00557804"/>
    <w:rsid w:val="00557855"/>
    <w:rsid w:val="00557987"/>
    <w:rsid w:val="00557F76"/>
    <w:rsid w:val="005600DB"/>
    <w:rsid w:val="0056022B"/>
    <w:rsid w:val="00560341"/>
    <w:rsid w:val="005607A4"/>
    <w:rsid w:val="005608C5"/>
    <w:rsid w:val="00560C44"/>
    <w:rsid w:val="00560F36"/>
    <w:rsid w:val="005611EE"/>
    <w:rsid w:val="005613EA"/>
    <w:rsid w:val="00561591"/>
    <w:rsid w:val="0056168C"/>
    <w:rsid w:val="00561762"/>
    <w:rsid w:val="00561F4E"/>
    <w:rsid w:val="0056204B"/>
    <w:rsid w:val="005622DA"/>
    <w:rsid w:val="00562892"/>
    <w:rsid w:val="00562DC4"/>
    <w:rsid w:val="00562FC1"/>
    <w:rsid w:val="00563439"/>
    <w:rsid w:val="00563E7E"/>
    <w:rsid w:val="00564122"/>
    <w:rsid w:val="0056429D"/>
    <w:rsid w:val="005648BF"/>
    <w:rsid w:val="00564B0F"/>
    <w:rsid w:val="00565474"/>
    <w:rsid w:val="00565558"/>
    <w:rsid w:val="00565C58"/>
    <w:rsid w:val="00566136"/>
    <w:rsid w:val="0056614A"/>
    <w:rsid w:val="0056628B"/>
    <w:rsid w:val="00566520"/>
    <w:rsid w:val="00566776"/>
    <w:rsid w:val="00566831"/>
    <w:rsid w:val="00566B91"/>
    <w:rsid w:val="00566B95"/>
    <w:rsid w:val="00566CD6"/>
    <w:rsid w:val="00566D51"/>
    <w:rsid w:val="00567228"/>
    <w:rsid w:val="0056728D"/>
    <w:rsid w:val="00567337"/>
    <w:rsid w:val="00567766"/>
    <w:rsid w:val="00567845"/>
    <w:rsid w:val="00567B80"/>
    <w:rsid w:val="00567D85"/>
    <w:rsid w:val="00567EC4"/>
    <w:rsid w:val="00570333"/>
    <w:rsid w:val="00570602"/>
    <w:rsid w:val="00570AC0"/>
    <w:rsid w:val="00570D8E"/>
    <w:rsid w:val="00570E31"/>
    <w:rsid w:val="005717A1"/>
    <w:rsid w:val="00571820"/>
    <w:rsid w:val="00571D9B"/>
    <w:rsid w:val="00572690"/>
    <w:rsid w:val="005728AD"/>
    <w:rsid w:val="005736EF"/>
    <w:rsid w:val="00573845"/>
    <w:rsid w:val="00573952"/>
    <w:rsid w:val="0057397A"/>
    <w:rsid w:val="00573EE8"/>
    <w:rsid w:val="00574010"/>
    <w:rsid w:val="0057412B"/>
    <w:rsid w:val="005741F9"/>
    <w:rsid w:val="005748EB"/>
    <w:rsid w:val="00574B7D"/>
    <w:rsid w:val="0057510C"/>
    <w:rsid w:val="0057553E"/>
    <w:rsid w:val="00575A7C"/>
    <w:rsid w:val="00575DAF"/>
    <w:rsid w:val="0057627F"/>
    <w:rsid w:val="00576D5F"/>
    <w:rsid w:val="005771EB"/>
    <w:rsid w:val="005774FF"/>
    <w:rsid w:val="00577BA3"/>
    <w:rsid w:val="005801E1"/>
    <w:rsid w:val="005811A8"/>
    <w:rsid w:val="005811D8"/>
    <w:rsid w:val="005815E1"/>
    <w:rsid w:val="005817DE"/>
    <w:rsid w:val="00581A9A"/>
    <w:rsid w:val="005828FB"/>
    <w:rsid w:val="00582AAB"/>
    <w:rsid w:val="00582BC7"/>
    <w:rsid w:val="005830BE"/>
    <w:rsid w:val="005830E9"/>
    <w:rsid w:val="0058346C"/>
    <w:rsid w:val="00583FBD"/>
    <w:rsid w:val="00584332"/>
    <w:rsid w:val="005846A8"/>
    <w:rsid w:val="005846F2"/>
    <w:rsid w:val="0058481D"/>
    <w:rsid w:val="00584AA4"/>
    <w:rsid w:val="00584CD5"/>
    <w:rsid w:val="00585032"/>
    <w:rsid w:val="00585388"/>
    <w:rsid w:val="005854F5"/>
    <w:rsid w:val="00585508"/>
    <w:rsid w:val="00585793"/>
    <w:rsid w:val="005863BD"/>
    <w:rsid w:val="0058640B"/>
    <w:rsid w:val="005866D1"/>
    <w:rsid w:val="00586A41"/>
    <w:rsid w:val="00586BEE"/>
    <w:rsid w:val="00587043"/>
    <w:rsid w:val="005870DC"/>
    <w:rsid w:val="005877DA"/>
    <w:rsid w:val="005878B3"/>
    <w:rsid w:val="00587987"/>
    <w:rsid w:val="0059013E"/>
    <w:rsid w:val="005905B9"/>
    <w:rsid w:val="005905F8"/>
    <w:rsid w:val="005908F8"/>
    <w:rsid w:val="00590995"/>
    <w:rsid w:val="00590A3B"/>
    <w:rsid w:val="00590A76"/>
    <w:rsid w:val="00590A98"/>
    <w:rsid w:val="00590BE3"/>
    <w:rsid w:val="0059127A"/>
    <w:rsid w:val="0059163F"/>
    <w:rsid w:val="005919AB"/>
    <w:rsid w:val="0059218F"/>
    <w:rsid w:val="005924C0"/>
    <w:rsid w:val="005928CF"/>
    <w:rsid w:val="005930D6"/>
    <w:rsid w:val="0059334A"/>
    <w:rsid w:val="005936BF"/>
    <w:rsid w:val="005941AA"/>
    <w:rsid w:val="00594442"/>
    <w:rsid w:val="005945AF"/>
    <w:rsid w:val="005947A2"/>
    <w:rsid w:val="00594AC1"/>
    <w:rsid w:val="00595114"/>
    <w:rsid w:val="005957C3"/>
    <w:rsid w:val="0059581B"/>
    <w:rsid w:val="00595A42"/>
    <w:rsid w:val="00595D8A"/>
    <w:rsid w:val="0059621F"/>
    <w:rsid w:val="005967E3"/>
    <w:rsid w:val="00597005"/>
    <w:rsid w:val="005970FE"/>
    <w:rsid w:val="00597604"/>
    <w:rsid w:val="00597B68"/>
    <w:rsid w:val="005A00AD"/>
    <w:rsid w:val="005A0239"/>
    <w:rsid w:val="005A08C3"/>
    <w:rsid w:val="005A0A4C"/>
    <w:rsid w:val="005A0B11"/>
    <w:rsid w:val="005A0D14"/>
    <w:rsid w:val="005A0D45"/>
    <w:rsid w:val="005A0E57"/>
    <w:rsid w:val="005A1344"/>
    <w:rsid w:val="005A2160"/>
    <w:rsid w:val="005A2722"/>
    <w:rsid w:val="005A2760"/>
    <w:rsid w:val="005A2E79"/>
    <w:rsid w:val="005A2F6E"/>
    <w:rsid w:val="005A2F79"/>
    <w:rsid w:val="005A3074"/>
    <w:rsid w:val="005A34B7"/>
    <w:rsid w:val="005A490D"/>
    <w:rsid w:val="005A4EEE"/>
    <w:rsid w:val="005A5FDA"/>
    <w:rsid w:val="005A6879"/>
    <w:rsid w:val="005A6C95"/>
    <w:rsid w:val="005A6E3A"/>
    <w:rsid w:val="005A7663"/>
    <w:rsid w:val="005B0894"/>
    <w:rsid w:val="005B0978"/>
    <w:rsid w:val="005B0BEF"/>
    <w:rsid w:val="005B0D7D"/>
    <w:rsid w:val="005B0EDD"/>
    <w:rsid w:val="005B0F5E"/>
    <w:rsid w:val="005B1094"/>
    <w:rsid w:val="005B10C3"/>
    <w:rsid w:val="005B124A"/>
    <w:rsid w:val="005B1290"/>
    <w:rsid w:val="005B16A1"/>
    <w:rsid w:val="005B1DA8"/>
    <w:rsid w:val="005B1F8F"/>
    <w:rsid w:val="005B22EC"/>
    <w:rsid w:val="005B2438"/>
    <w:rsid w:val="005B290B"/>
    <w:rsid w:val="005B2A02"/>
    <w:rsid w:val="005B2A69"/>
    <w:rsid w:val="005B2AC4"/>
    <w:rsid w:val="005B2C09"/>
    <w:rsid w:val="005B2CE4"/>
    <w:rsid w:val="005B3515"/>
    <w:rsid w:val="005B35FB"/>
    <w:rsid w:val="005B369D"/>
    <w:rsid w:val="005B3F5A"/>
    <w:rsid w:val="005B417A"/>
    <w:rsid w:val="005B4203"/>
    <w:rsid w:val="005B456E"/>
    <w:rsid w:val="005B4987"/>
    <w:rsid w:val="005B49A8"/>
    <w:rsid w:val="005B5279"/>
    <w:rsid w:val="005B583F"/>
    <w:rsid w:val="005B5C63"/>
    <w:rsid w:val="005B5F6C"/>
    <w:rsid w:val="005B61A2"/>
    <w:rsid w:val="005B6504"/>
    <w:rsid w:val="005B6D4C"/>
    <w:rsid w:val="005B6E9D"/>
    <w:rsid w:val="005B7259"/>
    <w:rsid w:val="005B762D"/>
    <w:rsid w:val="005B7981"/>
    <w:rsid w:val="005B7D92"/>
    <w:rsid w:val="005B7F26"/>
    <w:rsid w:val="005C04EE"/>
    <w:rsid w:val="005C04EF"/>
    <w:rsid w:val="005C060A"/>
    <w:rsid w:val="005C086F"/>
    <w:rsid w:val="005C0DF7"/>
    <w:rsid w:val="005C0EA7"/>
    <w:rsid w:val="005C1255"/>
    <w:rsid w:val="005C130B"/>
    <w:rsid w:val="005C1693"/>
    <w:rsid w:val="005C18BA"/>
    <w:rsid w:val="005C28C7"/>
    <w:rsid w:val="005C2A00"/>
    <w:rsid w:val="005C2A17"/>
    <w:rsid w:val="005C2C3B"/>
    <w:rsid w:val="005C2CF0"/>
    <w:rsid w:val="005C2ED3"/>
    <w:rsid w:val="005C3532"/>
    <w:rsid w:val="005C36E7"/>
    <w:rsid w:val="005C3D83"/>
    <w:rsid w:val="005C3E70"/>
    <w:rsid w:val="005C42CB"/>
    <w:rsid w:val="005C436B"/>
    <w:rsid w:val="005C44CF"/>
    <w:rsid w:val="005C4611"/>
    <w:rsid w:val="005C5135"/>
    <w:rsid w:val="005C5749"/>
    <w:rsid w:val="005C5ABE"/>
    <w:rsid w:val="005C5CCD"/>
    <w:rsid w:val="005C619B"/>
    <w:rsid w:val="005C653C"/>
    <w:rsid w:val="005C66F9"/>
    <w:rsid w:val="005C6BFA"/>
    <w:rsid w:val="005C6D28"/>
    <w:rsid w:val="005C75B0"/>
    <w:rsid w:val="005C7CEF"/>
    <w:rsid w:val="005D0156"/>
    <w:rsid w:val="005D02D6"/>
    <w:rsid w:val="005D049E"/>
    <w:rsid w:val="005D0897"/>
    <w:rsid w:val="005D0C80"/>
    <w:rsid w:val="005D0F52"/>
    <w:rsid w:val="005D1002"/>
    <w:rsid w:val="005D1396"/>
    <w:rsid w:val="005D13E1"/>
    <w:rsid w:val="005D1C1F"/>
    <w:rsid w:val="005D2742"/>
    <w:rsid w:val="005D29F3"/>
    <w:rsid w:val="005D2C45"/>
    <w:rsid w:val="005D2F9C"/>
    <w:rsid w:val="005D3059"/>
    <w:rsid w:val="005D33B7"/>
    <w:rsid w:val="005D3447"/>
    <w:rsid w:val="005D3AA2"/>
    <w:rsid w:val="005D47F3"/>
    <w:rsid w:val="005D4D7B"/>
    <w:rsid w:val="005D52F0"/>
    <w:rsid w:val="005D558F"/>
    <w:rsid w:val="005D55B2"/>
    <w:rsid w:val="005D5678"/>
    <w:rsid w:val="005D56F1"/>
    <w:rsid w:val="005D5B46"/>
    <w:rsid w:val="005D5DD4"/>
    <w:rsid w:val="005D5FB3"/>
    <w:rsid w:val="005D64F1"/>
    <w:rsid w:val="005D6E82"/>
    <w:rsid w:val="005D6F5A"/>
    <w:rsid w:val="005D7FA6"/>
    <w:rsid w:val="005E0A6F"/>
    <w:rsid w:val="005E134F"/>
    <w:rsid w:val="005E1930"/>
    <w:rsid w:val="005E1B85"/>
    <w:rsid w:val="005E1F8D"/>
    <w:rsid w:val="005E1FC6"/>
    <w:rsid w:val="005E219C"/>
    <w:rsid w:val="005E23C5"/>
    <w:rsid w:val="005E257E"/>
    <w:rsid w:val="005E2A10"/>
    <w:rsid w:val="005E2A68"/>
    <w:rsid w:val="005E3054"/>
    <w:rsid w:val="005E3189"/>
    <w:rsid w:val="005E3B16"/>
    <w:rsid w:val="005E4816"/>
    <w:rsid w:val="005E48E7"/>
    <w:rsid w:val="005E501E"/>
    <w:rsid w:val="005E59FD"/>
    <w:rsid w:val="005E5B11"/>
    <w:rsid w:val="005E5CF4"/>
    <w:rsid w:val="005E5D60"/>
    <w:rsid w:val="005E5E19"/>
    <w:rsid w:val="005E6020"/>
    <w:rsid w:val="005E648E"/>
    <w:rsid w:val="005E64F9"/>
    <w:rsid w:val="005E6538"/>
    <w:rsid w:val="005E67AB"/>
    <w:rsid w:val="005E68FD"/>
    <w:rsid w:val="005E6904"/>
    <w:rsid w:val="005E69C8"/>
    <w:rsid w:val="005E6B48"/>
    <w:rsid w:val="005E6CAB"/>
    <w:rsid w:val="005E6D86"/>
    <w:rsid w:val="005E70E6"/>
    <w:rsid w:val="005E717E"/>
    <w:rsid w:val="005E71F4"/>
    <w:rsid w:val="005E71FA"/>
    <w:rsid w:val="005E732C"/>
    <w:rsid w:val="005E7571"/>
    <w:rsid w:val="005E7D8D"/>
    <w:rsid w:val="005E7F17"/>
    <w:rsid w:val="005E7FEA"/>
    <w:rsid w:val="005F03E7"/>
    <w:rsid w:val="005F0C01"/>
    <w:rsid w:val="005F1051"/>
    <w:rsid w:val="005F1B71"/>
    <w:rsid w:val="005F1CC6"/>
    <w:rsid w:val="005F1FDC"/>
    <w:rsid w:val="005F2189"/>
    <w:rsid w:val="005F2A5E"/>
    <w:rsid w:val="005F2AD1"/>
    <w:rsid w:val="005F2C33"/>
    <w:rsid w:val="005F2D4A"/>
    <w:rsid w:val="005F2F93"/>
    <w:rsid w:val="005F307C"/>
    <w:rsid w:val="005F3225"/>
    <w:rsid w:val="005F36D5"/>
    <w:rsid w:val="005F3775"/>
    <w:rsid w:val="005F380A"/>
    <w:rsid w:val="005F3B23"/>
    <w:rsid w:val="005F4742"/>
    <w:rsid w:val="005F485E"/>
    <w:rsid w:val="005F4ACD"/>
    <w:rsid w:val="005F4CED"/>
    <w:rsid w:val="005F4EB0"/>
    <w:rsid w:val="005F56A3"/>
    <w:rsid w:val="005F5B37"/>
    <w:rsid w:val="005F5D05"/>
    <w:rsid w:val="005F6468"/>
    <w:rsid w:val="005F671C"/>
    <w:rsid w:val="005F685D"/>
    <w:rsid w:val="005F6973"/>
    <w:rsid w:val="005F6D6C"/>
    <w:rsid w:val="005F6DEE"/>
    <w:rsid w:val="005F6F63"/>
    <w:rsid w:val="005F6F95"/>
    <w:rsid w:val="005F7245"/>
    <w:rsid w:val="005F758F"/>
    <w:rsid w:val="005F77BE"/>
    <w:rsid w:val="005F7AE4"/>
    <w:rsid w:val="006005C3"/>
    <w:rsid w:val="00600C04"/>
    <w:rsid w:val="00600CFA"/>
    <w:rsid w:val="00600D60"/>
    <w:rsid w:val="00600E62"/>
    <w:rsid w:val="006018C8"/>
    <w:rsid w:val="006019AD"/>
    <w:rsid w:val="00601AB9"/>
    <w:rsid w:val="00601B78"/>
    <w:rsid w:val="00601CB6"/>
    <w:rsid w:val="00601F89"/>
    <w:rsid w:val="00601FA1"/>
    <w:rsid w:val="00602223"/>
    <w:rsid w:val="006023FD"/>
    <w:rsid w:val="00602BEA"/>
    <w:rsid w:val="00603788"/>
    <w:rsid w:val="00603B21"/>
    <w:rsid w:val="00603CDE"/>
    <w:rsid w:val="00604086"/>
    <w:rsid w:val="006040B4"/>
    <w:rsid w:val="006041FD"/>
    <w:rsid w:val="00604271"/>
    <w:rsid w:val="00604531"/>
    <w:rsid w:val="006047CD"/>
    <w:rsid w:val="0060488B"/>
    <w:rsid w:val="006052C2"/>
    <w:rsid w:val="0060542B"/>
    <w:rsid w:val="006055B0"/>
    <w:rsid w:val="00605AD7"/>
    <w:rsid w:val="00605B4F"/>
    <w:rsid w:val="00605E65"/>
    <w:rsid w:val="0060625A"/>
    <w:rsid w:val="00606E5C"/>
    <w:rsid w:val="00607581"/>
    <w:rsid w:val="00607795"/>
    <w:rsid w:val="00607D03"/>
    <w:rsid w:val="00607E4C"/>
    <w:rsid w:val="006102CB"/>
    <w:rsid w:val="00610550"/>
    <w:rsid w:val="006107AF"/>
    <w:rsid w:val="006107D1"/>
    <w:rsid w:val="00610827"/>
    <w:rsid w:val="006116A4"/>
    <w:rsid w:val="006117BD"/>
    <w:rsid w:val="00611C1C"/>
    <w:rsid w:val="0061201C"/>
    <w:rsid w:val="00612456"/>
    <w:rsid w:val="006124C4"/>
    <w:rsid w:val="0061268F"/>
    <w:rsid w:val="00612B47"/>
    <w:rsid w:val="00612EAA"/>
    <w:rsid w:val="00612F12"/>
    <w:rsid w:val="006131CF"/>
    <w:rsid w:val="00613283"/>
    <w:rsid w:val="0061405A"/>
    <w:rsid w:val="0061420C"/>
    <w:rsid w:val="00614398"/>
    <w:rsid w:val="00614D74"/>
    <w:rsid w:val="006154F2"/>
    <w:rsid w:val="006155D7"/>
    <w:rsid w:val="006157ED"/>
    <w:rsid w:val="00615C87"/>
    <w:rsid w:val="00615EB6"/>
    <w:rsid w:val="0061619D"/>
    <w:rsid w:val="006164DC"/>
    <w:rsid w:val="00616637"/>
    <w:rsid w:val="00616690"/>
    <w:rsid w:val="006166D5"/>
    <w:rsid w:val="0061673C"/>
    <w:rsid w:val="0061692C"/>
    <w:rsid w:val="006169CF"/>
    <w:rsid w:val="00616E12"/>
    <w:rsid w:val="00616E60"/>
    <w:rsid w:val="00616F7B"/>
    <w:rsid w:val="0061725B"/>
    <w:rsid w:val="00617410"/>
    <w:rsid w:val="0061779D"/>
    <w:rsid w:val="00617834"/>
    <w:rsid w:val="00617CAC"/>
    <w:rsid w:val="00617EA0"/>
    <w:rsid w:val="006200B7"/>
    <w:rsid w:val="006209D9"/>
    <w:rsid w:val="00620BD2"/>
    <w:rsid w:val="00620DBD"/>
    <w:rsid w:val="006210BB"/>
    <w:rsid w:val="00621673"/>
    <w:rsid w:val="00621CF4"/>
    <w:rsid w:val="00622741"/>
    <w:rsid w:val="00622CBE"/>
    <w:rsid w:val="00622EF6"/>
    <w:rsid w:val="006232D0"/>
    <w:rsid w:val="00623BFC"/>
    <w:rsid w:val="00623CA9"/>
    <w:rsid w:val="00623CF0"/>
    <w:rsid w:val="00624E3E"/>
    <w:rsid w:val="00624F58"/>
    <w:rsid w:val="00625401"/>
    <w:rsid w:val="0062546D"/>
    <w:rsid w:val="006258EB"/>
    <w:rsid w:val="00625BF3"/>
    <w:rsid w:val="00625EA0"/>
    <w:rsid w:val="00625F36"/>
    <w:rsid w:val="00626536"/>
    <w:rsid w:val="00626698"/>
    <w:rsid w:val="006271DA"/>
    <w:rsid w:val="00627480"/>
    <w:rsid w:val="006274D5"/>
    <w:rsid w:val="006278A2"/>
    <w:rsid w:val="00627A41"/>
    <w:rsid w:val="00627F96"/>
    <w:rsid w:val="00630021"/>
    <w:rsid w:val="00630083"/>
    <w:rsid w:val="00630F6E"/>
    <w:rsid w:val="00631926"/>
    <w:rsid w:val="00631DFA"/>
    <w:rsid w:val="00632094"/>
    <w:rsid w:val="006321CC"/>
    <w:rsid w:val="00632708"/>
    <w:rsid w:val="00632CC7"/>
    <w:rsid w:val="006330E0"/>
    <w:rsid w:val="006333FF"/>
    <w:rsid w:val="006337BC"/>
    <w:rsid w:val="00633C84"/>
    <w:rsid w:val="00633D38"/>
    <w:rsid w:val="0063495D"/>
    <w:rsid w:val="006349E2"/>
    <w:rsid w:val="00634A3E"/>
    <w:rsid w:val="00634B02"/>
    <w:rsid w:val="00634B53"/>
    <w:rsid w:val="00634C7E"/>
    <w:rsid w:val="00634ED1"/>
    <w:rsid w:val="00635455"/>
    <w:rsid w:val="006359D5"/>
    <w:rsid w:val="00635B95"/>
    <w:rsid w:val="00635DB8"/>
    <w:rsid w:val="00635F4E"/>
    <w:rsid w:val="00635FD5"/>
    <w:rsid w:val="00636879"/>
    <w:rsid w:val="00636AF2"/>
    <w:rsid w:val="00636B49"/>
    <w:rsid w:val="00636E05"/>
    <w:rsid w:val="00637059"/>
    <w:rsid w:val="006370C2"/>
    <w:rsid w:val="006371A6"/>
    <w:rsid w:val="00637506"/>
    <w:rsid w:val="0063766D"/>
    <w:rsid w:val="00637832"/>
    <w:rsid w:val="00637836"/>
    <w:rsid w:val="00637F33"/>
    <w:rsid w:val="00640180"/>
    <w:rsid w:val="006401FD"/>
    <w:rsid w:val="00640672"/>
    <w:rsid w:val="00640969"/>
    <w:rsid w:val="00640A16"/>
    <w:rsid w:val="00640C2E"/>
    <w:rsid w:val="00640F07"/>
    <w:rsid w:val="0064123A"/>
    <w:rsid w:val="006416CD"/>
    <w:rsid w:val="00641B2F"/>
    <w:rsid w:val="00641DF0"/>
    <w:rsid w:val="006423A7"/>
    <w:rsid w:val="00642865"/>
    <w:rsid w:val="00643570"/>
    <w:rsid w:val="00643594"/>
    <w:rsid w:val="00643983"/>
    <w:rsid w:val="00643CA3"/>
    <w:rsid w:val="00643FF3"/>
    <w:rsid w:val="0064408F"/>
    <w:rsid w:val="00644441"/>
    <w:rsid w:val="006445CB"/>
    <w:rsid w:val="006445E3"/>
    <w:rsid w:val="00644E3A"/>
    <w:rsid w:val="006456CE"/>
    <w:rsid w:val="00645860"/>
    <w:rsid w:val="0064589A"/>
    <w:rsid w:val="00645E1F"/>
    <w:rsid w:val="00645EAA"/>
    <w:rsid w:val="0064642D"/>
    <w:rsid w:val="00646A81"/>
    <w:rsid w:val="00646C58"/>
    <w:rsid w:val="00646F87"/>
    <w:rsid w:val="00646FE1"/>
    <w:rsid w:val="0064720B"/>
    <w:rsid w:val="0064731B"/>
    <w:rsid w:val="006476EE"/>
    <w:rsid w:val="00647D0C"/>
    <w:rsid w:val="00647FF8"/>
    <w:rsid w:val="0065041E"/>
    <w:rsid w:val="0065071F"/>
    <w:rsid w:val="00650C02"/>
    <w:rsid w:val="00650C81"/>
    <w:rsid w:val="00650DDC"/>
    <w:rsid w:val="00651B36"/>
    <w:rsid w:val="00651D50"/>
    <w:rsid w:val="00651F3C"/>
    <w:rsid w:val="006520F6"/>
    <w:rsid w:val="0065245E"/>
    <w:rsid w:val="006529F7"/>
    <w:rsid w:val="00652C89"/>
    <w:rsid w:val="00652CDB"/>
    <w:rsid w:val="00652EE7"/>
    <w:rsid w:val="006532DA"/>
    <w:rsid w:val="00653A3D"/>
    <w:rsid w:val="00653DF0"/>
    <w:rsid w:val="00653E50"/>
    <w:rsid w:val="00654295"/>
    <w:rsid w:val="006542E1"/>
    <w:rsid w:val="00654461"/>
    <w:rsid w:val="006549C1"/>
    <w:rsid w:val="0065502E"/>
    <w:rsid w:val="00655176"/>
    <w:rsid w:val="00655610"/>
    <w:rsid w:val="00655980"/>
    <w:rsid w:val="00655A7E"/>
    <w:rsid w:val="00655ADD"/>
    <w:rsid w:val="006568B7"/>
    <w:rsid w:val="00656AFD"/>
    <w:rsid w:val="006571D3"/>
    <w:rsid w:val="00657609"/>
    <w:rsid w:val="0065761C"/>
    <w:rsid w:val="006576D3"/>
    <w:rsid w:val="006577C6"/>
    <w:rsid w:val="00657903"/>
    <w:rsid w:val="00657ADB"/>
    <w:rsid w:val="00657DA2"/>
    <w:rsid w:val="006605C1"/>
    <w:rsid w:val="006609C5"/>
    <w:rsid w:val="00660DBB"/>
    <w:rsid w:val="00660E62"/>
    <w:rsid w:val="00660ED8"/>
    <w:rsid w:val="006611FE"/>
    <w:rsid w:val="0066297C"/>
    <w:rsid w:val="00662C43"/>
    <w:rsid w:val="00662D4E"/>
    <w:rsid w:val="00663A8F"/>
    <w:rsid w:val="00663D9C"/>
    <w:rsid w:val="00663DCC"/>
    <w:rsid w:val="00663E14"/>
    <w:rsid w:val="00663FFE"/>
    <w:rsid w:val="00664051"/>
    <w:rsid w:val="0066420E"/>
    <w:rsid w:val="00664520"/>
    <w:rsid w:val="00664964"/>
    <w:rsid w:val="00664ED1"/>
    <w:rsid w:val="0066504C"/>
    <w:rsid w:val="006650F2"/>
    <w:rsid w:val="00665C34"/>
    <w:rsid w:val="00665D1C"/>
    <w:rsid w:val="0066702D"/>
    <w:rsid w:val="0066735D"/>
    <w:rsid w:val="0066755A"/>
    <w:rsid w:val="00667A66"/>
    <w:rsid w:val="00667B6E"/>
    <w:rsid w:val="00667C90"/>
    <w:rsid w:val="00667E15"/>
    <w:rsid w:val="00667ED5"/>
    <w:rsid w:val="006701FA"/>
    <w:rsid w:val="00670885"/>
    <w:rsid w:val="0067093B"/>
    <w:rsid w:val="00670C03"/>
    <w:rsid w:val="00670F14"/>
    <w:rsid w:val="00671077"/>
    <w:rsid w:val="006716C2"/>
    <w:rsid w:val="006718E4"/>
    <w:rsid w:val="006718F5"/>
    <w:rsid w:val="00671CE5"/>
    <w:rsid w:val="00671CEC"/>
    <w:rsid w:val="0067215A"/>
    <w:rsid w:val="00672180"/>
    <w:rsid w:val="0067228C"/>
    <w:rsid w:val="00672609"/>
    <w:rsid w:val="00672745"/>
    <w:rsid w:val="006727B7"/>
    <w:rsid w:val="006731B8"/>
    <w:rsid w:val="00673416"/>
    <w:rsid w:val="00673BDC"/>
    <w:rsid w:val="00673E9C"/>
    <w:rsid w:val="00673FEF"/>
    <w:rsid w:val="00674125"/>
    <w:rsid w:val="006741B6"/>
    <w:rsid w:val="006741B9"/>
    <w:rsid w:val="00674999"/>
    <w:rsid w:val="00674DB7"/>
    <w:rsid w:val="00675055"/>
    <w:rsid w:val="00675570"/>
    <w:rsid w:val="006755C0"/>
    <w:rsid w:val="00675719"/>
    <w:rsid w:val="00675820"/>
    <w:rsid w:val="0067620A"/>
    <w:rsid w:val="00677503"/>
    <w:rsid w:val="0067765A"/>
    <w:rsid w:val="006778B5"/>
    <w:rsid w:val="00677A0A"/>
    <w:rsid w:val="00677B2A"/>
    <w:rsid w:val="0068016A"/>
    <w:rsid w:val="00680731"/>
    <w:rsid w:val="00680973"/>
    <w:rsid w:val="00680C94"/>
    <w:rsid w:val="00681ABD"/>
    <w:rsid w:val="00681D50"/>
    <w:rsid w:val="00681DE8"/>
    <w:rsid w:val="006824E5"/>
    <w:rsid w:val="006829DF"/>
    <w:rsid w:val="006831F6"/>
    <w:rsid w:val="0068320A"/>
    <w:rsid w:val="006838D8"/>
    <w:rsid w:val="00683A04"/>
    <w:rsid w:val="00683D6F"/>
    <w:rsid w:val="00684099"/>
    <w:rsid w:val="00684221"/>
    <w:rsid w:val="006843A6"/>
    <w:rsid w:val="006846E2"/>
    <w:rsid w:val="00684C7F"/>
    <w:rsid w:val="006857C4"/>
    <w:rsid w:val="00685817"/>
    <w:rsid w:val="00685C70"/>
    <w:rsid w:val="00685EEC"/>
    <w:rsid w:val="006860EF"/>
    <w:rsid w:val="006863F9"/>
    <w:rsid w:val="00686881"/>
    <w:rsid w:val="006869B1"/>
    <w:rsid w:val="00686C64"/>
    <w:rsid w:val="00686D0D"/>
    <w:rsid w:val="00687108"/>
    <w:rsid w:val="0068728C"/>
    <w:rsid w:val="006873CD"/>
    <w:rsid w:val="0068769A"/>
    <w:rsid w:val="006876A0"/>
    <w:rsid w:val="00687CA6"/>
    <w:rsid w:val="00687D55"/>
    <w:rsid w:val="00690236"/>
    <w:rsid w:val="0069029A"/>
    <w:rsid w:val="006909BB"/>
    <w:rsid w:val="00690DDC"/>
    <w:rsid w:val="00691614"/>
    <w:rsid w:val="0069223C"/>
    <w:rsid w:val="00692258"/>
    <w:rsid w:val="006923E7"/>
    <w:rsid w:val="006924BA"/>
    <w:rsid w:val="0069287D"/>
    <w:rsid w:val="0069311C"/>
    <w:rsid w:val="00693150"/>
    <w:rsid w:val="006932AD"/>
    <w:rsid w:val="00693F2F"/>
    <w:rsid w:val="00693F8F"/>
    <w:rsid w:val="00694253"/>
    <w:rsid w:val="00694289"/>
    <w:rsid w:val="006945D1"/>
    <w:rsid w:val="0069494D"/>
    <w:rsid w:val="00694AE6"/>
    <w:rsid w:val="00694D70"/>
    <w:rsid w:val="00694FBE"/>
    <w:rsid w:val="00695241"/>
    <w:rsid w:val="0069539C"/>
    <w:rsid w:val="00695403"/>
    <w:rsid w:val="0069576C"/>
    <w:rsid w:val="00695A5B"/>
    <w:rsid w:val="00695FB9"/>
    <w:rsid w:val="00696192"/>
    <w:rsid w:val="006962F0"/>
    <w:rsid w:val="00696500"/>
    <w:rsid w:val="006965ED"/>
    <w:rsid w:val="00696602"/>
    <w:rsid w:val="00697071"/>
    <w:rsid w:val="00697281"/>
    <w:rsid w:val="00697418"/>
    <w:rsid w:val="00697BCF"/>
    <w:rsid w:val="00697DDB"/>
    <w:rsid w:val="006A0065"/>
    <w:rsid w:val="006A01BB"/>
    <w:rsid w:val="006A0445"/>
    <w:rsid w:val="006A0962"/>
    <w:rsid w:val="006A0E95"/>
    <w:rsid w:val="006A14BB"/>
    <w:rsid w:val="006A1C6F"/>
    <w:rsid w:val="006A1CD6"/>
    <w:rsid w:val="006A1E36"/>
    <w:rsid w:val="006A227F"/>
    <w:rsid w:val="006A23C1"/>
    <w:rsid w:val="006A2472"/>
    <w:rsid w:val="006A25D2"/>
    <w:rsid w:val="006A2DB8"/>
    <w:rsid w:val="006A30B6"/>
    <w:rsid w:val="006A34C9"/>
    <w:rsid w:val="006A35FE"/>
    <w:rsid w:val="006A37E5"/>
    <w:rsid w:val="006A3B1D"/>
    <w:rsid w:val="006A3CEA"/>
    <w:rsid w:val="006A3D49"/>
    <w:rsid w:val="006A3DE7"/>
    <w:rsid w:val="006A4454"/>
    <w:rsid w:val="006A4556"/>
    <w:rsid w:val="006A51EE"/>
    <w:rsid w:val="006A51F5"/>
    <w:rsid w:val="006A5F05"/>
    <w:rsid w:val="006A6117"/>
    <w:rsid w:val="006A61DB"/>
    <w:rsid w:val="006A6355"/>
    <w:rsid w:val="006A6C62"/>
    <w:rsid w:val="006A739E"/>
    <w:rsid w:val="006A748E"/>
    <w:rsid w:val="006B02F9"/>
    <w:rsid w:val="006B031D"/>
    <w:rsid w:val="006B0325"/>
    <w:rsid w:val="006B0340"/>
    <w:rsid w:val="006B0443"/>
    <w:rsid w:val="006B061F"/>
    <w:rsid w:val="006B16E5"/>
    <w:rsid w:val="006B1752"/>
    <w:rsid w:val="006B1B35"/>
    <w:rsid w:val="006B1B73"/>
    <w:rsid w:val="006B1EBF"/>
    <w:rsid w:val="006B1FB9"/>
    <w:rsid w:val="006B2288"/>
    <w:rsid w:val="006B284F"/>
    <w:rsid w:val="006B2DDB"/>
    <w:rsid w:val="006B351A"/>
    <w:rsid w:val="006B35CE"/>
    <w:rsid w:val="006B38F9"/>
    <w:rsid w:val="006B4014"/>
    <w:rsid w:val="006B43DF"/>
    <w:rsid w:val="006B4A5A"/>
    <w:rsid w:val="006B5413"/>
    <w:rsid w:val="006B5AFD"/>
    <w:rsid w:val="006B65B3"/>
    <w:rsid w:val="006B7739"/>
    <w:rsid w:val="006B778B"/>
    <w:rsid w:val="006B7CDD"/>
    <w:rsid w:val="006B7CE6"/>
    <w:rsid w:val="006B7EC7"/>
    <w:rsid w:val="006B7FDD"/>
    <w:rsid w:val="006C05F8"/>
    <w:rsid w:val="006C09CA"/>
    <w:rsid w:val="006C0CAC"/>
    <w:rsid w:val="006C0CE8"/>
    <w:rsid w:val="006C0FE7"/>
    <w:rsid w:val="006C1486"/>
    <w:rsid w:val="006C18AA"/>
    <w:rsid w:val="006C1D63"/>
    <w:rsid w:val="006C1EC5"/>
    <w:rsid w:val="006C2118"/>
    <w:rsid w:val="006C3797"/>
    <w:rsid w:val="006C38E9"/>
    <w:rsid w:val="006C3FA4"/>
    <w:rsid w:val="006C43C5"/>
    <w:rsid w:val="006C4A1A"/>
    <w:rsid w:val="006C4BE4"/>
    <w:rsid w:val="006C4CE7"/>
    <w:rsid w:val="006C4D6C"/>
    <w:rsid w:val="006C527C"/>
    <w:rsid w:val="006C570E"/>
    <w:rsid w:val="006C575C"/>
    <w:rsid w:val="006C5792"/>
    <w:rsid w:val="006C5802"/>
    <w:rsid w:val="006C58BC"/>
    <w:rsid w:val="006C5BDB"/>
    <w:rsid w:val="006C5EF9"/>
    <w:rsid w:val="006C65A6"/>
    <w:rsid w:val="006C66E6"/>
    <w:rsid w:val="006C678B"/>
    <w:rsid w:val="006C67A4"/>
    <w:rsid w:val="006C6980"/>
    <w:rsid w:val="006C6B81"/>
    <w:rsid w:val="006C7259"/>
    <w:rsid w:val="006C768E"/>
    <w:rsid w:val="006C789B"/>
    <w:rsid w:val="006C78B3"/>
    <w:rsid w:val="006C7989"/>
    <w:rsid w:val="006D04C0"/>
    <w:rsid w:val="006D05C6"/>
    <w:rsid w:val="006D1483"/>
    <w:rsid w:val="006D16A3"/>
    <w:rsid w:val="006D1999"/>
    <w:rsid w:val="006D1BAB"/>
    <w:rsid w:val="006D1CA4"/>
    <w:rsid w:val="006D1EBF"/>
    <w:rsid w:val="006D2771"/>
    <w:rsid w:val="006D2B98"/>
    <w:rsid w:val="006D2E61"/>
    <w:rsid w:val="006D342C"/>
    <w:rsid w:val="006D3C65"/>
    <w:rsid w:val="006D4096"/>
    <w:rsid w:val="006D4442"/>
    <w:rsid w:val="006D4B28"/>
    <w:rsid w:val="006D4DE2"/>
    <w:rsid w:val="006D50B0"/>
    <w:rsid w:val="006D56E4"/>
    <w:rsid w:val="006D570F"/>
    <w:rsid w:val="006D5887"/>
    <w:rsid w:val="006D5F7D"/>
    <w:rsid w:val="006D67F3"/>
    <w:rsid w:val="006D6C73"/>
    <w:rsid w:val="006D6E25"/>
    <w:rsid w:val="006D7247"/>
    <w:rsid w:val="006D75AC"/>
    <w:rsid w:val="006D76CB"/>
    <w:rsid w:val="006D7739"/>
    <w:rsid w:val="006D7BE7"/>
    <w:rsid w:val="006D7BF3"/>
    <w:rsid w:val="006D7D44"/>
    <w:rsid w:val="006D7F3B"/>
    <w:rsid w:val="006E0276"/>
    <w:rsid w:val="006E0678"/>
    <w:rsid w:val="006E0AAC"/>
    <w:rsid w:val="006E0D3C"/>
    <w:rsid w:val="006E0D59"/>
    <w:rsid w:val="006E0F32"/>
    <w:rsid w:val="006E0F37"/>
    <w:rsid w:val="006E1658"/>
    <w:rsid w:val="006E1E6D"/>
    <w:rsid w:val="006E27E0"/>
    <w:rsid w:val="006E29C2"/>
    <w:rsid w:val="006E2DAE"/>
    <w:rsid w:val="006E2E92"/>
    <w:rsid w:val="006E31FB"/>
    <w:rsid w:val="006E3568"/>
    <w:rsid w:val="006E36EB"/>
    <w:rsid w:val="006E377E"/>
    <w:rsid w:val="006E42C8"/>
    <w:rsid w:val="006E4408"/>
    <w:rsid w:val="006E4BE5"/>
    <w:rsid w:val="006E4D8A"/>
    <w:rsid w:val="006E5AE4"/>
    <w:rsid w:val="006E5F8C"/>
    <w:rsid w:val="006E5F9D"/>
    <w:rsid w:val="006E701A"/>
    <w:rsid w:val="006E72DF"/>
    <w:rsid w:val="006E74F8"/>
    <w:rsid w:val="006E76E7"/>
    <w:rsid w:val="006E771C"/>
    <w:rsid w:val="006E77A0"/>
    <w:rsid w:val="006E77BB"/>
    <w:rsid w:val="006E7857"/>
    <w:rsid w:val="006E7C99"/>
    <w:rsid w:val="006E7FC7"/>
    <w:rsid w:val="006F0585"/>
    <w:rsid w:val="006F070C"/>
    <w:rsid w:val="006F1130"/>
    <w:rsid w:val="006F1214"/>
    <w:rsid w:val="006F1574"/>
    <w:rsid w:val="006F249D"/>
    <w:rsid w:val="006F2681"/>
    <w:rsid w:val="006F286A"/>
    <w:rsid w:val="006F29FC"/>
    <w:rsid w:val="006F2CBF"/>
    <w:rsid w:val="006F30A2"/>
    <w:rsid w:val="006F340B"/>
    <w:rsid w:val="006F43DA"/>
    <w:rsid w:val="006F4770"/>
    <w:rsid w:val="006F498B"/>
    <w:rsid w:val="006F4B2E"/>
    <w:rsid w:val="006F4EA3"/>
    <w:rsid w:val="006F50C9"/>
    <w:rsid w:val="006F54E1"/>
    <w:rsid w:val="006F5563"/>
    <w:rsid w:val="006F5784"/>
    <w:rsid w:val="006F5809"/>
    <w:rsid w:val="006F5A2E"/>
    <w:rsid w:val="006F5BC3"/>
    <w:rsid w:val="006F5C44"/>
    <w:rsid w:val="006F615B"/>
    <w:rsid w:val="006F65A6"/>
    <w:rsid w:val="006F6649"/>
    <w:rsid w:val="006F6D06"/>
    <w:rsid w:val="006F713B"/>
    <w:rsid w:val="006F7194"/>
    <w:rsid w:val="006F7CE1"/>
    <w:rsid w:val="006F7E72"/>
    <w:rsid w:val="007002E4"/>
    <w:rsid w:val="00700BCB"/>
    <w:rsid w:val="00700F38"/>
    <w:rsid w:val="00700F9A"/>
    <w:rsid w:val="007010E8"/>
    <w:rsid w:val="007014D9"/>
    <w:rsid w:val="00701705"/>
    <w:rsid w:val="007017D6"/>
    <w:rsid w:val="00701A79"/>
    <w:rsid w:val="00701CC7"/>
    <w:rsid w:val="00701CCE"/>
    <w:rsid w:val="00701DC8"/>
    <w:rsid w:val="00702356"/>
    <w:rsid w:val="00702487"/>
    <w:rsid w:val="007024EA"/>
    <w:rsid w:val="007025BD"/>
    <w:rsid w:val="0070295D"/>
    <w:rsid w:val="00702CDB"/>
    <w:rsid w:val="00702D52"/>
    <w:rsid w:val="00704071"/>
    <w:rsid w:val="007041ED"/>
    <w:rsid w:val="00704462"/>
    <w:rsid w:val="0070455A"/>
    <w:rsid w:val="00704607"/>
    <w:rsid w:val="00704954"/>
    <w:rsid w:val="00704B15"/>
    <w:rsid w:val="007052E1"/>
    <w:rsid w:val="0070534B"/>
    <w:rsid w:val="00705CF9"/>
    <w:rsid w:val="00705E10"/>
    <w:rsid w:val="00706344"/>
    <w:rsid w:val="00706725"/>
    <w:rsid w:val="007067DA"/>
    <w:rsid w:val="00707349"/>
    <w:rsid w:val="007079C8"/>
    <w:rsid w:val="007079F7"/>
    <w:rsid w:val="00707C3A"/>
    <w:rsid w:val="00707D15"/>
    <w:rsid w:val="00707DD8"/>
    <w:rsid w:val="00707E58"/>
    <w:rsid w:val="007103C1"/>
    <w:rsid w:val="00710C8D"/>
    <w:rsid w:val="0071112D"/>
    <w:rsid w:val="00711CF6"/>
    <w:rsid w:val="00711F63"/>
    <w:rsid w:val="00711F74"/>
    <w:rsid w:val="00711FDE"/>
    <w:rsid w:val="00712095"/>
    <w:rsid w:val="00712508"/>
    <w:rsid w:val="00712AC9"/>
    <w:rsid w:val="00712AEC"/>
    <w:rsid w:val="00712EA9"/>
    <w:rsid w:val="007131D4"/>
    <w:rsid w:val="0071326F"/>
    <w:rsid w:val="007132E2"/>
    <w:rsid w:val="007136A9"/>
    <w:rsid w:val="007137E4"/>
    <w:rsid w:val="0071388B"/>
    <w:rsid w:val="0071389C"/>
    <w:rsid w:val="00713B6D"/>
    <w:rsid w:val="00713ECC"/>
    <w:rsid w:val="0071456D"/>
    <w:rsid w:val="00714A63"/>
    <w:rsid w:val="00714EF5"/>
    <w:rsid w:val="00715793"/>
    <w:rsid w:val="007158A8"/>
    <w:rsid w:val="00715A36"/>
    <w:rsid w:val="00715CDB"/>
    <w:rsid w:val="00715F2D"/>
    <w:rsid w:val="007165CB"/>
    <w:rsid w:val="007165E1"/>
    <w:rsid w:val="007165EC"/>
    <w:rsid w:val="00716D7A"/>
    <w:rsid w:val="00717428"/>
    <w:rsid w:val="0071764D"/>
    <w:rsid w:val="007176A3"/>
    <w:rsid w:val="007177CE"/>
    <w:rsid w:val="0071790B"/>
    <w:rsid w:val="00717B84"/>
    <w:rsid w:val="00717C10"/>
    <w:rsid w:val="007204FF"/>
    <w:rsid w:val="00720590"/>
    <w:rsid w:val="00720759"/>
    <w:rsid w:val="00721189"/>
    <w:rsid w:val="007212B9"/>
    <w:rsid w:val="00721333"/>
    <w:rsid w:val="0072144D"/>
    <w:rsid w:val="00721902"/>
    <w:rsid w:val="00721A41"/>
    <w:rsid w:val="00721E08"/>
    <w:rsid w:val="00722198"/>
    <w:rsid w:val="0072229B"/>
    <w:rsid w:val="00722FB3"/>
    <w:rsid w:val="00723B8B"/>
    <w:rsid w:val="00723E74"/>
    <w:rsid w:val="007241B7"/>
    <w:rsid w:val="0072435A"/>
    <w:rsid w:val="007243A7"/>
    <w:rsid w:val="00724473"/>
    <w:rsid w:val="007244CC"/>
    <w:rsid w:val="0072462E"/>
    <w:rsid w:val="0072467E"/>
    <w:rsid w:val="00724795"/>
    <w:rsid w:val="007249A8"/>
    <w:rsid w:val="00724EB6"/>
    <w:rsid w:val="007256E2"/>
    <w:rsid w:val="0072584E"/>
    <w:rsid w:val="00725D0D"/>
    <w:rsid w:val="00726039"/>
    <w:rsid w:val="00726406"/>
    <w:rsid w:val="00726A95"/>
    <w:rsid w:val="00726C7D"/>
    <w:rsid w:val="00727151"/>
    <w:rsid w:val="00727269"/>
    <w:rsid w:val="007273E7"/>
    <w:rsid w:val="00727485"/>
    <w:rsid w:val="007275EE"/>
    <w:rsid w:val="007277C5"/>
    <w:rsid w:val="0072790B"/>
    <w:rsid w:val="00727A1E"/>
    <w:rsid w:val="00727CCF"/>
    <w:rsid w:val="00727E5E"/>
    <w:rsid w:val="00727EAA"/>
    <w:rsid w:val="00727EAC"/>
    <w:rsid w:val="00727EB8"/>
    <w:rsid w:val="0073010F"/>
    <w:rsid w:val="00730318"/>
    <w:rsid w:val="00730346"/>
    <w:rsid w:val="007304CA"/>
    <w:rsid w:val="007305D9"/>
    <w:rsid w:val="0073088E"/>
    <w:rsid w:val="00730B6D"/>
    <w:rsid w:val="00731739"/>
    <w:rsid w:val="00731BBF"/>
    <w:rsid w:val="007322E0"/>
    <w:rsid w:val="007326D6"/>
    <w:rsid w:val="007329F2"/>
    <w:rsid w:val="00732AB8"/>
    <w:rsid w:val="00732AEC"/>
    <w:rsid w:val="00732BB9"/>
    <w:rsid w:val="00732C77"/>
    <w:rsid w:val="00732D2D"/>
    <w:rsid w:val="00732D7C"/>
    <w:rsid w:val="00732ECF"/>
    <w:rsid w:val="0073339A"/>
    <w:rsid w:val="00733B40"/>
    <w:rsid w:val="007342E6"/>
    <w:rsid w:val="007343F4"/>
    <w:rsid w:val="0073460A"/>
    <w:rsid w:val="00734886"/>
    <w:rsid w:val="0073499A"/>
    <w:rsid w:val="007349FC"/>
    <w:rsid w:val="007358B1"/>
    <w:rsid w:val="00735A08"/>
    <w:rsid w:val="00735AB9"/>
    <w:rsid w:val="00735BBC"/>
    <w:rsid w:val="00735E7B"/>
    <w:rsid w:val="00736008"/>
    <w:rsid w:val="00736F2F"/>
    <w:rsid w:val="00737174"/>
    <w:rsid w:val="007371EE"/>
    <w:rsid w:val="007373C4"/>
    <w:rsid w:val="0073747E"/>
    <w:rsid w:val="00737826"/>
    <w:rsid w:val="00737858"/>
    <w:rsid w:val="00737BD6"/>
    <w:rsid w:val="00737D09"/>
    <w:rsid w:val="00737DC6"/>
    <w:rsid w:val="0074027A"/>
    <w:rsid w:val="007406AC"/>
    <w:rsid w:val="00740C93"/>
    <w:rsid w:val="00741144"/>
    <w:rsid w:val="00741454"/>
    <w:rsid w:val="00741CC0"/>
    <w:rsid w:val="00742483"/>
    <w:rsid w:val="00742B35"/>
    <w:rsid w:val="00742B6F"/>
    <w:rsid w:val="00744252"/>
    <w:rsid w:val="007442C8"/>
    <w:rsid w:val="007447A2"/>
    <w:rsid w:val="007447E6"/>
    <w:rsid w:val="007448E8"/>
    <w:rsid w:val="00744FB8"/>
    <w:rsid w:val="00745332"/>
    <w:rsid w:val="007458C4"/>
    <w:rsid w:val="007459FC"/>
    <w:rsid w:val="007460B8"/>
    <w:rsid w:val="00746174"/>
    <w:rsid w:val="00746338"/>
    <w:rsid w:val="00746406"/>
    <w:rsid w:val="00746487"/>
    <w:rsid w:val="007465FC"/>
    <w:rsid w:val="00746851"/>
    <w:rsid w:val="00746BD1"/>
    <w:rsid w:val="00747395"/>
    <w:rsid w:val="007479D0"/>
    <w:rsid w:val="007500B6"/>
    <w:rsid w:val="00750455"/>
    <w:rsid w:val="0075072B"/>
    <w:rsid w:val="0075079C"/>
    <w:rsid w:val="007507C7"/>
    <w:rsid w:val="00750940"/>
    <w:rsid w:val="007509E2"/>
    <w:rsid w:val="00751B43"/>
    <w:rsid w:val="00751B6A"/>
    <w:rsid w:val="00751C69"/>
    <w:rsid w:val="00751D11"/>
    <w:rsid w:val="007523FE"/>
    <w:rsid w:val="007525F7"/>
    <w:rsid w:val="007528B6"/>
    <w:rsid w:val="0075332E"/>
    <w:rsid w:val="00753724"/>
    <w:rsid w:val="007537D1"/>
    <w:rsid w:val="00753887"/>
    <w:rsid w:val="00753C8E"/>
    <w:rsid w:val="00754090"/>
    <w:rsid w:val="007540EE"/>
    <w:rsid w:val="007549EA"/>
    <w:rsid w:val="007549F6"/>
    <w:rsid w:val="00754B00"/>
    <w:rsid w:val="00754C33"/>
    <w:rsid w:val="00754D8B"/>
    <w:rsid w:val="00755120"/>
    <w:rsid w:val="0075522F"/>
    <w:rsid w:val="00755301"/>
    <w:rsid w:val="00755D94"/>
    <w:rsid w:val="00756969"/>
    <w:rsid w:val="00756E48"/>
    <w:rsid w:val="007571CD"/>
    <w:rsid w:val="0075756B"/>
    <w:rsid w:val="00757A55"/>
    <w:rsid w:val="00757C3F"/>
    <w:rsid w:val="00757E21"/>
    <w:rsid w:val="0076038C"/>
    <w:rsid w:val="00760506"/>
    <w:rsid w:val="00761263"/>
    <w:rsid w:val="00761888"/>
    <w:rsid w:val="00761C67"/>
    <w:rsid w:val="00761CA0"/>
    <w:rsid w:val="0076249C"/>
    <w:rsid w:val="00763924"/>
    <w:rsid w:val="00763DD0"/>
    <w:rsid w:val="00764137"/>
    <w:rsid w:val="007643DA"/>
    <w:rsid w:val="0076459B"/>
    <w:rsid w:val="00764BD2"/>
    <w:rsid w:val="00764C8A"/>
    <w:rsid w:val="00764CD8"/>
    <w:rsid w:val="00764D25"/>
    <w:rsid w:val="00765597"/>
    <w:rsid w:val="00765736"/>
    <w:rsid w:val="007659BD"/>
    <w:rsid w:val="00765CA5"/>
    <w:rsid w:val="00765D09"/>
    <w:rsid w:val="00765D8B"/>
    <w:rsid w:val="007660E5"/>
    <w:rsid w:val="00766114"/>
    <w:rsid w:val="00766279"/>
    <w:rsid w:val="00766422"/>
    <w:rsid w:val="00766615"/>
    <w:rsid w:val="0076667C"/>
    <w:rsid w:val="007669F3"/>
    <w:rsid w:val="00766A2E"/>
    <w:rsid w:val="00766D37"/>
    <w:rsid w:val="00766D7B"/>
    <w:rsid w:val="00766F33"/>
    <w:rsid w:val="00767343"/>
    <w:rsid w:val="00767390"/>
    <w:rsid w:val="00767586"/>
    <w:rsid w:val="007675A3"/>
    <w:rsid w:val="0076794D"/>
    <w:rsid w:val="00767CBD"/>
    <w:rsid w:val="00767F25"/>
    <w:rsid w:val="0077052C"/>
    <w:rsid w:val="00770F11"/>
    <w:rsid w:val="00771121"/>
    <w:rsid w:val="00771478"/>
    <w:rsid w:val="0077190C"/>
    <w:rsid w:val="00771AB8"/>
    <w:rsid w:val="00771FF3"/>
    <w:rsid w:val="0077210D"/>
    <w:rsid w:val="007721F6"/>
    <w:rsid w:val="007724A4"/>
    <w:rsid w:val="00772F8E"/>
    <w:rsid w:val="00773246"/>
    <w:rsid w:val="00773339"/>
    <w:rsid w:val="00773505"/>
    <w:rsid w:val="007738EC"/>
    <w:rsid w:val="00773C19"/>
    <w:rsid w:val="00773D8F"/>
    <w:rsid w:val="00773DE4"/>
    <w:rsid w:val="00773FD7"/>
    <w:rsid w:val="007740BE"/>
    <w:rsid w:val="00774135"/>
    <w:rsid w:val="0077416C"/>
    <w:rsid w:val="007743B6"/>
    <w:rsid w:val="007745F6"/>
    <w:rsid w:val="00775311"/>
    <w:rsid w:val="0077532B"/>
    <w:rsid w:val="00775CDA"/>
    <w:rsid w:val="00775CF7"/>
    <w:rsid w:val="00775D25"/>
    <w:rsid w:val="00775ECD"/>
    <w:rsid w:val="0077635D"/>
    <w:rsid w:val="00777536"/>
    <w:rsid w:val="007776A9"/>
    <w:rsid w:val="00777C65"/>
    <w:rsid w:val="00777C97"/>
    <w:rsid w:val="00777DA4"/>
    <w:rsid w:val="00780061"/>
    <w:rsid w:val="00780271"/>
    <w:rsid w:val="00780853"/>
    <w:rsid w:val="007808D5"/>
    <w:rsid w:val="007809ED"/>
    <w:rsid w:val="00780AE8"/>
    <w:rsid w:val="00780D99"/>
    <w:rsid w:val="00781061"/>
    <w:rsid w:val="007818A2"/>
    <w:rsid w:val="00781DC5"/>
    <w:rsid w:val="0078228C"/>
    <w:rsid w:val="007827EA"/>
    <w:rsid w:val="00782A09"/>
    <w:rsid w:val="00783174"/>
    <w:rsid w:val="007831E2"/>
    <w:rsid w:val="00783A6C"/>
    <w:rsid w:val="00783AC7"/>
    <w:rsid w:val="00783D42"/>
    <w:rsid w:val="00783E31"/>
    <w:rsid w:val="0078434A"/>
    <w:rsid w:val="00784523"/>
    <w:rsid w:val="0078475A"/>
    <w:rsid w:val="0078489D"/>
    <w:rsid w:val="00784BE3"/>
    <w:rsid w:val="00784BFA"/>
    <w:rsid w:val="007850BA"/>
    <w:rsid w:val="007852C3"/>
    <w:rsid w:val="0078560D"/>
    <w:rsid w:val="0078562B"/>
    <w:rsid w:val="00785D08"/>
    <w:rsid w:val="00785E2B"/>
    <w:rsid w:val="00785F65"/>
    <w:rsid w:val="00786023"/>
    <w:rsid w:val="0078624E"/>
    <w:rsid w:val="007863D9"/>
    <w:rsid w:val="00786601"/>
    <w:rsid w:val="00786717"/>
    <w:rsid w:val="00786D3F"/>
    <w:rsid w:val="00786E7F"/>
    <w:rsid w:val="00786FC6"/>
    <w:rsid w:val="00787109"/>
    <w:rsid w:val="00787838"/>
    <w:rsid w:val="00787DD6"/>
    <w:rsid w:val="00787FA4"/>
    <w:rsid w:val="00787FE8"/>
    <w:rsid w:val="007904F6"/>
    <w:rsid w:val="007906A9"/>
    <w:rsid w:val="00790914"/>
    <w:rsid w:val="00790DB4"/>
    <w:rsid w:val="00790F92"/>
    <w:rsid w:val="0079121B"/>
    <w:rsid w:val="0079143D"/>
    <w:rsid w:val="00791446"/>
    <w:rsid w:val="007914B3"/>
    <w:rsid w:val="00791788"/>
    <w:rsid w:val="007918FB"/>
    <w:rsid w:val="00791C7A"/>
    <w:rsid w:val="00792153"/>
    <w:rsid w:val="007924E4"/>
    <w:rsid w:val="0079266E"/>
    <w:rsid w:val="007928B1"/>
    <w:rsid w:val="0079330B"/>
    <w:rsid w:val="00793FDD"/>
    <w:rsid w:val="00794540"/>
    <w:rsid w:val="0079467F"/>
    <w:rsid w:val="007954B1"/>
    <w:rsid w:val="00795798"/>
    <w:rsid w:val="00795B21"/>
    <w:rsid w:val="00796178"/>
    <w:rsid w:val="00796236"/>
    <w:rsid w:val="0079709E"/>
    <w:rsid w:val="007971F2"/>
    <w:rsid w:val="00797343"/>
    <w:rsid w:val="0079741D"/>
    <w:rsid w:val="00797A1D"/>
    <w:rsid w:val="007A01BC"/>
    <w:rsid w:val="007A07BA"/>
    <w:rsid w:val="007A0918"/>
    <w:rsid w:val="007A0B0F"/>
    <w:rsid w:val="007A10EF"/>
    <w:rsid w:val="007A17FF"/>
    <w:rsid w:val="007A1D31"/>
    <w:rsid w:val="007A1E8F"/>
    <w:rsid w:val="007A1FF0"/>
    <w:rsid w:val="007A2447"/>
    <w:rsid w:val="007A2577"/>
    <w:rsid w:val="007A2690"/>
    <w:rsid w:val="007A26DF"/>
    <w:rsid w:val="007A2B18"/>
    <w:rsid w:val="007A2B5A"/>
    <w:rsid w:val="007A2D1F"/>
    <w:rsid w:val="007A3028"/>
    <w:rsid w:val="007A31E9"/>
    <w:rsid w:val="007A36F6"/>
    <w:rsid w:val="007A3754"/>
    <w:rsid w:val="007A3ED9"/>
    <w:rsid w:val="007A433B"/>
    <w:rsid w:val="007A4408"/>
    <w:rsid w:val="007A4F61"/>
    <w:rsid w:val="007A567C"/>
    <w:rsid w:val="007A57EC"/>
    <w:rsid w:val="007A5CBB"/>
    <w:rsid w:val="007A6141"/>
    <w:rsid w:val="007A64DA"/>
    <w:rsid w:val="007A6900"/>
    <w:rsid w:val="007A6A96"/>
    <w:rsid w:val="007A6DDA"/>
    <w:rsid w:val="007A7212"/>
    <w:rsid w:val="007A7715"/>
    <w:rsid w:val="007A77D4"/>
    <w:rsid w:val="007A7884"/>
    <w:rsid w:val="007A7A83"/>
    <w:rsid w:val="007B05BA"/>
    <w:rsid w:val="007B083E"/>
    <w:rsid w:val="007B0B71"/>
    <w:rsid w:val="007B0F42"/>
    <w:rsid w:val="007B0FCC"/>
    <w:rsid w:val="007B10E2"/>
    <w:rsid w:val="007B1490"/>
    <w:rsid w:val="007B1F1B"/>
    <w:rsid w:val="007B2139"/>
    <w:rsid w:val="007B21F2"/>
    <w:rsid w:val="007B23AE"/>
    <w:rsid w:val="007B2491"/>
    <w:rsid w:val="007B272E"/>
    <w:rsid w:val="007B2874"/>
    <w:rsid w:val="007B2ECE"/>
    <w:rsid w:val="007B2F41"/>
    <w:rsid w:val="007B2FD5"/>
    <w:rsid w:val="007B38D8"/>
    <w:rsid w:val="007B3911"/>
    <w:rsid w:val="007B3AA8"/>
    <w:rsid w:val="007B3B2C"/>
    <w:rsid w:val="007B3B89"/>
    <w:rsid w:val="007B44AB"/>
    <w:rsid w:val="007B4618"/>
    <w:rsid w:val="007B461A"/>
    <w:rsid w:val="007B4734"/>
    <w:rsid w:val="007B478E"/>
    <w:rsid w:val="007B47D4"/>
    <w:rsid w:val="007B4AB6"/>
    <w:rsid w:val="007B4C14"/>
    <w:rsid w:val="007B52E8"/>
    <w:rsid w:val="007B53C5"/>
    <w:rsid w:val="007B5766"/>
    <w:rsid w:val="007B5A4F"/>
    <w:rsid w:val="007B5BD7"/>
    <w:rsid w:val="007B5D39"/>
    <w:rsid w:val="007B642E"/>
    <w:rsid w:val="007B6570"/>
    <w:rsid w:val="007B65BA"/>
    <w:rsid w:val="007B66E8"/>
    <w:rsid w:val="007B6AD1"/>
    <w:rsid w:val="007B6BBA"/>
    <w:rsid w:val="007B75D3"/>
    <w:rsid w:val="007B75FB"/>
    <w:rsid w:val="007B77FD"/>
    <w:rsid w:val="007B7A79"/>
    <w:rsid w:val="007C01F1"/>
    <w:rsid w:val="007C05D7"/>
    <w:rsid w:val="007C05F7"/>
    <w:rsid w:val="007C0B93"/>
    <w:rsid w:val="007C0BA0"/>
    <w:rsid w:val="007C0F97"/>
    <w:rsid w:val="007C1914"/>
    <w:rsid w:val="007C1B01"/>
    <w:rsid w:val="007C1CF9"/>
    <w:rsid w:val="007C1E49"/>
    <w:rsid w:val="007C2278"/>
    <w:rsid w:val="007C2396"/>
    <w:rsid w:val="007C270F"/>
    <w:rsid w:val="007C2E0F"/>
    <w:rsid w:val="007C31AA"/>
    <w:rsid w:val="007C3279"/>
    <w:rsid w:val="007C328D"/>
    <w:rsid w:val="007C3907"/>
    <w:rsid w:val="007C3E0C"/>
    <w:rsid w:val="007C43AB"/>
    <w:rsid w:val="007C4AC5"/>
    <w:rsid w:val="007C4EDB"/>
    <w:rsid w:val="007C4F99"/>
    <w:rsid w:val="007C50C6"/>
    <w:rsid w:val="007C53BC"/>
    <w:rsid w:val="007C5503"/>
    <w:rsid w:val="007C56DD"/>
    <w:rsid w:val="007C5B8D"/>
    <w:rsid w:val="007C621A"/>
    <w:rsid w:val="007C62CD"/>
    <w:rsid w:val="007C6994"/>
    <w:rsid w:val="007C6B17"/>
    <w:rsid w:val="007C6B44"/>
    <w:rsid w:val="007C6FA9"/>
    <w:rsid w:val="007C73D2"/>
    <w:rsid w:val="007C7486"/>
    <w:rsid w:val="007C7913"/>
    <w:rsid w:val="007C7C0F"/>
    <w:rsid w:val="007C7D7D"/>
    <w:rsid w:val="007C7E2A"/>
    <w:rsid w:val="007D0609"/>
    <w:rsid w:val="007D0B1A"/>
    <w:rsid w:val="007D0DE9"/>
    <w:rsid w:val="007D0EA8"/>
    <w:rsid w:val="007D1381"/>
    <w:rsid w:val="007D1404"/>
    <w:rsid w:val="007D18F1"/>
    <w:rsid w:val="007D1B17"/>
    <w:rsid w:val="007D1E17"/>
    <w:rsid w:val="007D20F6"/>
    <w:rsid w:val="007D275D"/>
    <w:rsid w:val="007D28A3"/>
    <w:rsid w:val="007D2915"/>
    <w:rsid w:val="007D29B3"/>
    <w:rsid w:val="007D2A5C"/>
    <w:rsid w:val="007D2C78"/>
    <w:rsid w:val="007D2DA4"/>
    <w:rsid w:val="007D32BC"/>
    <w:rsid w:val="007D3562"/>
    <w:rsid w:val="007D3937"/>
    <w:rsid w:val="007D3965"/>
    <w:rsid w:val="007D3B01"/>
    <w:rsid w:val="007D3E90"/>
    <w:rsid w:val="007D402A"/>
    <w:rsid w:val="007D42F7"/>
    <w:rsid w:val="007D4749"/>
    <w:rsid w:val="007D47B0"/>
    <w:rsid w:val="007D4831"/>
    <w:rsid w:val="007D4F15"/>
    <w:rsid w:val="007D5329"/>
    <w:rsid w:val="007D6067"/>
    <w:rsid w:val="007D672F"/>
    <w:rsid w:val="007D67A9"/>
    <w:rsid w:val="007D704A"/>
    <w:rsid w:val="007D718A"/>
    <w:rsid w:val="007D72B6"/>
    <w:rsid w:val="007D7A06"/>
    <w:rsid w:val="007E0533"/>
    <w:rsid w:val="007E05D1"/>
    <w:rsid w:val="007E0896"/>
    <w:rsid w:val="007E0A9F"/>
    <w:rsid w:val="007E0B98"/>
    <w:rsid w:val="007E0C3E"/>
    <w:rsid w:val="007E1822"/>
    <w:rsid w:val="007E1EF8"/>
    <w:rsid w:val="007E27DE"/>
    <w:rsid w:val="007E2894"/>
    <w:rsid w:val="007E2A83"/>
    <w:rsid w:val="007E2CC3"/>
    <w:rsid w:val="007E2EC2"/>
    <w:rsid w:val="007E31FA"/>
    <w:rsid w:val="007E353C"/>
    <w:rsid w:val="007E3890"/>
    <w:rsid w:val="007E3A6C"/>
    <w:rsid w:val="007E3A97"/>
    <w:rsid w:val="007E3D92"/>
    <w:rsid w:val="007E3EB5"/>
    <w:rsid w:val="007E42F2"/>
    <w:rsid w:val="007E5289"/>
    <w:rsid w:val="007E55F2"/>
    <w:rsid w:val="007E5679"/>
    <w:rsid w:val="007E5DA6"/>
    <w:rsid w:val="007E5F15"/>
    <w:rsid w:val="007E5FFB"/>
    <w:rsid w:val="007E6A99"/>
    <w:rsid w:val="007E708E"/>
    <w:rsid w:val="007E71AF"/>
    <w:rsid w:val="007E7AB0"/>
    <w:rsid w:val="007F033A"/>
    <w:rsid w:val="007F045A"/>
    <w:rsid w:val="007F0468"/>
    <w:rsid w:val="007F0ACE"/>
    <w:rsid w:val="007F0E36"/>
    <w:rsid w:val="007F0FAC"/>
    <w:rsid w:val="007F13BF"/>
    <w:rsid w:val="007F15CB"/>
    <w:rsid w:val="007F1A85"/>
    <w:rsid w:val="007F1B1E"/>
    <w:rsid w:val="007F1DDE"/>
    <w:rsid w:val="007F2045"/>
    <w:rsid w:val="007F26D4"/>
    <w:rsid w:val="007F273B"/>
    <w:rsid w:val="007F29D5"/>
    <w:rsid w:val="007F324C"/>
    <w:rsid w:val="007F38CB"/>
    <w:rsid w:val="007F3BF5"/>
    <w:rsid w:val="007F3EE0"/>
    <w:rsid w:val="007F4273"/>
    <w:rsid w:val="007F4583"/>
    <w:rsid w:val="007F48D4"/>
    <w:rsid w:val="007F4A8F"/>
    <w:rsid w:val="007F4E2C"/>
    <w:rsid w:val="007F4E48"/>
    <w:rsid w:val="007F4F0B"/>
    <w:rsid w:val="007F4F99"/>
    <w:rsid w:val="007F548A"/>
    <w:rsid w:val="007F559E"/>
    <w:rsid w:val="007F60AA"/>
    <w:rsid w:val="007F62B5"/>
    <w:rsid w:val="007F67A2"/>
    <w:rsid w:val="007F6C09"/>
    <w:rsid w:val="007F6CB6"/>
    <w:rsid w:val="007F6FF7"/>
    <w:rsid w:val="007F7725"/>
    <w:rsid w:val="008003C8"/>
    <w:rsid w:val="00800783"/>
    <w:rsid w:val="00800AE4"/>
    <w:rsid w:val="00800C13"/>
    <w:rsid w:val="00800C7F"/>
    <w:rsid w:val="00800CA1"/>
    <w:rsid w:val="00800CBD"/>
    <w:rsid w:val="008014BA"/>
    <w:rsid w:val="008014F0"/>
    <w:rsid w:val="008018D7"/>
    <w:rsid w:val="0080226A"/>
    <w:rsid w:val="008023BC"/>
    <w:rsid w:val="0080244D"/>
    <w:rsid w:val="008027DA"/>
    <w:rsid w:val="00802D50"/>
    <w:rsid w:val="00802E04"/>
    <w:rsid w:val="0080303A"/>
    <w:rsid w:val="0080307B"/>
    <w:rsid w:val="00803145"/>
    <w:rsid w:val="00803512"/>
    <w:rsid w:val="00803CCE"/>
    <w:rsid w:val="00803DA6"/>
    <w:rsid w:val="00803FD9"/>
    <w:rsid w:val="00804228"/>
    <w:rsid w:val="0080496B"/>
    <w:rsid w:val="00804F41"/>
    <w:rsid w:val="0080558E"/>
    <w:rsid w:val="00805AAF"/>
    <w:rsid w:val="0080613E"/>
    <w:rsid w:val="008062B8"/>
    <w:rsid w:val="00806447"/>
    <w:rsid w:val="00806C7A"/>
    <w:rsid w:val="00806C7E"/>
    <w:rsid w:val="00806CEF"/>
    <w:rsid w:val="008071EA"/>
    <w:rsid w:val="00807251"/>
    <w:rsid w:val="008078A9"/>
    <w:rsid w:val="00807944"/>
    <w:rsid w:val="00807D2D"/>
    <w:rsid w:val="00807EEB"/>
    <w:rsid w:val="00810955"/>
    <w:rsid w:val="00810A26"/>
    <w:rsid w:val="00811269"/>
    <w:rsid w:val="00811826"/>
    <w:rsid w:val="008119DE"/>
    <w:rsid w:val="00811A8E"/>
    <w:rsid w:val="00811D8F"/>
    <w:rsid w:val="008126D7"/>
    <w:rsid w:val="008129D4"/>
    <w:rsid w:val="00812D75"/>
    <w:rsid w:val="00812DBB"/>
    <w:rsid w:val="00813046"/>
    <w:rsid w:val="00813082"/>
    <w:rsid w:val="00813779"/>
    <w:rsid w:val="008137EC"/>
    <w:rsid w:val="008144D2"/>
    <w:rsid w:val="008149AE"/>
    <w:rsid w:val="008149BB"/>
    <w:rsid w:val="00814D99"/>
    <w:rsid w:val="008155D2"/>
    <w:rsid w:val="00815AB9"/>
    <w:rsid w:val="00816497"/>
    <w:rsid w:val="008164BC"/>
    <w:rsid w:val="00816604"/>
    <w:rsid w:val="00816A27"/>
    <w:rsid w:val="00816A88"/>
    <w:rsid w:val="00816DA6"/>
    <w:rsid w:val="008170BC"/>
    <w:rsid w:val="0081727D"/>
    <w:rsid w:val="008172E7"/>
    <w:rsid w:val="0081774A"/>
    <w:rsid w:val="00817923"/>
    <w:rsid w:val="00817C68"/>
    <w:rsid w:val="00817D5D"/>
    <w:rsid w:val="008200CD"/>
    <w:rsid w:val="008204F2"/>
    <w:rsid w:val="008208FE"/>
    <w:rsid w:val="00821CA3"/>
    <w:rsid w:val="0082272C"/>
    <w:rsid w:val="00822D62"/>
    <w:rsid w:val="00822E16"/>
    <w:rsid w:val="00823488"/>
    <w:rsid w:val="008234C2"/>
    <w:rsid w:val="008234C4"/>
    <w:rsid w:val="008235C6"/>
    <w:rsid w:val="008235DE"/>
    <w:rsid w:val="00823830"/>
    <w:rsid w:val="00823DE4"/>
    <w:rsid w:val="0082444A"/>
    <w:rsid w:val="0082499A"/>
    <w:rsid w:val="00824DF2"/>
    <w:rsid w:val="00825347"/>
    <w:rsid w:val="00825471"/>
    <w:rsid w:val="008255AD"/>
    <w:rsid w:val="008259A8"/>
    <w:rsid w:val="00825CF6"/>
    <w:rsid w:val="00825DCE"/>
    <w:rsid w:val="00825F05"/>
    <w:rsid w:val="0082625A"/>
    <w:rsid w:val="0082654B"/>
    <w:rsid w:val="008266E7"/>
    <w:rsid w:val="008267B8"/>
    <w:rsid w:val="00826FA6"/>
    <w:rsid w:val="00827205"/>
    <w:rsid w:val="0082770D"/>
    <w:rsid w:val="0083054B"/>
    <w:rsid w:val="008307B8"/>
    <w:rsid w:val="0083096E"/>
    <w:rsid w:val="00830BD6"/>
    <w:rsid w:val="00830C3A"/>
    <w:rsid w:val="00830D07"/>
    <w:rsid w:val="00830E88"/>
    <w:rsid w:val="00830EA3"/>
    <w:rsid w:val="00831406"/>
    <w:rsid w:val="00831928"/>
    <w:rsid w:val="008319AB"/>
    <w:rsid w:val="00831E4D"/>
    <w:rsid w:val="00831F3E"/>
    <w:rsid w:val="00832F0E"/>
    <w:rsid w:val="00832F62"/>
    <w:rsid w:val="0083312E"/>
    <w:rsid w:val="0083340F"/>
    <w:rsid w:val="008338CA"/>
    <w:rsid w:val="00833B7A"/>
    <w:rsid w:val="00833B86"/>
    <w:rsid w:val="00833BE4"/>
    <w:rsid w:val="00833F54"/>
    <w:rsid w:val="0083436A"/>
    <w:rsid w:val="0083459C"/>
    <w:rsid w:val="00834798"/>
    <w:rsid w:val="00834A28"/>
    <w:rsid w:val="00834CF4"/>
    <w:rsid w:val="00835859"/>
    <w:rsid w:val="008358E9"/>
    <w:rsid w:val="00835E55"/>
    <w:rsid w:val="00836699"/>
    <w:rsid w:val="00836721"/>
    <w:rsid w:val="00836CE4"/>
    <w:rsid w:val="00836D00"/>
    <w:rsid w:val="00836DD0"/>
    <w:rsid w:val="008370D6"/>
    <w:rsid w:val="008372C9"/>
    <w:rsid w:val="0083731C"/>
    <w:rsid w:val="00840041"/>
    <w:rsid w:val="00840202"/>
    <w:rsid w:val="00840335"/>
    <w:rsid w:val="008403B5"/>
    <w:rsid w:val="00840F86"/>
    <w:rsid w:val="0084123C"/>
    <w:rsid w:val="00841756"/>
    <w:rsid w:val="008417DD"/>
    <w:rsid w:val="00841C94"/>
    <w:rsid w:val="00841EC5"/>
    <w:rsid w:val="0084211A"/>
    <w:rsid w:val="00842524"/>
    <w:rsid w:val="0084255F"/>
    <w:rsid w:val="00842896"/>
    <w:rsid w:val="00842AD7"/>
    <w:rsid w:val="00842B55"/>
    <w:rsid w:val="0084301D"/>
    <w:rsid w:val="00843210"/>
    <w:rsid w:val="0084346A"/>
    <w:rsid w:val="008435E9"/>
    <w:rsid w:val="00843A76"/>
    <w:rsid w:val="00843AD9"/>
    <w:rsid w:val="00843CB8"/>
    <w:rsid w:val="0084412D"/>
    <w:rsid w:val="00844714"/>
    <w:rsid w:val="00844984"/>
    <w:rsid w:val="00844FE8"/>
    <w:rsid w:val="00845652"/>
    <w:rsid w:val="0084569D"/>
    <w:rsid w:val="00845836"/>
    <w:rsid w:val="00846273"/>
    <w:rsid w:val="00846595"/>
    <w:rsid w:val="008465A4"/>
    <w:rsid w:val="0084675D"/>
    <w:rsid w:val="00846DBB"/>
    <w:rsid w:val="008474A7"/>
    <w:rsid w:val="008474D9"/>
    <w:rsid w:val="0084774B"/>
    <w:rsid w:val="00847E59"/>
    <w:rsid w:val="00847FF9"/>
    <w:rsid w:val="008502BE"/>
    <w:rsid w:val="0085061D"/>
    <w:rsid w:val="008508BA"/>
    <w:rsid w:val="00851387"/>
    <w:rsid w:val="0085153E"/>
    <w:rsid w:val="0085183E"/>
    <w:rsid w:val="00851CF5"/>
    <w:rsid w:val="00851D87"/>
    <w:rsid w:val="00851E4E"/>
    <w:rsid w:val="00851FF5"/>
    <w:rsid w:val="0085218A"/>
    <w:rsid w:val="00852984"/>
    <w:rsid w:val="00852F5D"/>
    <w:rsid w:val="0085330C"/>
    <w:rsid w:val="0085370E"/>
    <w:rsid w:val="008537A2"/>
    <w:rsid w:val="008538FC"/>
    <w:rsid w:val="0085482A"/>
    <w:rsid w:val="00854984"/>
    <w:rsid w:val="00854BCA"/>
    <w:rsid w:val="00854DD2"/>
    <w:rsid w:val="00855BF7"/>
    <w:rsid w:val="00855C12"/>
    <w:rsid w:val="00855C4E"/>
    <w:rsid w:val="00855F7E"/>
    <w:rsid w:val="00856128"/>
    <w:rsid w:val="00856147"/>
    <w:rsid w:val="00856EBC"/>
    <w:rsid w:val="00857208"/>
    <w:rsid w:val="008574A8"/>
    <w:rsid w:val="0085762B"/>
    <w:rsid w:val="0085793C"/>
    <w:rsid w:val="00857AD2"/>
    <w:rsid w:val="008605F3"/>
    <w:rsid w:val="00860817"/>
    <w:rsid w:val="0086083F"/>
    <w:rsid w:val="00860D00"/>
    <w:rsid w:val="00860E6E"/>
    <w:rsid w:val="00861BEF"/>
    <w:rsid w:val="00862106"/>
    <w:rsid w:val="008621EB"/>
    <w:rsid w:val="0086222A"/>
    <w:rsid w:val="0086293F"/>
    <w:rsid w:val="00862A08"/>
    <w:rsid w:val="00862ACE"/>
    <w:rsid w:val="00862E40"/>
    <w:rsid w:val="00862F5A"/>
    <w:rsid w:val="00862FB8"/>
    <w:rsid w:val="00863471"/>
    <w:rsid w:val="00863825"/>
    <w:rsid w:val="00863856"/>
    <w:rsid w:val="00863916"/>
    <w:rsid w:val="00863EB3"/>
    <w:rsid w:val="00863FD3"/>
    <w:rsid w:val="00864462"/>
    <w:rsid w:val="008646D1"/>
    <w:rsid w:val="00864774"/>
    <w:rsid w:val="008647ED"/>
    <w:rsid w:val="00864832"/>
    <w:rsid w:val="00864D83"/>
    <w:rsid w:val="008653C7"/>
    <w:rsid w:val="00865455"/>
    <w:rsid w:val="0086550E"/>
    <w:rsid w:val="008656F7"/>
    <w:rsid w:val="00865C7E"/>
    <w:rsid w:val="0086604D"/>
    <w:rsid w:val="008661AF"/>
    <w:rsid w:val="008663B9"/>
    <w:rsid w:val="008663D7"/>
    <w:rsid w:val="00866C0B"/>
    <w:rsid w:val="00866CCD"/>
    <w:rsid w:val="00866CE4"/>
    <w:rsid w:val="00866DBF"/>
    <w:rsid w:val="00867017"/>
    <w:rsid w:val="008670E8"/>
    <w:rsid w:val="0086713A"/>
    <w:rsid w:val="0087003B"/>
    <w:rsid w:val="00870272"/>
    <w:rsid w:val="008705FE"/>
    <w:rsid w:val="0087074A"/>
    <w:rsid w:val="00870839"/>
    <w:rsid w:val="0087171B"/>
    <w:rsid w:val="008719B6"/>
    <w:rsid w:val="008722B4"/>
    <w:rsid w:val="0087278F"/>
    <w:rsid w:val="00872B8D"/>
    <w:rsid w:val="00872C47"/>
    <w:rsid w:val="00873041"/>
    <w:rsid w:val="008735A0"/>
    <w:rsid w:val="008737FF"/>
    <w:rsid w:val="00873875"/>
    <w:rsid w:val="00873E05"/>
    <w:rsid w:val="008740F3"/>
    <w:rsid w:val="00874111"/>
    <w:rsid w:val="0087413E"/>
    <w:rsid w:val="00874455"/>
    <w:rsid w:val="00874664"/>
    <w:rsid w:val="008747DB"/>
    <w:rsid w:val="00874895"/>
    <w:rsid w:val="00874A05"/>
    <w:rsid w:val="00874AC7"/>
    <w:rsid w:val="00874EA2"/>
    <w:rsid w:val="00875326"/>
    <w:rsid w:val="00875841"/>
    <w:rsid w:val="00875878"/>
    <w:rsid w:val="00875A98"/>
    <w:rsid w:val="00875B72"/>
    <w:rsid w:val="008761EF"/>
    <w:rsid w:val="0087623A"/>
    <w:rsid w:val="00876B33"/>
    <w:rsid w:val="00876B6A"/>
    <w:rsid w:val="00876FCC"/>
    <w:rsid w:val="0087712D"/>
    <w:rsid w:val="008775FF"/>
    <w:rsid w:val="0088025C"/>
    <w:rsid w:val="00880F8B"/>
    <w:rsid w:val="00881A54"/>
    <w:rsid w:val="00881AA9"/>
    <w:rsid w:val="00881BF4"/>
    <w:rsid w:val="0088207D"/>
    <w:rsid w:val="0088227E"/>
    <w:rsid w:val="00882411"/>
    <w:rsid w:val="00882F8A"/>
    <w:rsid w:val="00883300"/>
    <w:rsid w:val="00883473"/>
    <w:rsid w:val="008838D6"/>
    <w:rsid w:val="00883D21"/>
    <w:rsid w:val="0088408F"/>
    <w:rsid w:val="0088411C"/>
    <w:rsid w:val="00884311"/>
    <w:rsid w:val="008843AF"/>
    <w:rsid w:val="00884521"/>
    <w:rsid w:val="00884783"/>
    <w:rsid w:val="00884B36"/>
    <w:rsid w:val="00884E89"/>
    <w:rsid w:val="00885252"/>
    <w:rsid w:val="008856C1"/>
    <w:rsid w:val="00885939"/>
    <w:rsid w:val="00885E4D"/>
    <w:rsid w:val="008860C2"/>
    <w:rsid w:val="008861B2"/>
    <w:rsid w:val="00886243"/>
    <w:rsid w:val="00886883"/>
    <w:rsid w:val="008872C0"/>
    <w:rsid w:val="008879ED"/>
    <w:rsid w:val="00887DDD"/>
    <w:rsid w:val="00890645"/>
    <w:rsid w:val="0089068B"/>
    <w:rsid w:val="00890A6E"/>
    <w:rsid w:val="00890BD1"/>
    <w:rsid w:val="00890EB3"/>
    <w:rsid w:val="00891266"/>
    <w:rsid w:val="008915D1"/>
    <w:rsid w:val="00892154"/>
    <w:rsid w:val="0089229C"/>
    <w:rsid w:val="00892594"/>
    <w:rsid w:val="00892683"/>
    <w:rsid w:val="00892987"/>
    <w:rsid w:val="00892B04"/>
    <w:rsid w:val="00892E98"/>
    <w:rsid w:val="00892ED0"/>
    <w:rsid w:val="00892F8E"/>
    <w:rsid w:val="00893097"/>
    <w:rsid w:val="008931CC"/>
    <w:rsid w:val="008932BA"/>
    <w:rsid w:val="008939CC"/>
    <w:rsid w:val="00893B2F"/>
    <w:rsid w:val="00893C73"/>
    <w:rsid w:val="00893CE0"/>
    <w:rsid w:val="00893CF8"/>
    <w:rsid w:val="008943DE"/>
    <w:rsid w:val="00894477"/>
    <w:rsid w:val="00894A40"/>
    <w:rsid w:val="00894B22"/>
    <w:rsid w:val="00894C34"/>
    <w:rsid w:val="00894F73"/>
    <w:rsid w:val="00895572"/>
    <w:rsid w:val="00895DF6"/>
    <w:rsid w:val="00896661"/>
    <w:rsid w:val="008968E3"/>
    <w:rsid w:val="008969E4"/>
    <w:rsid w:val="00896CD0"/>
    <w:rsid w:val="00897098"/>
    <w:rsid w:val="00897125"/>
    <w:rsid w:val="0089717C"/>
    <w:rsid w:val="00897196"/>
    <w:rsid w:val="0089746B"/>
    <w:rsid w:val="00897579"/>
    <w:rsid w:val="00897F51"/>
    <w:rsid w:val="008A0407"/>
    <w:rsid w:val="008A0538"/>
    <w:rsid w:val="008A09EF"/>
    <w:rsid w:val="008A1014"/>
    <w:rsid w:val="008A10E5"/>
    <w:rsid w:val="008A1252"/>
    <w:rsid w:val="008A148B"/>
    <w:rsid w:val="008A1490"/>
    <w:rsid w:val="008A1959"/>
    <w:rsid w:val="008A1AC3"/>
    <w:rsid w:val="008A1D26"/>
    <w:rsid w:val="008A20BA"/>
    <w:rsid w:val="008A221C"/>
    <w:rsid w:val="008A245B"/>
    <w:rsid w:val="008A2762"/>
    <w:rsid w:val="008A2A0B"/>
    <w:rsid w:val="008A2C4B"/>
    <w:rsid w:val="008A2D44"/>
    <w:rsid w:val="008A3535"/>
    <w:rsid w:val="008A353A"/>
    <w:rsid w:val="008A36B2"/>
    <w:rsid w:val="008A391C"/>
    <w:rsid w:val="008A3963"/>
    <w:rsid w:val="008A3B88"/>
    <w:rsid w:val="008A3C42"/>
    <w:rsid w:val="008A3C63"/>
    <w:rsid w:val="008A3E00"/>
    <w:rsid w:val="008A3F37"/>
    <w:rsid w:val="008A4CBF"/>
    <w:rsid w:val="008A5254"/>
    <w:rsid w:val="008A572A"/>
    <w:rsid w:val="008A5801"/>
    <w:rsid w:val="008A5AD0"/>
    <w:rsid w:val="008A5EA2"/>
    <w:rsid w:val="008A6176"/>
    <w:rsid w:val="008A7337"/>
    <w:rsid w:val="008A7B16"/>
    <w:rsid w:val="008A7C31"/>
    <w:rsid w:val="008B019A"/>
    <w:rsid w:val="008B032D"/>
    <w:rsid w:val="008B0493"/>
    <w:rsid w:val="008B08AF"/>
    <w:rsid w:val="008B0C6A"/>
    <w:rsid w:val="008B0F49"/>
    <w:rsid w:val="008B1362"/>
    <w:rsid w:val="008B15FE"/>
    <w:rsid w:val="008B1673"/>
    <w:rsid w:val="008B1B1A"/>
    <w:rsid w:val="008B1B6E"/>
    <w:rsid w:val="008B263B"/>
    <w:rsid w:val="008B3407"/>
    <w:rsid w:val="008B352F"/>
    <w:rsid w:val="008B371C"/>
    <w:rsid w:val="008B3C1B"/>
    <w:rsid w:val="008B4150"/>
    <w:rsid w:val="008B4336"/>
    <w:rsid w:val="008B43FF"/>
    <w:rsid w:val="008B451E"/>
    <w:rsid w:val="008B4857"/>
    <w:rsid w:val="008B4D63"/>
    <w:rsid w:val="008B513F"/>
    <w:rsid w:val="008B5761"/>
    <w:rsid w:val="008B577D"/>
    <w:rsid w:val="008B5962"/>
    <w:rsid w:val="008B598F"/>
    <w:rsid w:val="008B5CA3"/>
    <w:rsid w:val="008B63C2"/>
    <w:rsid w:val="008B66AB"/>
    <w:rsid w:val="008B691C"/>
    <w:rsid w:val="008B71C0"/>
    <w:rsid w:val="008B728B"/>
    <w:rsid w:val="008B72F1"/>
    <w:rsid w:val="008B773A"/>
    <w:rsid w:val="008B7F15"/>
    <w:rsid w:val="008C072D"/>
    <w:rsid w:val="008C07B0"/>
    <w:rsid w:val="008C114D"/>
    <w:rsid w:val="008C1466"/>
    <w:rsid w:val="008C1F88"/>
    <w:rsid w:val="008C2106"/>
    <w:rsid w:val="008C226D"/>
    <w:rsid w:val="008C22BF"/>
    <w:rsid w:val="008C239B"/>
    <w:rsid w:val="008C25B7"/>
    <w:rsid w:val="008C2DEF"/>
    <w:rsid w:val="008C2F37"/>
    <w:rsid w:val="008C3121"/>
    <w:rsid w:val="008C31DC"/>
    <w:rsid w:val="008C358C"/>
    <w:rsid w:val="008C35DE"/>
    <w:rsid w:val="008C3AA5"/>
    <w:rsid w:val="008C40FA"/>
    <w:rsid w:val="008C4179"/>
    <w:rsid w:val="008C4453"/>
    <w:rsid w:val="008C474D"/>
    <w:rsid w:val="008C4793"/>
    <w:rsid w:val="008C4E90"/>
    <w:rsid w:val="008C51CB"/>
    <w:rsid w:val="008C5C40"/>
    <w:rsid w:val="008C60AA"/>
    <w:rsid w:val="008C6127"/>
    <w:rsid w:val="008C68F8"/>
    <w:rsid w:val="008C6D8F"/>
    <w:rsid w:val="008C7935"/>
    <w:rsid w:val="008C79D5"/>
    <w:rsid w:val="008C7A53"/>
    <w:rsid w:val="008C7DDB"/>
    <w:rsid w:val="008D0011"/>
    <w:rsid w:val="008D027E"/>
    <w:rsid w:val="008D10D0"/>
    <w:rsid w:val="008D1133"/>
    <w:rsid w:val="008D1A32"/>
    <w:rsid w:val="008D1AEB"/>
    <w:rsid w:val="008D1D16"/>
    <w:rsid w:val="008D2026"/>
    <w:rsid w:val="008D24DF"/>
    <w:rsid w:val="008D2501"/>
    <w:rsid w:val="008D25C2"/>
    <w:rsid w:val="008D2F11"/>
    <w:rsid w:val="008D31F8"/>
    <w:rsid w:val="008D3385"/>
    <w:rsid w:val="008D3D08"/>
    <w:rsid w:val="008D462F"/>
    <w:rsid w:val="008D46C5"/>
    <w:rsid w:val="008D4715"/>
    <w:rsid w:val="008D478A"/>
    <w:rsid w:val="008D4D51"/>
    <w:rsid w:val="008D566B"/>
    <w:rsid w:val="008D585E"/>
    <w:rsid w:val="008D5B41"/>
    <w:rsid w:val="008D62A1"/>
    <w:rsid w:val="008D6353"/>
    <w:rsid w:val="008D657B"/>
    <w:rsid w:val="008D68D1"/>
    <w:rsid w:val="008D6BCB"/>
    <w:rsid w:val="008D6FBF"/>
    <w:rsid w:val="008D731C"/>
    <w:rsid w:val="008D7470"/>
    <w:rsid w:val="008D748B"/>
    <w:rsid w:val="008D7ECC"/>
    <w:rsid w:val="008E02FF"/>
    <w:rsid w:val="008E038F"/>
    <w:rsid w:val="008E04E8"/>
    <w:rsid w:val="008E0BB3"/>
    <w:rsid w:val="008E0E7A"/>
    <w:rsid w:val="008E0E81"/>
    <w:rsid w:val="008E0FA2"/>
    <w:rsid w:val="008E19E4"/>
    <w:rsid w:val="008E1E8A"/>
    <w:rsid w:val="008E238F"/>
    <w:rsid w:val="008E23F2"/>
    <w:rsid w:val="008E2506"/>
    <w:rsid w:val="008E2A6B"/>
    <w:rsid w:val="008E2A92"/>
    <w:rsid w:val="008E31BD"/>
    <w:rsid w:val="008E3574"/>
    <w:rsid w:val="008E37EF"/>
    <w:rsid w:val="008E3A4C"/>
    <w:rsid w:val="008E413A"/>
    <w:rsid w:val="008E4156"/>
    <w:rsid w:val="008E47A7"/>
    <w:rsid w:val="008E4CF5"/>
    <w:rsid w:val="008E5782"/>
    <w:rsid w:val="008E5EB2"/>
    <w:rsid w:val="008E6B61"/>
    <w:rsid w:val="008E6C99"/>
    <w:rsid w:val="008E6D2C"/>
    <w:rsid w:val="008E6DC1"/>
    <w:rsid w:val="008E6F8B"/>
    <w:rsid w:val="008E7072"/>
    <w:rsid w:val="008E712A"/>
    <w:rsid w:val="008E7719"/>
    <w:rsid w:val="008E7999"/>
    <w:rsid w:val="008E7A32"/>
    <w:rsid w:val="008E7BA0"/>
    <w:rsid w:val="008E7C5C"/>
    <w:rsid w:val="008F03B4"/>
    <w:rsid w:val="008F03C7"/>
    <w:rsid w:val="008F0643"/>
    <w:rsid w:val="008F07A3"/>
    <w:rsid w:val="008F0AF3"/>
    <w:rsid w:val="008F0B31"/>
    <w:rsid w:val="008F0D11"/>
    <w:rsid w:val="008F0D25"/>
    <w:rsid w:val="008F0FBB"/>
    <w:rsid w:val="008F1561"/>
    <w:rsid w:val="008F190C"/>
    <w:rsid w:val="008F1B46"/>
    <w:rsid w:val="008F1CC5"/>
    <w:rsid w:val="008F1F44"/>
    <w:rsid w:val="008F22E4"/>
    <w:rsid w:val="008F230A"/>
    <w:rsid w:val="008F2376"/>
    <w:rsid w:val="008F23ED"/>
    <w:rsid w:val="008F32C4"/>
    <w:rsid w:val="008F3C24"/>
    <w:rsid w:val="008F3CC8"/>
    <w:rsid w:val="008F3FE6"/>
    <w:rsid w:val="008F41A8"/>
    <w:rsid w:val="008F5136"/>
    <w:rsid w:val="008F6208"/>
    <w:rsid w:val="008F6269"/>
    <w:rsid w:val="008F690C"/>
    <w:rsid w:val="008F6CB9"/>
    <w:rsid w:val="008F70D0"/>
    <w:rsid w:val="008F76F5"/>
    <w:rsid w:val="008F7883"/>
    <w:rsid w:val="008F7F6F"/>
    <w:rsid w:val="009011CC"/>
    <w:rsid w:val="0090166A"/>
    <w:rsid w:val="00901D84"/>
    <w:rsid w:val="00901E57"/>
    <w:rsid w:val="00902041"/>
    <w:rsid w:val="009024A6"/>
    <w:rsid w:val="00902F00"/>
    <w:rsid w:val="00902FFC"/>
    <w:rsid w:val="00903040"/>
    <w:rsid w:val="009039BE"/>
    <w:rsid w:val="009039E6"/>
    <w:rsid w:val="00903D1E"/>
    <w:rsid w:val="00903EC3"/>
    <w:rsid w:val="00903FDD"/>
    <w:rsid w:val="0090418C"/>
    <w:rsid w:val="009045E4"/>
    <w:rsid w:val="00904604"/>
    <w:rsid w:val="009046AB"/>
    <w:rsid w:val="009049AE"/>
    <w:rsid w:val="00904B4F"/>
    <w:rsid w:val="00905040"/>
    <w:rsid w:val="00905091"/>
    <w:rsid w:val="009050B6"/>
    <w:rsid w:val="0090582D"/>
    <w:rsid w:val="00905A04"/>
    <w:rsid w:val="00905C4F"/>
    <w:rsid w:val="00906CD9"/>
    <w:rsid w:val="00906D28"/>
    <w:rsid w:val="00907066"/>
    <w:rsid w:val="00907301"/>
    <w:rsid w:val="00907308"/>
    <w:rsid w:val="00907B37"/>
    <w:rsid w:val="00907CDC"/>
    <w:rsid w:val="0091010E"/>
    <w:rsid w:val="00910842"/>
    <w:rsid w:val="00910B87"/>
    <w:rsid w:val="009113D0"/>
    <w:rsid w:val="00911878"/>
    <w:rsid w:val="00911BC7"/>
    <w:rsid w:val="009120D0"/>
    <w:rsid w:val="009124A6"/>
    <w:rsid w:val="0091260D"/>
    <w:rsid w:val="00912B86"/>
    <w:rsid w:val="00912C33"/>
    <w:rsid w:val="00912E72"/>
    <w:rsid w:val="00913159"/>
    <w:rsid w:val="009131AE"/>
    <w:rsid w:val="0091354C"/>
    <w:rsid w:val="00913D72"/>
    <w:rsid w:val="00913E38"/>
    <w:rsid w:val="009143B1"/>
    <w:rsid w:val="009143FA"/>
    <w:rsid w:val="0091447C"/>
    <w:rsid w:val="0091470F"/>
    <w:rsid w:val="00914712"/>
    <w:rsid w:val="00914FCC"/>
    <w:rsid w:val="00915576"/>
    <w:rsid w:val="009156F7"/>
    <w:rsid w:val="00915711"/>
    <w:rsid w:val="00915881"/>
    <w:rsid w:val="00916A3A"/>
    <w:rsid w:val="00916CB6"/>
    <w:rsid w:val="00917471"/>
    <w:rsid w:val="009175F9"/>
    <w:rsid w:val="00917916"/>
    <w:rsid w:val="00917EFD"/>
    <w:rsid w:val="00920052"/>
    <w:rsid w:val="009207ED"/>
    <w:rsid w:val="00920FF5"/>
    <w:rsid w:val="009215AF"/>
    <w:rsid w:val="00921CD3"/>
    <w:rsid w:val="00921DC2"/>
    <w:rsid w:val="009221C4"/>
    <w:rsid w:val="009223CF"/>
    <w:rsid w:val="009225A7"/>
    <w:rsid w:val="009229A1"/>
    <w:rsid w:val="00922AA4"/>
    <w:rsid w:val="00922BEC"/>
    <w:rsid w:val="00922DAB"/>
    <w:rsid w:val="00922E5C"/>
    <w:rsid w:val="00923592"/>
    <w:rsid w:val="00923A86"/>
    <w:rsid w:val="00923D27"/>
    <w:rsid w:val="00923DBE"/>
    <w:rsid w:val="0092417C"/>
    <w:rsid w:val="009244DA"/>
    <w:rsid w:val="009247C4"/>
    <w:rsid w:val="0092488A"/>
    <w:rsid w:val="009248D8"/>
    <w:rsid w:val="009249EA"/>
    <w:rsid w:val="009249EB"/>
    <w:rsid w:val="00924BA8"/>
    <w:rsid w:val="00925261"/>
    <w:rsid w:val="00925631"/>
    <w:rsid w:val="0092588F"/>
    <w:rsid w:val="00925C89"/>
    <w:rsid w:val="00926305"/>
    <w:rsid w:val="00926CD6"/>
    <w:rsid w:val="00926E41"/>
    <w:rsid w:val="00926FD2"/>
    <w:rsid w:val="009270C7"/>
    <w:rsid w:val="0092784A"/>
    <w:rsid w:val="00927C31"/>
    <w:rsid w:val="00927CE3"/>
    <w:rsid w:val="00930966"/>
    <w:rsid w:val="00931813"/>
    <w:rsid w:val="00931B46"/>
    <w:rsid w:val="00932B25"/>
    <w:rsid w:val="00932CAD"/>
    <w:rsid w:val="00932DE2"/>
    <w:rsid w:val="00933787"/>
    <w:rsid w:val="00933848"/>
    <w:rsid w:val="00933BB2"/>
    <w:rsid w:val="0093437A"/>
    <w:rsid w:val="00934574"/>
    <w:rsid w:val="0093523C"/>
    <w:rsid w:val="009352F3"/>
    <w:rsid w:val="00935846"/>
    <w:rsid w:val="00935CDC"/>
    <w:rsid w:val="00936796"/>
    <w:rsid w:val="0093691F"/>
    <w:rsid w:val="00936A6A"/>
    <w:rsid w:val="00937562"/>
    <w:rsid w:val="0093766B"/>
    <w:rsid w:val="0093770F"/>
    <w:rsid w:val="00937879"/>
    <w:rsid w:val="00937C94"/>
    <w:rsid w:val="00937D37"/>
    <w:rsid w:val="009401A5"/>
    <w:rsid w:val="0094036A"/>
    <w:rsid w:val="00940476"/>
    <w:rsid w:val="00940894"/>
    <w:rsid w:val="009408E0"/>
    <w:rsid w:val="0094144B"/>
    <w:rsid w:val="00941F70"/>
    <w:rsid w:val="009424A4"/>
    <w:rsid w:val="0094282A"/>
    <w:rsid w:val="00942922"/>
    <w:rsid w:val="00942958"/>
    <w:rsid w:val="0094295B"/>
    <w:rsid w:val="00942A0E"/>
    <w:rsid w:val="00942AC8"/>
    <w:rsid w:val="00942CA4"/>
    <w:rsid w:val="00943247"/>
    <w:rsid w:val="00943A02"/>
    <w:rsid w:val="00944155"/>
    <w:rsid w:val="00944499"/>
    <w:rsid w:val="009448AC"/>
    <w:rsid w:val="009449D8"/>
    <w:rsid w:val="00944AA1"/>
    <w:rsid w:val="00944AA5"/>
    <w:rsid w:val="00944BE7"/>
    <w:rsid w:val="00945154"/>
    <w:rsid w:val="00945397"/>
    <w:rsid w:val="00945572"/>
    <w:rsid w:val="00945C71"/>
    <w:rsid w:val="00945D5B"/>
    <w:rsid w:val="00946AF0"/>
    <w:rsid w:val="0094793D"/>
    <w:rsid w:val="0095020A"/>
    <w:rsid w:val="009502BD"/>
    <w:rsid w:val="0095034D"/>
    <w:rsid w:val="0095065F"/>
    <w:rsid w:val="00950764"/>
    <w:rsid w:val="0095085E"/>
    <w:rsid w:val="0095087D"/>
    <w:rsid w:val="00950B53"/>
    <w:rsid w:val="00950DCD"/>
    <w:rsid w:val="009513BA"/>
    <w:rsid w:val="0095162B"/>
    <w:rsid w:val="00951680"/>
    <w:rsid w:val="00951C5C"/>
    <w:rsid w:val="00951D4E"/>
    <w:rsid w:val="00951E24"/>
    <w:rsid w:val="00951F86"/>
    <w:rsid w:val="0095201E"/>
    <w:rsid w:val="0095214B"/>
    <w:rsid w:val="00952248"/>
    <w:rsid w:val="00952A97"/>
    <w:rsid w:val="00952CB3"/>
    <w:rsid w:val="00952F19"/>
    <w:rsid w:val="0095306E"/>
    <w:rsid w:val="009538A2"/>
    <w:rsid w:val="009538BB"/>
    <w:rsid w:val="00953FE5"/>
    <w:rsid w:val="00954094"/>
    <w:rsid w:val="0095419B"/>
    <w:rsid w:val="00954875"/>
    <w:rsid w:val="009549BE"/>
    <w:rsid w:val="00954BC7"/>
    <w:rsid w:val="00955673"/>
    <w:rsid w:val="009558C1"/>
    <w:rsid w:val="00956043"/>
    <w:rsid w:val="009562BB"/>
    <w:rsid w:val="00956690"/>
    <w:rsid w:val="009566CE"/>
    <w:rsid w:val="00956918"/>
    <w:rsid w:val="009569C2"/>
    <w:rsid w:val="00956C88"/>
    <w:rsid w:val="0095706B"/>
    <w:rsid w:val="009570B4"/>
    <w:rsid w:val="009572A2"/>
    <w:rsid w:val="009573E3"/>
    <w:rsid w:val="00957941"/>
    <w:rsid w:val="0096001D"/>
    <w:rsid w:val="00960A17"/>
    <w:rsid w:val="00960D2B"/>
    <w:rsid w:val="00961139"/>
    <w:rsid w:val="00961267"/>
    <w:rsid w:val="009615F9"/>
    <w:rsid w:val="00961A4E"/>
    <w:rsid w:val="00961D6F"/>
    <w:rsid w:val="009624DA"/>
    <w:rsid w:val="00962AA6"/>
    <w:rsid w:val="00962C41"/>
    <w:rsid w:val="00962DDD"/>
    <w:rsid w:val="00963262"/>
    <w:rsid w:val="00963280"/>
    <w:rsid w:val="00963BA1"/>
    <w:rsid w:val="00963F3A"/>
    <w:rsid w:val="009643BD"/>
    <w:rsid w:val="009647B7"/>
    <w:rsid w:val="00964989"/>
    <w:rsid w:val="00964B2E"/>
    <w:rsid w:val="009650FB"/>
    <w:rsid w:val="0096547E"/>
    <w:rsid w:val="009659B5"/>
    <w:rsid w:val="00965A36"/>
    <w:rsid w:val="00965C71"/>
    <w:rsid w:val="00965E14"/>
    <w:rsid w:val="00966DFF"/>
    <w:rsid w:val="00967476"/>
    <w:rsid w:val="0096793A"/>
    <w:rsid w:val="0096794F"/>
    <w:rsid w:val="00967D0F"/>
    <w:rsid w:val="009704AC"/>
    <w:rsid w:val="009705F3"/>
    <w:rsid w:val="00970679"/>
    <w:rsid w:val="00970CDE"/>
    <w:rsid w:val="00970D19"/>
    <w:rsid w:val="009711F0"/>
    <w:rsid w:val="009718A0"/>
    <w:rsid w:val="00971B05"/>
    <w:rsid w:val="00971CAD"/>
    <w:rsid w:val="00971F55"/>
    <w:rsid w:val="0097212A"/>
    <w:rsid w:val="009723CA"/>
    <w:rsid w:val="0097254F"/>
    <w:rsid w:val="00972556"/>
    <w:rsid w:val="00972650"/>
    <w:rsid w:val="0097272F"/>
    <w:rsid w:val="0097282F"/>
    <w:rsid w:val="009729CF"/>
    <w:rsid w:val="00972E7A"/>
    <w:rsid w:val="009732FF"/>
    <w:rsid w:val="00973849"/>
    <w:rsid w:val="009739A1"/>
    <w:rsid w:val="00974300"/>
    <w:rsid w:val="00974311"/>
    <w:rsid w:val="00974434"/>
    <w:rsid w:val="00974700"/>
    <w:rsid w:val="009748EA"/>
    <w:rsid w:val="00974A55"/>
    <w:rsid w:val="00974C42"/>
    <w:rsid w:val="0097503B"/>
    <w:rsid w:val="009757A0"/>
    <w:rsid w:val="00975C04"/>
    <w:rsid w:val="0097634B"/>
    <w:rsid w:val="009767FD"/>
    <w:rsid w:val="00976A38"/>
    <w:rsid w:val="00976C98"/>
    <w:rsid w:val="009778E1"/>
    <w:rsid w:val="0097790F"/>
    <w:rsid w:val="009801B6"/>
    <w:rsid w:val="00980A39"/>
    <w:rsid w:val="00980CC9"/>
    <w:rsid w:val="00981269"/>
    <w:rsid w:val="00981A63"/>
    <w:rsid w:val="00981BB3"/>
    <w:rsid w:val="00981D62"/>
    <w:rsid w:val="00982DE3"/>
    <w:rsid w:val="00983046"/>
    <w:rsid w:val="00983D6C"/>
    <w:rsid w:val="00983E0C"/>
    <w:rsid w:val="00983E9C"/>
    <w:rsid w:val="00984081"/>
    <w:rsid w:val="0098417C"/>
    <w:rsid w:val="00984251"/>
    <w:rsid w:val="0098438E"/>
    <w:rsid w:val="009843BE"/>
    <w:rsid w:val="009843ED"/>
    <w:rsid w:val="0098549C"/>
    <w:rsid w:val="00985B04"/>
    <w:rsid w:val="00985F6F"/>
    <w:rsid w:val="0098640B"/>
    <w:rsid w:val="00986971"/>
    <w:rsid w:val="0098730F"/>
    <w:rsid w:val="0098766F"/>
    <w:rsid w:val="009877A1"/>
    <w:rsid w:val="009879F7"/>
    <w:rsid w:val="00987BEF"/>
    <w:rsid w:val="00987FD6"/>
    <w:rsid w:val="0099007A"/>
    <w:rsid w:val="009905DA"/>
    <w:rsid w:val="0099076D"/>
    <w:rsid w:val="00990EBA"/>
    <w:rsid w:val="00990FA7"/>
    <w:rsid w:val="009911D2"/>
    <w:rsid w:val="00991812"/>
    <w:rsid w:val="00991A50"/>
    <w:rsid w:val="00991F83"/>
    <w:rsid w:val="0099238B"/>
    <w:rsid w:val="00992642"/>
    <w:rsid w:val="00992647"/>
    <w:rsid w:val="009929DC"/>
    <w:rsid w:val="00992A00"/>
    <w:rsid w:val="00992B5A"/>
    <w:rsid w:val="00992D8B"/>
    <w:rsid w:val="00992DC0"/>
    <w:rsid w:val="00993179"/>
    <w:rsid w:val="0099348E"/>
    <w:rsid w:val="00993617"/>
    <w:rsid w:val="00993938"/>
    <w:rsid w:val="009939FB"/>
    <w:rsid w:val="00994172"/>
    <w:rsid w:val="00994255"/>
    <w:rsid w:val="009943BE"/>
    <w:rsid w:val="0099475D"/>
    <w:rsid w:val="00994771"/>
    <w:rsid w:val="00994A14"/>
    <w:rsid w:val="00994ECF"/>
    <w:rsid w:val="00995742"/>
    <w:rsid w:val="00995897"/>
    <w:rsid w:val="00995AF1"/>
    <w:rsid w:val="00995D42"/>
    <w:rsid w:val="00995D69"/>
    <w:rsid w:val="009962F0"/>
    <w:rsid w:val="00996B35"/>
    <w:rsid w:val="00996BD7"/>
    <w:rsid w:val="00996C45"/>
    <w:rsid w:val="00996F27"/>
    <w:rsid w:val="00996F2E"/>
    <w:rsid w:val="00997618"/>
    <w:rsid w:val="00997864"/>
    <w:rsid w:val="009A0616"/>
    <w:rsid w:val="009A0742"/>
    <w:rsid w:val="009A0C98"/>
    <w:rsid w:val="009A0E63"/>
    <w:rsid w:val="009A0EF7"/>
    <w:rsid w:val="009A1951"/>
    <w:rsid w:val="009A1AF8"/>
    <w:rsid w:val="009A1C14"/>
    <w:rsid w:val="009A2083"/>
    <w:rsid w:val="009A23D1"/>
    <w:rsid w:val="009A26C9"/>
    <w:rsid w:val="009A271A"/>
    <w:rsid w:val="009A277F"/>
    <w:rsid w:val="009A322E"/>
    <w:rsid w:val="009A3898"/>
    <w:rsid w:val="009A3B23"/>
    <w:rsid w:val="009A3C30"/>
    <w:rsid w:val="009A4234"/>
    <w:rsid w:val="009A4719"/>
    <w:rsid w:val="009A4826"/>
    <w:rsid w:val="009A4EBA"/>
    <w:rsid w:val="009A526D"/>
    <w:rsid w:val="009A59F0"/>
    <w:rsid w:val="009A5DB0"/>
    <w:rsid w:val="009A6601"/>
    <w:rsid w:val="009A6738"/>
    <w:rsid w:val="009A6870"/>
    <w:rsid w:val="009A6AA5"/>
    <w:rsid w:val="009A6CA9"/>
    <w:rsid w:val="009A754A"/>
    <w:rsid w:val="009A7E5C"/>
    <w:rsid w:val="009A7E7A"/>
    <w:rsid w:val="009B00AA"/>
    <w:rsid w:val="009B0281"/>
    <w:rsid w:val="009B108F"/>
    <w:rsid w:val="009B1715"/>
    <w:rsid w:val="009B2E53"/>
    <w:rsid w:val="009B30F7"/>
    <w:rsid w:val="009B344F"/>
    <w:rsid w:val="009B391D"/>
    <w:rsid w:val="009B3A48"/>
    <w:rsid w:val="009B3F50"/>
    <w:rsid w:val="009B3FD9"/>
    <w:rsid w:val="009B4372"/>
    <w:rsid w:val="009B4509"/>
    <w:rsid w:val="009B551C"/>
    <w:rsid w:val="009B5594"/>
    <w:rsid w:val="009B5CC5"/>
    <w:rsid w:val="009B5D09"/>
    <w:rsid w:val="009B5D32"/>
    <w:rsid w:val="009B67E7"/>
    <w:rsid w:val="009B6968"/>
    <w:rsid w:val="009B6C92"/>
    <w:rsid w:val="009B6E74"/>
    <w:rsid w:val="009B7136"/>
    <w:rsid w:val="009B7DBC"/>
    <w:rsid w:val="009C085A"/>
    <w:rsid w:val="009C0A3A"/>
    <w:rsid w:val="009C0E64"/>
    <w:rsid w:val="009C0F3A"/>
    <w:rsid w:val="009C1664"/>
    <w:rsid w:val="009C1946"/>
    <w:rsid w:val="009C1D9A"/>
    <w:rsid w:val="009C1E0F"/>
    <w:rsid w:val="009C216A"/>
    <w:rsid w:val="009C22C7"/>
    <w:rsid w:val="009C253B"/>
    <w:rsid w:val="009C35B2"/>
    <w:rsid w:val="009C3775"/>
    <w:rsid w:val="009C3808"/>
    <w:rsid w:val="009C3D40"/>
    <w:rsid w:val="009C3EE5"/>
    <w:rsid w:val="009C3FFA"/>
    <w:rsid w:val="009C433E"/>
    <w:rsid w:val="009C462B"/>
    <w:rsid w:val="009C487D"/>
    <w:rsid w:val="009C48DC"/>
    <w:rsid w:val="009C4A7C"/>
    <w:rsid w:val="009C4A94"/>
    <w:rsid w:val="009C4BF0"/>
    <w:rsid w:val="009C4C1C"/>
    <w:rsid w:val="009C4CF5"/>
    <w:rsid w:val="009C4FED"/>
    <w:rsid w:val="009C5469"/>
    <w:rsid w:val="009C54D3"/>
    <w:rsid w:val="009C594F"/>
    <w:rsid w:val="009C5AA4"/>
    <w:rsid w:val="009C5C8A"/>
    <w:rsid w:val="009C5E0E"/>
    <w:rsid w:val="009C651B"/>
    <w:rsid w:val="009C6831"/>
    <w:rsid w:val="009C6AE7"/>
    <w:rsid w:val="009C6F17"/>
    <w:rsid w:val="009C703B"/>
    <w:rsid w:val="009C714C"/>
    <w:rsid w:val="009C74EC"/>
    <w:rsid w:val="009C75D0"/>
    <w:rsid w:val="009D0238"/>
    <w:rsid w:val="009D076A"/>
    <w:rsid w:val="009D08BD"/>
    <w:rsid w:val="009D0E20"/>
    <w:rsid w:val="009D108A"/>
    <w:rsid w:val="009D1A0A"/>
    <w:rsid w:val="009D1EC7"/>
    <w:rsid w:val="009D2029"/>
    <w:rsid w:val="009D2666"/>
    <w:rsid w:val="009D26E7"/>
    <w:rsid w:val="009D27DD"/>
    <w:rsid w:val="009D2F8D"/>
    <w:rsid w:val="009D3059"/>
    <w:rsid w:val="009D36CE"/>
    <w:rsid w:val="009D3942"/>
    <w:rsid w:val="009D3F03"/>
    <w:rsid w:val="009D43FE"/>
    <w:rsid w:val="009D44DE"/>
    <w:rsid w:val="009D4A53"/>
    <w:rsid w:val="009D4D16"/>
    <w:rsid w:val="009D4F0D"/>
    <w:rsid w:val="009D52E5"/>
    <w:rsid w:val="009D5371"/>
    <w:rsid w:val="009D5A12"/>
    <w:rsid w:val="009D5A57"/>
    <w:rsid w:val="009D5C30"/>
    <w:rsid w:val="009D5F75"/>
    <w:rsid w:val="009D5F78"/>
    <w:rsid w:val="009D61D8"/>
    <w:rsid w:val="009D7D3A"/>
    <w:rsid w:val="009E0247"/>
    <w:rsid w:val="009E02DA"/>
    <w:rsid w:val="009E060C"/>
    <w:rsid w:val="009E0A36"/>
    <w:rsid w:val="009E0A9B"/>
    <w:rsid w:val="009E0B57"/>
    <w:rsid w:val="009E0C4B"/>
    <w:rsid w:val="009E0D5C"/>
    <w:rsid w:val="009E1102"/>
    <w:rsid w:val="009E124B"/>
    <w:rsid w:val="009E1714"/>
    <w:rsid w:val="009E20CB"/>
    <w:rsid w:val="009E229A"/>
    <w:rsid w:val="009E2588"/>
    <w:rsid w:val="009E292C"/>
    <w:rsid w:val="009E2AE2"/>
    <w:rsid w:val="009E2C7A"/>
    <w:rsid w:val="009E2D45"/>
    <w:rsid w:val="009E2D6F"/>
    <w:rsid w:val="009E3188"/>
    <w:rsid w:val="009E32B6"/>
    <w:rsid w:val="009E3344"/>
    <w:rsid w:val="009E3386"/>
    <w:rsid w:val="009E3CF6"/>
    <w:rsid w:val="009E4C02"/>
    <w:rsid w:val="009E523C"/>
    <w:rsid w:val="009E5270"/>
    <w:rsid w:val="009E5393"/>
    <w:rsid w:val="009E56FB"/>
    <w:rsid w:val="009E59C5"/>
    <w:rsid w:val="009E5D08"/>
    <w:rsid w:val="009E5D55"/>
    <w:rsid w:val="009E5EB9"/>
    <w:rsid w:val="009E64C1"/>
    <w:rsid w:val="009E6EB2"/>
    <w:rsid w:val="009E7094"/>
    <w:rsid w:val="009E74E0"/>
    <w:rsid w:val="009E7711"/>
    <w:rsid w:val="009E7AC1"/>
    <w:rsid w:val="009E7BC2"/>
    <w:rsid w:val="009E7FDD"/>
    <w:rsid w:val="009F0203"/>
    <w:rsid w:val="009F0291"/>
    <w:rsid w:val="009F038A"/>
    <w:rsid w:val="009F0575"/>
    <w:rsid w:val="009F0638"/>
    <w:rsid w:val="009F0893"/>
    <w:rsid w:val="009F0A9D"/>
    <w:rsid w:val="009F0C05"/>
    <w:rsid w:val="009F0FA6"/>
    <w:rsid w:val="009F1055"/>
    <w:rsid w:val="009F1595"/>
    <w:rsid w:val="009F16CA"/>
    <w:rsid w:val="009F2868"/>
    <w:rsid w:val="009F2907"/>
    <w:rsid w:val="009F29DA"/>
    <w:rsid w:val="009F2BF1"/>
    <w:rsid w:val="009F2D3E"/>
    <w:rsid w:val="009F2FB4"/>
    <w:rsid w:val="009F3018"/>
    <w:rsid w:val="009F304B"/>
    <w:rsid w:val="009F3406"/>
    <w:rsid w:val="009F34C7"/>
    <w:rsid w:val="009F3779"/>
    <w:rsid w:val="009F42B0"/>
    <w:rsid w:val="009F447E"/>
    <w:rsid w:val="009F46C9"/>
    <w:rsid w:val="009F5039"/>
    <w:rsid w:val="009F5082"/>
    <w:rsid w:val="009F51C9"/>
    <w:rsid w:val="009F53A3"/>
    <w:rsid w:val="009F5471"/>
    <w:rsid w:val="009F560B"/>
    <w:rsid w:val="009F58D1"/>
    <w:rsid w:val="009F594E"/>
    <w:rsid w:val="009F5DCF"/>
    <w:rsid w:val="009F6092"/>
    <w:rsid w:val="009F6130"/>
    <w:rsid w:val="009F6211"/>
    <w:rsid w:val="009F6516"/>
    <w:rsid w:val="009F66C3"/>
    <w:rsid w:val="009F7504"/>
    <w:rsid w:val="009F7555"/>
    <w:rsid w:val="009F77EC"/>
    <w:rsid w:val="009F7BB1"/>
    <w:rsid w:val="009F7FF4"/>
    <w:rsid w:val="00A0022E"/>
    <w:rsid w:val="00A00275"/>
    <w:rsid w:val="00A0043F"/>
    <w:rsid w:val="00A00AD2"/>
    <w:rsid w:val="00A00DB1"/>
    <w:rsid w:val="00A01571"/>
    <w:rsid w:val="00A01AFC"/>
    <w:rsid w:val="00A01EDF"/>
    <w:rsid w:val="00A02335"/>
    <w:rsid w:val="00A02559"/>
    <w:rsid w:val="00A029E7"/>
    <w:rsid w:val="00A0317E"/>
    <w:rsid w:val="00A034D0"/>
    <w:rsid w:val="00A03C38"/>
    <w:rsid w:val="00A03F77"/>
    <w:rsid w:val="00A04607"/>
    <w:rsid w:val="00A04F5A"/>
    <w:rsid w:val="00A04F64"/>
    <w:rsid w:val="00A05582"/>
    <w:rsid w:val="00A055CE"/>
    <w:rsid w:val="00A0579A"/>
    <w:rsid w:val="00A057C8"/>
    <w:rsid w:val="00A05EDA"/>
    <w:rsid w:val="00A06690"/>
    <w:rsid w:val="00A06B5C"/>
    <w:rsid w:val="00A06C43"/>
    <w:rsid w:val="00A072EA"/>
    <w:rsid w:val="00A0761D"/>
    <w:rsid w:val="00A07722"/>
    <w:rsid w:val="00A07C7E"/>
    <w:rsid w:val="00A07FAA"/>
    <w:rsid w:val="00A100D7"/>
    <w:rsid w:val="00A10671"/>
    <w:rsid w:val="00A10E8B"/>
    <w:rsid w:val="00A11930"/>
    <w:rsid w:val="00A11AA3"/>
    <w:rsid w:val="00A11DDF"/>
    <w:rsid w:val="00A11F1A"/>
    <w:rsid w:val="00A11FC5"/>
    <w:rsid w:val="00A121BB"/>
    <w:rsid w:val="00A12700"/>
    <w:rsid w:val="00A12720"/>
    <w:rsid w:val="00A129B2"/>
    <w:rsid w:val="00A129C2"/>
    <w:rsid w:val="00A12BF2"/>
    <w:rsid w:val="00A131D1"/>
    <w:rsid w:val="00A13227"/>
    <w:rsid w:val="00A13694"/>
    <w:rsid w:val="00A13F1F"/>
    <w:rsid w:val="00A146CC"/>
    <w:rsid w:val="00A148F4"/>
    <w:rsid w:val="00A14AFB"/>
    <w:rsid w:val="00A14B02"/>
    <w:rsid w:val="00A14B8F"/>
    <w:rsid w:val="00A14BA5"/>
    <w:rsid w:val="00A14D7D"/>
    <w:rsid w:val="00A15BE6"/>
    <w:rsid w:val="00A15ECD"/>
    <w:rsid w:val="00A15EFE"/>
    <w:rsid w:val="00A166D6"/>
    <w:rsid w:val="00A167B6"/>
    <w:rsid w:val="00A16FCE"/>
    <w:rsid w:val="00A1749F"/>
    <w:rsid w:val="00A175FC"/>
    <w:rsid w:val="00A17B20"/>
    <w:rsid w:val="00A20108"/>
    <w:rsid w:val="00A2040F"/>
    <w:rsid w:val="00A207D8"/>
    <w:rsid w:val="00A20854"/>
    <w:rsid w:val="00A2089A"/>
    <w:rsid w:val="00A20FC8"/>
    <w:rsid w:val="00A21427"/>
    <w:rsid w:val="00A219ED"/>
    <w:rsid w:val="00A21C83"/>
    <w:rsid w:val="00A21E1D"/>
    <w:rsid w:val="00A21EE5"/>
    <w:rsid w:val="00A22056"/>
    <w:rsid w:val="00A222A5"/>
    <w:rsid w:val="00A225E4"/>
    <w:rsid w:val="00A22600"/>
    <w:rsid w:val="00A226D8"/>
    <w:rsid w:val="00A23522"/>
    <w:rsid w:val="00A2439C"/>
    <w:rsid w:val="00A244BE"/>
    <w:rsid w:val="00A24836"/>
    <w:rsid w:val="00A24934"/>
    <w:rsid w:val="00A24C4F"/>
    <w:rsid w:val="00A24E90"/>
    <w:rsid w:val="00A25136"/>
    <w:rsid w:val="00A2592C"/>
    <w:rsid w:val="00A2599D"/>
    <w:rsid w:val="00A25B76"/>
    <w:rsid w:val="00A25F75"/>
    <w:rsid w:val="00A26159"/>
    <w:rsid w:val="00A261F4"/>
    <w:rsid w:val="00A2695F"/>
    <w:rsid w:val="00A26A0C"/>
    <w:rsid w:val="00A26C97"/>
    <w:rsid w:val="00A275B1"/>
    <w:rsid w:val="00A2763D"/>
    <w:rsid w:val="00A27D47"/>
    <w:rsid w:val="00A30797"/>
    <w:rsid w:val="00A30AF5"/>
    <w:rsid w:val="00A3109F"/>
    <w:rsid w:val="00A3114E"/>
    <w:rsid w:val="00A312F5"/>
    <w:rsid w:val="00A31C0F"/>
    <w:rsid w:val="00A32090"/>
    <w:rsid w:val="00A3270F"/>
    <w:rsid w:val="00A334BA"/>
    <w:rsid w:val="00A335EB"/>
    <w:rsid w:val="00A3376F"/>
    <w:rsid w:val="00A339F9"/>
    <w:rsid w:val="00A33A0E"/>
    <w:rsid w:val="00A33FD5"/>
    <w:rsid w:val="00A341E0"/>
    <w:rsid w:val="00A3434D"/>
    <w:rsid w:val="00A34826"/>
    <w:rsid w:val="00A3489D"/>
    <w:rsid w:val="00A348ED"/>
    <w:rsid w:val="00A35723"/>
    <w:rsid w:val="00A35B1E"/>
    <w:rsid w:val="00A35CDD"/>
    <w:rsid w:val="00A35E06"/>
    <w:rsid w:val="00A35EC5"/>
    <w:rsid w:val="00A35F04"/>
    <w:rsid w:val="00A36001"/>
    <w:rsid w:val="00A36D04"/>
    <w:rsid w:val="00A371C7"/>
    <w:rsid w:val="00A372C6"/>
    <w:rsid w:val="00A372FC"/>
    <w:rsid w:val="00A374A8"/>
    <w:rsid w:val="00A376FC"/>
    <w:rsid w:val="00A37D02"/>
    <w:rsid w:val="00A37D76"/>
    <w:rsid w:val="00A4015C"/>
    <w:rsid w:val="00A40681"/>
    <w:rsid w:val="00A40A21"/>
    <w:rsid w:val="00A40EC1"/>
    <w:rsid w:val="00A41728"/>
    <w:rsid w:val="00A41794"/>
    <w:rsid w:val="00A41AC2"/>
    <w:rsid w:val="00A41AE3"/>
    <w:rsid w:val="00A41CB8"/>
    <w:rsid w:val="00A42233"/>
    <w:rsid w:val="00A424CC"/>
    <w:rsid w:val="00A42943"/>
    <w:rsid w:val="00A42BC5"/>
    <w:rsid w:val="00A42C1A"/>
    <w:rsid w:val="00A43A83"/>
    <w:rsid w:val="00A43AAD"/>
    <w:rsid w:val="00A43C53"/>
    <w:rsid w:val="00A43C59"/>
    <w:rsid w:val="00A43E48"/>
    <w:rsid w:val="00A44783"/>
    <w:rsid w:val="00A44BBB"/>
    <w:rsid w:val="00A44EB9"/>
    <w:rsid w:val="00A460FC"/>
    <w:rsid w:val="00A46448"/>
    <w:rsid w:val="00A46559"/>
    <w:rsid w:val="00A46741"/>
    <w:rsid w:val="00A46830"/>
    <w:rsid w:val="00A46A85"/>
    <w:rsid w:val="00A46C62"/>
    <w:rsid w:val="00A475B6"/>
    <w:rsid w:val="00A478BD"/>
    <w:rsid w:val="00A47956"/>
    <w:rsid w:val="00A47FE2"/>
    <w:rsid w:val="00A50414"/>
    <w:rsid w:val="00A50565"/>
    <w:rsid w:val="00A50667"/>
    <w:rsid w:val="00A5073D"/>
    <w:rsid w:val="00A507D1"/>
    <w:rsid w:val="00A5197C"/>
    <w:rsid w:val="00A51A47"/>
    <w:rsid w:val="00A51BFF"/>
    <w:rsid w:val="00A521AC"/>
    <w:rsid w:val="00A522BC"/>
    <w:rsid w:val="00A52466"/>
    <w:rsid w:val="00A524CD"/>
    <w:rsid w:val="00A5261F"/>
    <w:rsid w:val="00A52675"/>
    <w:rsid w:val="00A52941"/>
    <w:rsid w:val="00A529F1"/>
    <w:rsid w:val="00A52C7C"/>
    <w:rsid w:val="00A52CCB"/>
    <w:rsid w:val="00A53122"/>
    <w:rsid w:val="00A536B0"/>
    <w:rsid w:val="00A53A3D"/>
    <w:rsid w:val="00A53F69"/>
    <w:rsid w:val="00A542AE"/>
    <w:rsid w:val="00A542F7"/>
    <w:rsid w:val="00A5466C"/>
    <w:rsid w:val="00A54B43"/>
    <w:rsid w:val="00A54B8F"/>
    <w:rsid w:val="00A55396"/>
    <w:rsid w:val="00A553CA"/>
    <w:rsid w:val="00A55668"/>
    <w:rsid w:val="00A55C07"/>
    <w:rsid w:val="00A55DBB"/>
    <w:rsid w:val="00A56026"/>
    <w:rsid w:val="00A56141"/>
    <w:rsid w:val="00A5618E"/>
    <w:rsid w:val="00A56404"/>
    <w:rsid w:val="00A565F3"/>
    <w:rsid w:val="00A56DF7"/>
    <w:rsid w:val="00A57733"/>
    <w:rsid w:val="00A57747"/>
    <w:rsid w:val="00A5796D"/>
    <w:rsid w:val="00A6043F"/>
    <w:rsid w:val="00A605AF"/>
    <w:rsid w:val="00A605B0"/>
    <w:rsid w:val="00A61375"/>
    <w:rsid w:val="00A61713"/>
    <w:rsid w:val="00A6171B"/>
    <w:rsid w:val="00A61CDB"/>
    <w:rsid w:val="00A61E8C"/>
    <w:rsid w:val="00A629F2"/>
    <w:rsid w:val="00A631FF"/>
    <w:rsid w:val="00A634E4"/>
    <w:rsid w:val="00A6362A"/>
    <w:rsid w:val="00A63738"/>
    <w:rsid w:val="00A63E2E"/>
    <w:rsid w:val="00A648AC"/>
    <w:rsid w:val="00A64F89"/>
    <w:rsid w:val="00A650DD"/>
    <w:rsid w:val="00A65208"/>
    <w:rsid w:val="00A6521D"/>
    <w:rsid w:val="00A652BD"/>
    <w:rsid w:val="00A658BA"/>
    <w:rsid w:val="00A65CC0"/>
    <w:rsid w:val="00A6662D"/>
    <w:rsid w:val="00A667E0"/>
    <w:rsid w:val="00A66B05"/>
    <w:rsid w:val="00A67032"/>
    <w:rsid w:val="00A671B4"/>
    <w:rsid w:val="00A67438"/>
    <w:rsid w:val="00A67588"/>
    <w:rsid w:val="00A67651"/>
    <w:rsid w:val="00A67DAB"/>
    <w:rsid w:val="00A67E66"/>
    <w:rsid w:val="00A67F7A"/>
    <w:rsid w:val="00A70046"/>
    <w:rsid w:val="00A70129"/>
    <w:rsid w:val="00A702E1"/>
    <w:rsid w:val="00A70718"/>
    <w:rsid w:val="00A70A2D"/>
    <w:rsid w:val="00A70A35"/>
    <w:rsid w:val="00A70C26"/>
    <w:rsid w:val="00A70EEF"/>
    <w:rsid w:val="00A71B47"/>
    <w:rsid w:val="00A71E6D"/>
    <w:rsid w:val="00A72219"/>
    <w:rsid w:val="00A722D9"/>
    <w:rsid w:val="00A725F8"/>
    <w:rsid w:val="00A72669"/>
    <w:rsid w:val="00A72835"/>
    <w:rsid w:val="00A73526"/>
    <w:rsid w:val="00A735DA"/>
    <w:rsid w:val="00A7377D"/>
    <w:rsid w:val="00A73791"/>
    <w:rsid w:val="00A7398C"/>
    <w:rsid w:val="00A73DF5"/>
    <w:rsid w:val="00A7474C"/>
    <w:rsid w:val="00A74A72"/>
    <w:rsid w:val="00A74C22"/>
    <w:rsid w:val="00A74F39"/>
    <w:rsid w:val="00A75270"/>
    <w:rsid w:val="00A7533C"/>
    <w:rsid w:val="00A754BF"/>
    <w:rsid w:val="00A7591E"/>
    <w:rsid w:val="00A75B58"/>
    <w:rsid w:val="00A75D2C"/>
    <w:rsid w:val="00A76089"/>
    <w:rsid w:val="00A761F6"/>
    <w:rsid w:val="00A768C0"/>
    <w:rsid w:val="00A77209"/>
    <w:rsid w:val="00A77487"/>
    <w:rsid w:val="00A77A44"/>
    <w:rsid w:val="00A77E47"/>
    <w:rsid w:val="00A77F35"/>
    <w:rsid w:val="00A77F66"/>
    <w:rsid w:val="00A77FEA"/>
    <w:rsid w:val="00A800E1"/>
    <w:rsid w:val="00A80974"/>
    <w:rsid w:val="00A80D2E"/>
    <w:rsid w:val="00A80E8E"/>
    <w:rsid w:val="00A80F31"/>
    <w:rsid w:val="00A81129"/>
    <w:rsid w:val="00A8124F"/>
    <w:rsid w:val="00A81325"/>
    <w:rsid w:val="00A8170E"/>
    <w:rsid w:val="00A8197A"/>
    <w:rsid w:val="00A8216B"/>
    <w:rsid w:val="00A821BF"/>
    <w:rsid w:val="00A8232F"/>
    <w:rsid w:val="00A825CA"/>
    <w:rsid w:val="00A829B3"/>
    <w:rsid w:val="00A82BF8"/>
    <w:rsid w:val="00A82FD1"/>
    <w:rsid w:val="00A83681"/>
    <w:rsid w:val="00A83709"/>
    <w:rsid w:val="00A83D80"/>
    <w:rsid w:val="00A84009"/>
    <w:rsid w:val="00A845C5"/>
    <w:rsid w:val="00A84678"/>
    <w:rsid w:val="00A846B2"/>
    <w:rsid w:val="00A84806"/>
    <w:rsid w:val="00A84BA4"/>
    <w:rsid w:val="00A8501B"/>
    <w:rsid w:val="00A851A9"/>
    <w:rsid w:val="00A85788"/>
    <w:rsid w:val="00A85A47"/>
    <w:rsid w:val="00A85E18"/>
    <w:rsid w:val="00A85E6F"/>
    <w:rsid w:val="00A85F17"/>
    <w:rsid w:val="00A86464"/>
    <w:rsid w:val="00A86497"/>
    <w:rsid w:val="00A86AF0"/>
    <w:rsid w:val="00A86CEE"/>
    <w:rsid w:val="00A874B1"/>
    <w:rsid w:val="00A877C9"/>
    <w:rsid w:val="00A87872"/>
    <w:rsid w:val="00A87FC3"/>
    <w:rsid w:val="00A90101"/>
    <w:rsid w:val="00A904C1"/>
    <w:rsid w:val="00A9098F"/>
    <w:rsid w:val="00A910F3"/>
    <w:rsid w:val="00A91128"/>
    <w:rsid w:val="00A911F9"/>
    <w:rsid w:val="00A91458"/>
    <w:rsid w:val="00A91605"/>
    <w:rsid w:val="00A91819"/>
    <w:rsid w:val="00A9196C"/>
    <w:rsid w:val="00A92832"/>
    <w:rsid w:val="00A93C62"/>
    <w:rsid w:val="00A93D2F"/>
    <w:rsid w:val="00A941E8"/>
    <w:rsid w:val="00A947F6"/>
    <w:rsid w:val="00A94C5C"/>
    <w:rsid w:val="00A94E0A"/>
    <w:rsid w:val="00A95597"/>
    <w:rsid w:val="00A95AB7"/>
    <w:rsid w:val="00A95D47"/>
    <w:rsid w:val="00A961EB"/>
    <w:rsid w:val="00A962C3"/>
    <w:rsid w:val="00A96401"/>
    <w:rsid w:val="00A96678"/>
    <w:rsid w:val="00A96813"/>
    <w:rsid w:val="00A968A6"/>
    <w:rsid w:val="00A96C4A"/>
    <w:rsid w:val="00A975D4"/>
    <w:rsid w:val="00A97645"/>
    <w:rsid w:val="00A97C89"/>
    <w:rsid w:val="00AA00E1"/>
    <w:rsid w:val="00AA049D"/>
    <w:rsid w:val="00AA0B41"/>
    <w:rsid w:val="00AA0CD2"/>
    <w:rsid w:val="00AA1100"/>
    <w:rsid w:val="00AA12D6"/>
    <w:rsid w:val="00AA1612"/>
    <w:rsid w:val="00AA1771"/>
    <w:rsid w:val="00AA1DDA"/>
    <w:rsid w:val="00AA2041"/>
    <w:rsid w:val="00AA2721"/>
    <w:rsid w:val="00AA2A98"/>
    <w:rsid w:val="00AA2CCA"/>
    <w:rsid w:val="00AA326C"/>
    <w:rsid w:val="00AA3AF8"/>
    <w:rsid w:val="00AA3DAD"/>
    <w:rsid w:val="00AA3F44"/>
    <w:rsid w:val="00AA40E0"/>
    <w:rsid w:val="00AA42EE"/>
    <w:rsid w:val="00AA4660"/>
    <w:rsid w:val="00AA47C7"/>
    <w:rsid w:val="00AA48BB"/>
    <w:rsid w:val="00AA4BB4"/>
    <w:rsid w:val="00AA4DA8"/>
    <w:rsid w:val="00AA4F80"/>
    <w:rsid w:val="00AA4FBB"/>
    <w:rsid w:val="00AA512F"/>
    <w:rsid w:val="00AA5759"/>
    <w:rsid w:val="00AA588A"/>
    <w:rsid w:val="00AA5D5D"/>
    <w:rsid w:val="00AA5DCA"/>
    <w:rsid w:val="00AA671F"/>
    <w:rsid w:val="00AA68BB"/>
    <w:rsid w:val="00AA6AD9"/>
    <w:rsid w:val="00AA6B27"/>
    <w:rsid w:val="00AA7173"/>
    <w:rsid w:val="00AA7E23"/>
    <w:rsid w:val="00AB149E"/>
    <w:rsid w:val="00AB16F0"/>
    <w:rsid w:val="00AB172F"/>
    <w:rsid w:val="00AB1B5D"/>
    <w:rsid w:val="00AB212F"/>
    <w:rsid w:val="00AB2C1E"/>
    <w:rsid w:val="00AB3195"/>
    <w:rsid w:val="00AB3591"/>
    <w:rsid w:val="00AB3703"/>
    <w:rsid w:val="00AB391A"/>
    <w:rsid w:val="00AB3AA6"/>
    <w:rsid w:val="00AB3B5A"/>
    <w:rsid w:val="00AB3BAC"/>
    <w:rsid w:val="00AB3C4A"/>
    <w:rsid w:val="00AB3E00"/>
    <w:rsid w:val="00AB3EFE"/>
    <w:rsid w:val="00AB3F2B"/>
    <w:rsid w:val="00AB44A4"/>
    <w:rsid w:val="00AB4D59"/>
    <w:rsid w:val="00AB4EFF"/>
    <w:rsid w:val="00AB57B6"/>
    <w:rsid w:val="00AB59A0"/>
    <w:rsid w:val="00AB5B41"/>
    <w:rsid w:val="00AB5E15"/>
    <w:rsid w:val="00AB6505"/>
    <w:rsid w:val="00AB6650"/>
    <w:rsid w:val="00AB6890"/>
    <w:rsid w:val="00AB6BB4"/>
    <w:rsid w:val="00AB6D60"/>
    <w:rsid w:val="00AB72B7"/>
    <w:rsid w:val="00AB7784"/>
    <w:rsid w:val="00AB786D"/>
    <w:rsid w:val="00AB7EFE"/>
    <w:rsid w:val="00AC01A4"/>
    <w:rsid w:val="00AC05CC"/>
    <w:rsid w:val="00AC071C"/>
    <w:rsid w:val="00AC0BCD"/>
    <w:rsid w:val="00AC0CF5"/>
    <w:rsid w:val="00AC118E"/>
    <w:rsid w:val="00AC177A"/>
    <w:rsid w:val="00AC1BBA"/>
    <w:rsid w:val="00AC1E06"/>
    <w:rsid w:val="00AC2227"/>
    <w:rsid w:val="00AC25DD"/>
    <w:rsid w:val="00AC2B6E"/>
    <w:rsid w:val="00AC2C2E"/>
    <w:rsid w:val="00AC2D50"/>
    <w:rsid w:val="00AC43B4"/>
    <w:rsid w:val="00AC4F7B"/>
    <w:rsid w:val="00AC5451"/>
    <w:rsid w:val="00AC5674"/>
    <w:rsid w:val="00AC56A3"/>
    <w:rsid w:val="00AC5844"/>
    <w:rsid w:val="00AC5BBA"/>
    <w:rsid w:val="00AC5BD4"/>
    <w:rsid w:val="00AC617F"/>
    <w:rsid w:val="00AC67A3"/>
    <w:rsid w:val="00AC6919"/>
    <w:rsid w:val="00AC6F62"/>
    <w:rsid w:val="00AC722B"/>
    <w:rsid w:val="00AC75CC"/>
    <w:rsid w:val="00AC790C"/>
    <w:rsid w:val="00AC7A84"/>
    <w:rsid w:val="00AC7DBF"/>
    <w:rsid w:val="00AD05A1"/>
    <w:rsid w:val="00AD1028"/>
    <w:rsid w:val="00AD1083"/>
    <w:rsid w:val="00AD110F"/>
    <w:rsid w:val="00AD23B1"/>
    <w:rsid w:val="00AD2A24"/>
    <w:rsid w:val="00AD2B70"/>
    <w:rsid w:val="00AD30BC"/>
    <w:rsid w:val="00AD377C"/>
    <w:rsid w:val="00AD3C50"/>
    <w:rsid w:val="00AD3E49"/>
    <w:rsid w:val="00AD4149"/>
    <w:rsid w:val="00AD4180"/>
    <w:rsid w:val="00AD44A1"/>
    <w:rsid w:val="00AD46C2"/>
    <w:rsid w:val="00AD47EC"/>
    <w:rsid w:val="00AD4B83"/>
    <w:rsid w:val="00AD4CF5"/>
    <w:rsid w:val="00AD4F92"/>
    <w:rsid w:val="00AD643E"/>
    <w:rsid w:val="00AD65D3"/>
    <w:rsid w:val="00AD6B6A"/>
    <w:rsid w:val="00AD6FCA"/>
    <w:rsid w:val="00AD7844"/>
    <w:rsid w:val="00AD7BE6"/>
    <w:rsid w:val="00AD7DD8"/>
    <w:rsid w:val="00AD7DEC"/>
    <w:rsid w:val="00AD7F05"/>
    <w:rsid w:val="00AE04D5"/>
    <w:rsid w:val="00AE0551"/>
    <w:rsid w:val="00AE0653"/>
    <w:rsid w:val="00AE09AF"/>
    <w:rsid w:val="00AE0A13"/>
    <w:rsid w:val="00AE0B3F"/>
    <w:rsid w:val="00AE0C8C"/>
    <w:rsid w:val="00AE0D96"/>
    <w:rsid w:val="00AE0F4F"/>
    <w:rsid w:val="00AE169D"/>
    <w:rsid w:val="00AE17A5"/>
    <w:rsid w:val="00AE1D7B"/>
    <w:rsid w:val="00AE1D8B"/>
    <w:rsid w:val="00AE1E57"/>
    <w:rsid w:val="00AE2084"/>
    <w:rsid w:val="00AE2309"/>
    <w:rsid w:val="00AE368A"/>
    <w:rsid w:val="00AE394A"/>
    <w:rsid w:val="00AE3F1D"/>
    <w:rsid w:val="00AE40A3"/>
    <w:rsid w:val="00AE4168"/>
    <w:rsid w:val="00AE44E5"/>
    <w:rsid w:val="00AE4A0A"/>
    <w:rsid w:val="00AE5128"/>
    <w:rsid w:val="00AE5821"/>
    <w:rsid w:val="00AE5998"/>
    <w:rsid w:val="00AE5E65"/>
    <w:rsid w:val="00AE5E6C"/>
    <w:rsid w:val="00AE6C48"/>
    <w:rsid w:val="00AE6D89"/>
    <w:rsid w:val="00AE6F62"/>
    <w:rsid w:val="00AE726A"/>
    <w:rsid w:val="00AE7C02"/>
    <w:rsid w:val="00AE7C52"/>
    <w:rsid w:val="00AE7D1C"/>
    <w:rsid w:val="00AF023C"/>
    <w:rsid w:val="00AF0CA8"/>
    <w:rsid w:val="00AF100C"/>
    <w:rsid w:val="00AF1610"/>
    <w:rsid w:val="00AF1642"/>
    <w:rsid w:val="00AF1865"/>
    <w:rsid w:val="00AF1B51"/>
    <w:rsid w:val="00AF1C5C"/>
    <w:rsid w:val="00AF226E"/>
    <w:rsid w:val="00AF248C"/>
    <w:rsid w:val="00AF26AE"/>
    <w:rsid w:val="00AF2FCB"/>
    <w:rsid w:val="00AF316C"/>
    <w:rsid w:val="00AF321A"/>
    <w:rsid w:val="00AF379A"/>
    <w:rsid w:val="00AF3CB0"/>
    <w:rsid w:val="00AF3CE1"/>
    <w:rsid w:val="00AF3D24"/>
    <w:rsid w:val="00AF3E12"/>
    <w:rsid w:val="00AF4011"/>
    <w:rsid w:val="00AF43AB"/>
    <w:rsid w:val="00AF55FF"/>
    <w:rsid w:val="00AF566D"/>
    <w:rsid w:val="00AF59E4"/>
    <w:rsid w:val="00AF5E1F"/>
    <w:rsid w:val="00AF5EFD"/>
    <w:rsid w:val="00AF65FB"/>
    <w:rsid w:val="00AF668F"/>
    <w:rsid w:val="00AF6CCE"/>
    <w:rsid w:val="00AF7459"/>
    <w:rsid w:val="00AF7657"/>
    <w:rsid w:val="00AF78D4"/>
    <w:rsid w:val="00AF7C51"/>
    <w:rsid w:val="00AF7D8F"/>
    <w:rsid w:val="00B00119"/>
    <w:rsid w:val="00B004BB"/>
    <w:rsid w:val="00B00A70"/>
    <w:rsid w:val="00B00D68"/>
    <w:rsid w:val="00B01749"/>
    <w:rsid w:val="00B01A16"/>
    <w:rsid w:val="00B02003"/>
    <w:rsid w:val="00B02236"/>
    <w:rsid w:val="00B02A15"/>
    <w:rsid w:val="00B02A86"/>
    <w:rsid w:val="00B02CB0"/>
    <w:rsid w:val="00B032E6"/>
    <w:rsid w:val="00B034D2"/>
    <w:rsid w:val="00B039D4"/>
    <w:rsid w:val="00B03E58"/>
    <w:rsid w:val="00B043EA"/>
    <w:rsid w:val="00B04A3F"/>
    <w:rsid w:val="00B04C12"/>
    <w:rsid w:val="00B04F16"/>
    <w:rsid w:val="00B05362"/>
    <w:rsid w:val="00B0657F"/>
    <w:rsid w:val="00B069EE"/>
    <w:rsid w:val="00B06B8C"/>
    <w:rsid w:val="00B06C84"/>
    <w:rsid w:val="00B06DAD"/>
    <w:rsid w:val="00B06E37"/>
    <w:rsid w:val="00B06FA2"/>
    <w:rsid w:val="00B07283"/>
    <w:rsid w:val="00B07298"/>
    <w:rsid w:val="00B0740E"/>
    <w:rsid w:val="00B07BA6"/>
    <w:rsid w:val="00B10049"/>
    <w:rsid w:val="00B101A5"/>
    <w:rsid w:val="00B10360"/>
    <w:rsid w:val="00B109CC"/>
    <w:rsid w:val="00B10ADC"/>
    <w:rsid w:val="00B114C5"/>
    <w:rsid w:val="00B119AD"/>
    <w:rsid w:val="00B11CB6"/>
    <w:rsid w:val="00B11E6C"/>
    <w:rsid w:val="00B11FB4"/>
    <w:rsid w:val="00B122DD"/>
    <w:rsid w:val="00B1263F"/>
    <w:rsid w:val="00B126AD"/>
    <w:rsid w:val="00B12723"/>
    <w:rsid w:val="00B12C68"/>
    <w:rsid w:val="00B12F18"/>
    <w:rsid w:val="00B13575"/>
    <w:rsid w:val="00B13698"/>
    <w:rsid w:val="00B13ECF"/>
    <w:rsid w:val="00B14159"/>
    <w:rsid w:val="00B1423D"/>
    <w:rsid w:val="00B148E4"/>
    <w:rsid w:val="00B14B9B"/>
    <w:rsid w:val="00B14ED9"/>
    <w:rsid w:val="00B1554C"/>
    <w:rsid w:val="00B15C14"/>
    <w:rsid w:val="00B15F90"/>
    <w:rsid w:val="00B1610B"/>
    <w:rsid w:val="00B167A1"/>
    <w:rsid w:val="00B16A3C"/>
    <w:rsid w:val="00B16F3E"/>
    <w:rsid w:val="00B16FC2"/>
    <w:rsid w:val="00B1701F"/>
    <w:rsid w:val="00B170A7"/>
    <w:rsid w:val="00B170ED"/>
    <w:rsid w:val="00B1757D"/>
    <w:rsid w:val="00B17731"/>
    <w:rsid w:val="00B178E7"/>
    <w:rsid w:val="00B20ED9"/>
    <w:rsid w:val="00B2147F"/>
    <w:rsid w:val="00B219B9"/>
    <w:rsid w:val="00B21CBE"/>
    <w:rsid w:val="00B21CC2"/>
    <w:rsid w:val="00B23830"/>
    <w:rsid w:val="00B238BD"/>
    <w:rsid w:val="00B23911"/>
    <w:rsid w:val="00B23AD3"/>
    <w:rsid w:val="00B23BDB"/>
    <w:rsid w:val="00B23D0C"/>
    <w:rsid w:val="00B24C9F"/>
    <w:rsid w:val="00B24D5C"/>
    <w:rsid w:val="00B2597C"/>
    <w:rsid w:val="00B259D6"/>
    <w:rsid w:val="00B25ACB"/>
    <w:rsid w:val="00B25AF5"/>
    <w:rsid w:val="00B25D8C"/>
    <w:rsid w:val="00B26087"/>
    <w:rsid w:val="00B260F3"/>
    <w:rsid w:val="00B26236"/>
    <w:rsid w:val="00B26478"/>
    <w:rsid w:val="00B26578"/>
    <w:rsid w:val="00B26809"/>
    <w:rsid w:val="00B26912"/>
    <w:rsid w:val="00B26B27"/>
    <w:rsid w:val="00B26BBA"/>
    <w:rsid w:val="00B26EB5"/>
    <w:rsid w:val="00B2720F"/>
    <w:rsid w:val="00B278DD"/>
    <w:rsid w:val="00B2793B"/>
    <w:rsid w:val="00B3003E"/>
    <w:rsid w:val="00B3030B"/>
    <w:rsid w:val="00B30876"/>
    <w:rsid w:val="00B308F1"/>
    <w:rsid w:val="00B30C15"/>
    <w:rsid w:val="00B30C6D"/>
    <w:rsid w:val="00B3151B"/>
    <w:rsid w:val="00B31B80"/>
    <w:rsid w:val="00B31BE3"/>
    <w:rsid w:val="00B31C06"/>
    <w:rsid w:val="00B31F92"/>
    <w:rsid w:val="00B31FDF"/>
    <w:rsid w:val="00B32110"/>
    <w:rsid w:val="00B326D3"/>
    <w:rsid w:val="00B32754"/>
    <w:rsid w:val="00B32A22"/>
    <w:rsid w:val="00B32AA1"/>
    <w:rsid w:val="00B32BAF"/>
    <w:rsid w:val="00B32DE8"/>
    <w:rsid w:val="00B32DED"/>
    <w:rsid w:val="00B32FFB"/>
    <w:rsid w:val="00B3332E"/>
    <w:rsid w:val="00B33587"/>
    <w:rsid w:val="00B33757"/>
    <w:rsid w:val="00B33BDA"/>
    <w:rsid w:val="00B33D26"/>
    <w:rsid w:val="00B33D73"/>
    <w:rsid w:val="00B33F27"/>
    <w:rsid w:val="00B340F8"/>
    <w:rsid w:val="00B3439E"/>
    <w:rsid w:val="00B34410"/>
    <w:rsid w:val="00B34713"/>
    <w:rsid w:val="00B34BF2"/>
    <w:rsid w:val="00B34C1B"/>
    <w:rsid w:val="00B35220"/>
    <w:rsid w:val="00B352F6"/>
    <w:rsid w:val="00B3533F"/>
    <w:rsid w:val="00B358A5"/>
    <w:rsid w:val="00B35DBA"/>
    <w:rsid w:val="00B360F2"/>
    <w:rsid w:val="00B36389"/>
    <w:rsid w:val="00B36A08"/>
    <w:rsid w:val="00B36E98"/>
    <w:rsid w:val="00B3712F"/>
    <w:rsid w:val="00B374C9"/>
    <w:rsid w:val="00B37518"/>
    <w:rsid w:val="00B377B0"/>
    <w:rsid w:val="00B37B88"/>
    <w:rsid w:val="00B37F99"/>
    <w:rsid w:val="00B40D79"/>
    <w:rsid w:val="00B40E62"/>
    <w:rsid w:val="00B41DAE"/>
    <w:rsid w:val="00B41F98"/>
    <w:rsid w:val="00B42104"/>
    <w:rsid w:val="00B424CC"/>
    <w:rsid w:val="00B42616"/>
    <w:rsid w:val="00B42619"/>
    <w:rsid w:val="00B42901"/>
    <w:rsid w:val="00B438AF"/>
    <w:rsid w:val="00B43938"/>
    <w:rsid w:val="00B43FE2"/>
    <w:rsid w:val="00B4400A"/>
    <w:rsid w:val="00B441E3"/>
    <w:rsid w:val="00B4429B"/>
    <w:rsid w:val="00B44576"/>
    <w:rsid w:val="00B446C9"/>
    <w:rsid w:val="00B44719"/>
    <w:rsid w:val="00B449A2"/>
    <w:rsid w:val="00B4506E"/>
    <w:rsid w:val="00B45194"/>
    <w:rsid w:val="00B451D7"/>
    <w:rsid w:val="00B45604"/>
    <w:rsid w:val="00B45A2A"/>
    <w:rsid w:val="00B4630C"/>
    <w:rsid w:val="00B4636E"/>
    <w:rsid w:val="00B4652F"/>
    <w:rsid w:val="00B469EC"/>
    <w:rsid w:val="00B46BB2"/>
    <w:rsid w:val="00B46E40"/>
    <w:rsid w:val="00B473A7"/>
    <w:rsid w:val="00B476FA"/>
    <w:rsid w:val="00B47B1D"/>
    <w:rsid w:val="00B47BE8"/>
    <w:rsid w:val="00B47DDE"/>
    <w:rsid w:val="00B47F43"/>
    <w:rsid w:val="00B500DA"/>
    <w:rsid w:val="00B507F5"/>
    <w:rsid w:val="00B50B77"/>
    <w:rsid w:val="00B50F03"/>
    <w:rsid w:val="00B5165D"/>
    <w:rsid w:val="00B518CC"/>
    <w:rsid w:val="00B518F2"/>
    <w:rsid w:val="00B51ACD"/>
    <w:rsid w:val="00B51B37"/>
    <w:rsid w:val="00B51D9F"/>
    <w:rsid w:val="00B51F2B"/>
    <w:rsid w:val="00B52130"/>
    <w:rsid w:val="00B52978"/>
    <w:rsid w:val="00B52A86"/>
    <w:rsid w:val="00B52C05"/>
    <w:rsid w:val="00B52E21"/>
    <w:rsid w:val="00B53038"/>
    <w:rsid w:val="00B530BB"/>
    <w:rsid w:val="00B5325C"/>
    <w:rsid w:val="00B53508"/>
    <w:rsid w:val="00B53B2B"/>
    <w:rsid w:val="00B5430D"/>
    <w:rsid w:val="00B548FA"/>
    <w:rsid w:val="00B54B98"/>
    <w:rsid w:val="00B557BB"/>
    <w:rsid w:val="00B557EF"/>
    <w:rsid w:val="00B559D6"/>
    <w:rsid w:val="00B55B5C"/>
    <w:rsid w:val="00B55BFD"/>
    <w:rsid w:val="00B55CEB"/>
    <w:rsid w:val="00B55EB1"/>
    <w:rsid w:val="00B55F56"/>
    <w:rsid w:val="00B5619F"/>
    <w:rsid w:val="00B561C0"/>
    <w:rsid w:val="00B561D3"/>
    <w:rsid w:val="00B563AC"/>
    <w:rsid w:val="00B56D9D"/>
    <w:rsid w:val="00B57674"/>
    <w:rsid w:val="00B57695"/>
    <w:rsid w:val="00B57D84"/>
    <w:rsid w:val="00B60141"/>
    <w:rsid w:val="00B60400"/>
    <w:rsid w:val="00B60765"/>
    <w:rsid w:val="00B607CF"/>
    <w:rsid w:val="00B60A4B"/>
    <w:rsid w:val="00B60A68"/>
    <w:rsid w:val="00B60CC1"/>
    <w:rsid w:val="00B610BB"/>
    <w:rsid w:val="00B61205"/>
    <w:rsid w:val="00B612EC"/>
    <w:rsid w:val="00B614B7"/>
    <w:rsid w:val="00B61569"/>
    <w:rsid w:val="00B61733"/>
    <w:rsid w:val="00B61CB6"/>
    <w:rsid w:val="00B61CD1"/>
    <w:rsid w:val="00B61E2A"/>
    <w:rsid w:val="00B62315"/>
    <w:rsid w:val="00B62367"/>
    <w:rsid w:val="00B626C1"/>
    <w:rsid w:val="00B6378C"/>
    <w:rsid w:val="00B63CE4"/>
    <w:rsid w:val="00B64297"/>
    <w:rsid w:val="00B644DB"/>
    <w:rsid w:val="00B647E1"/>
    <w:rsid w:val="00B65689"/>
    <w:rsid w:val="00B657E8"/>
    <w:rsid w:val="00B6606C"/>
    <w:rsid w:val="00B66B70"/>
    <w:rsid w:val="00B66F14"/>
    <w:rsid w:val="00B6715F"/>
    <w:rsid w:val="00B671B4"/>
    <w:rsid w:val="00B67203"/>
    <w:rsid w:val="00B673BC"/>
    <w:rsid w:val="00B67E68"/>
    <w:rsid w:val="00B7030A"/>
    <w:rsid w:val="00B7035A"/>
    <w:rsid w:val="00B70704"/>
    <w:rsid w:val="00B70783"/>
    <w:rsid w:val="00B70AFD"/>
    <w:rsid w:val="00B70E17"/>
    <w:rsid w:val="00B70ED0"/>
    <w:rsid w:val="00B7175C"/>
    <w:rsid w:val="00B71D2B"/>
    <w:rsid w:val="00B72392"/>
    <w:rsid w:val="00B7290D"/>
    <w:rsid w:val="00B73808"/>
    <w:rsid w:val="00B7390B"/>
    <w:rsid w:val="00B739E5"/>
    <w:rsid w:val="00B73EF1"/>
    <w:rsid w:val="00B740F0"/>
    <w:rsid w:val="00B742F2"/>
    <w:rsid w:val="00B74321"/>
    <w:rsid w:val="00B74441"/>
    <w:rsid w:val="00B74508"/>
    <w:rsid w:val="00B74690"/>
    <w:rsid w:val="00B74B43"/>
    <w:rsid w:val="00B74C21"/>
    <w:rsid w:val="00B74E34"/>
    <w:rsid w:val="00B74EE1"/>
    <w:rsid w:val="00B74FFC"/>
    <w:rsid w:val="00B75702"/>
    <w:rsid w:val="00B75AD2"/>
    <w:rsid w:val="00B75B25"/>
    <w:rsid w:val="00B75B37"/>
    <w:rsid w:val="00B76B99"/>
    <w:rsid w:val="00B770DA"/>
    <w:rsid w:val="00B775AE"/>
    <w:rsid w:val="00B77BDF"/>
    <w:rsid w:val="00B77D69"/>
    <w:rsid w:val="00B77ECF"/>
    <w:rsid w:val="00B77F4F"/>
    <w:rsid w:val="00B805C1"/>
    <w:rsid w:val="00B8087B"/>
    <w:rsid w:val="00B81893"/>
    <w:rsid w:val="00B819F5"/>
    <w:rsid w:val="00B81A85"/>
    <w:rsid w:val="00B81DBC"/>
    <w:rsid w:val="00B82164"/>
    <w:rsid w:val="00B827CD"/>
    <w:rsid w:val="00B82A30"/>
    <w:rsid w:val="00B82C96"/>
    <w:rsid w:val="00B82DC7"/>
    <w:rsid w:val="00B82FD4"/>
    <w:rsid w:val="00B83024"/>
    <w:rsid w:val="00B834EB"/>
    <w:rsid w:val="00B836B1"/>
    <w:rsid w:val="00B83847"/>
    <w:rsid w:val="00B83968"/>
    <w:rsid w:val="00B83BBD"/>
    <w:rsid w:val="00B841E9"/>
    <w:rsid w:val="00B84854"/>
    <w:rsid w:val="00B84B68"/>
    <w:rsid w:val="00B84D73"/>
    <w:rsid w:val="00B852EB"/>
    <w:rsid w:val="00B858C7"/>
    <w:rsid w:val="00B85955"/>
    <w:rsid w:val="00B85BB4"/>
    <w:rsid w:val="00B860CD"/>
    <w:rsid w:val="00B862AD"/>
    <w:rsid w:val="00B86F16"/>
    <w:rsid w:val="00B870C3"/>
    <w:rsid w:val="00B8750E"/>
    <w:rsid w:val="00B8765D"/>
    <w:rsid w:val="00B87D53"/>
    <w:rsid w:val="00B900B6"/>
    <w:rsid w:val="00B90193"/>
    <w:rsid w:val="00B90374"/>
    <w:rsid w:val="00B906D3"/>
    <w:rsid w:val="00B90C72"/>
    <w:rsid w:val="00B90C8E"/>
    <w:rsid w:val="00B90FE0"/>
    <w:rsid w:val="00B912C2"/>
    <w:rsid w:val="00B914AD"/>
    <w:rsid w:val="00B91965"/>
    <w:rsid w:val="00B91D5A"/>
    <w:rsid w:val="00B91F1C"/>
    <w:rsid w:val="00B91F95"/>
    <w:rsid w:val="00B9204B"/>
    <w:rsid w:val="00B92B32"/>
    <w:rsid w:val="00B92EE7"/>
    <w:rsid w:val="00B93141"/>
    <w:rsid w:val="00B93466"/>
    <w:rsid w:val="00B9389F"/>
    <w:rsid w:val="00B93927"/>
    <w:rsid w:val="00B93D70"/>
    <w:rsid w:val="00B93E37"/>
    <w:rsid w:val="00B944EE"/>
    <w:rsid w:val="00B9480F"/>
    <w:rsid w:val="00B95675"/>
    <w:rsid w:val="00B95B21"/>
    <w:rsid w:val="00B95C18"/>
    <w:rsid w:val="00B95CEA"/>
    <w:rsid w:val="00B95DE3"/>
    <w:rsid w:val="00B95E70"/>
    <w:rsid w:val="00B95FD4"/>
    <w:rsid w:val="00B95FED"/>
    <w:rsid w:val="00B960B2"/>
    <w:rsid w:val="00B964BD"/>
    <w:rsid w:val="00B96653"/>
    <w:rsid w:val="00B96F5F"/>
    <w:rsid w:val="00B976A5"/>
    <w:rsid w:val="00B97B3C"/>
    <w:rsid w:val="00BA038F"/>
    <w:rsid w:val="00BA055D"/>
    <w:rsid w:val="00BA06E3"/>
    <w:rsid w:val="00BA099A"/>
    <w:rsid w:val="00BA0B78"/>
    <w:rsid w:val="00BA11D9"/>
    <w:rsid w:val="00BA1316"/>
    <w:rsid w:val="00BA15CB"/>
    <w:rsid w:val="00BA165B"/>
    <w:rsid w:val="00BA176A"/>
    <w:rsid w:val="00BA18FF"/>
    <w:rsid w:val="00BA1926"/>
    <w:rsid w:val="00BA1A3E"/>
    <w:rsid w:val="00BA1D30"/>
    <w:rsid w:val="00BA1EEC"/>
    <w:rsid w:val="00BA2185"/>
    <w:rsid w:val="00BA26DB"/>
    <w:rsid w:val="00BA2A5E"/>
    <w:rsid w:val="00BA330B"/>
    <w:rsid w:val="00BA33A2"/>
    <w:rsid w:val="00BA342A"/>
    <w:rsid w:val="00BA3628"/>
    <w:rsid w:val="00BA3AC2"/>
    <w:rsid w:val="00BA3D6D"/>
    <w:rsid w:val="00BA419A"/>
    <w:rsid w:val="00BA4217"/>
    <w:rsid w:val="00BA5093"/>
    <w:rsid w:val="00BA54B4"/>
    <w:rsid w:val="00BA55A0"/>
    <w:rsid w:val="00BA5868"/>
    <w:rsid w:val="00BA6FF9"/>
    <w:rsid w:val="00BA7140"/>
    <w:rsid w:val="00BA744A"/>
    <w:rsid w:val="00BA76DB"/>
    <w:rsid w:val="00BA779D"/>
    <w:rsid w:val="00BA7C38"/>
    <w:rsid w:val="00BB05AC"/>
    <w:rsid w:val="00BB06B6"/>
    <w:rsid w:val="00BB07E7"/>
    <w:rsid w:val="00BB1222"/>
    <w:rsid w:val="00BB16DF"/>
    <w:rsid w:val="00BB1CAF"/>
    <w:rsid w:val="00BB1D46"/>
    <w:rsid w:val="00BB262F"/>
    <w:rsid w:val="00BB28A3"/>
    <w:rsid w:val="00BB2BE8"/>
    <w:rsid w:val="00BB3136"/>
    <w:rsid w:val="00BB33A7"/>
    <w:rsid w:val="00BB341C"/>
    <w:rsid w:val="00BB360B"/>
    <w:rsid w:val="00BB364F"/>
    <w:rsid w:val="00BB3C52"/>
    <w:rsid w:val="00BB3F8E"/>
    <w:rsid w:val="00BB4613"/>
    <w:rsid w:val="00BB4844"/>
    <w:rsid w:val="00BB4B4C"/>
    <w:rsid w:val="00BB4C5F"/>
    <w:rsid w:val="00BB4E1F"/>
    <w:rsid w:val="00BB5004"/>
    <w:rsid w:val="00BB5C34"/>
    <w:rsid w:val="00BB5CE7"/>
    <w:rsid w:val="00BB5E02"/>
    <w:rsid w:val="00BB6445"/>
    <w:rsid w:val="00BB6989"/>
    <w:rsid w:val="00BB6CE2"/>
    <w:rsid w:val="00BB706A"/>
    <w:rsid w:val="00BB7156"/>
    <w:rsid w:val="00BB7F8F"/>
    <w:rsid w:val="00BC0B3A"/>
    <w:rsid w:val="00BC0F92"/>
    <w:rsid w:val="00BC1342"/>
    <w:rsid w:val="00BC16D1"/>
    <w:rsid w:val="00BC1864"/>
    <w:rsid w:val="00BC1D9D"/>
    <w:rsid w:val="00BC20B8"/>
    <w:rsid w:val="00BC242F"/>
    <w:rsid w:val="00BC2654"/>
    <w:rsid w:val="00BC2C20"/>
    <w:rsid w:val="00BC2DE8"/>
    <w:rsid w:val="00BC2E81"/>
    <w:rsid w:val="00BC32DF"/>
    <w:rsid w:val="00BC3607"/>
    <w:rsid w:val="00BC3626"/>
    <w:rsid w:val="00BC3797"/>
    <w:rsid w:val="00BC3861"/>
    <w:rsid w:val="00BC397A"/>
    <w:rsid w:val="00BC3D1A"/>
    <w:rsid w:val="00BC3D39"/>
    <w:rsid w:val="00BC3FD8"/>
    <w:rsid w:val="00BC4051"/>
    <w:rsid w:val="00BC459F"/>
    <w:rsid w:val="00BC4C6E"/>
    <w:rsid w:val="00BC5799"/>
    <w:rsid w:val="00BC5EB5"/>
    <w:rsid w:val="00BC63AD"/>
    <w:rsid w:val="00BC64FB"/>
    <w:rsid w:val="00BC66FA"/>
    <w:rsid w:val="00BC6A00"/>
    <w:rsid w:val="00BC6A28"/>
    <w:rsid w:val="00BC6D58"/>
    <w:rsid w:val="00BC7766"/>
    <w:rsid w:val="00BC7837"/>
    <w:rsid w:val="00BC7B50"/>
    <w:rsid w:val="00BC7C8D"/>
    <w:rsid w:val="00BD0495"/>
    <w:rsid w:val="00BD065E"/>
    <w:rsid w:val="00BD090B"/>
    <w:rsid w:val="00BD15EA"/>
    <w:rsid w:val="00BD19A5"/>
    <w:rsid w:val="00BD1F4F"/>
    <w:rsid w:val="00BD1F6D"/>
    <w:rsid w:val="00BD2213"/>
    <w:rsid w:val="00BD2268"/>
    <w:rsid w:val="00BD2565"/>
    <w:rsid w:val="00BD2739"/>
    <w:rsid w:val="00BD2EEF"/>
    <w:rsid w:val="00BD3B47"/>
    <w:rsid w:val="00BD3C96"/>
    <w:rsid w:val="00BD3D2C"/>
    <w:rsid w:val="00BD3D78"/>
    <w:rsid w:val="00BD4A49"/>
    <w:rsid w:val="00BD4AF4"/>
    <w:rsid w:val="00BD4CB3"/>
    <w:rsid w:val="00BD4D94"/>
    <w:rsid w:val="00BD5121"/>
    <w:rsid w:val="00BD5161"/>
    <w:rsid w:val="00BD526C"/>
    <w:rsid w:val="00BD5302"/>
    <w:rsid w:val="00BD5539"/>
    <w:rsid w:val="00BD62F7"/>
    <w:rsid w:val="00BD63DF"/>
    <w:rsid w:val="00BD65C1"/>
    <w:rsid w:val="00BD6ABE"/>
    <w:rsid w:val="00BD6FB2"/>
    <w:rsid w:val="00BD7358"/>
    <w:rsid w:val="00BD7C2D"/>
    <w:rsid w:val="00BD7C9D"/>
    <w:rsid w:val="00BE0083"/>
    <w:rsid w:val="00BE050F"/>
    <w:rsid w:val="00BE059D"/>
    <w:rsid w:val="00BE0898"/>
    <w:rsid w:val="00BE091A"/>
    <w:rsid w:val="00BE0EC9"/>
    <w:rsid w:val="00BE0FD5"/>
    <w:rsid w:val="00BE1051"/>
    <w:rsid w:val="00BE18DF"/>
    <w:rsid w:val="00BE1BD5"/>
    <w:rsid w:val="00BE1EEF"/>
    <w:rsid w:val="00BE2195"/>
    <w:rsid w:val="00BE288F"/>
    <w:rsid w:val="00BE29A7"/>
    <w:rsid w:val="00BE2C75"/>
    <w:rsid w:val="00BE36FC"/>
    <w:rsid w:val="00BE4BA4"/>
    <w:rsid w:val="00BE58D3"/>
    <w:rsid w:val="00BE5918"/>
    <w:rsid w:val="00BE59B5"/>
    <w:rsid w:val="00BE6034"/>
    <w:rsid w:val="00BE65A4"/>
    <w:rsid w:val="00BE6C1F"/>
    <w:rsid w:val="00BE6CDD"/>
    <w:rsid w:val="00BE72CD"/>
    <w:rsid w:val="00BE7847"/>
    <w:rsid w:val="00BE7A3E"/>
    <w:rsid w:val="00BE7F38"/>
    <w:rsid w:val="00BF004F"/>
    <w:rsid w:val="00BF015D"/>
    <w:rsid w:val="00BF0586"/>
    <w:rsid w:val="00BF05DF"/>
    <w:rsid w:val="00BF0657"/>
    <w:rsid w:val="00BF070B"/>
    <w:rsid w:val="00BF0D15"/>
    <w:rsid w:val="00BF0E9D"/>
    <w:rsid w:val="00BF1A41"/>
    <w:rsid w:val="00BF1E3F"/>
    <w:rsid w:val="00BF2890"/>
    <w:rsid w:val="00BF292E"/>
    <w:rsid w:val="00BF2EB4"/>
    <w:rsid w:val="00BF3181"/>
    <w:rsid w:val="00BF3E96"/>
    <w:rsid w:val="00BF404B"/>
    <w:rsid w:val="00BF4366"/>
    <w:rsid w:val="00BF4629"/>
    <w:rsid w:val="00BF47FD"/>
    <w:rsid w:val="00BF4A06"/>
    <w:rsid w:val="00BF4F19"/>
    <w:rsid w:val="00BF4F5C"/>
    <w:rsid w:val="00BF5178"/>
    <w:rsid w:val="00BF51B3"/>
    <w:rsid w:val="00BF54B1"/>
    <w:rsid w:val="00BF54D4"/>
    <w:rsid w:val="00BF579F"/>
    <w:rsid w:val="00BF59AD"/>
    <w:rsid w:val="00BF601A"/>
    <w:rsid w:val="00BF6AC6"/>
    <w:rsid w:val="00BF6DDD"/>
    <w:rsid w:val="00BF79D4"/>
    <w:rsid w:val="00BF7D45"/>
    <w:rsid w:val="00BF7F52"/>
    <w:rsid w:val="00C00696"/>
    <w:rsid w:val="00C008B7"/>
    <w:rsid w:val="00C00A77"/>
    <w:rsid w:val="00C00B07"/>
    <w:rsid w:val="00C00BD4"/>
    <w:rsid w:val="00C013B2"/>
    <w:rsid w:val="00C01552"/>
    <w:rsid w:val="00C017DA"/>
    <w:rsid w:val="00C01B04"/>
    <w:rsid w:val="00C02105"/>
    <w:rsid w:val="00C02830"/>
    <w:rsid w:val="00C02B02"/>
    <w:rsid w:val="00C02B3A"/>
    <w:rsid w:val="00C02C51"/>
    <w:rsid w:val="00C02E5D"/>
    <w:rsid w:val="00C03102"/>
    <w:rsid w:val="00C031BC"/>
    <w:rsid w:val="00C037A4"/>
    <w:rsid w:val="00C03864"/>
    <w:rsid w:val="00C03B4F"/>
    <w:rsid w:val="00C03EFB"/>
    <w:rsid w:val="00C04309"/>
    <w:rsid w:val="00C04372"/>
    <w:rsid w:val="00C05139"/>
    <w:rsid w:val="00C05965"/>
    <w:rsid w:val="00C05FCC"/>
    <w:rsid w:val="00C061CC"/>
    <w:rsid w:val="00C062D0"/>
    <w:rsid w:val="00C06558"/>
    <w:rsid w:val="00C06935"/>
    <w:rsid w:val="00C06C14"/>
    <w:rsid w:val="00C06C64"/>
    <w:rsid w:val="00C1051E"/>
    <w:rsid w:val="00C106A4"/>
    <w:rsid w:val="00C10AC5"/>
    <w:rsid w:val="00C10B3A"/>
    <w:rsid w:val="00C11673"/>
    <w:rsid w:val="00C11C1E"/>
    <w:rsid w:val="00C11D73"/>
    <w:rsid w:val="00C11EA6"/>
    <w:rsid w:val="00C121F3"/>
    <w:rsid w:val="00C12228"/>
    <w:rsid w:val="00C12963"/>
    <w:rsid w:val="00C12A7C"/>
    <w:rsid w:val="00C12C09"/>
    <w:rsid w:val="00C13340"/>
    <w:rsid w:val="00C1341A"/>
    <w:rsid w:val="00C137A4"/>
    <w:rsid w:val="00C1385F"/>
    <w:rsid w:val="00C13B2B"/>
    <w:rsid w:val="00C143D1"/>
    <w:rsid w:val="00C1460C"/>
    <w:rsid w:val="00C14A59"/>
    <w:rsid w:val="00C14A71"/>
    <w:rsid w:val="00C152F5"/>
    <w:rsid w:val="00C1537D"/>
    <w:rsid w:val="00C15FB7"/>
    <w:rsid w:val="00C1684F"/>
    <w:rsid w:val="00C16D6B"/>
    <w:rsid w:val="00C16FED"/>
    <w:rsid w:val="00C172A4"/>
    <w:rsid w:val="00C1777B"/>
    <w:rsid w:val="00C201ED"/>
    <w:rsid w:val="00C20390"/>
    <w:rsid w:val="00C207F0"/>
    <w:rsid w:val="00C20ABE"/>
    <w:rsid w:val="00C210A6"/>
    <w:rsid w:val="00C22386"/>
    <w:rsid w:val="00C229C7"/>
    <w:rsid w:val="00C22E79"/>
    <w:rsid w:val="00C22F9B"/>
    <w:rsid w:val="00C232C2"/>
    <w:rsid w:val="00C2334F"/>
    <w:rsid w:val="00C2336B"/>
    <w:rsid w:val="00C233C0"/>
    <w:rsid w:val="00C234BB"/>
    <w:rsid w:val="00C23639"/>
    <w:rsid w:val="00C23778"/>
    <w:rsid w:val="00C23ACA"/>
    <w:rsid w:val="00C23C9F"/>
    <w:rsid w:val="00C23D7B"/>
    <w:rsid w:val="00C23F37"/>
    <w:rsid w:val="00C24017"/>
    <w:rsid w:val="00C2440D"/>
    <w:rsid w:val="00C24662"/>
    <w:rsid w:val="00C2475F"/>
    <w:rsid w:val="00C24813"/>
    <w:rsid w:val="00C24F7C"/>
    <w:rsid w:val="00C25379"/>
    <w:rsid w:val="00C25403"/>
    <w:rsid w:val="00C254BB"/>
    <w:rsid w:val="00C25A88"/>
    <w:rsid w:val="00C25A8B"/>
    <w:rsid w:val="00C2606C"/>
    <w:rsid w:val="00C26204"/>
    <w:rsid w:val="00C266DB"/>
    <w:rsid w:val="00C2702E"/>
    <w:rsid w:val="00C270E1"/>
    <w:rsid w:val="00C272D5"/>
    <w:rsid w:val="00C27377"/>
    <w:rsid w:val="00C27D09"/>
    <w:rsid w:val="00C30E98"/>
    <w:rsid w:val="00C3111A"/>
    <w:rsid w:val="00C31186"/>
    <w:rsid w:val="00C3129F"/>
    <w:rsid w:val="00C319E3"/>
    <w:rsid w:val="00C31C6F"/>
    <w:rsid w:val="00C31CCE"/>
    <w:rsid w:val="00C324DE"/>
    <w:rsid w:val="00C32E5E"/>
    <w:rsid w:val="00C3436C"/>
    <w:rsid w:val="00C34399"/>
    <w:rsid w:val="00C34478"/>
    <w:rsid w:val="00C344E4"/>
    <w:rsid w:val="00C34780"/>
    <w:rsid w:val="00C34FD1"/>
    <w:rsid w:val="00C35221"/>
    <w:rsid w:val="00C356E1"/>
    <w:rsid w:val="00C3572C"/>
    <w:rsid w:val="00C35888"/>
    <w:rsid w:val="00C35E7B"/>
    <w:rsid w:val="00C35FE9"/>
    <w:rsid w:val="00C36061"/>
    <w:rsid w:val="00C3631F"/>
    <w:rsid w:val="00C36564"/>
    <w:rsid w:val="00C36F46"/>
    <w:rsid w:val="00C37031"/>
    <w:rsid w:val="00C3725D"/>
    <w:rsid w:val="00C379E9"/>
    <w:rsid w:val="00C37CAE"/>
    <w:rsid w:val="00C37E7E"/>
    <w:rsid w:val="00C37ED2"/>
    <w:rsid w:val="00C4028A"/>
    <w:rsid w:val="00C40865"/>
    <w:rsid w:val="00C408A7"/>
    <w:rsid w:val="00C40CF6"/>
    <w:rsid w:val="00C413CF"/>
    <w:rsid w:val="00C41405"/>
    <w:rsid w:val="00C41847"/>
    <w:rsid w:val="00C420AA"/>
    <w:rsid w:val="00C42C87"/>
    <w:rsid w:val="00C42E60"/>
    <w:rsid w:val="00C43037"/>
    <w:rsid w:val="00C4303A"/>
    <w:rsid w:val="00C435AB"/>
    <w:rsid w:val="00C43750"/>
    <w:rsid w:val="00C43DD5"/>
    <w:rsid w:val="00C449AB"/>
    <w:rsid w:val="00C44AAA"/>
    <w:rsid w:val="00C45090"/>
    <w:rsid w:val="00C4517F"/>
    <w:rsid w:val="00C4541A"/>
    <w:rsid w:val="00C456CB"/>
    <w:rsid w:val="00C45D1D"/>
    <w:rsid w:val="00C465E2"/>
    <w:rsid w:val="00C46B0B"/>
    <w:rsid w:val="00C46B0E"/>
    <w:rsid w:val="00C46E1F"/>
    <w:rsid w:val="00C46E63"/>
    <w:rsid w:val="00C46F11"/>
    <w:rsid w:val="00C4702A"/>
    <w:rsid w:val="00C47B73"/>
    <w:rsid w:val="00C47E98"/>
    <w:rsid w:val="00C47F22"/>
    <w:rsid w:val="00C500B2"/>
    <w:rsid w:val="00C50109"/>
    <w:rsid w:val="00C5033E"/>
    <w:rsid w:val="00C50594"/>
    <w:rsid w:val="00C50694"/>
    <w:rsid w:val="00C508F1"/>
    <w:rsid w:val="00C5097A"/>
    <w:rsid w:val="00C509B7"/>
    <w:rsid w:val="00C50C61"/>
    <w:rsid w:val="00C50DE6"/>
    <w:rsid w:val="00C50E0D"/>
    <w:rsid w:val="00C517C8"/>
    <w:rsid w:val="00C51966"/>
    <w:rsid w:val="00C51C7C"/>
    <w:rsid w:val="00C52048"/>
    <w:rsid w:val="00C526ED"/>
    <w:rsid w:val="00C52F31"/>
    <w:rsid w:val="00C53366"/>
    <w:rsid w:val="00C534D8"/>
    <w:rsid w:val="00C538D3"/>
    <w:rsid w:val="00C53F15"/>
    <w:rsid w:val="00C542C8"/>
    <w:rsid w:val="00C542DC"/>
    <w:rsid w:val="00C54534"/>
    <w:rsid w:val="00C54862"/>
    <w:rsid w:val="00C54956"/>
    <w:rsid w:val="00C54C4D"/>
    <w:rsid w:val="00C5517A"/>
    <w:rsid w:val="00C556D6"/>
    <w:rsid w:val="00C559C5"/>
    <w:rsid w:val="00C55C49"/>
    <w:rsid w:val="00C55CD2"/>
    <w:rsid w:val="00C55E5C"/>
    <w:rsid w:val="00C55EE8"/>
    <w:rsid w:val="00C55FB9"/>
    <w:rsid w:val="00C564AA"/>
    <w:rsid w:val="00C5683C"/>
    <w:rsid w:val="00C56A1D"/>
    <w:rsid w:val="00C56AD5"/>
    <w:rsid w:val="00C56D3F"/>
    <w:rsid w:val="00C56EA8"/>
    <w:rsid w:val="00C56EB7"/>
    <w:rsid w:val="00C56FA5"/>
    <w:rsid w:val="00C570A6"/>
    <w:rsid w:val="00C57616"/>
    <w:rsid w:val="00C578B0"/>
    <w:rsid w:val="00C57E1B"/>
    <w:rsid w:val="00C57E5E"/>
    <w:rsid w:val="00C60189"/>
    <w:rsid w:val="00C60A75"/>
    <w:rsid w:val="00C60B89"/>
    <w:rsid w:val="00C60C53"/>
    <w:rsid w:val="00C60E86"/>
    <w:rsid w:val="00C6113B"/>
    <w:rsid w:val="00C6126A"/>
    <w:rsid w:val="00C6151B"/>
    <w:rsid w:val="00C615D6"/>
    <w:rsid w:val="00C616C2"/>
    <w:rsid w:val="00C6175E"/>
    <w:rsid w:val="00C61A65"/>
    <w:rsid w:val="00C61BBA"/>
    <w:rsid w:val="00C61C6C"/>
    <w:rsid w:val="00C61EDB"/>
    <w:rsid w:val="00C62D16"/>
    <w:rsid w:val="00C6315B"/>
    <w:rsid w:val="00C634E7"/>
    <w:rsid w:val="00C63631"/>
    <w:rsid w:val="00C638DC"/>
    <w:rsid w:val="00C64228"/>
    <w:rsid w:val="00C64AB1"/>
    <w:rsid w:val="00C6500D"/>
    <w:rsid w:val="00C65053"/>
    <w:rsid w:val="00C6509C"/>
    <w:rsid w:val="00C650D5"/>
    <w:rsid w:val="00C65657"/>
    <w:rsid w:val="00C65F38"/>
    <w:rsid w:val="00C66462"/>
    <w:rsid w:val="00C6649F"/>
    <w:rsid w:val="00C66A87"/>
    <w:rsid w:val="00C66DCE"/>
    <w:rsid w:val="00C66F54"/>
    <w:rsid w:val="00C66FD4"/>
    <w:rsid w:val="00C67457"/>
    <w:rsid w:val="00C675D2"/>
    <w:rsid w:val="00C67984"/>
    <w:rsid w:val="00C67C9C"/>
    <w:rsid w:val="00C67DEB"/>
    <w:rsid w:val="00C702AE"/>
    <w:rsid w:val="00C70303"/>
    <w:rsid w:val="00C70401"/>
    <w:rsid w:val="00C7069F"/>
    <w:rsid w:val="00C70ABE"/>
    <w:rsid w:val="00C70B8F"/>
    <w:rsid w:val="00C70CB1"/>
    <w:rsid w:val="00C71037"/>
    <w:rsid w:val="00C7131C"/>
    <w:rsid w:val="00C7162A"/>
    <w:rsid w:val="00C71D92"/>
    <w:rsid w:val="00C72541"/>
    <w:rsid w:val="00C729AF"/>
    <w:rsid w:val="00C72D13"/>
    <w:rsid w:val="00C730D1"/>
    <w:rsid w:val="00C733E3"/>
    <w:rsid w:val="00C73C4B"/>
    <w:rsid w:val="00C73E25"/>
    <w:rsid w:val="00C73EFB"/>
    <w:rsid w:val="00C74134"/>
    <w:rsid w:val="00C74242"/>
    <w:rsid w:val="00C74955"/>
    <w:rsid w:val="00C74A6E"/>
    <w:rsid w:val="00C750E7"/>
    <w:rsid w:val="00C75134"/>
    <w:rsid w:val="00C753F6"/>
    <w:rsid w:val="00C75CA4"/>
    <w:rsid w:val="00C75DC0"/>
    <w:rsid w:val="00C75E52"/>
    <w:rsid w:val="00C75FE5"/>
    <w:rsid w:val="00C7612C"/>
    <w:rsid w:val="00C764CA"/>
    <w:rsid w:val="00C7692E"/>
    <w:rsid w:val="00C76ABB"/>
    <w:rsid w:val="00C76B07"/>
    <w:rsid w:val="00C76EAE"/>
    <w:rsid w:val="00C76F76"/>
    <w:rsid w:val="00C77575"/>
    <w:rsid w:val="00C77FA8"/>
    <w:rsid w:val="00C80303"/>
    <w:rsid w:val="00C80730"/>
    <w:rsid w:val="00C80CAB"/>
    <w:rsid w:val="00C80FF2"/>
    <w:rsid w:val="00C81895"/>
    <w:rsid w:val="00C81C4E"/>
    <w:rsid w:val="00C8220C"/>
    <w:rsid w:val="00C82373"/>
    <w:rsid w:val="00C824B5"/>
    <w:rsid w:val="00C828D3"/>
    <w:rsid w:val="00C82E6A"/>
    <w:rsid w:val="00C8305F"/>
    <w:rsid w:val="00C830B2"/>
    <w:rsid w:val="00C83311"/>
    <w:rsid w:val="00C83855"/>
    <w:rsid w:val="00C838FB"/>
    <w:rsid w:val="00C83B03"/>
    <w:rsid w:val="00C83BEA"/>
    <w:rsid w:val="00C841FE"/>
    <w:rsid w:val="00C84880"/>
    <w:rsid w:val="00C84B36"/>
    <w:rsid w:val="00C855CF"/>
    <w:rsid w:val="00C86201"/>
    <w:rsid w:val="00C86C49"/>
    <w:rsid w:val="00C86EBA"/>
    <w:rsid w:val="00C8718A"/>
    <w:rsid w:val="00C87421"/>
    <w:rsid w:val="00C8772A"/>
    <w:rsid w:val="00C877CB"/>
    <w:rsid w:val="00C87932"/>
    <w:rsid w:val="00C87C4D"/>
    <w:rsid w:val="00C90071"/>
    <w:rsid w:val="00C90117"/>
    <w:rsid w:val="00C90665"/>
    <w:rsid w:val="00C90667"/>
    <w:rsid w:val="00C907FB"/>
    <w:rsid w:val="00C90997"/>
    <w:rsid w:val="00C90EC4"/>
    <w:rsid w:val="00C910EB"/>
    <w:rsid w:val="00C91699"/>
    <w:rsid w:val="00C919BA"/>
    <w:rsid w:val="00C91CEA"/>
    <w:rsid w:val="00C9209A"/>
    <w:rsid w:val="00C9246C"/>
    <w:rsid w:val="00C925C5"/>
    <w:rsid w:val="00C9260C"/>
    <w:rsid w:val="00C92D23"/>
    <w:rsid w:val="00C92E42"/>
    <w:rsid w:val="00C931E2"/>
    <w:rsid w:val="00C93D1B"/>
    <w:rsid w:val="00C94383"/>
    <w:rsid w:val="00C94769"/>
    <w:rsid w:val="00C947F5"/>
    <w:rsid w:val="00C94BCA"/>
    <w:rsid w:val="00C94D4B"/>
    <w:rsid w:val="00C94E79"/>
    <w:rsid w:val="00C94F96"/>
    <w:rsid w:val="00C9503F"/>
    <w:rsid w:val="00C95081"/>
    <w:rsid w:val="00C952D9"/>
    <w:rsid w:val="00C95EB2"/>
    <w:rsid w:val="00C95F1A"/>
    <w:rsid w:val="00C96066"/>
    <w:rsid w:val="00C9624B"/>
    <w:rsid w:val="00C96305"/>
    <w:rsid w:val="00C964FF"/>
    <w:rsid w:val="00C9681A"/>
    <w:rsid w:val="00C97672"/>
    <w:rsid w:val="00C9787E"/>
    <w:rsid w:val="00C97936"/>
    <w:rsid w:val="00C97F4F"/>
    <w:rsid w:val="00CA07CE"/>
    <w:rsid w:val="00CA0BB4"/>
    <w:rsid w:val="00CA1445"/>
    <w:rsid w:val="00CA156A"/>
    <w:rsid w:val="00CA1B56"/>
    <w:rsid w:val="00CA29BF"/>
    <w:rsid w:val="00CA2AC7"/>
    <w:rsid w:val="00CA2F4D"/>
    <w:rsid w:val="00CA307E"/>
    <w:rsid w:val="00CA30F9"/>
    <w:rsid w:val="00CA33FF"/>
    <w:rsid w:val="00CA366F"/>
    <w:rsid w:val="00CA3B26"/>
    <w:rsid w:val="00CA3FF6"/>
    <w:rsid w:val="00CA407D"/>
    <w:rsid w:val="00CA408B"/>
    <w:rsid w:val="00CA4361"/>
    <w:rsid w:val="00CA443C"/>
    <w:rsid w:val="00CA4DF4"/>
    <w:rsid w:val="00CA4EBC"/>
    <w:rsid w:val="00CA50A7"/>
    <w:rsid w:val="00CA50D2"/>
    <w:rsid w:val="00CA523E"/>
    <w:rsid w:val="00CA52CC"/>
    <w:rsid w:val="00CA5507"/>
    <w:rsid w:val="00CA57F8"/>
    <w:rsid w:val="00CA6345"/>
    <w:rsid w:val="00CA6493"/>
    <w:rsid w:val="00CA6536"/>
    <w:rsid w:val="00CA6B38"/>
    <w:rsid w:val="00CA701F"/>
    <w:rsid w:val="00CA736D"/>
    <w:rsid w:val="00CA7B21"/>
    <w:rsid w:val="00CB0057"/>
    <w:rsid w:val="00CB0393"/>
    <w:rsid w:val="00CB0457"/>
    <w:rsid w:val="00CB0524"/>
    <w:rsid w:val="00CB092D"/>
    <w:rsid w:val="00CB09F0"/>
    <w:rsid w:val="00CB1024"/>
    <w:rsid w:val="00CB19F8"/>
    <w:rsid w:val="00CB1ED9"/>
    <w:rsid w:val="00CB228B"/>
    <w:rsid w:val="00CB27AA"/>
    <w:rsid w:val="00CB2E37"/>
    <w:rsid w:val="00CB2F29"/>
    <w:rsid w:val="00CB346F"/>
    <w:rsid w:val="00CB4262"/>
    <w:rsid w:val="00CB43F5"/>
    <w:rsid w:val="00CB4440"/>
    <w:rsid w:val="00CB44C9"/>
    <w:rsid w:val="00CB4525"/>
    <w:rsid w:val="00CB4A6E"/>
    <w:rsid w:val="00CB4E54"/>
    <w:rsid w:val="00CB4ED2"/>
    <w:rsid w:val="00CB5425"/>
    <w:rsid w:val="00CB565A"/>
    <w:rsid w:val="00CB5688"/>
    <w:rsid w:val="00CB5A98"/>
    <w:rsid w:val="00CB670B"/>
    <w:rsid w:val="00CB68A4"/>
    <w:rsid w:val="00CB6978"/>
    <w:rsid w:val="00CB6C16"/>
    <w:rsid w:val="00CB6C61"/>
    <w:rsid w:val="00CB6D80"/>
    <w:rsid w:val="00CB7184"/>
    <w:rsid w:val="00CB7187"/>
    <w:rsid w:val="00CB72E1"/>
    <w:rsid w:val="00CB72FB"/>
    <w:rsid w:val="00CB7365"/>
    <w:rsid w:val="00CB7721"/>
    <w:rsid w:val="00CB7C23"/>
    <w:rsid w:val="00CB7DBA"/>
    <w:rsid w:val="00CC02AD"/>
    <w:rsid w:val="00CC040C"/>
    <w:rsid w:val="00CC067E"/>
    <w:rsid w:val="00CC08FB"/>
    <w:rsid w:val="00CC0B5D"/>
    <w:rsid w:val="00CC0C58"/>
    <w:rsid w:val="00CC0ED3"/>
    <w:rsid w:val="00CC11EF"/>
    <w:rsid w:val="00CC129A"/>
    <w:rsid w:val="00CC12BF"/>
    <w:rsid w:val="00CC17BF"/>
    <w:rsid w:val="00CC1BCA"/>
    <w:rsid w:val="00CC1E25"/>
    <w:rsid w:val="00CC2255"/>
    <w:rsid w:val="00CC23A4"/>
    <w:rsid w:val="00CC2732"/>
    <w:rsid w:val="00CC2841"/>
    <w:rsid w:val="00CC28AA"/>
    <w:rsid w:val="00CC2B3D"/>
    <w:rsid w:val="00CC2B50"/>
    <w:rsid w:val="00CC2BC1"/>
    <w:rsid w:val="00CC3499"/>
    <w:rsid w:val="00CC351B"/>
    <w:rsid w:val="00CC35B5"/>
    <w:rsid w:val="00CC37BA"/>
    <w:rsid w:val="00CC3B95"/>
    <w:rsid w:val="00CC3CDA"/>
    <w:rsid w:val="00CC405F"/>
    <w:rsid w:val="00CC40E3"/>
    <w:rsid w:val="00CC48E5"/>
    <w:rsid w:val="00CC4921"/>
    <w:rsid w:val="00CC4A46"/>
    <w:rsid w:val="00CC4B91"/>
    <w:rsid w:val="00CC4EEB"/>
    <w:rsid w:val="00CC4F5B"/>
    <w:rsid w:val="00CC5447"/>
    <w:rsid w:val="00CC55B7"/>
    <w:rsid w:val="00CC57DF"/>
    <w:rsid w:val="00CC5BBA"/>
    <w:rsid w:val="00CC5D5F"/>
    <w:rsid w:val="00CC5EA7"/>
    <w:rsid w:val="00CC6041"/>
    <w:rsid w:val="00CC60A6"/>
    <w:rsid w:val="00CC655D"/>
    <w:rsid w:val="00CC6C38"/>
    <w:rsid w:val="00CC7229"/>
    <w:rsid w:val="00CC7532"/>
    <w:rsid w:val="00CC78E8"/>
    <w:rsid w:val="00CC7C52"/>
    <w:rsid w:val="00CC7CEC"/>
    <w:rsid w:val="00CD0039"/>
    <w:rsid w:val="00CD050B"/>
    <w:rsid w:val="00CD09C8"/>
    <w:rsid w:val="00CD0D6C"/>
    <w:rsid w:val="00CD0EBD"/>
    <w:rsid w:val="00CD151F"/>
    <w:rsid w:val="00CD1609"/>
    <w:rsid w:val="00CD1C5A"/>
    <w:rsid w:val="00CD1ED3"/>
    <w:rsid w:val="00CD226A"/>
    <w:rsid w:val="00CD264C"/>
    <w:rsid w:val="00CD2683"/>
    <w:rsid w:val="00CD2B07"/>
    <w:rsid w:val="00CD2C89"/>
    <w:rsid w:val="00CD2D9D"/>
    <w:rsid w:val="00CD3328"/>
    <w:rsid w:val="00CD334A"/>
    <w:rsid w:val="00CD33C4"/>
    <w:rsid w:val="00CD341F"/>
    <w:rsid w:val="00CD37BC"/>
    <w:rsid w:val="00CD3C14"/>
    <w:rsid w:val="00CD40CC"/>
    <w:rsid w:val="00CD4252"/>
    <w:rsid w:val="00CD43B7"/>
    <w:rsid w:val="00CD44B1"/>
    <w:rsid w:val="00CD4772"/>
    <w:rsid w:val="00CD4B6E"/>
    <w:rsid w:val="00CD4CAF"/>
    <w:rsid w:val="00CD53D8"/>
    <w:rsid w:val="00CD5465"/>
    <w:rsid w:val="00CD610F"/>
    <w:rsid w:val="00CD67B5"/>
    <w:rsid w:val="00CD700C"/>
    <w:rsid w:val="00CD719D"/>
    <w:rsid w:val="00CD74F7"/>
    <w:rsid w:val="00CD7A62"/>
    <w:rsid w:val="00CE0078"/>
    <w:rsid w:val="00CE0792"/>
    <w:rsid w:val="00CE0A48"/>
    <w:rsid w:val="00CE0BE6"/>
    <w:rsid w:val="00CE0D87"/>
    <w:rsid w:val="00CE0FE5"/>
    <w:rsid w:val="00CE1100"/>
    <w:rsid w:val="00CE1354"/>
    <w:rsid w:val="00CE18F2"/>
    <w:rsid w:val="00CE1E52"/>
    <w:rsid w:val="00CE236F"/>
    <w:rsid w:val="00CE26E7"/>
    <w:rsid w:val="00CE26E9"/>
    <w:rsid w:val="00CE2BD3"/>
    <w:rsid w:val="00CE2D21"/>
    <w:rsid w:val="00CE2DA7"/>
    <w:rsid w:val="00CE322D"/>
    <w:rsid w:val="00CE37C2"/>
    <w:rsid w:val="00CE3EC3"/>
    <w:rsid w:val="00CE4092"/>
    <w:rsid w:val="00CE40BF"/>
    <w:rsid w:val="00CE4343"/>
    <w:rsid w:val="00CE4BA9"/>
    <w:rsid w:val="00CE5082"/>
    <w:rsid w:val="00CE53FD"/>
    <w:rsid w:val="00CE5723"/>
    <w:rsid w:val="00CE58B8"/>
    <w:rsid w:val="00CE591F"/>
    <w:rsid w:val="00CE597B"/>
    <w:rsid w:val="00CE5D8C"/>
    <w:rsid w:val="00CE629B"/>
    <w:rsid w:val="00CE68D4"/>
    <w:rsid w:val="00CE6BDD"/>
    <w:rsid w:val="00CE6E25"/>
    <w:rsid w:val="00CE74C5"/>
    <w:rsid w:val="00CF0098"/>
    <w:rsid w:val="00CF0680"/>
    <w:rsid w:val="00CF0A40"/>
    <w:rsid w:val="00CF15AB"/>
    <w:rsid w:val="00CF206B"/>
    <w:rsid w:val="00CF288D"/>
    <w:rsid w:val="00CF28A0"/>
    <w:rsid w:val="00CF29B9"/>
    <w:rsid w:val="00CF2B10"/>
    <w:rsid w:val="00CF2B5D"/>
    <w:rsid w:val="00CF31E8"/>
    <w:rsid w:val="00CF32D0"/>
    <w:rsid w:val="00CF3326"/>
    <w:rsid w:val="00CF35B8"/>
    <w:rsid w:val="00CF3CA4"/>
    <w:rsid w:val="00CF45E7"/>
    <w:rsid w:val="00CF46CC"/>
    <w:rsid w:val="00CF46EC"/>
    <w:rsid w:val="00CF4A1B"/>
    <w:rsid w:val="00CF4F57"/>
    <w:rsid w:val="00CF5166"/>
    <w:rsid w:val="00CF5D16"/>
    <w:rsid w:val="00CF5DE0"/>
    <w:rsid w:val="00CF6361"/>
    <w:rsid w:val="00CF6A28"/>
    <w:rsid w:val="00CF6A62"/>
    <w:rsid w:val="00CF6DEA"/>
    <w:rsid w:val="00CF73D0"/>
    <w:rsid w:val="00CF7458"/>
    <w:rsid w:val="00CF74E0"/>
    <w:rsid w:val="00CF7645"/>
    <w:rsid w:val="00CF76F1"/>
    <w:rsid w:val="00CF79F8"/>
    <w:rsid w:val="00D0001A"/>
    <w:rsid w:val="00D00D69"/>
    <w:rsid w:val="00D00E60"/>
    <w:rsid w:val="00D00F27"/>
    <w:rsid w:val="00D01087"/>
    <w:rsid w:val="00D01264"/>
    <w:rsid w:val="00D01AF3"/>
    <w:rsid w:val="00D024BA"/>
    <w:rsid w:val="00D025CD"/>
    <w:rsid w:val="00D02721"/>
    <w:rsid w:val="00D02987"/>
    <w:rsid w:val="00D02A3B"/>
    <w:rsid w:val="00D02BA6"/>
    <w:rsid w:val="00D02FD1"/>
    <w:rsid w:val="00D0370C"/>
    <w:rsid w:val="00D03E13"/>
    <w:rsid w:val="00D03E48"/>
    <w:rsid w:val="00D03EC7"/>
    <w:rsid w:val="00D03F93"/>
    <w:rsid w:val="00D04BF4"/>
    <w:rsid w:val="00D04E84"/>
    <w:rsid w:val="00D04ED1"/>
    <w:rsid w:val="00D04F9A"/>
    <w:rsid w:val="00D053A7"/>
    <w:rsid w:val="00D054F6"/>
    <w:rsid w:val="00D05B01"/>
    <w:rsid w:val="00D05BA4"/>
    <w:rsid w:val="00D0604B"/>
    <w:rsid w:val="00D0627E"/>
    <w:rsid w:val="00D065C8"/>
    <w:rsid w:val="00D065CF"/>
    <w:rsid w:val="00D06B83"/>
    <w:rsid w:val="00D07178"/>
    <w:rsid w:val="00D07352"/>
    <w:rsid w:val="00D07AAA"/>
    <w:rsid w:val="00D07BAC"/>
    <w:rsid w:val="00D07D04"/>
    <w:rsid w:val="00D10053"/>
    <w:rsid w:val="00D10191"/>
    <w:rsid w:val="00D1052D"/>
    <w:rsid w:val="00D1059A"/>
    <w:rsid w:val="00D10D04"/>
    <w:rsid w:val="00D10F2E"/>
    <w:rsid w:val="00D111F7"/>
    <w:rsid w:val="00D113D3"/>
    <w:rsid w:val="00D11469"/>
    <w:rsid w:val="00D11754"/>
    <w:rsid w:val="00D12039"/>
    <w:rsid w:val="00D12E05"/>
    <w:rsid w:val="00D12F38"/>
    <w:rsid w:val="00D1349C"/>
    <w:rsid w:val="00D13A43"/>
    <w:rsid w:val="00D1408E"/>
    <w:rsid w:val="00D143CA"/>
    <w:rsid w:val="00D144A7"/>
    <w:rsid w:val="00D147DC"/>
    <w:rsid w:val="00D147E7"/>
    <w:rsid w:val="00D14F9D"/>
    <w:rsid w:val="00D15455"/>
    <w:rsid w:val="00D158A3"/>
    <w:rsid w:val="00D15B63"/>
    <w:rsid w:val="00D15C9D"/>
    <w:rsid w:val="00D16761"/>
    <w:rsid w:val="00D1692D"/>
    <w:rsid w:val="00D16A14"/>
    <w:rsid w:val="00D16A59"/>
    <w:rsid w:val="00D16A79"/>
    <w:rsid w:val="00D17011"/>
    <w:rsid w:val="00D17EF7"/>
    <w:rsid w:val="00D20D58"/>
    <w:rsid w:val="00D20E9C"/>
    <w:rsid w:val="00D2145D"/>
    <w:rsid w:val="00D21547"/>
    <w:rsid w:val="00D216E8"/>
    <w:rsid w:val="00D22220"/>
    <w:rsid w:val="00D22608"/>
    <w:rsid w:val="00D22680"/>
    <w:rsid w:val="00D22B2B"/>
    <w:rsid w:val="00D22BEF"/>
    <w:rsid w:val="00D22CF6"/>
    <w:rsid w:val="00D23C85"/>
    <w:rsid w:val="00D2425F"/>
    <w:rsid w:val="00D242AE"/>
    <w:rsid w:val="00D24400"/>
    <w:rsid w:val="00D24DA6"/>
    <w:rsid w:val="00D24E93"/>
    <w:rsid w:val="00D24F3F"/>
    <w:rsid w:val="00D2500A"/>
    <w:rsid w:val="00D25397"/>
    <w:rsid w:val="00D2542A"/>
    <w:rsid w:val="00D258B4"/>
    <w:rsid w:val="00D258EB"/>
    <w:rsid w:val="00D262A9"/>
    <w:rsid w:val="00D2634E"/>
    <w:rsid w:val="00D266D9"/>
    <w:rsid w:val="00D267F9"/>
    <w:rsid w:val="00D26E2D"/>
    <w:rsid w:val="00D26EC0"/>
    <w:rsid w:val="00D26F2C"/>
    <w:rsid w:val="00D27095"/>
    <w:rsid w:val="00D275C6"/>
    <w:rsid w:val="00D2767D"/>
    <w:rsid w:val="00D276FB"/>
    <w:rsid w:val="00D277B0"/>
    <w:rsid w:val="00D27AB2"/>
    <w:rsid w:val="00D27B95"/>
    <w:rsid w:val="00D27DAB"/>
    <w:rsid w:val="00D27F85"/>
    <w:rsid w:val="00D30518"/>
    <w:rsid w:val="00D30956"/>
    <w:rsid w:val="00D30ABF"/>
    <w:rsid w:val="00D30B3E"/>
    <w:rsid w:val="00D30CF0"/>
    <w:rsid w:val="00D30E64"/>
    <w:rsid w:val="00D3115A"/>
    <w:rsid w:val="00D311E6"/>
    <w:rsid w:val="00D31465"/>
    <w:rsid w:val="00D31694"/>
    <w:rsid w:val="00D31F7F"/>
    <w:rsid w:val="00D324E0"/>
    <w:rsid w:val="00D32743"/>
    <w:rsid w:val="00D3278C"/>
    <w:rsid w:val="00D3283B"/>
    <w:rsid w:val="00D32A2C"/>
    <w:rsid w:val="00D3318D"/>
    <w:rsid w:val="00D33595"/>
    <w:rsid w:val="00D33D3E"/>
    <w:rsid w:val="00D33E8F"/>
    <w:rsid w:val="00D33FE4"/>
    <w:rsid w:val="00D33FFD"/>
    <w:rsid w:val="00D3412B"/>
    <w:rsid w:val="00D34504"/>
    <w:rsid w:val="00D34DC5"/>
    <w:rsid w:val="00D35567"/>
    <w:rsid w:val="00D35B40"/>
    <w:rsid w:val="00D35B6C"/>
    <w:rsid w:val="00D35BC6"/>
    <w:rsid w:val="00D3612B"/>
    <w:rsid w:val="00D362AB"/>
    <w:rsid w:val="00D368CD"/>
    <w:rsid w:val="00D369A7"/>
    <w:rsid w:val="00D36B25"/>
    <w:rsid w:val="00D36D15"/>
    <w:rsid w:val="00D36D4A"/>
    <w:rsid w:val="00D36E8A"/>
    <w:rsid w:val="00D371CA"/>
    <w:rsid w:val="00D37344"/>
    <w:rsid w:val="00D37BDA"/>
    <w:rsid w:val="00D4066F"/>
    <w:rsid w:val="00D407B8"/>
    <w:rsid w:val="00D40C71"/>
    <w:rsid w:val="00D41072"/>
    <w:rsid w:val="00D42161"/>
    <w:rsid w:val="00D42191"/>
    <w:rsid w:val="00D421B7"/>
    <w:rsid w:val="00D4244A"/>
    <w:rsid w:val="00D42F63"/>
    <w:rsid w:val="00D4319E"/>
    <w:rsid w:val="00D43AB9"/>
    <w:rsid w:val="00D43CAA"/>
    <w:rsid w:val="00D43D0B"/>
    <w:rsid w:val="00D43DC5"/>
    <w:rsid w:val="00D43FC4"/>
    <w:rsid w:val="00D448D8"/>
    <w:rsid w:val="00D44BC7"/>
    <w:rsid w:val="00D44D04"/>
    <w:rsid w:val="00D44E9E"/>
    <w:rsid w:val="00D45426"/>
    <w:rsid w:val="00D454FC"/>
    <w:rsid w:val="00D45F48"/>
    <w:rsid w:val="00D4631B"/>
    <w:rsid w:val="00D466F6"/>
    <w:rsid w:val="00D46BF5"/>
    <w:rsid w:val="00D472DE"/>
    <w:rsid w:val="00D473D6"/>
    <w:rsid w:val="00D47740"/>
    <w:rsid w:val="00D51006"/>
    <w:rsid w:val="00D5132B"/>
    <w:rsid w:val="00D51BA6"/>
    <w:rsid w:val="00D51C51"/>
    <w:rsid w:val="00D5243D"/>
    <w:rsid w:val="00D52779"/>
    <w:rsid w:val="00D52965"/>
    <w:rsid w:val="00D534E1"/>
    <w:rsid w:val="00D53517"/>
    <w:rsid w:val="00D53778"/>
    <w:rsid w:val="00D53DBF"/>
    <w:rsid w:val="00D53E76"/>
    <w:rsid w:val="00D540C4"/>
    <w:rsid w:val="00D540D8"/>
    <w:rsid w:val="00D540F3"/>
    <w:rsid w:val="00D54661"/>
    <w:rsid w:val="00D547D0"/>
    <w:rsid w:val="00D5550A"/>
    <w:rsid w:val="00D55566"/>
    <w:rsid w:val="00D55EA5"/>
    <w:rsid w:val="00D563EF"/>
    <w:rsid w:val="00D569FA"/>
    <w:rsid w:val="00D56DC9"/>
    <w:rsid w:val="00D57090"/>
    <w:rsid w:val="00D57722"/>
    <w:rsid w:val="00D57861"/>
    <w:rsid w:val="00D57C19"/>
    <w:rsid w:val="00D601C2"/>
    <w:rsid w:val="00D602B6"/>
    <w:rsid w:val="00D6040D"/>
    <w:rsid w:val="00D6051B"/>
    <w:rsid w:val="00D605BE"/>
    <w:rsid w:val="00D605C3"/>
    <w:rsid w:val="00D60B66"/>
    <w:rsid w:val="00D610EC"/>
    <w:rsid w:val="00D62BE9"/>
    <w:rsid w:val="00D62C68"/>
    <w:rsid w:val="00D62ED1"/>
    <w:rsid w:val="00D630E9"/>
    <w:rsid w:val="00D63175"/>
    <w:rsid w:val="00D63417"/>
    <w:rsid w:val="00D634D2"/>
    <w:rsid w:val="00D634E4"/>
    <w:rsid w:val="00D642F8"/>
    <w:rsid w:val="00D644C9"/>
    <w:rsid w:val="00D6450A"/>
    <w:rsid w:val="00D64876"/>
    <w:rsid w:val="00D64A29"/>
    <w:rsid w:val="00D64AA1"/>
    <w:rsid w:val="00D652A8"/>
    <w:rsid w:val="00D65424"/>
    <w:rsid w:val="00D6551C"/>
    <w:rsid w:val="00D655E2"/>
    <w:rsid w:val="00D65BD4"/>
    <w:rsid w:val="00D65E52"/>
    <w:rsid w:val="00D65F46"/>
    <w:rsid w:val="00D6658E"/>
    <w:rsid w:val="00D66711"/>
    <w:rsid w:val="00D66AEA"/>
    <w:rsid w:val="00D66CC2"/>
    <w:rsid w:val="00D6736A"/>
    <w:rsid w:val="00D67ACE"/>
    <w:rsid w:val="00D67AE0"/>
    <w:rsid w:val="00D67E49"/>
    <w:rsid w:val="00D67EE5"/>
    <w:rsid w:val="00D700B7"/>
    <w:rsid w:val="00D70284"/>
    <w:rsid w:val="00D7059F"/>
    <w:rsid w:val="00D70A8D"/>
    <w:rsid w:val="00D70AC6"/>
    <w:rsid w:val="00D70CE0"/>
    <w:rsid w:val="00D71140"/>
    <w:rsid w:val="00D711D1"/>
    <w:rsid w:val="00D715E5"/>
    <w:rsid w:val="00D715F4"/>
    <w:rsid w:val="00D71A7F"/>
    <w:rsid w:val="00D71CF6"/>
    <w:rsid w:val="00D71E75"/>
    <w:rsid w:val="00D7289F"/>
    <w:rsid w:val="00D729CF"/>
    <w:rsid w:val="00D72DCF"/>
    <w:rsid w:val="00D72EC7"/>
    <w:rsid w:val="00D72F39"/>
    <w:rsid w:val="00D72FE5"/>
    <w:rsid w:val="00D733D1"/>
    <w:rsid w:val="00D734BA"/>
    <w:rsid w:val="00D735C8"/>
    <w:rsid w:val="00D73863"/>
    <w:rsid w:val="00D73A36"/>
    <w:rsid w:val="00D73D5E"/>
    <w:rsid w:val="00D7412E"/>
    <w:rsid w:val="00D74954"/>
    <w:rsid w:val="00D75113"/>
    <w:rsid w:val="00D7512E"/>
    <w:rsid w:val="00D75425"/>
    <w:rsid w:val="00D75612"/>
    <w:rsid w:val="00D75C2E"/>
    <w:rsid w:val="00D75EB8"/>
    <w:rsid w:val="00D76548"/>
    <w:rsid w:val="00D76A91"/>
    <w:rsid w:val="00D77C51"/>
    <w:rsid w:val="00D77CC9"/>
    <w:rsid w:val="00D77E81"/>
    <w:rsid w:val="00D77FDF"/>
    <w:rsid w:val="00D8040C"/>
    <w:rsid w:val="00D80A36"/>
    <w:rsid w:val="00D80B5B"/>
    <w:rsid w:val="00D81372"/>
    <w:rsid w:val="00D81931"/>
    <w:rsid w:val="00D819A1"/>
    <w:rsid w:val="00D81A2C"/>
    <w:rsid w:val="00D81D87"/>
    <w:rsid w:val="00D82546"/>
    <w:rsid w:val="00D82CEC"/>
    <w:rsid w:val="00D82E2A"/>
    <w:rsid w:val="00D83279"/>
    <w:rsid w:val="00D8334D"/>
    <w:rsid w:val="00D8401F"/>
    <w:rsid w:val="00D84022"/>
    <w:rsid w:val="00D8490C"/>
    <w:rsid w:val="00D8544C"/>
    <w:rsid w:val="00D8564F"/>
    <w:rsid w:val="00D85AC0"/>
    <w:rsid w:val="00D85B85"/>
    <w:rsid w:val="00D85C6E"/>
    <w:rsid w:val="00D85CE3"/>
    <w:rsid w:val="00D85E69"/>
    <w:rsid w:val="00D85ECA"/>
    <w:rsid w:val="00D861CF"/>
    <w:rsid w:val="00D86489"/>
    <w:rsid w:val="00D86510"/>
    <w:rsid w:val="00D865A5"/>
    <w:rsid w:val="00D865E4"/>
    <w:rsid w:val="00D867E5"/>
    <w:rsid w:val="00D86AB0"/>
    <w:rsid w:val="00D86C31"/>
    <w:rsid w:val="00D87341"/>
    <w:rsid w:val="00D874FE"/>
    <w:rsid w:val="00D8758A"/>
    <w:rsid w:val="00D87EA9"/>
    <w:rsid w:val="00D9034E"/>
    <w:rsid w:val="00D9085A"/>
    <w:rsid w:val="00D909AC"/>
    <w:rsid w:val="00D909F7"/>
    <w:rsid w:val="00D91792"/>
    <w:rsid w:val="00D919BD"/>
    <w:rsid w:val="00D9220D"/>
    <w:rsid w:val="00D92B99"/>
    <w:rsid w:val="00D92C34"/>
    <w:rsid w:val="00D93004"/>
    <w:rsid w:val="00D93DA9"/>
    <w:rsid w:val="00D93DBC"/>
    <w:rsid w:val="00D94E20"/>
    <w:rsid w:val="00D9502D"/>
    <w:rsid w:val="00D951E1"/>
    <w:rsid w:val="00D95771"/>
    <w:rsid w:val="00D95F2D"/>
    <w:rsid w:val="00D965DB"/>
    <w:rsid w:val="00D968CC"/>
    <w:rsid w:val="00D96C76"/>
    <w:rsid w:val="00D970B2"/>
    <w:rsid w:val="00D970CB"/>
    <w:rsid w:val="00D9721E"/>
    <w:rsid w:val="00D9743D"/>
    <w:rsid w:val="00D97506"/>
    <w:rsid w:val="00D97870"/>
    <w:rsid w:val="00DA09BC"/>
    <w:rsid w:val="00DA0AC0"/>
    <w:rsid w:val="00DA0BF3"/>
    <w:rsid w:val="00DA0C24"/>
    <w:rsid w:val="00DA0FDF"/>
    <w:rsid w:val="00DA1BDB"/>
    <w:rsid w:val="00DA1F45"/>
    <w:rsid w:val="00DA20F5"/>
    <w:rsid w:val="00DA254E"/>
    <w:rsid w:val="00DA284A"/>
    <w:rsid w:val="00DA2A9E"/>
    <w:rsid w:val="00DA2E12"/>
    <w:rsid w:val="00DA311D"/>
    <w:rsid w:val="00DA3381"/>
    <w:rsid w:val="00DA3E91"/>
    <w:rsid w:val="00DA48B8"/>
    <w:rsid w:val="00DA540B"/>
    <w:rsid w:val="00DA5586"/>
    <w:rsid w:val="00DA5605"/>
    <w:rsid w:val="00DA5CE2"/>
    <w:rsid w:val="00DA5DC0"/>
    <w:rsid w:val="00DA6D12"/>
    <w:rsid w:val="00DA7475"/>
    <w:rsid w:val="00DA7520"/>
    <w:rsid w:val="00DA792E"/>
    <w:rsid w:val="00DA7E09"/>
    <w:rsid w:val="00DB0C88"/>
    <w:rsid w:val="00DB16A0"/>
    <w:rsid w:val="00DB18CA"/>
    <w:rsid w:val="00DB1B5A"/>
    <w:rsid w:val="00DB1E58"/>
    <w:rsid w:val="00DB1F48"/>
    <w:rsid w:val="00DB207C"/>
    <w:rsid w:val="00DB2420"/>
    <w:rsid w:val="00DB24C8"/>
    <w:rsid w:val="00DB255F"/>
    <w:rsid w:val="00DB2B4E"/>
    <w:rsid w:val="00DB30AB"/>
    <w:rsid w:val="00DB31D5"/>
    <w:rsid w:val="00DB32D5"/>
    <w:rsid w:val="00DB39FD"/>
    <w:rsid w:val="00DB3D60"/>
    <w:rsid w:val="00DB40DB"/>
    <w:rsid w:val="00DB431E"/>
    <w:rsid w:val="00DB454F"/>
    <w:rsid w:val="00DB4872"/>
    <w:rsid w:val="00DB4AB2"/>
    <w:rsid w:val="00DB4D2E"/>
    <w:rsid w:val="00DB510D"/>
    <w:rsid w:val="00DB556C"/>
    <w:rsid w:val="00DB628A"/>
    <w:rsid w:val="00DB659F"/>
    <w:rsid w:val="00DB66D2"/>
    <w:rsid w:val="00DB69DD"/>
    <w:rsid w:val="00DB6A5F"/>
    <w:rsid w:val="00DB6EF1"/>
    <w:rsid w:val="00DB7004"/>
    <w:rsid w:val="00DB7066"/>
    <w:rsid w:val="00DB7CFA"/>
    <w:rsid w:val="00DC01B4"/>
    <w:rsid w:val="00DC04F7"/>
    <w:rsid w:val="00DC0755"/>
    <w:rsid w:val="00DC0A5C"/>
    <w:rsid w:val="00DC0FCE"/>
    <w:rsid w:val="00DC12F2"/>
    <w:rsid w:val="00DC155C"/>
    <w:rsid w:val="00DC1ECF"/>
    <w:rsid w:val="00DC356C"/>
    <w:rsid w:val="00DC3736"/>
    <w:rsid w:val="00DC3802"/>
    <w:rsid w:val="00DC3B9C"/>
    <w:rsid w:val="00DC3ECF"/>
    <w:rsid w:val="00DC44BB"/>
    <w:rsid w:val="00DC50EA"/>
    <w:rsid w:val="00DC53C8"/>
    <w:rsid w:val="00DC5452"/>
    <w:rsid w:val="00DC562C"/>
    <w:rsid w:val="00DC6736"/>
    <w:rsid w:val="00DC6859"/>
    <w:rsid w:val="00DC6A57"/>
    <w:rsid w:val="00DC6C8F"/>
    <w:rsid w:val="00DC6DAE"/>
    <w:rsid w:val="00DC6DCA"/>
    <w:rsid w:val="00DC6FDC"/>
    <w:rsid w:val="00DC7216"/>
    <w:rsid w:val="00DC7358"/>
    <w:rsid w:val="00DC75D2"/>
    <w:rsid w:val="00DC79C4"/>
    <w:rsid w:val="00DC7BF8"/>
    <w:rsid w:val="00DD018B"/>
    <w:rsid w:val="00DD02DE"/>
    <w:rsid w:val="00DD0312"/>
    <w:rsid w:val="00DD0680"/>
    <w:rsid w:val="00DD0AEC"/>
    <w:rsid w:val="00DD10F9"/>
    <w:rsid w:val="00DD126B"/>
    <w:rsid w:val="00DD15FF"/>
    <w:rsid w:val="00DD185D"/>
    <w:rsid w:val="00DD1A58"/>
    <w:rsid w:val="00DD1C0F"/>
    <w:rsid w:val="00DD2134"/>
    <w:rsid w:val="00DD2544"/>
    <w:rsid w:val="00DD2BAC"/>
    <w:rsid w:val="00DD2D99"/>
    <w:rsid w:val="00DD30FD"/>
    <w:rsid w:val="00DD34B2"/>
    <w:rsid w:val="00DD35C9"/>
    <w:rsid w:val="00DD41C3"/>
    <w:rsid w:val="00DD4830"/>
    <w:rsid w:val="00DD4930"/>
    <w:rsid w:val="00DD505F"/>
    <w:rsid w:val="00DD55FC"/>
    <w:rsid w:val="00DD58D0"/>
    <w:rsid w:val="00DD59AA"/>
    <w:rsid w:val="00DD5C20"/>
    <w:rsid w:val="00DD5DE0"/>
    <w:rsid w:val="00DD5DF7"/>
    <w:rsid w:val="00DD6436"/>
    <w:rsid w:val="00DD666F"/>
    <w:rsid w:val="00DD69C3"/>
    <w:rsid w:val="00DD6F21"/>
    <w:rsid w:val="00DD7343"/>
    <w:rsid w:val="00DD743B"/>
    <w:rsid w:val="00DD7976"/>
    <w:rsid w:val="00DD7984"/>
    <w:rsid w:val="00DD7B83"/>
    <w:rsid w:val="00DE0126"/>
    <w:rsid w:val="00DE064F"/>
    <w:rsid w:val="00DE0E70"/>
    <w:rsid w:val="00DE1068"/>
    <w:rsid w:val="00DE11F9"/>
    <w:rsid w:val="00DE13F6"/>
    <w:rsid w:val="00DE18E8"/>
    <w:rsid w:val="00DE2036"/>
    <w:rsid w:val="00DE219B"/>
    <w:rsid w:val="00DE244C"/>
    <w:rsid w:val="00DE2BB6"/>
    <w:rsid w:val="00DE2C0F"/>
    <w:rsid w:val="00DE2EC2"/>
    <w:rsid w:val="00DE3911"/>
    <w:rsid w:val="00DE3BDD"/>
    <w:rsid w:val="00DE41CC"/>
    <w:rsid w:val="00DE45FF"/>
    <w:rsid w:val="00DE498D"/>
    <w:rsid w:val="00DE4C56"/>
    <w:rsid w:val="00DE4EA6"/>
    <w:rsid w:val="00DE52CE"/>
    <w:rsid w:val="00DE55A8"/>
    <w:rsid w:val="00DE5718"/>
    <w:rsid w:val="00DE575E"/>
    <w:rsid w:val="00DE59D6"/>
    <w:rsid w:val="00DE5C35"/>
    <w:rsid w:val="00DE5E6E"/>
    <w:rsid w:val="00DE66A8"/>
    <w:rsid w:val="00DE680C"/>
    <w:rsid w:val="00DE6E07"/>
    <w:rsid w:val="00DE767D"/>
    <w:rsid w:val="00DE777D"/>
    <w:rsid w:val="00DE7799"/>
    <w:rsid w:val="00DE77AC"/>
    <w:rsid w:val="00DE7843"/>
    <w:rsid w:val="00DE7864"/>
    <w:rsid w:val="00DE7A30"/>
    <w:rsid w:val="00DE7B42"/>
    <w:rsid w:val="00DE7F9E"/>
    <w:rsid w:val="00DF0018"/>
    <w:rsid w:val="00DF025B"/>
    <w:rsid w:val="00DF08E0"/>
    <w:rsid w:val="00DF0A75"/>
    <w:rsid w:val="00DF0B85"/>
    <w:rsid w:val="00DF159F"/>
    <w:rsid w:val="00DF15D8"/>
    <w:rsid w:val="00DF1760"/>
    <w:rsid w:val="00DF1816"/>
    <w:rsid w:val="00DF186B"/>
    <w:rsid w:val="00DF1984"/>
    <w:rsid w:val="00DF1AC6"/>
    <w:rsid w:val="00DF237B"/>
    <w:rsid w:val="00DF24C5"/>
    <w:rsid w:val="00DF2655"/>
    <w:rsid w:val="00DF2FF7"/>
    <w:rsid w:val="00DF31C8"/>
    <w:rsid w:val="00DF323D"/>
    <w:rsid w:val="00DF32ED"/>
    <w:rsid w:val="00DF35B0"/>
    <w:rsid w:val="00DF3656"/>
    <w:rsid w:val="00DF36E5"/>
    <w:rsid w:val="00DF383C"/>
    <w:rsid w:val="00DF3E08"/>
    <w:rsid w:val="00DF3E85"/>
    <w:rsid w:val="00DF3FB5"/>
    <w:rsid w:val="00DF4118"/>
    <w:rsid w:val="00DF455B"/>
    <w:rsid w:val="00DF4EE5"/>
    <w:rsid w:val="00DF50F4"/>
    <w:rsid w:val="00DF5366"/>
    <w:rsid w:val="00DF557C"/>
    <w:rsid w:val="00DF5993"/>
    <w:rsid w:val="00DF59AC"/>
    <w:rsid w:val="00DF5A86"/>
    <w:rsid w:val="00DF5AB5"/>
    <w:rsid w:val="00DF5D7A"/>
    <w:rsid w:val="00DF5F06"/>
    <w:rsid w:val="00DF5FA0"/>
    <w:rsid w:val="00DF616B"/>
    <w:rsid w:val="00DF65FD"/>
    <w:rsid w:val="00DF705D"/>
    <w:rsid w:val="00DF733A"/>
    <w:rsid w:val="00E001DB"/>
    <w:rsid w:val="00E00252"/>
    <w:rsid w:val="00E00A92"/>
    <w:rsid w:val="00E00B4A"/>
    <w:rsid w:val="00E01337"/>
    <w:rsid w:val="00E016A0"/>
    <w:rsid w:val="00E01825"/>
    <w:rsid w:val="00E01BFB"/>
    <w:rsid w:val="00E02217"/>
    <w:rsid w:val="00E02296"/>
    <w:rsid w:val="00E0254F"/>
    <w:rsid w:val="00E0290E"/>
    <w:rsid w:val="00E030BF"/>
    <w:rsid w:val="00E030D3"/>
    <w:rsid w:val="00E031DA"/>
    <w:rsid w:val="00E04391"/>
    <w:rsid w:val="00E047EB"/>
    <w:rsid w:val="00E048BE"/>
    <w:rsid w:val="00E04A22"/>
    <w:rsid w:val="00E0518D"/>
    <w:rsid w:val="00E051A3"/>
    <w:rsid w:val="00E055BD"/>
    <w:rsid w:val="00E05C6E"/>
    <w:rsid w:val="00E05D54"/>
    <w:rsid w:val="00E06064"/>
    <w:rsid w:val="00E060C7"/>
    <w:rsid w:val="00E06B7C"/>
    <w:rsid w:val="00E06DEC"/>
    <w:rsid w:val="00E071E3"/>
    <w:rsid w:val="00E07574"/>
    <w:rsid w:val="00E07BC7"/>
    <w:rsid w:val="00E1077A"/>
    <w:rsid w:val="00E1094F"/>
    <w:rsid w:val="00E11143"/>
    <w:rsid w:val="00E11A7D"/>
    <w:rsid w:val="00E11CAA"/>
    <w:rsid w:val="00E120CA"/>
    <w:rsid w:val="00E120CF"/>
    <w:rsid w:val="00E12438"/>
    <w:rsid w:val="00E12614"/>
    <w:rsid w:val="00E127CE"/>
    <w:rsid w:val="00E12B54"/>
    <w:rsid w:val="00E12BBE"/>
    <w:rsid w:val="00E12BCB"/>
    <w:rsid w:val="00E12DA6"/>
    <w:rsid w:val="00E12E29"/>
    <w:rsid w:val="00E12E72"/>
    <w:rsid w:val="00E13344"/>
    <w:rsid w:val="00E1335C"/>
    <w:rsid w:val="00E13530"/>
    <w:rsid w:val="00E13958"/>
    <w:rsid w:val="00E13A6E"/>
    <w:rsid w:val="00E13A76"/>
    <w:rsid w:val="00E13D3C"/>
    <w:rsid w:val="00E13E41"/>
    <w:rsid w:val="00E14001"/>
    <w:rsid w:val="00E1478E"/>
    <w:rsid w:val="00E1481E"/>
    <w:rsid w:val="00E149BF"/>
    <w:rsid w:val="00E153F3"/>
    <w:rsid w:val="00E1584E"/>
    <w:rsid w:val="00E15943"/>
    <w:rsid w:val="00E15AD5"/>
    <w:rsid w:val="00E15F88"/>
    <w:rsid w:val="00E16B91"/>
    <w:rsid w:val="00E16C48"/>
    <w:rsid w:val="00E172BA"/>
    <w:rsid w:val="00E17D0E"/>
    <w:rsid w:val="00E17D26"/>
    <w:rsid w:val="00E2007D"/>
    <w:rsid w:val="00E20DD3"/>
    <w:rsid w:val="00E211A3"/>
    <w:rsid w:val="00E21575"/>
    <w:rsid w:val="00E2186F"/>
    <w:rsid w:val="00E2252F"/>
    <w:rsid w:val="00E22BC7"/>
    <w:rsid w:val="00E22D74"/>
    <w:rsid w:val="00E22FD8"/>
    <w:rsid w:val="00E23104"/>
    <w:rsid w:val="00E235DA"/>
    <w:rsid w:val="00E23954"/>
    <w:rsid w:val="00E23970"/>
    <w:rsid w:val="00E239B7"/>
    <w:rsid w:val="00E23F69"/>
    <w:rsid w:val="00E24145"/>
    <w:rsid w:val="00E24946"/>
    <w:rsid w:val="00E24DC6"/>
    <w:rsid w:val="00E24F72"/>
    <w:rsid w:val="00E24F96"/>
    <w:rsid w:val="00E252FE"/>
    <w:rsid w:val="00E258DC"/>
    <w:rsid w:val="00E25AC3"/>
    <w:rsid w:val="00E25B3D"/>
    <w:rsid w:val="00E25BFE"/>
    <w:rsid w:val="00E25DD8"/>
    <w:rsid w:val="00E25FDA"/>
    <w:rsid w:val="00E26080"/>
    <w:rsid w:val="00E26122"/>
    <w:rsid w:val="00E264AA"/>
    <w:rsid w:val="00E268C1"/>
    <w:rsid w:val="00E26904"/>
    <w:rsid w:val="00E26E91"/>
    <w:rsid w:val="00E26EC1"/>
    <w:rsid w:val="00E27007"/>
    <w:rsid w:val="00E2703E"/>
    <w:rsid w:val="00E27354"/>
    <w:rsid w:val="00E27381"/>
    <w:rsid w:val="00E278DA"/>
    <w:rsid w:val="00E27CF9"/>
    <w:rsid w:val="00E27E51"/>
    <w:rsid w:val="00E27E57"/>
    <w:rsid w:val="00E30234"/>
    <w:rsid w:val="00E303DA"/>
    <w:rsid w:val="00E306F2"/>
    <w:rsid w:val="00E308A1"/>
    <w:rsid w:val="00E308F2"/>
    <w:rsid w:val="00E30F85"/>
    <w:rsid w:val="00E311BA"/>
    <w:rsid w:val="00E3124D"/>
    <w:rsid w:val="00E318CA"/>
    <w:rsid w:val="00E318D0"/>
    <w:rsid w:val="00E319BE"/>
    <w:rsid w:val="00E31A03"/>
    <w:rsid w:val="00E31A3B"/>
    <w:rsid w:val="00E31C01"/>
    <w:rsid w:val="00E32087"/>
    <w:rsid w:val="00E32178"/>
    <w:rsid w:val="00E32392"/>
    <w:rsid w:val="00E32B14"/>
    <w:rsid w:val="00E32BF6"/>
    <w:rsid w:val="00E32D06"/>
    <w:rsid w:val="00E32D13"/>
    <w:rsid w:val="00E333BA"/>
    <w:rsid w:val="00E33510"/>
    <w:rsid w:val="00E33530"/>
    <w:rsid w:val="00E33C4D"/>
    <w:rsid w:val="00E34036"/>
    <w:rsid w:val="00E34356"/>
    <w:rsid w:val="00E3451A"/>
    <w:rsid w:val="00E34762"/>
    <w:rsid w:val="00E34A41"/>
    <w:rsid w:val="00E34D7E"/>
    <w:rsid w:val="00E35127"/>
    <w:rsid w:val="00E353CE"/>
    <w:rsid w:val="00E35711"/>
    <w:rsid w:val="00E35AED"/>
    <w:rsid w:val="00E35D1B"/>
    <w:rsid w:val="00E35F73"/>
    <w:rsid w:val="00E3612F"/>
    <w:rsid w:val="00E363FA"/>
    <w:rsid w:val="00E36583"/>
    <w:rsid w:val="00E365CE"/>
    <w:rsid w:val="00E367DE"/>
    <w:rsid w:val="00E368F1"/>
    <w:rsid w:val="00E368FB"/>
    <w:rsid w:val="00E36929"/>
    <w:rsid w:val="00E369B2"/>
    <w:rsid w:val="00E36EBE"/>
    <w:rsid w:val="00E370A1"/>
    <w:rsid w:val="00E37328"/>
    <w:rsid w:val="00E402FB"/>
    <w:rsid w:val="00E40560"/>
    <w:rsid w:val="00E407A5"/>
    <w:rsid w:val="00E4082F"/>
    <w:rsid w:val="00E40908"/>
    <w:rsid w:val="00E40C71"/>
    <w:rsid w:val="00E4110C"/>
    <w:rsid w:val="00E418A8"/>
    <w:rsid w:val="00E418BF"/>
    <w:rsid w:val="00E41BDD"/>
    <w:rsid w:val="00E41CEC"/>
    <w:rsid w:val="00E427BF"/>
    <w:rsid w:val="00E428F4"/>
    <w:rsid w:val="00E42D75"/>
    <w:rsid w:val="00E42F79"/>
    <w:rsid w:val="00E433FD"/>
    <w:rsid w:val="00E439C5"/>
    <w:rsid w:val="00E43D5F"/>
    <w:rsid w:val="00E43F27"/>
    <w:rsid w:val="00E442E7"/>
    <w:rsid w:val="00E443BC"/>
    <w:rsid w:val="00E4458F"/>
    <w:rsid w:val="00E44C19"/>
    <w:rsid w:val="00E45150"/>
    <w:rsid w:val="00E4562C"/>
    <w:rsid w:val="00E4581F"/>
    <w:rsid w:val="00E45E83"/>
    <w:rsid w:val="00E46258"/>
    <w:rsid w:val="00E463EB"/>
    <w:rsid w:val="00E46756"/>
    <w:rsid w:val="00E46AEC"/>
    <w:rsid w:val="00E46D3C"/>
    <w:rsid w:val="00E47522"/>
    <w:rsid w:val="00E47667"/>
    <w:rsid w:val="00E47A39"/>
    <w:rsid w:val="00E47B5F"/>
    <w:rsid w:val="00E5054B"/>
    <w:rsid w:val="00E50C82"/>
    <w:rsid w:val="00E510D6"/>
    <w:rsid w:val="00E5110E"/>
    <w:rsid w:val="00E51130"/>
    <w:rsid w:val="00E511C6"/>
    <w:rsid w:val="00E518A2"/>
    <w:rsid w:val="00E51931"/>
    <w:rsid w:val="00E51E19"/>
    <w:rsid w:val="00E520FB"/>
    <w:rsid w:val="00E5267E"/>
    <w:rsid w:val="00E527E2"/>
    <w:rsid w:val="00E52F74"/>
    <w:rsid w:val="00E532A9"/>
    <w:rsid w:val="00E533C8"/>
    <w:rsid w:val="00E5394A"/>
    <w:rsid w:val="00E539CA"/>
    <w:rsid w:val="00E54356"/>
    <w:rsid w:val="00E54362"/>
    <w:rsid w:val="00E545BC"/>
    <w:rsid w:val="00E54729"/>
    <w:rsid w:val="00E547D0"/>
    <w:rsid w:val="00E54B05"/>
    <w:rsid w:val="00E54BC6"/>
    <w:rsid w:val="00E5509A"/>
    <w:rsid w:val="00E5532B"/>
    <w:rsid w:val="00E55497"/>
    <w:rsid w:val="00E55BF5"/>
    <w:rsid w:val="00E55E9B"/>
    <w:rsid w:val="00E560AC"/>
    <w:rsid w:val="00E564ED"/>
    <w:rsid w:val="00E565B0"/>
    <w:rsid w:val="00E565F3"/>
    <w:rsid w:val="00E5670D"/>
    <w:rsid w:val="00E568C5"/>
    <w:rsid w:val="00E57477"/>
    <w:rsid w:val="00E5748D"/>
    <w:rsid w:val="00E57637"/>
    <w:rsid w:val="00E57D92"/>
    <w:rsid w:val="00E57DDE"/>
    <w:rsid w:val="00E6003A"/>
    <w:rsid w:val="00E60601"/>
    <w:rsid w:val="00E608C0"/>
    <w:rsid w:val="00E60960"/>
    <w:rsid w:val="00E60977"/>
    <w:rsid w:val="00E615FD"/>
    <w:rsid w:val="00E61952"/>
    <w:rsid w:val="00E61F62"/>
    <w:rsid w:val="00E6241D"/>
    <w:rsid w:val="00E627FC"/>
    <w:rsid w:val="00E62AAA"/>
    <w:rsid w:val="00E62D47"/>
    <w:rsid w:val="00E6343A"/>
    <w:rsid w:val="00E63DA7"/>
    <w:rsid w:val="00E63E07"/>
    <w:rsid w:val="00E63F2A"/>
    <w:rsid w:val="00E64600"/>
    <w:rsid w:val="00E64740"/>
    <w:rsid w:val="00E64CAB"/>
    <w:rsid w:val="00E651A6"/>
    <w:rsid w:val="00E651B3"/>
    <w:rsid w:val="00E653F6"/>
    <w:rsid w:val="00E65481"/>
    <w:rsid w:val="00E65512"/>
    <w:rsid w:val="00E65596"/>
    <w:rsid w:val="00E6596D"/>
    <w:rsid w:val="00E6651F"/>
    <w:rsid w:val="00E666A9"/>
    <w:rsid w:val="00E666D9"/>
    <w:rsid w:val="00E6676C"/>
    <w:rsid w:val="00E66F8A"/>
    <w:rsid w:val="00E670C8"/>
    <w:rsid w:val="00E6755C"/>
    <w:rsid w:val="00E67907"/>
    <w:rsid w:val="00E67B17"/>
    <w:rsid w:val="00E70466"/>
    <w:rsid w:val="00E70A7F"/>
    <w:rsid w:val="00E71293"/>
    <w:rsid w:val="00E717D7"/>
    <w:rsid w:val="00E7188C"/>
    <w:rsid w:val="00E7193F"/>
    <w:rsid w:val="00E7197D"/>
    <w:rsid w:val="00E71B27"/>
    <w:rsid w:val="00E71BD4"/>
    <w:rsid w:val="00E71F8F"/>
    <w:rsid w:val="00E72144"/>
    <w:rsid w:val="00E72273"/>
    <w:rsid w:val="00E726AB"/>
    <w:rsid w:val="00E72717"/>
    <w:rsid w:val="00E73581"/>
    <w:rsid w:val="00E7418D"/>
    <w:rsid w:val="00E74675"/>
    <w:rsid w:val="00E74B62"/>
    <w:rsid w:val="00E74D89"/>
    <w:rsid w:val="00E74EF7"/>
    <w:rsid w:val="00E753AD"/>
    <w:rsid w:val="00E75A03"/>
    <w:rsid w:val="00E7623B"/>
    <w:rsid w:val="00E7638C"/>
    <w:rsid w:val="00E763C9"/>
    <w:rsid w:val="00E76676"/>
    <w:rsid w:val="00E76AB8"/>
    <w:rsid w:val="00E76BBD"/>
    <w:rsid w:val="00E76CF9"/>
    <w:rsid w:val="00E76DA6"/>
    <w:rsid w:val="00E76DBE"/>
    <w:rsid w:val="00E770BE"/>
    <w:rsid w:val="00E770C5"/>
    <w:rsid w:val="00E77140"/>
    <w:rsid w:val="00E77D23"/>
    <w:rsid w:val="00E804BE"/>
    <w:rsid w:val="00E805B9"/>
    <w:rsid w:val="00E80831"/>
    <w:rsid w:val="00E808F5"/>
    <w:rsid w:val="00E80E43"/>
    <w:rsid w:val="00E80E5D"/>
    <w:rsid w:val="00E81640"/>
    <w:rsid w:val="00E81978"/>
    <w:rsid w:val="00E81BB8"/>
    <w:rsid w:val="00E81E8F"/>
    <w:rsid w:val="00E81E99"/>
    <w:rsid w:val="00E82011"/>
    <w:rsid w:val="00E82580"/>
    <w:rsid w:val="00E82731"/>
    <w:rsid w:val="00E82B3D"/>
    <w:rsid w:val="00E831F1"/>
    <w:rsid w:val="00E839B9"/>
    <w:rsid w:val="00E83C1F"/>
    <w:rsid w:val="00E83FF2"/>
    <w:rsid w:val="00E842A4"/>
    <w:rsid w:val="00E84370"/>
    <w:rsid w:val="00E846DF"/>
    <w:rsid w:val="00E84BEE"/>
    <w:rsid w:val="00E8511B"/>
    <w:rsid w:val="00E851D6"/>
    <w:rsid w:val="00E854C3"/>
    <w:rsid w:val="00E855AE"/>
    <w:rsid w:val="00E8564D"/>
    <w:rsid w:val="00E859B0"/>
    <w:rsid w:val="00E85BE6"/>
    <w:rsid w:val="00E85EEB"/>
    <w:rsid w:val="00E86942"/>
    <w:rsid w:val="00E86B2F"/>
    <w:rsid w:val="00E86EF9"/>
    <w:rsid w:val="00E872EA"/>
    <w:rsid w:val="00E874B8"/>
    <w:rsid w:val="00E87AF3"/>
    <w:rsid w:val="00E87BFA"/>
    <w:rsid w:val="00E87D7A"/>
    <w:rsid w:val="00E87ECC"/>
    <w:rsid w:val="00E90321"/>
    <w:rsid w:val="00E90D43"/>
    <w:rsid w:val="00E90EBF"/>
    <w:rsid w:val="00E90FC7"/>
    <w:rsid w:val="00E91E06"/>
    <w:rsid w:val="00E925D6"/>
    <w:rsid w:val="00E92CF0"/>
    <w:rsid w:val="00E92D1A"/>
    <w:rsid w:val="00E92ECF"/>
    <w:rsid w:val="00E92F81"/>
    <w:rsid w:val="00E9306E"/>
    <w:rsid w:val="00E93B0E"/>
    <w:rsid w:val="00E93CEA"/>
    <w:rsid w:val="00E94D91"/>
    <w:rsid w:val="00E95093"/>
    <w:rsid w:val="00E9571D"/>
    <w:rsid w:val="00E95A60"/>
    <w:rsid w:val="00E95B7D"/>
    <w:rsid w:val="00E95E65"/>
    <w:rsid w:val="00E96008"/>
    <w:rsid w:val="00E96361"/>
    <w:rsid w:val="00E966A5"/>
    <w:rsid w:val="00E966F3"/>
    <w:rsid w:val="00E9692A"/>
    <w:rsid w:val="00E96FC5"/>
    <w:rsid w:val="00EA010C"/>
    <w:rsid w:val="00EA0112"/>
    <w:rsid w:val="00EA08DC"/>
    <w:rsid w:val="00EA1106"/>
    <w:rsid w:val="00EA1D02"/>
    <w:rsid w:val="00EA1FF9"/>
    <w:rsid w:val="00EA2D3B"/>
    <w:rsid w:val="00EA31A4"/>
    <w:rsid w:val="00EA322B"/>
    <w:rsid w:val="00EA35B1"/>
    <w:rsid w:val="00EA36A7"/>
    <w:rsid w:val="00EA37BE"/>
    <w:rsid w:val="00EA3BE9"/>
    <w:rsid w:val="00EA3C9B"/>
    <w:rsid w:val="00EA3E7A"/>
    <w:rsid w:val="00EA3EE0"/>
    <w:rsid w:val="00EA3F4B"/>
    <w:rsid w:val="00EA464A"/>
    <w:rsid w:val="00EA4840"/>
    <w:rsid w:val="00EA489E"/>
    <w:rsid w:val="00EA4BC8"/>
    <w:rsid w:val="00EA4DDB"/>
    <w:rsid w:val="00EA531B"/>
    <w:rsid w:val="00EA5441"/>
    <w:rsid w:val="00EA5809"/>
    <w:rsid w:val="00EA5C3D"/>
    <w:rsid w:val="00EA5C9E"/>
    <w:rsid w:val="00EA5D16"/>
    <w:rsid w:val="00EA5FA1"/>
    <w:rsid w:val="00EA5FA9"/>
    <w:rsid w:val="00EA62DB"/>
    <w:rsid w:val="00EA6595"/>
    <w:rsid w:val="00EA68CE"/>
    <w:rsid w:val="00EA6D78"/>
    <w:rsid w:val="00EA7409"/>
    <w:rsid w:val="00EA76A4"/>
    <w:rsid w:val="00EA7751"/>
    <w:rsid w:val="00EA781B"/>
    <w:rsid w:val="00EB08A7"/>
    <w:rsid w:val="00EB10DA"/>
    <w:rsid w:val="00EB1F5D"/>
    <w:rsid w:val="00EB2028"/>
    <w:rsid w:val="00EB248A"/>
    <w:rsid w:val="00EB26CD"/>
    <w:rsid w:val="00EB2D04"/>
    <w:rsid w:val="00EB31DC"/>
    <w:rsid w:val="00EB320A"/>
    <w:rsid w:val="00EB326F"/>
    <w:rsid w:val="00EB3279"/>
    <w:rsid w:val="00EB32D1"/>
    <w:rsid w:val="00EB34B6"/>
    <w:rsid w:val="00EB3D8D"/>
    <w:rsid w:val="00EB42B2"/>
    <w:rsid w:val="00EB4785"/>
    <w:rsid w:val="00EB47D7"/>
    <w:rsid w:val="00EB502E"/>
    <w:rsid w:val="00EB5142"/>
    <w:rsid w:val="00EB55B7"/>
    <w:rsid w:val="00EB5939"/>
    <w:rsid w:val="00EB59EB"/>
    <w:rsid w:val="00EB629C"/>
    <w:rsid w:val="00EB6579"/>
    <w:rsid w:val="00EB65B7"/>
    <w:rsid w:val="00EB6C32"/>
    <w:rsid w:val="00EB6F62"/>
    <w:rsid w:val="00EB6FE7"/>
    <w:rsid w:val="00EB73E4"/>
    <w:rsid w:val="00EB741D"/>
    <w:rsid w:val="00EB7E8D"/>
    <w:rsid w:val="00EC02E9"/>
    <w:rsid w:val="00EC048C"/>
    <w:rsid w:val="00EC0818"/>
    <w:rsid w:val="00EC0FA6"/>
    <w:rsid w:val="00EC0FE6"/>
    <w:rsid w:val="00EC121F"/>
    <w:rsid w:val="00EC1394"/>
    <w:rsid w:val="00EC1456"/>
    <w:rsid w:val="00EC164E"/>
    <w:rsid w:val="00EC184B"/>
    <w:rsid w:val="00EC1D1F"/>
    <w:rsid w:val="00EC1FFD"/>
    <w:rsid w:val="00EC216C"/>
    <w:rsid w:val="00EC22A0"/>
    <w:rsid w:val="00EC25A2"/>
    <w:rsid w:val="00EC26DF"/>
    <w:rsid w:val="00EC27F3"/>
    <w:rsid w:val="00EC2A06"/>
    <w:rsid w:val="00EC2D31"/>
    <w:rsid w:val="00EC2DCC"/>
    <w:rsid w:val="00EC3181"/>
    <w:rsid w:val="00EC38CD"/>
    <w:rsid w:val="00EC3999"/>
    <w:rsid w:val="00EC3A40"/>
    <w:rsid w:val="00EC3D05"/>
    <w:rsid w:val="00EC3E69"/>
    <w:rsid w:val="00EC4015"/>
    <w:rsid w:val="00EC4047"/>
    <w:rsid w:val="00EC42BD"/>
    <w:rsid w:val="00EC4308"/>
    <w:rsid w:val="00EC44ED"/>
    <w:rsid w:val="00EC4B74"/>
    <w:rsid w:val="00EC50C2"/>
    <w:rsid w:val="00EC521F"/>
    <w:rsid w:val="00EC5B29"/>
    <w:rsid w:val="00EC5B42"/>
    <w:rsid w:val="00EC5E0E"/>
    <w:rsid w:val="00EC6440"/>
    <w:rsid w:val="00EC6528"/>
    <w:rsid w:val="00EC665D"/>
    <w:rsid w:val="00EC686F"/>
    <w:rsid w:val="00EC6B7E"/>
    <w:rsid w:val="00EC6BD1"/>
    <w:rsid w:val="00EC6BE8"/>
    <w:rsid w:val="00EC6C2F"/>
    <w:rsid w:val="00EC721D"/>
    <w:rsid w:val="00EC73B3"/>
    <w:rsid w:val="00EC7457"/>
    <w:rsid w:val="00EC74A1"/>
    <w:rsid w:val="00EC74AC"/>
    <w:rsid w:val="00EC79B1"/>
    <w:rsid w:val="00EC7A5C"/>
    <w:rsid w:val="00EC7ABA"/>
    <w:rsid w:val="00ED0442"/>
    <w:rsid w:val="00ED062E"/>
    <w:rsid w:val="00ED0D0B"/>
    <w:rsid w:val="00ED0F3B"/>
    <w:rsid w:val="00ED140C"/>
    <w:rsid w:val="00ED1425"/>
    <w:rsid w:val="00ED17CC"/>
    <w:rsid w:val="00ED2080"/>
    <w:rsid w:val="00ED259B"/>
    <w:rsid w:val="00ED2DF1"/>
    <w:rsid w:val="00ED35F4"/>
    <w:rsid w:val="00ED3EC8"/>
    <w:rsid w:val="00ED4095"/>
    <w:rsid w:val="00ED485F"/>
    <w:rsid w:val="00ED499F"/>
    <w:rsid w:val="00ED4AA8"/>
    <w:rsid w:val="00ED4C16"/>
    <w:rsid w:val="00ED51B6"/>
    <w:rsid w:val="00ED52C8"/>
    <w:rsid w:val="00ED562F"/>
    <w:rsid w:val="00ED5977"/>
    <w:rsid w:val="00ED5C1E"/>
    <w:rsid w:val="00ED5C29"/>
    <w:rsid w:val="00ED5EFF"/>
    <w:rsid w:val="00ED60FD"/>
    <w:rsid w:val="00ED6613"/>
    <w:rsid w:val="00ED6661"/>
    <w:rsid w:val="00ED6969"/>
    <w:rsid w:val="00ED7814"/>
    <w:rsid w:val="00ED7CE0"/>
    <w:rsid w:val="00ED7F80"/>
    <w:rsid w:val="00EE0261"/>
    <w:rsid w:val="00EE0776"/>
    <w:rsid w:val="00EE0C53"/>
    <w:rsid w:val="00EE0C97"/>
    <w:rsid w:val="00EE0ED4"/>
    <w:rsid w:val="00EE16DB"/>
    <w:rsid w:val="00EE2271"/>
    <w:rsid w:val="00EE2466"/>
    <w:rsid w:val="00EE24CA"/>
    <w:rsid w:val="00EE292A"/>
    <w:rsid w:val="00EE2AA4"/>
    <w:rsid w:val="00EE3445"/>
    <w:rsid w:val="00EE37D6"/>
    <w:rsid w:val="00EE3CF4"/>
    <w:rsid w:val="00EE3EEA"/>
    <w:rsid w:val="00EE4724"/>
    <w:rsid w:val="00EE4886"/>
    <w:rsid w:val="00EE48E5"/>
    <w:rsid w:val="00EE49A4"/>
    <w:rsid w:val="00EE4AEE"/>
    <w:rsid w:val="00EE4CB1"/>
    <w:rsid w:val="00EE58DC"/>
    <w:rsid w:val="00EE59F4"/>
    <w:rsid w:val="00EE5A99"/>
    <w:rsid w:val="00EE628A"/>
    <w:rsid w:val="00EE680B"/>
    <w:rsid w:val="00EE698A"/>
    <w:rsid w:val="00EE6AAC"/>
    <w:rsid w:val="00EE6C91"/>
    <w:rsid w:val="00EE7802"/>
    <w:rsid w:val="00EF0602"/>
    <w:rsid w:val="00EF0FA5"/>
    <w:rsid w:val="00EF12A2"/>
    <w:rsid w:val="00EF12DF"/>
    <w:rsid w:val="00EF188A"/>
    <w:rsid w:val="00EF18FB"/>
    <w:rsid w:val="00EF2EAD"/>
    <w:rsid w:val="00EF31E8"/>
    <w:rsid w:val="00EF3276"/>
    <w:rsid w:val="00EF3997"/>
    <w:rsid w:val="00EF3B12"/>
    <w:rsid w:val="00EF3B48"/>
    <w:rsid w:val="00EF3E96"/>
    <w:rsid w:val="00EF3F70"/>
    <w:rsid w:val="00EF3FA8"/>
    <w:rsid w:val="00EF41D2"/>
    <w:rsid w:val="00EF44B5"/>
    <w:rsid w:val="00EF4B72"/>
    <w:rsid w:val="00EF4CCD"/>
    <w:rsid w:val="00EF4DCD"/>
    <w:rsid w:val="00EF4F70"/>
    <w:rsid w:val="00EF53EB"/>
    <w:rsid w:val="00EF546A"/>
    <w:rsid w:val="00EF5E88"/>
    <w:rsid w:val="00EF5F5F"/>
    <w:rsid w:val="00EF60B8"/>
    <w:rsid w:val="00EF633F"/>
    <w:rsid w:val="00EF6868"/>
    <w:rsid w:val="00EF6D46"/>
    <w:rsid w:val="00EF791B"/>
    <w:rsid w:val="00EF7B17"/>
    <w:rsid w:val="00EF7BE0"/>
    <w:rsid w:val="00EF7C36"/>
    <w:rsid w:val="00EF7CBC"/>
    <w:rsid w:val="00F000BD"/>
    <w:rsid w:val="00F00ABC"/>
    <w:rsid w:val="00F015EB"/>
    <w:rsid w:val="00F01650"/>
    <w:rsid w:val="00F01842"/>
    <w:rsid w:val="00F01B72"/>
    <w:rsid w:val="00F01BE2"/>
    <w:rsid w:val="00F02007"/>
    <w:rsid w:val="00F024C4"/>
    <w:rsid w:val="00F02507"/>
    <w:rsid w:val="00F0268B"/>
    <w:rsid w:val="00F026F0"/>
    <w:rsid w:val="00F02BC9"/>
    <w:rsid w:val="00F03976"/>
    <w:rsid w:val="00F03B2F"/>
    <w:rsid w:val="00F0412D"/>
    <w:rsid w:val="00F041F2"/>
    <w:rsid w:val="00F04201"/>
    <w:rsid w:val="00F04454"/>
    <w:rsid w:val="00F0445A"/>
    <w:rsid w:val="00F0454E"/>
    <w:rsid w:val="00F04691"/>
    <w:rsid w:val="00F04861"/>
    <w:rsid w:val="00F048A7"/>
    <w:rsid w:val="00F04B22"/>
    <w:rsid w:val="00F052EE"/>
    <w:rsid w:val="00F0553E"/>
    <w:rsid w:val="00F0556C"/>
    <w:rsid w:val="00F05573"/>
    <w:rsid w:val="00F05AA0"/>
    <w:rsid w:val="00F05DC4"/>
    <w:rsid w:val="00F05E21"/>
    <w:rsid w:val="00F0612C"/>
    <w:rsid w:val="00F0624C"/>
    <w:rsid w:val="00F0629B"/>
    <w:rsid w:val="00F063A1"/>
    <w:rsid w:val="00F06439"/>
    <w:rsid w:val="00F06CBE"/>
    <w:rsid w:val="00F06D8E"/>
    <w:rsid w:val="00F0717C"/>
    <w:rsid w:val="00F07764"/>
    <w:rsid w:val="00F077DA"/>
    <w:rsid w:val="00F079FD"/>
    <w:rsid w:val="00F07B25"/>
    <w:rsid w:val="00F07C54"/>
    <w:rsid w:val="00F07C62"/>
    <w:rsid w:val="00F1012C"/>
    <w:rsid w:val="00F10141"/>
    <w:rsid w:val="00F111DE"/>
    <w:rsid w:val="00F11461"/>
    <w:rsid w:val="00F116D1"/>
    <w:rsid w:val="00F117EF"/>
    <w:rsid w:val="00F11904"/>
    <w:rsid w:val="00F11A62"/>
    <w:rsid w:val="00F11B82"/>
    <w:rsid w:val="00F1225D"/>
    <w:rsid w:val="00F125C4"/>
    <w:rsid w:val="00F12AE9"/>
    <w:rsid w:val="00F12B45"/>
    <w:rsid w:val="00F12E4F"/>
    <w:rsid w:val="00F12F00"/>
    <w:rsid w:val="00F134A2"/>
    <w:rsid w:val="00F14064"/>
    <w:rsid w:val="00F147ED"/>
    <w:rsid w:val="00F14C31"/>
    <w:rsid w:val="00F14FBE"/>
    <w:rsid w:val="00F15314"/>
    <w:rsid w:val="00F163F7"/>
    <w:rsid w:val="00F16426"/>
    <w:rsid w:val="00F165B5"/>
    <w:rsid w:val="00F1674E"/>
    <w:rsid w:val="00F1693D"/>
    <w:rsid w:val="00F16B9E"/>
    <w:rsid w:val="00F16C48"/>
    <w:rsid w:val="00F16D1F"/>
    <w:rsid w:val="00F1735A"/>
    <w:rsid w:val="00F17569"/>
    <w:rsid w:val="00F17C12"/>
    <w:rsid w:val="00F17D85"/>
    <w:rsid w:val="00F17E5D"/>
    <w:rsid w:val="00F17F51"/>
    <w:rsid w:val="00F2051A"/>
    <w:rsid w:val="00F20B76"/>
    <w:rsid w:val="00F20C04"/>
    <w:rsid w:val="00F210ED"/>
    <w:rsid w:val="00F212B5"/>
    <w:rsid w:val="00F215A5"/>
    <w:rsid w:val="00F2166B"/>
    <w:rsid w:val="00F2177F"/>
    <w:rsid w:val="00F21EC0"/>
    <w:rsid w:val="00F2211E"/>
    <w:rsid w:val="00F22582"/>
    <w:rsid w:val="00F226DE"/>
    <w:rsid w:val="00F22E77"/>
    <w:rsid w:val="00F23218"/>
    <w:rsid w:val="00F2321B"/>
    <w:rsid w:val="00F233A3"/>
    <w:rsid w:val="00F23503"/>
    <w:rsid w:val="00F23733"/>
    <w:rsid w:val="00F237C0"/>
    <w:rsid w:val="00F23847"/>
    <w:rsid w:val="00F239F5"/>
    <w:rsid w:val="00F23D58"/>
    <w:rsid w:val="00F24585"/>
    <w:rsid w:val="00F249E7"/>
    <w:rsid w:val="00F24AA0"/>
    <w:rsid w:val="00F2503A"/>
    <w:rsid w:val="00F2505A"/>
    <w:rsid w:val="00F254B3"/>
    <w:rsid w:val="00F25604"/>
    <w:rsid w:val="00F2564B"/>
    <w:rsid w:val="00F25691"/>
    <w:rsid w:val="00F25AB3"/>
    <w:rsid w:val="00F267B2"/>
    <w:rsid w:val="00F2682E"/>
    <w:rsid w:val="00F26848"/>
    <w:rsid w:val="00F26A57"/>
    <w:rsid w:val="00F26CCF"/>
    <w:rsid w:val="00F26D83"/>
    <w:rsid w:val="00F26E18"/>
    <w:rsid w:val="00F27158"/>
    <w:rsid w:val="00F272E2"/>
    <w:rsid w:val="00F2778A"/>
    <w:rsid w:val="00F27C80"/>
    <w:rsid w:val="00F30084"/>
    <w:rsid w:val="00F3022C"/>
    <w:rsid w:val="00F304C8"/>
    <w:rsid w:val="00F30669"/>
    <w:rsid w:val="00F306C4"/>
    <w:rsid w:val="00F309F8"/>
    <w:rsid w:val="00F30E2E"/>
    <w:rsid w:val="00F31660"/>
    <w:rsid w:val="00F31A4B"/>
    <w:rsid w:val="00F31FEF"/>
    <w:rsid w:val="00F32156"/>
    <w:rsid w:val="00F322E9"/>
    <w:rsid w:val="00F32626"/>
    <w:rsid w:val="00F32865"/>
    <w:rsid w:val="00F328A1"/>
    <w:rsid w:val="00F328CA"/>
    <w:rsid w:val="00F33361"/>
    <w:rsid w:val="00F337F3"/>
    <w:rsid w:val="00F33857"/>
    <w:rsid w:val="00F33FD8"/>
    <w:rsid w:val="00F343C6"/>
    <w:rsid w:val="00F34AA4"/>
    <w:rsid w:val="00F34E6C"/>
    <w:rsid w:val="00F350ED"/>
    <w:rsid w:val="00F35212"/>
    <w:rsid w:val="00F35316"/>
    <w:rsid w:val="00F356E8"/>
    <w:rsid w:val="00F356F7"/>
    <w:rsid w:val="00F35A50"/>
    <w:rsid w:val="00F35DD9"/>
    <w:rsid w:val="00F36032"/>
    <w:rsid w:val="00F36093"/>
    <w:rsid w:val="00F36258"/>
    <w:rsid w:val="00F3626C"/>
    <w:rsid w:val="00F36276"/>
    <w:rsid w:val="00F36348"/>
    <w:rsid w:val="00F364A3"/>
    <w:rsid w:val="00F368E1"/>
    <w:rsid w:val="00F36A79"/>
    <w:rsid w:val="00F36B7D"/>
    <w:rsid w:val="00F36E67"/>
    <w:rsid w:val="00F36E96"/>
    <w:rsid w:val="00F370E3"/>
    <w:rsid w:val="00F37249"/>
    <w:rsid w:val="00F3743A"/>
    <w:rsid w:val="00F3768F"/>
    <w:rsid w:val="00F3773C"/>
    <w:rsid w:val="00F40194"/>
    <w:rsid w:val="00F404F6"/>
    <w:rsid w:val="00F40F4A"/>
    <w:rsid w:val="00F41062"/>
    <w:rsid w:val="00F419EB"/>
    <w:rsid w:val="00F42117"/>
    <w:rsid w:val="00F421FF"/>
    <w:rsid w:val="00F42BC4"/>
    <w:rsid w:val="00F42D7C"/>
    <w:rsid w:val="00F42E38"/>
    <w:rsid w:val="00F432F3"/>
    <w:rsid w:val="00F433AB"/>
    <w:rsid w:val="00F43435"/>
    <w:rsid w:val="00F43B89"/>
    <w:rsid w:val="00F43CC6"/>
    <w:rsid w:val="00F43D16"/>
    <w:rsid w:val="00F4448A"/>
    <w:rsid w:val="00F44718"/>
    <w:rsid w:val="00F44BAD"/>
    <w:rsid w:val="00F44C18"/>
    <w:rsid w:val="00F45031"/>
    <w:rsid w:val="00F454F3"/>
    <w:rsid w:val="00F460D4"/>
    <w:rsid w:val="00F463E5"/>
    <w:rsid w:val="00F46C14"/>
    <w:rsid w:val="00F46E9C"/>
    <w:rsid w:val="00F47BD7"/>
    <w:rsid w:val="00F47E3E"/>
    <w:rsid w:val="00F47E5B"/>
    <w:rsid w:val="00F49E07"/>
    <w:rsid w:val="00F5016C"/>
    <w:rsid w:val="00F50198"/>
    <w:rsid w:val="00F50A50"/>
    <w:rsid w:val="00F50B02"/>
    <w:rsid w:val="00F50DFF"/>
    <w:rsid w:val="00F51394"/>
    <w:rsid w:val="00F517A0"/>
    <w:rsid w:val="00F51AEB"/>
    <w:rsid w:val="00F51B05"/>
    <w:rsid w:val="00F51F3D"/>
    <w:rsid w:val="00F52258"/>
    <w:rsid w:val="00F52319"/>
    <w:rsid w:val="00F52436"/>
    <w:rsid w:val="00F52545"/>
    <w:rsid w:val="00F525A2"/>
    <w:rsid w:val="00F526D7"/>
    <w:rsid w:val="00F52A93"/>
    <w:rsid w:val="00F52C8C"/>
    <w:rsid w:val="00F52CB2"/>
    <w:rsid w:val="00F53077"/>
    <w:rsid w:val="00F53338"/>
    <w:rsid w:val="00F5382E"/>
    <w:rsid w:val="00F53ACD"/>
    <w:rsid w:val="00F53F8E"/>
    <w:rsid w:val="00F5450D"/>
    <w:rsid w:val="00F54A2F"/>
    <w:rsid w:val="00F54CA8"/>
    <w:rsid w:val="00F54F89"/>
    <w:rsid w:val="00F5552E"/>
    <w:rsid w:val="00F5553D"/>
    <w:rsid w:val="00F5571C"/>
    <w:rsid w:val="00F55C7D"/>
    <w:rsid w:val="00F55C90"/>
    <w:rsid w:val="00F55DF1"/>
    <w:rsid w:val="00F55E4C"/>
    <w:rsid w:val="00F55F18"/>
    <w:rsid w:val="00F569B0"/>
    <w:rsid w:val="00F569BC"/>
    <w:rsid w:val="00F5750F"/>
    <w:rsid w:val="00F57724"/>
    <w:rsid w:val="00F57827"/>
    <w:rsid w:val="00F57E5C"/>
    <w:rsid w:val="00F57EBB"/>
    <w:rsid w:val="00F60048"/>
    <w:rsid w:val="00F60058"/>
    <w:rsid w:val="00F601D7"/>
    <w:rsid w:val="00F602B1"/>
    <w:rsid w:val="00F605C0"/>
    <w:rsid w:val="00F607BF"/>
    <w:rsid w:val="00F60C5C"/>
    <w:rsid w:val="00F60D9B"/>
    <w:rsid w:val="00F61280"/>
    <w:rsid w:val="00F61393"/>
    <w:rsid w:val="00F6143E"/>
    <w:rsid w:val="00F624FA"/>
    <w:rsid w:val="00F62F4C"/>
    <w:rsid w:val="00F62FAA"/>
    <w:rsid w:val="00F631D0"/>
    <w:rsid w:val="00F634B1"/>
    <w:rsid w:val="00F6356C"/>
    <w:rsid w:val="00F63862"/>
    <w:rsid w:val="00F63B47"/>
    <w:rsid w:val="00F63CC1"/>
    <w:rsid w:val="00F63F75"/>
    <w:rsid w:val="00F641A4"/>
    <w:rsid w:val="00F641FC"/>
    <w:rsid w:val="00F64635"/>
    <w:rsid w:val="00F64907"/>
    <w:rsid w:val="00F64B4C"/>
    <w:rsid w:val="00F64DE0"/>
    <w:rsid w:val="00F64DE7"/>
    <w:rsid w:val="00F64E78"/>
    <w:rsid w:val="00F65288"/>
    <w:rsid w:val="00F65332"/>
    <w:rsid w:val="00F65759"/>
    <w:rsid w:val="00F65A1F"/>
    <w:rsid w:val="00F65D53"/>
    <w:rsid w:val="00F65E8A"/>
    <w:rsid w:val="00F65EA5"/>
    <w:rsid w:val="00F663B0"/>
    <w:rsid w:val="00F663C3"/>
    <w:rsid w:val="00F665F1"/>
    <w:rsid w:val="00F66FB4"/>
    <w:rsid w:val="00F672D0"/>
    <w:rsid w:val="00F678E8"/>
    <w:rsid w:val="00F67B54"/>
    <w:rsid w:val="00F67E29"/>
    <w:rsid w:val="00F70081"/>
    <w:rsid w:val="00F71489"/>
    <w:rsid w:val="00F7165E"/>
    <w:rsid w:val="00F71BC7"/>
    <w:rsid w:val="00F720C1"/>
    <w:rsid w:val="00F721EB"/>
    <w:rsid w:val="00F7232A"/>
    <w:rsid w:val="00F7239F"/>
    <w:rsid w:val="00F72439"/>
    <w:rsid w:val="00F724E4"/>
    <w:rsid w:val="00F72787"/>
    <w:rsid w:val="00F72972"/>
    <w:rsid w:val="00F7299C"/>
    <w:rsid w:val="00F729BA"/>
    <w:rsid w:val="00F72B15"/>
    <w:rsid w:val="00F7301C"/>
    <w:rsid w:val="00F73315"/>
    <w:rsid w:val="00F73345"/>
    <w:rsid w:val="00F738FE"/>
    <w:rsid w:val="00F73B50"/>
    <w:rsid w:val="00F73DC8"/>
    <w:rsid w:val="00F73E30"/>
    <w:rsid w:val="00F73E3D"/>
    <w:rsid w:val="00F74A03"/>
    <w:rsid w:val="00F74B1D"/>
    <w:rsid w:val="00F74E8C"/>
    <w:rsid w:val="00F7538C"/>
    <w:rsid w:val="00F75437"/>
    <w:rsid w:val="00F755C6"/>
    <w:rsid w:val="00F75F9E"/>
    <w:rsid w:val="00F7653A"/>
    <w:rsid w:val="00F76727"/>
    <w:rsid w:val="00F76AFA"/>
    <w:rsid w:val="00F76DC0"/>
    <w:rsid w:val="00F772D9"/>
    <w:rsid w:val="00F773A9"/>
    <w:rsid w:val="00F773B3"/>
    <w:rsid w:val="00F77D86"/>
    <w:rsid w:val="00F77DC1"/>
    <w:rsid w:val="00F80192"/>
    <w:rsid w:val="00F807C8"/>
    <w:rsid w:val="00F80A08"/>
    <w:rsid w:val="00F80F7D"/>
    <w:rsid w:val="00F81263"/>
    <w:rsid w:val="00F8133D"/>
    <w:rsid w:val="00F818FE"/>
    <w:rsid w:val="00F81CC5"/>
    <w:rsid w:val="00F82453"/>
    <w:rsid w:val="00F8250F"/>
    <w:rsid w:val="00F827A5"/>
    <w:rsid w:val="00F829AB"/>
    <w:rsid w:val="00F82A8A"/>
    <w:rsid w:val="00F82A9D"/>
    <w:rsid w:val="00F82CEC"/>
    <w:rsid w:val="00F83097"/>
    <w:rsid w:val="00F833FD"/>
    <w:rsid w:val="00F83490"/>
    <w:rsid w:val="00F8397F"/>
    <w:rsid w:val="00F83A68"/>
    <w:rsid w:val="00F83B12"/>
    <w:rsid w:val="00F83CD3"/>
    <w:rsid w:val="00F84245"/>
    <w:rsid w:val="00F842BD"/>
    <w:rsid w:val="00F84501"/>
    <w:rsid w:val="00F845D7"/>
    <w:rsid w:val="00F84BD8"/>
    <w:rsid w:val="00F8528A"/>
    <w:rsid w:val="00F855E4"/>
    <w:rsid w:val="00F8587B"/>
    <w:rsid w:val="00F859F3"/>
    <w:rsid w:val="00F85A66"/>
    <w:rsid w:val="00F85A67"/>
    <w:rsid w:val="00F85B8F"/>
    <w:rsid w:val="00F863DC"/>
    <w:rsid w:val="00F8667A"/>
    <w:rsid w:val="00F86B25"/>
    <w:rsid w:val="00F87474"/>
    <w:rsid w:val="00F87FD0"/>
    <w:rsid w:val="00F90273"/>
    <w:rsid w:val="00F90B35"/>
    <w:rsid w:val="00F91094"/>
    <w:rsid w:val="00F911C3"/>
    <w:rsid w:val="00F91A57"/>
    <w:rsid w:val="00F928EB"/>
    <w:rsid w:val="00F9292B"/>
    <w:rsid w:val="00F92A24"/>
    <w:rsid w:val="00F92D5E"/>
    <w:rsid w:val="00F92F42"/>
    <w:rsid w:val="00F93239"/>
    <w:rsid w:val="00F93B0C"/>
    <w:rsid w:val="00F93BAF"/>
    <w:rsid w:val="00F93F84"/>
    <w:rsid w:val="00F942F3"/>
    <w:rsid w:val="00F945DD"/>
    <w:rsid w:val="00F94633"/>
    <w:rsid w:val="00F94AC1"/>
    <w:rsid w:val="00F94CD1"/>
    <w:rsid w:val="00F95104"/>
    <w:rsid w:val="00F95589"/>
    <w:rsid w:val="00F957E5"/>
    <w:rsid w:val="00F9588B"/>
    <w:rsid w:val="00F9596E"/>
    <w:rsid w:val="00F9699D"/>
    <w:rsid w:val="00F96D61"/>
    <w:rsid w:val="00F96E32"/>
    <w:rsid w:val="00F96FE5"/>
    <w:rsid w:val="00F97CB6"/>
    <w:rsid w:val="00FA03A6"/>
    <w:rsid w:val="00FA0725"/>
    <w:rsid w:val="00FA0A4B"/>
    <w:rsid w:val="00FA0F8C"/>
    <w:rsid w:val="00FA0FA4"/>
    <w:rsid w:val="00FA1051"/>
    <w:rsid w:val="00FA1059"/>
    <w:rsid w:val="00FA11F7"/>
    <w:rsid w:val="00FA147A"/>
    <w:rsid w:val="00FA15B6"/>
    <w:rsid w:val="00FA1969"/>
    <w:rsid w:val="00FA1B4B"/>
    <w:rsid w:val="00FA1EC6"/>
    <w:rsid w:val="00FA1F4B"/>
    <w:rsid w:val="00FA1F9D"/>
    <w:rsid w:val="00FA21FD"/>
    <w:rsid w:val="00FA222F"/>
    <w:rsid w:val="00FA239C"/>
    <w:rsid w:val="00FA287D"/>
    <w:rsid w:val="00FA3052"/>
    <w:rsid w:val="00FA33FD"/>
    <w:rsid w:val="00FA38AB"/>
    <w:rsid w:val="00FA3A56"/>
    <w:rsid w:val="00FA3B5E"/>
    <w:rsid w:val="00FA424D"/>
    <w:rsid w:val="00FA45CC"/>
    <w:rsid w:val="00FA4638"/>
    <w:rsid w:val="00FA484F"/>
    <w:rsid w:val="00FA4A55"/>
    <w:rsid w:val="00FA4AD2"/>
    <w:rsid w:val="00FA51CF"/>
    <w:rsid w:val="00FA5410"/>
    <w:rsid w:val="00FA55E4"/>
    <w:rsid w:val="00FA5A02"/>
    <w:rsid w:val="00FA5F4F"/>
    <w:rsid w:val="00FA5F52"/>
    <w:rsid w:val="00FA6562"/>
    <w:rsid w:val="00FA6A12"/>
    <w:rsid w:val="00FA70F6"/>
    <w:rsid w:val="00FA7A2D"/>
    <w:rsid w:val="00FB019E"/>
    <w:rsid w:val="00FB0357"/>
    <w:rsid w:val="00FB0385"/>
    <w:rsid w:val="00FB0454"/>
    <w:rsid w:val="00FB05D0"/>
    <w:rsid w:val="00FB0CB6"/>
    <w:rsid w:val="00FB11A8"/>
    <w:rsid w:val="00FB136C"/>
    <w:rsid w:val="00FB1669"/>
    <w:rsid w:val="00FB16EC"/>
    <w:rsid w:val="00FB1F58"/>
    <w:rsid w:val="00FB208C"/>
    <w:rsid w:val="00FB220E"/>
    <w:rsid w:val="00FB2826"/>
    <w:rsid w:val="00FB300E"/>
    <w:rsid w:val="00FB31BE"/>
    <w:rsid w:val="00FB3608"/>
    <w:rsid w:val="00FB3896"/>
    <w:rsid w:val="00FB3912"/>
    <w:rsid w:val="00FB3C04"/>
    <w:rsid w:val="00FB40F4"/>
    <w:rsid w:val="00FB4168"/>
    <w:rsid w:val="00FB473D"/>
    <w:rsid w:val="00FB4822"/>
    <w:rsid w:val="00FB4E07"/>
    <w:rsid w:val="00FB4EE5"/>
    <w:rsid w:val="00FB5033"/>
    <w:rsid w:val="00FB5216"/>
    <w:rsid w:val="00FB5459"/>
    <w:rsid w:val="00FB557B"/>
    <w:rsid w:val="00FB5664"/>
    <w:rsid w:val="00FB5FF8"/>
    <w:rsid w:val="00FB60E1"/>
    <w:rsid w:val="00FB6103"/>
    <w:rsid w:val="00FB6171"/>
    <w:rsid w:val="00FB6196"/>
    <w:rsid w:val="00FB62F1"/>
    <w:rsid w:val="00FB6327"/>
    <w:rsid w:val="00FB65B4"/>
    <w:rsid w:val="00FB6825"/>
    <w:rsid w:val="00FB6E69"/>
    <w:rsid w:val="00FB70E2"/>
    <w:rsid w:val="00FB71EA"/>
    <w:rsid w:val="00FB76D8"/>
    <w:rsid w:val="00FB78B7"/>
    <w:rsid w:val="00FC01B4"/>
    <w:rsid w:val="00FC05AB"/>
    <w:rsid w:val="00FC0896"/>
    <w:rsid w:val="00FC092E"/>
    <w:rsid w:val="00FC097A"/>
    <w:rsid w:val="00FC09D1"/>
    <w:rsid w:val="00FC0CAC"/>
    <w:rsid w:val="00FC1154"/>
    <w:rsid w:val="00FC136C"/>
    <w:rsid w:val="00FC15E3"/>
    <w:rsid w:val="00FC1C15"/>
    <w:rsid w:val="00FC251E"/>
    <w:rsid w:val="00FC25B4"/>
    <w:rsid w:val="00FC2A64"/>
    <w:rsid w:val="00FC2C6E"/>
    <w:rsid w:val="00FC3B88"/>
    <w:rsid w:val="00FC3D3C"/>
    <w:rsid w:val="00FC3E3C"/>
    <w:rsid w:val="00FC4020"/>
    <w:rsid w:val="00FC4868"/>
    <w:rsid w:val="00FC488A"/>
    <w:rsid w:val="00FC4A30"/>
    <w:rsid w:val="00FC4D4F"/>
    <w:rsid w:val="00FC557A"/>
    <w:rsid w:val="00FC55AF"/>
    <w:rsid w:val="00FC569A"/>
    <w:rsid w:val="00FC57BA"/>
    <w:rsid w:val="00FC5AE6"/>
    <w:rsid w:val="00FC5C96"/>
    <w:rsid w:val="00FC6A67"/>
    <w:rsid w:val="00FC6BFA"/>
    <w:rsid w:val="00FC745D"/>
    <w:rsid w:val="00FC74A1"/>
    <w:rsid w:val="00FC7665"/>
    <w:rsid w:val="00FC7A4D"/>
    <w:rsid w:val="00FC7E71"/>
    <w:rsid w:val="00FD0331"/>
    <w:rsid w:val="00FD087D"/>
    <w:rsid w:val="00FD0A21"/>
    <w:rsid w:val="00FD10D6"/>
    <w:rsid w:val="00FD115F"/>
    <w:rsid w:val="00FD144F"/>
    <w:rsid w:val="00FD15D7"/>
    <w:rsid w:val="00FD16BC"/>
    <w:rsid w:val="00FD16D0"/>
    <w:rsid w:val="00FD1841"/>
    <w:rsid w:val="00FD1A5A"/>
    <w:rsid w:val="00FD1A94"/>
    <w:rsid w:val="00FD1B4D"/>
    <w:rsid w:val="00FD2318"/>
    <w:rsid w:val="00FD2487"/>
    <w:rsid w:val="00FD2536"/>
    <w:rsid w:val="00FD2F03"/>
    <w:rsid w:val="00FD33B0"/>
    <w:rsid w:val="00FD348B"/>
    <w:rsid w:val="00FD35E0"/>
    <w:rsid w:val="00FD454B"/>
    <w:rsid w:val="00FD4688"/>
    <w:rsid w:val="00FD5195"/>
    <w:rsid w:val="00FD56FB"/>
    <w:rsid w:val="00FD5D5A"/>
    <w:rsid w:val="00FD64DB"/>
    <w:rsid w:val="00FD691B"/>
    <w:rsid w:val="00FD6FAF"/>
    <w:rsid w:val="00FD73C3"/>
    <w:rsid w:val="00FD747D"/>
    <w:rsid w:val="00FD7487"/>
    <w:rsid w:val="00FD7E73"/>
    <w:rsid w:val="00FE0082"/>
    <w:rsid w:val="00FE0088"/>
    <w:rsid w:val="00FE0555"/>
    <w:rsid w:val="00FE05A8"/>
    <w:rsid w:val="00FE0655"/>
    <w:rsid w:val="00FE07B6"/>
    <w:rsid w:val="00FE0814"/>
    <w:rsid w:val="00FE10DB"/>
    <w:rsid w:val="00FE1150"/>
    <w:rsid w:val="00FE12D4"/>
    <w:rsid w:val="00FE12D8"/>
    <w:rsid w:val="00FE16C1"/>
    <w:rsid w:val="00FE2553"/>
    <w:rsid w:val="00FE2A75"/>
    <w:rsid w:val="00FE2B94"/>
    <w:rsid w:val="00FE30FF"/>
    <w:rsid w:val="00FE3429"/>
    <w:rsid w:val="00FE34C2"/>
    <w:rsid w:val="00FE3882"/>
    <w:rsid w:val="00FE3CC9"/>
    <w:rsid w:val="00FE44A7"/>
    <w:rsid w:val="00FE4739"/>
    <w:rsid w:val="00FE4B69"/>
    <w:rsid w:val="00FE50F7"/>
    <w:rsid w:val="00FE63B8"/>
    <w:rsid w:val="00FE6640"/>
    <w:rsid w:val="00FE6E4B"/>
    <w:rsid w:val="00FE6F75"/>
    <w:rsid w:val="00FE7216"/>
    <w:rsid w:val="00FE783D"/>
    <w:rsid w:val="00FE7FFD"/>
    <w:rsid w:val="00FF06AC"/>
    <w:rsid w:val="00FF0900"/>
    <w:rsid w:val="00FF090E"/>
    <w:rsid w:val="00FF09FD"/>
    <w:rsid w:val="00FF1EDF"/>
    <w:rsid w:val="00FF232E"/>
    <w:rsid w:val="00FF2DC3"/>
    <w:rsid w:val="00FF326F"/>
    <w:rsid w:val="00FF35B8"/>
    <w:rsid w:val="00FF3F3D"/>
    <w:rsid w:val="00FF40AD"/>
    <w:rsid w:val="00FF4169"/>
    <w:rsid w:val="00FF46BF"/>
    <w:rsid w:val="00FF47DD"/>
    <w:rsid w:val="00FF488A"/>
    <w:rsid w:val="00FF4EB0"/>
    <w:rsid w:val="00FF51CD"/>
    <w:rsid w:val="00FF561F"/>
    <w:rsid w:val="00FF5632"/>
    <w:rsid w:val="00FF56FA"/>
    <w:rsid w:val="00FF5CEA"/>
    <w:rsid w:val="00FF68AD"/>
    <w:rsid w:val="00FF6D04"/>
    <w:rsid w:val="00FF6E56"/>
    <w:rsid w:val="00FF74F8"/>
    <w:rsid w:val="00FF7525"/>
    <w:rsid w:val="0159954C"/>
    <w:rsid w:val="01A0ED27"/>
    <w:rsid w:val="01BA475A"/>
    <w:rsid w:val="01E519CD"/>
    <w:rsid w:val="023E0708"/>
    <w:rsid w:val="026EF2E7"/>
    <w:rsid w:val="02B7D8D8"/>
    <w:rsid w:val="02C19771"/>
    <w:rsid w:val="035355E3"/>
    <w:rsid w:val="0361392B"/>
    <w:rsid w:val="036F8E94"/>
    <w:rsid w:val="03807AEF"/>
    <w:rsid w:val="03908BA2"/>
    <w:rsid w:val="03A8BDAC"/>
    <w:rsid w:val="03D4D668"/>
    <w:rsid w:val="03F17E0E"/>
    <w:rsid w:val="0411273B"/>
    <w:rsid w:val="04129392"/>
    <w:rsid w:val="04551021"/>
    <w:rsid w:val="04743DE2"/>
    <w:rsid w:val="049DF01C"/>
    <w:rsid w:val="049DF612"/>
    <w:rsid w:val="04AB8ACD"/>
    <w:rsid w:val="058CE872"/>
    <w:rsid w:val="05CF61DF"/>
    <w:rsid w:val="05F93833"/>
    <w:rsid w:val="061D45D3"/>
    <w:rsid w:val="065F8173"/>
    <w:rsid w:val="0670BAD3"/>
    <w:rsid w:val="06A72F56"/>
    <w:rsid w:val="071B55D8"/>
    <w:rsid w:val="07390B6D"/>
    <w:rsid w:val="076B3240"/>
    <w:rsid w:val="07B0FFB6"/>
    <w:rsid w:val="07EEC2BB"/>
    <w:rsid w:val="0842B13B"/>
    <w:rsid w:val="08ABECEC"/>
    <w:rsid w:val="08E72741"/>
    <w:rsid w:val="08F86218"/>
    <w:rsid w:val="0900A71A"/>
    <w:rsid w:val="09103622"/>
    <w:rsid w:val="092C29C3"/>
    <w:rsid w:val="09946844"/>
    <w:rsid w:val="0997DEFC"/>
    <w:rsid w:val="0A6DD4E2"/>
    <w:rsid w:val="0AA4FB9C"/>
    <w:rsid w:val="0B1C66FC"/>
    <w:rsid w:val="0B8B8CD4"/>
    <w:rsid w:val="0B965353"/>
    <w:rsid w:val="0BD4B0D0"/>
    <w:rsid w:val="0C4E1499"/>
    <w:rsid w:val="0C9F5CFD"/>
    <w:rsid w:val="0CDB4856"/>
    <w:rsid w:val="0CE04B0B"/>
    <w:rsid w:val="0CF67DE3"/>
    <w:rsid w:val="0D2DF33C"/>
    <w:rsid w:val="0D424674"/>
    <w:rsid w:val="0DC0DA75"/>
    <w:rsid w:val="0DDA73C4"/>
    <w:rsid w:val="0E981DBA"/>
    <w:rsid w:val="0ED4FDB1"/>
    <w:rsid w:val="0F13E8D4"/>
    <w:rsid w:val="0F6AC82B"/>
    <w:rsid w:val="0F6B84BD"/>
    <w:rsid w:val="106E1857"/>
    <w:rsid w:val="10C8EA8B"/>
    <w:rsid w:val="10DFE7FC"/>
    <w:rsid w:val="11049855"/>
    <w:rsid w:val="1124E711"/>
    <w:rsid w:val="11A8CC83"/>
    <w:rsid w:val="11D858AA"/>
    <w:rsid w:val="11EDDD16"/>
    <w:rsid w:val="12530C7E"/>
    <w:rsid w:val="12A731E4"/>
    <w:rsid w:val="1310577E"/>
    <w:rsid w:val="135DDFDB"/>
    <w:rsid w:val="13760F79"/>
    <w:rsid w:val="137B2B83"/>
    <w:rsid w:val="13A026A5"/>
    <w:rsid w:val="13C13E5B"/>
    <w:rsid w:val="140A82A8"/>
    <w:rsid w:val="14934913"/>
    <w:rsid w:val="14DEDCB6"/>
    <w:rsid w:val="1562C467"/>
    <w:rsid w:val="15636176"/>
    <w:rsid w:val="15805140"/>
    <w:rsid w:val="15CB4E85"/>
    <w:rsid w:val="15DA0C4E"/>
    <w:rsid w:val="1605B49D"/>
    <w:rsid w:val="16174983"/>
    <w:rsid w:val="164C5336"/>
    <w:rsid w:val="16C24C3E"/>
    <w:rsid w:val="16E19D20"/>
    <w:rsid w:val="17744828"/>
    <w:rsid w:val="18A113E5"/>
    <w:rsid w:val="191A473E"/>
    <w:rsid w:val="1986BAF5"/>
    <w:rsid w:val="19934478"/>
    <w:rsid w:val="19ECE6EA"/>
    <w:rsid w:val="1A991B6C"/>
    <w:rsid w:val="1AF7F7F3"/>
    <w:rsid w:val="1B2C0496"/>
    <w:rsid w:val="1C394040"/>
    <w:rsid w:val="1CB2E99A"/>
    <w:rsid w:val="1D8562A9"/>
    <w:rsid w:val="1DB01514"/>
    <w:rsid w:val="1DB84D07"/>
    <w:rsid w:val="1DF1CAA7"/>
    <w:rsid w:val="1E06E0BE"/>
    <w:rsid w:val="1E181B95"/>
    <w:rsid w:val="1E2A4313"/>
    <w:rsid w:val="1E5D1C99"/>
    <w:rsid w:val="1F03F102"/>
    <w:rsid w:val="1F58B1DD"/>
    <w:rsid w:val="1FDF183F"/>
    <w:rsid w:val="1FEDFF1B"/>
    <w:rsid w:val="20185D7E"/>
    <w:rsid w:val="2018ED26"/>
    <w:rsid w:val="208E868C"/>
    <w:rsid w:val="20A827E6"/>
    <w:rsid w:val="20C0E074"/>
    <w:rsid w:val="21066105"/>
    <w:rsid w:val="21523CC1"/>
    <w:rsid w:val="21C76673"/>
    <w:rsid w:val="21C835C9"/>
    <w:rsid w:val="21D09ACE"/>
    <w:rsid w:val="22167773"/>
    <w:rsid w:val="221F54D4"/>
    <w:rsid w:val="22DAA05D"/>
    <w:rsid w:val="233E1E02"/>
    <w:rsid w:val="23652A59"/>
    <w:rsid w:val="23759909"/>
    <w:rsid w:val="237EE59B"/>
    <w:rsid w:val="23C24E32"/>
    <w:rsid w:val="23CE14D4"/>
    <w:rsid w:val="23ED0F19"/>
    <w:rsid w:val="2431FBC7"/>
    <w:rsid w:val="2468DA4C"/>
    <w:rsid w:val="247670BE"/>
    <w:rsid w:val="2487E73F"/>
    <w:rsid w:val="2561F7AF"/>
    <w:rsid w:val="259E9A18"/>
    <w:rsid w:val="25F4F670"/>
    <w:rsid w:val="25FE1E12"/>
    <w:rsid w:val="2612411F"/>
    <w:rsid w:val="26B79F3F"/>
    <w:rsid w:val="2705B596"/>
    <w:rsid w:val="27779E74"/>
    <w:rsid w:val="279C882D"/>
    <w:rsid w:val="27A40178"/>
    <w:rsid w:val="28649839"/>
    <w:rsid w:val="28EE7256"/>
    <w:rsid w:val="2908E701"/>
    <w:rsid w:val="2938588E"/>
    <w:rsid w:val="2979B92F"/>
    <w:rsid w:val="297AA191"/>
    <w:rsid w:val="29A22183"/>
    <w:rsid w:val="29F85303"/>
    <w:rsid w:val="2A0DC62A"/>
    <w:rsid w:val="2A15D251"/>
    <w:rsid w:val="2A6F08C2"/>
    <w:rsid w:val="2ABDDFBF"/>
    <w:rsid w:val="2B30E80B"/>
    <w:rsid w:val="2C39D4C0"/>
    <w:rsid w:val="2C66D5E6"/>
    <w:rsid w:val="2C7EA03C"/>
    <w:rsid w:val="2CA7B9F5"/>
    <w:rsid w:val="2CF23E88"/>
    <w:rsid w:val="2CF82B48"/>
    <w:rsid w:val="2D73F754"/>
    <w:rsid w:val="2D991D7A"/>
    <w:rsid w:val="2DA63F27"/>
    <w:rsid w:val="2DE6DFF8"/>
    <w:rsid w:val="2E196D20"/>
    <w:rsid w:val="2E340AEA"/>
    <w:rsid w:val="2E359927"/>
    <w:rsid w:val="2F216274"/>
    <w:rsid w:val="2F717582"/>
    <w:rsid w:val="2F82B059"/>
    <w:rsid w:val="2F866C95"/>
    <w:rsid w:val="2FBBA7A6"/>
    <w:rsid w:val="3009A1F6"/>
    <w:rsid w:val="3017B63A"/>
    <w:rsid w:val="31334A30"/>
    <w:rsid w:val="31774B95"/>
    <w:rsid w:val="31CD7B10"/>
    <w:rsid w:val="3279B04A"/>
    <w:rsid w:val="328AA0DD"/>
    <w:rsid w:val="32B6A895"/>
    <w:rsid w:val="32E33326"/>
    <w:rsid w:val="32F075AB"/>
    <w:rsid w:val="3455B6B9"/>
    <w:rsid w:val="35004DCE"/>
    <w:rsid w:val="3566E0A2"/>
    <w:rsid w:val="3580577B"/>
    <w:rsid w:val="35B6CF82"/>
    <w:rsid w:val="35B8A1E3"/>
    <w:rsid w:val="367259C4"/>
    <w:rsid w:val="36EB7513"/>
    <w:rsid w:val="36F45559"/>
    <w:rsid w:val="36FDC266"/>
    <w:rsid w:val="371BD960"/>
    <w:rsid w:val="379E1B64"/>
    <w:rsid w:val="37B27030"/>
    <w:rsid w:val="37B2ABF7"/>
    <w:rsid w:val="37C3E6CE"/>
    <w:rsid w:val="383165CE"/>
    <w:rsid w:val="38C47406"/>
    <w:rsid w:val="3910D4D7"/>
    <w:rsid w:val="39821020"/>
    <w:rsid w:val="399CB600"/>
    <w:rsid w:val="3A0E2B0A"/>
    <w:rsid w:val="3AAC30C4"/>
    <w:rsid w:val="3AB4AECB"/>
    <w:rsid w:val="3D31D4A0"/>
    <w:rsid w:val="3D50A9EE"/>
    <w:rsid w:val="3D637751"/>
    <w:rsid w:val="3D766968"/>
    <w:rsid w:val="3DA0ABD9"/>
    <w:rsid w:val="3DF323FA"/>
    <w:rsid w:val="3E4F6961"/>
    <w:rsid w:val="3E623ED5"/>
    <w:rsid w:val="3F6020D8"/>
    <w:rsid w:val="3F8EDC22"/>
    <w:rsid w:val="40A723FC"/>
    <w:rsid w:val="40ABE596"/>
    <w:rsid w:val="40BEC1B7"/>
    <w:rsid w:val="40C99E70"/>
    <w:rsid w:val="4143DDD9"/>
    <w:rsid w:val="4189D120"/>
    <w:rsid w:val="41D57451"/>
    <w:rsid w:val="4256E933"/>
    <w:rsid w:val="425E8C07"/>
    <w:rsid w:val="429592A9"/>
    <w:rsid w:val="42BDC2A2"/>
    <w:rsid w:val="42C5D97F"/>
    <w:rsid w:val="4306F728"/>
    <w:rsid w:val="43218459"/>
    <w:rsid w:val="433E859D"/>
    <w:rsid w:val="43459F0F"/>
    <w:rsid w:val="43E1340B"/>
    <w:rsid w:val="4412F3A6"/>
    <w:rsid w:val="444006BD"/>
    <w:rsid w:val="448C6366"/>
    <w:rsid w:val="44A17B76"/>
    <w:rsid w:val="44A2BF17"/>
    <w:rsid w:val="44CA2038"/>
    <w:rsid w:val="457BBDC3"/>
    <w:rsid w:val="45DE6F14"/>
    <w:rsid w:val="4608E523"/>
    <w:rsid w:val="460A4A4A"/>
    <w:rsid w:val="460DD5F9"/>
    <w:rsid w:val="467F14FE"/>
    <w:rsid w:val="46CFA0E4"/>
    <w:rsid w:val="46D17566"/>
    <w:rsid w:val="479A98B7"/>
    <w:rsid w:val="47BF4C01"/>
    <w:rsid w:val="4844478C"/>
    <w:rsid w:val="487399F7"/>
    <w:rsid w:val="4926CC43"/>
    <w:rsid w:val="49F8CEA0"/>
    <w:rsid w:val="4A50758F"/>
    <w:rsid w:val="4A6B50F0"/>
    <w:rsid w:val="4BC26031"/>
    <w:rsid w:val="4BC31E27"/>
    <w:rsid w:val="4BE72BA5"/>
    <w:rsid w:val="4CBFE661"/>
    <w:rsid w:val="4D257547"/>
    <w:rsid w:val="4D9003D7"/>
    <w:rsid w:val="4DF17BEB"/>
    <w:rsid w:val="4E06B595"/>
    <w:rsid w:val="4E9BDB6D"/>
    <w:rsid w:val="4F045031"/>
    <w:rsid w:val="4F0962DC"/>
    <w:rsid w:val="4F0E39A0"/>
    <w:rsid w:val="4FDEEC88"/>
    <w:rsid w:val="51B53CAF"/>
    <w:rsid w:val="51ECAF99"/>
    <w:rsid w:val="5222C896"/>
    <w:rsid w:val="523BF0F3"/>
    <w:rsid w:val="525FDD92"/>
    <w:rsid w:val="526374FA"/>
    <w:rsid w:val="52A95857"/>
    <w:rsid w:val="52F73DDA"/>
    <w:rsid w:val="53C920CB"/>
    <w:rsid w:val="53D27CDF"/>
    <w:rsid w:val="53E99BF2"/>
    <w:rsid w:val="541BFCFD"/>
    <w:rsid w:val="54A555E3"/>
    <w:rsid w:val="54B61A90"/>
    <w:rsid w:val="54CCC997"/>
    <w:rsid w:val="54F5A17A"/>
    <w:rsid w:val="54F84123"/>
    <w:rsid w:val="5524505B"/>
    <w:rsid w:val="5579F0AE"/>
    <w:rsid w:val="55A2979C"/>
    <w:rsid w:val="55B19BBA"/>
    <w:rsid w:val="565C87F5"/>
    <w:rsid w:val="56A91880"/>
    <w:rsid w:val="56BB7BF4"/>
    <w:rsid w:val="57AE76C0"/>
    <w:rsid w:val="57CC0C08"/>
    <w:rsid w:val="58920A1A"/>
    <w:rsid w:val="58C29371"/>
    <w:rsid w:val="58CAC8F8"/>
    <w:rsid w:val="58FF2F41"/>
    <w:rsid w:val="5921BEF2"/>
    <w:rsid w:val="59752849"/>
    <w:rsid w:val="5AE440BF"/>
    <w:rsid w:val="5B1E2B0C"/>
    <w:rsid w:val="5B813AD2"/>
    <w:rsid w:val="5B8664EF"/>
    <w:rsid w:val="5BB4032D"/>
    <w:rsid w:val="5BB564DE"/>
    <w:rsid w:val="5BBB0A53"/>
    <w:rsid w:val="5C529620"/>
    <w:rsid w:val="5D1AE1FA"/>
    <w:rsid w:val="5D2512A8"/>
    <w:rsid w:val="5D6B1E23"/>
    <w:rsid w:val="5DAE90E9"/>
    <w:rsid w:val="5E128A8D"/>
    <w:rsid w:val="5E1B9923"/>
    <w:rsid w:val="5E4261D9"/>
    <w:rsid w:val="5E6799DA"/>
    <w:rsid w:val="5E9EC191"/>
    <w:rsid w:val="5F2AE92F"/>
    <w:rsid w:val="5F36DB6D"/>
    <w:rsid w:val="5FD53331"/>
    <w:rsid w:val="607423B6"/>
    <w:rsid w:val="60A7A3D3"/>
    <w:rsid w:val="6115AD62"/>
    <w:rsid w:val="613E15B6"/>
    <w:rsid w:val="61B862F9"/>
    <w:rsid w:val="61B888FE"/>
    <w:rsid w:val="6229FFB0"/>
    <w:rsid w:val="62850067"/>
    <w:rsid w:val="630CD3F3"/>
    <w:rsid w:val="631A7E30"/>
    <w:rsid w:val="63358CC9"/>
    <w:rsid w:val="63F368FA"/>
    <w:rsid w:val="63F8A960"/>
    <w:rsid w:val="64A8F83D"/>
    <w:rsid w:val="64F05237"/>
    <w:rsid w:val="65628223"/>
    <w:rsid w:val="65E3C6AE"/>
    <w:rsid w:val="66153557"/>
    <w:rsid w:val="663B1CC7"/>
    <w:rsid w:val="678AC256"/>
    <w:rsid w:val="67B2D5FF"/>
    <w:rsid w:val="67F17FED"/>
    <w:rsid w:val="681FB6F7"/>
    <w:rsid w:val="6838DF54"/>
    <w:rsid w:val="6866AA46"/>
    <w:rsid w:val="6890400A"/>
    <w:rsid w:val="68DFD220"/>
    <w:rsid w:val="695A514D"/>
    <w:rsid w:val="6982C87A"/>
    <w:rsid w:val="69D5CD3C"/>
    <w:rsid w:val="6A3D4B42"/>
    <w:rsid w:val="6A7B9D12"/>
    <w:rsid w:val="6B0FB68E"/>
    <w:rsid w:val="6B5757B9"/>
    <w:rsid w:val="6B587C6B"/>
    <w:rsid w:val="6BCA2390"/>
    <w:rsid w:val="6C2659FE"/>
    <w:rsid w:val="6CD15153"/>
    <w:rsid w:val="6CDF9709"/>
    <w:rsid w:val="6D38C96F"/>
    <w:rsid w:val="6F1DC1B6"/>
    <w:rsid w:val="6F4EFE85"/>
    <w:rsid w:val="6F507190"/>
    <w:rsid w:val="6FBBF101"/>
    <w:rsid w:val="6FBF61DC"/>
    <w:rsid w:val="6FCFD0F9"/>
    <w:rsid w:val="7043F139"/>
    <w:rsid w:val="70D72C68"/>
    <w:rsid w:val="70F3EC2D"/>
    <w:rsid w:val="715DE880"/>
    <w:rsid w:val="7187275C"/>
    <w:rsid w:val="71EE6507"/>
    <w:rsid w:val="721D272C"/>
    <w:rsid w:val="724A5E42"/>
    <w:rsid w:val="726E671B"/>
    <w:rsid w:val="72A92159"/>
    <w:rsid w:val="73343294"/>
    <w:rsid w:val="73473E00"/>
    <w:rsid w:val="741784C6"/>
    <w:rsid w:val="74A49AA4"/>
    <w:rsid w:val="74B5D40E"/>
    <w:rsid w:val="74C57B21"/>
    <w:rsid w:val="74D619E9"/>
    <w:rsid w:val="74D7F07B"/>
    <w:rsid w:val="74DEB841"/>
    <w:rsid w:val="74ECFF28"/>
    <w:rsid w:val="750A9E66"/>
    <w:rsid w:val="751FBF21"/>
    <w:rsid w:val="752BCD16"/>
    <w:rsid w:val="7546AA21"/>
    <w:rsid w:val="75A1C61E"/>
    <w:rsid w:val="76132ADD"/>
    <w:rsid w:val="76277E15"/>
    <w:rsid w:val="763D6341"/>
    <w:rsid w:val="767254E9"/>
    <w:rsid w:val="7687E7CE"/>
    <w:rsid w:val="76E22844"/>
    <w:rsid w:val="7718F30C"/>
    <w:rsid w:val="7730229A"/>
    <w:rsid w:val="77466DEC"/>
    <w:rsid w:val="774E5B72"/>
    <w:rsid w:val="77C702E6"/>
    <w:rsid w:val="77DF0263"/>
    <w:rsid w:val="78136513"/>
    <w:rsid w:val="78B79EAB"/>
    <w:rsid w:val="7933DD87"/>
    <w:rsid w:val="793A8336"/>
    <w:rsid w:val="794F2695"/>
    <w:rsid w:val="79D1AB22"/>
    <w:rsid w:val="79E8606F"/>
    <w:rsid w:val="7A85FC34"/>
    <w:rsid w:val="7A8CAF37"/>
    <w:rsid w:val="7AA90FDA"/>
    <w:rsid w:val="7AF55098"/>
    <w:rsid w:val="7B1E65ED"/>
    <w:rsid w:val="7B4731FF"/>
    <w:rsid w:val="7B642E32"/>
    <w:rsid w:val="7C19AA29"/>
    <w:rsid w:val="7C1D810F"/>
    <w:rsid w:val="7C28BB8E"/>
    <w:rsid w:val="7C4FEA95"/>
    <w:rsid w:val="7CC9DA03"/>
    <w:rsid w:val="7D19756C"/>
    <w:rsid w:val="7D658C68"/>
    <w:rsid w:val="7D6A4A77"/>
    <w:rsid w:val="7E404525"/>
    <w:rsid w:val="7E76C1C8"/>
    <w:rsid w:val="7F3610FC"/>
    <w:rsid w:val="7FD33B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408699E"/>
  <w15:docId w15:val="{C10F0FA5-6229-4569-B19F-CBFA423F5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18CA"/>
    <w:rPr>
      <w:sz w:val="24"/>
      <w:szCs w:val="24"/>
      <w:lang w:val="en-US" w:eastAsia="en-US"/>
    </w:rPr>
  </w:style>
  <w:style w:type="paragraph" w:styleId="Heading1">
    <w:name w:val="heading 1"/>
    <w:aliases w:val="Section,Section Heading,Article Heading,HEADING 1,App1,EASI 1,Hoofdstuk,Heading 1-nonum"/>
    <w:basedOn w:val="Normal"/>
    <w:next w:val="Normal"/>
    <w:link w:val="Heading1Char"/>
    <w:qFormat/>
    <w:rsid w:val="004D4C04"/>
    <w:pPr>
      <w:keepNext/>
      <w:spacing w:before="240" w:after="60"/>
      <w:outlineLvl w:val="0"/>
    </w:pPr>
    <w:rPr>
      <w:rFonts w:ascii="Arial" w:hAnsi="Arial" w:cs="Arial"/>
      <w:b/>
      <w:bCs/>
      <w:kern w:val="32"/>
      <w:sz w:val="32"/>
      <w:szCs w:val="32"/>
    </w:rPr>
  </w:style>
  <w:style w:type="paragraph" w:styleId="Heading2">
    <w:name w:val="heading 2"/>
    <w:aliases w:val="2,Major"/>
    <w:basedOn w:val="Normal"/>
    <w:next w:val="Normal"/>
    <w:link w:val="Heading2Char"/>
    <w:uiPriority w:val="9"/>
    <w:qFormat/>
    <w:rsid w:val="00C15FB7"/>
    <w:pPr>
      <w:keepNext/>
      <w:spacing w:before="240" w:after="60"/>
      <w:outlineLvl w:val="1"/>
    </w:pPr>
    <w:rPr>
      <w:rFonts w:ascii="Arial" w:hAnsi="Arial" w:cs="Arial"/>
      <w:b/>
      <w:bCs/>
      <w:i/>
      <w:iCs/>
      <w:sz w:val="28"/>
      <w:szCs w:val="28"/>
    </w:rPr>
  </w:style>
  <w:style w:type="paragraph" w:styleId="Heading3">
    <w:name w:val="heading 3"/>
    <w:aliases w:val="Minor,level3"/>
    <w:basedOn w:val="Normal"/>
    <w:next w:val="Normal"/>
    <w:link w:val="Heading3Char"/>
    <w:qFormat/>
    <w:rsid w:val="000D4D4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960B2"/>
    <w:pPr>
      <w:keepNext/>
      <w:tabs>
        <w:tab w:val="num" w:pos="864"/>
      </w:tabs>
      <w:spacing w:before="240" w:after="60"/>
      <w:ind w:left="864" w:hanging="864"/>
      <w:outlineLvl w:val="3"/>
    </w:pPr>
    <w:rPr>
      <w:rFonts w:ascii="Calibri" w:hAnsi="Calibri"/>
      <w:b/>
      <w:bCs/>
      <w:sz w:val="28"/>
      <w:szCs w:val="28"/>
      <w:lang w:val="en-GB"/>
    </w:rPr>
  </w:style>
  <w:style w:type="paragraph" w:styleId="Heading5">
    <w:name w:val="heading 5"/>
    <w:basedOn w:val="Normal"/>
    <w:next w:val="Normal"/>
    <w:link w:val="Heading5Char"/>
    <w:qFormat/>
    <w:rsid w:val="00B960B2"/>
    <w:pPr>
      <w:tabs>
        <w:tab w:val="num" w:pos="1008"/>
      </w:tabs>
      <w:spacing w:before="240" w:after="60" w:line="312" w:lineRule="auto"/>
      <w:ind w:left="1008" w:hanging="1008"/>
      <w:jc w:val="both"/>
      <w:outlineLvl w:val="4"/>
    </w:pPr>
    <w:rPr>
      <w:rFonts w:ascii="Book Antiqua" w:hAnsi="Book Antiqua"/>
      <w:b/>
      <w:bCs/>
      <w:i/>
      <w:iCs/>
      <w:sz w:val="22"/>
      <w:szCs w:val="22"/>
    </w:rPr>
  </w:style>
  <w:style w:type="paragraph" w:styleId="Heading6">
    <w:name w:val="heading 6"/>
    <w:basedOn w:val="Normal"/>
    <w:next w:val="Normal"/>
    <w:link w:val="Heading6Char"/>
    <w:qFormat/>
    <w:rsid w:val="00B960B2"/>
    <w:pPr>
      <w:tabs>
        <w:tab w:val="num" w:pos="1152"/>
      </w:tabs>
      <w:spacing w:before="240" w:after="60" w:line="312" w:lineRule="auto"/>
      <w:ind w:left="1152" w:hanging="1152"/>
      <w:jc w:val="both"/>
      <w:outlineLvl w:val="5"/>
    </w:pPr>
    <w:rPr>
      <w:rFonts w:ascii="Book Antiqua" w:hAnsi="Book Antiqua"/>
      <w:i/>
      <w:iCs/>
      <w:sz w:val="22"/>
      <w:szCs w:val="22"/>
    </w:rPr>
  </w:style>
  <w:style w:type="paragraph" w:styleId="Heading7">
    <w:name w:val="heading 7"/>
    <w:basedOn w:val="Normal"/>
    <w:next w:val="Normal"/>
    <w:link w:val="Heading7Char"/>
    <w:qFormat/>
    <w:rsid w:val="00B960B2"/>
    <w:pPr>
      <w:tabs>
        <w:tab w:val="num" w:pos="1296"/>
      </w:tabs>
      <w:spacing w:before="240" w:after="60" w:line="312" w:lineRule="auto"/>
      <w:ind w:left="1296" w:hanging="1296"/>
      <w:jc w:val="both"/>
      <w:outlineLvl w:val="6"/>
    </w:pPr>
    <w:rPr>
      <w:rFonts w:ascii="Arial" w:hAnsi="Arial" w:cs="Arial"/>
      <w:sz w:val="20"/>
      <w:szCs w:val="20"/>
    </w:rPr>
  </w:style>
  <w:style w:type="paragraph" w:styleId="Heading8">
    <w:name w:val="heading 8"/>
    <w:basedOn w:val="Normal"/>
    <w:next w:val="Normal"/>
    <w:link w:val="Heading8Char"/>
    <w:qFormat/>
    <w:rsid w:val="00B960B2"/>
    <w:pPr>
      <w:tabs>
        <w:tab w:val="num" w:pos="1440"/>
      </w:tabs>
      <w:spacing w:before="240" w:after="60" w:line="312" w:lineRule="auto"/>
      <w:ind w:left="1440" w:hanging="1440"/>
      <w:jc w:val="both"/>
      <w:outlineLvl w:val="7"/>
    </w:pPr>
    <w:rPr>
      <w:rFonts w:ascii="Arial" w:hAnsi="Arial" w:cs="Arial"/>
      <w:i/>
      <w:iCs/>
      <w:sz w:val="20"/>
      <w:szCs w:val="20"/>
    </w:rPr>
  </w:style>
  <w:style w:type="paragraph" w:styleId="Heading9">
    <w:name w:val="heading 9"/>
    <w:basedOn w:val="Normal"/>
    <w:next w:val="Normal"/>
    <w:link w:val="Heading9Char"/>
    <w:qFormat/>
    <w:rsid w:val="00B960B2"/>
    <w:pPr>
      <w:tabs>
        <w:tab w:val="num" w:pos="1584"/>
      </w:tabs>
      <w:spacing w:before="240" w:after="60" w:line="312" w:lineRule="auto"/>
      <w:ind w:left="1584" w:hanging="1584"/>
      <w:jc w:val="both"/>
      <w:outlineLvl w:val="8"/>
    </w:pPr>
    <w:rPr>
      <w:rFonts w:ascii="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rsid w:val="004D4C04"/>
  </w:style>
  <w:style w:type="character" w:styleId="Hyperlink">
    <w:name w:val="Hyperlink"/>
    <w:basedOn w:val="DefaultParagraphFont"/>
    <w:uiPriority w:val="99"/>
    <w:rsid w:val="004D4C04"/>
    <w:rPr>
      <w:color w:val="0000FF"/>
      <w:u w:val="single"/>
    </w:rPr>
  </w:style>
  <w:style w:type="paragraph" w:styleId="Header">
    <w:name w:val="header"/>
    <w:basedOn w:val="Normal"/>
    <w:link w:val="HeaderChar"/>
    <w:uiPriority w:val="99"/>
    <w:rsid w:val="004C4AA4"/>
    <w:pPr>
      <w:tabs>
        <w:tab w:val="center" w:pos="4320"/>
        <w:tab w:val="right" w:pos="8640"/>
      </w:tabs>
    </w:pPr>
  </w:style>
  <w:style w:type="paragraph" w:styleId="Footer">
    <w:name w:val="footer"/>
    <w:basedOn w:val="Normal"/>
    <w:link w:val="FooterChar"/>
    <w:uiPriority w:val="99"/>
    <w:rsid w:val="004C4AA4"/>
    <w:pPr>
      <w:tabs>
        <w:tab w:val="center" w:pos="4320"/>
        <w:tab w:val="right" w:pos="8640"/>
      </w:tabs>
    </w:pPr>
  </w:style>
  <w:style w:type="character" w:styleId="PageNumber">
    <w:name w:val="page number"/>
    <w:basedOn w:val="DefaultParagraphFont"/>
    <w:rsid w:val="004C4AA4"/>
  </w:style>
  <w:style w:type="paragraph" w:styleId="Caption">
    <w:name w:val="caption"/>
    <w:basedOn w:val="Normal"/>
    <w:next w:val="Normal"/>
    <w:qFormat/>
    <w:rsid w:val="001A6DDF"/>
    <w:pPr>
      <w:spacing w:before="120" w:after="120"/>
    </w:pPr>
    <w:rPr>
      <w:rFonts w:ascii="Arial" w:hAnsi="Arial"/>
      <w:sz w:val="20"/>
      <w:szCs w:val="20"/>
      <w:lang w:val="en-GB"/>
    </w:rPr>
  </w:style>
  <w:style w:type="paragraph" w:styleId="BodyText2">
    <w:name w:val="Body Text 2"/>
    <w:basedOn w:val="Normal"/>
    <w:link w:val="BodyText2Char"/>
    <w:rsid w:val="001A6DDF"/>
    <w:pPr>
      <w:spacing w:before="120" w:after="120"/>
    </w:pPr>
    <w:rPr>
      <w:rFonts w:ascii="Arial" w:hAnsi="Arial"/>
      <w:sz w:val="44"/>
      <w:szCs w:val="20"/>
    </w:rPr>
  </w:style>
  <w:style w:type="paragraph" w:customStyle="1" w:styleId="ARR-normalbody">
    <w:name w:val="ARR - normal body"/>
    <w:basedOn w:val="BodyText"/>
    <w:autoRedefine/>
    <w:rsid w:val="0029607A"/>
    <w:pPr>
      <w:spacing w:before="120" w:after="240" w:line="360" w:lineRule="auto"/>
      <w:ind w:left="450"/>
      <w:jc w:val="both"/>
    </w:pPr>
    <w:rPr>
      <w:rFonts w:ascii="Cambria" w:hAnsi="Cambria" w:cs="Arial"/>
      <w:lang w:val="en-GB"/>
    </w:rPr>
  </w:style>
  <w:style w:type="paragraph" w:styleId="BodyText">
    <w:name w:val="Body Text"/>
    <w:basedOn w:val="Normal"/>
    <w:link w:val="BodyTextChar"/>
    <w:rsid w:val="001A6DDF"/>
    <w:pPr>
      <w:spacing w:after="120"/>
    </w:pPr>
  </w:style>
  <w:style w:type="table" w:styleId="TableGrid">
    <w:name w:val="Table Grid"/>
    <w:basedOn w:val="TableNormal"/>
    <w:uiPriority w:val="39"/>
    <w:rsid w:val="000225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5">
    <w:name w:val="xl55"/>
    <w:basedOn w:val="Normal"/>
    <w:rsid w:val="00251B0E"/>
    <w:pPr>
      <w:pBdr>
        <w:right w:val="single" w:sz="8" w:space="0" w:color="auto"/>
      </w:pBdr>
      <w:spacing w:before="100" w:beforeAutospacing="1" w:after="100" w:afterAutospacing="1"/>
      <w:jc w:val="both"/>
    </w:pPr>
    <w:rPr>
      <w:rFonts w:ascii="Arial" w:eastAsia="Arial Unicode MS" w:hAnsi="Arial" w:cs="Arial"/>
      <w:sz w:val="20"/>
      <w:szCs w:val="20"/>
    </w:rPr>
  </w:style>
  <w:style w:type="table" w:styleId="TableGrid8">
    <w:name w:val="Table Grid 8"/>
    <w:aliases w:val="Table Grid s"/>
    <w:basedOn w:val="TableNormal"/>
    <w:rsid w:val="004E00CB"/>
    <w:pPr>
      <w:spacing w:before="120" w:after="12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115" w:type="dxa"/>
        <w:right w:w="115" w:type="dxa"/>
      </w:tblCellMar>
    </w:tblPr>
    <w:tcPr>
      <w:shd w:val="clear" w:color="auto" w:fill="FFFFFF"/>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ListNumber">
    <w:name w:val="List Number"/>
    <w:aliases w:val="List Number Char Char Char Char Char1,List Number Char Char Char Char Char Char Char Char Char Char Char Char Char Char Char Char Char Char Char Char Char1,List Number11"/>
    <w:basedOn w:val="Normal"/>
    <w:rsid w:val="005924C0"/>
    <w:pPr>
      <w:tabs>
        <w:tab w:val="num" w:pos="360"/>
        <w:tab w:val="left" w:pos="720"/>
      </w:tabs>
      <w:spacing w:before="120" w:after="180"/>
      <w:ind w:left="360" w:hanging="360"/>
    </w:pPr>
    <w:rPr>
      <w:rFonts w:ascii="Arial" w:hAnsi="Arial"/>
      <w:sz w:val="20"/>
      <w:szCs w:val="20"/>
      <w:lang w:val="en-GB"/>
    </w:rPr>
  </w:style>
  <w:style w:type="character" w:customStyle="1" w:styleId="ListNumber2">
    <w:name w:val="List Number2"/>
    <w:aliases w:val="List Number Char Char Char Char Char11,List Number Char Char Char Char Char Char Char Char Char Char Char Char Char Char Char Char Char Char Char Char Char11,List Number11 Char"/>
    <w:basedOn w:val="DefaultParagraphFont"/>
    <w:rsid w:val="005924C0"/>
    <w:rPr>
      <w:rFonts w:ascii="Arial" w:hAnsi="Arial"/>
      <w:lang w:val="en-GB" w:eastAsia="en-US" w:bidi="ar-SA"/>
    </w:rPr>
  </w:style>
  <w:style w:type="paragraph" w:customStyle="1" w:styleId="PwcUttaranchalNormalTextFinalCharChar">
    <w:name w:val="Pwc Uttaranchal Normal Text Final Char Char"/>
    <w:basedOn w:val="BodyText"/>
    <w:rsid w:val="002A45DF"/>
    <w:pPr>
      <w:tabs>
        <w:tab w:val="left" w:pos="720"/>
        <w:tab w:val="left" w:pos="2992"/>
        <w:tab w:val="left" w:pos="3060"/>
        <w:tab w:val="left" w:pos="3179"/>
      </w:tabs>
      <w:spacing w:after="240" w:line="360" w:lineRule="auto"/>
      <w:jc w:val="both"/>
    </w:pPr>
    <w:rPr>
      <w:rFonts w:ascii="Arial" w:hAnsi="Arial" w:cs="Arial"/>
    </w:rPr>
  </w:style>
  <w:style w:type="paragraph" w:styleId="BalloonText">
    <w:name w:val="Balloon Text"/>
    <w:basedOn w:val="Normal"/>
    <w:link w:val="BalloonTextChar"/>
    <w:uiPriority w:val="99"/>
    <w:semiHidden/>
    <w:rsid w:val="00131CCB"/>
    <w:rPr>
      <w:rFonts w:ascii="Tahoma" w:hAnsi="Tahoma" w:cs="Tahoma"/>
      <w:sz w:val="16"/>
      <w:szCs w:val="16"/>
    </w:rPr>
  </w:style>
  <w:style w:type="paragraph" w:styleId="Title">
    <w:name w:val="Title"/>
    <w:basedOn w:val="Normal"/>
    <w:link w:val="TitleChar"/>
    <w:uiPriority w:val="10"/>
    <w:qFormat/>
    <w:rsid w:val="00F72972"/>
    <w:pPr>
      <w:spacing w:before="240" w:after="60"/>
      <w:jc w:val="center"/>
      <w:outlineLvl w:val="0"/>
    </w:pPr>
    <w:rPr>
      <w:rFonts w:ascii="Arial" w:hAnsi="Arial"/>
      <w:b/>
      <w:kern w:val="28"/>
      <w:sz w:val="32"/>
      <w:szCs w:val="20"/>
      <w:lang w:val="en-GB"/>
    </w:rPr>
  </w:style>
  <w:style w:type="character" w:customStyle="1" w:styleId="Heading2Char">
    <w:name w:val="Heading 2 Char"/>
    <w:aliases w:val="2 Char,Major Char"/>
    <w:basedOn w:val="DefaultParagraphFont"/>
    <w:link w:val="Heading2"/>
    <w:uiPriority w:val="9"/>
    <w:rsid w:val="00D054F6"/>
    <w:rPr>
      <w:rFonts w:ascii="Arial" w:hAnsi="Arial" w:cs="Arial"/>
      <w:b/>
      <w:bCs/>
      <w:i/>
      <w:iCs/>
      <w:sz w:val="28"/>
      <w:szCs w:val="28"/>
      <w:lang w:val="en-US" w:eastAsia="en-US" w:bidi="ar-SA"/>
    </w:rPr>
  </w:style>
  <w:style w:type="character" w:styleId="FollowedHyperlink">
    <w:name w:val="FollowedHyperlink"/>
    <w:basedOn w:val="DefaultParagraphFont"/>
    <w:uiPriority w:val="99"/>
    <w:rsid w:val="004D5303"/>
    <w:rPr>
      <w:color w:val="800080"/>
      <w:u w:val="single"/>
    </w:rPr>
  </w:style>
  <w:style w:type="paragraph" w:styleId="NormalWeb">
    <w:name w:val="Normal (Web)"/>
    <w:basedOn w:val="Normal"/>
    <w:uiPriority w:val="99"/>
    <w:rsid w:val="004D5303"/>
    <w:pPr>
      <w:spacing w:before="100" w:beforeAutospacing="1" w:after="100" w:afterAutospacing="1"/>
    </w:pPr>
  </w:style>
  <w:style w:type="paragraph" w:styleId="TOC2">
    <w:name w:val="toc 2"/>
    <w:basedOn w:val="Normal"/>
    <w:next w:val="Normal"/>
    <w:autoRedefine/>
    <w:uiPriority w:val="39"/>
    <w:qFormat/>
    <w:rsid w:val="00401F48"/>
    <w:pPr>
      <w:ind w:left="240"/>
    </w:pPr>
  </w:style>
  <w:style w:type="paragraph" w:styleId="TOC3">
    <w:name w:val="toc 3"/>
    <w:basedOn w:val="Normal"/>
    <w:next w:val="Normal"/>
    <w:autoRedefine/>
    <w:uiPriority w:val="39"/>
    <w:qFormat/>
    <w:rsid w:val="00401F48"/>
    <w:pPr>
      <w:ind w:left="480"/>
    </w:pPr>
  </w:style>
  <w:style w:type="paragraph" w:styleId="ListParagraph">
    <w:name w:val="List Paragraph"/>
    <w:aliases w:val="lp1,List Paragraph1,Bullet List,List Paragraph Char Char,b1,d_bodyb,Bullet Number,Num Bullet 1,lp11,List Paragraph11,Use Case List Paragraph,Bulletted,Table Number Paragraph,numbered,Paragraphe de liste1,Bulletr List Paragraph,Figure_name"/>
    <w:basedOn w:val="Normal"/>
    <w:link w:val="ListParagraphChar"/>
    <w:uiPriority w:val="34"/>
    <w:qFormat/>
    <w:rsid w:val="00FB3896"/>
    <w:pPr>
      <w:spacing w:after="200" w:line="276" w:lineRule="auto"/>
      <w:ind w:left="720"/>
      <w:contextualSpacing/>
    </w:pPr>
    <w:rPr>
      <w:rFonts w:ascii="Calibri" w:eastAsia="Calibri" w:hAnsi="Calibri"/>
      <w:sz w:val="22"/>
      <w:szCs w:val="22"/>
    </w:rPr>
  </w:style>
  <w:style w:type="paragraph" w:customStyle="1" w:styleId="Level11">
    <w:name w:val="Level 1.1"/>
    <w:aliases w:val="Reports"/>
    <w:basedOn w:val="Normal"/>
    <w:next w:val="Normal"/>
    <w:rsid w:val="00477C2E"/>
    <w:pPr>
      <w:autoSpaceDE w:val="0"/>
      <w:autoSpaceDN w:val="0"/>
      <w:adjustRightInd w:val="0"/>
    </w:pPr>
    <w:rPr>
      <w:rFonts w:ascii="HFKACP+TimesNewRoman" w:hAnsi="HFKACP+TimesNewRoman"/>
      <w:lang w:val="en-IN" w:eastAsia="en-IN"/>
    </w:rPr>
  </w:style>
  <w:style w:type="paragraph" w:styleId="NoSpacing">
    <w:name w:val="No Spacing"/>
    <w:uiPriority w:val="1"/>
    <w:qFormat/>
    <w:rsid w:val="008307B8"/>
    <w:rPr>
      <w:rFonts w:ascii="Calibri" w:eastAsia="Calibri" w:hAnsi="Calibri"/>
      <w:sz w:val="22"/>
      <w:szCs w:val="22"/>
      <w:lang w:eastAsia="en-US"/>
    </w:rPr>
  </w:style>
  <w:style w:type="character" w:customStyle="1" w:styleId="BalloonTextChar">
    <w:name w:val="Balloon Text Char"/>
    <w:basedOn w:val="DefaultParagraphFont"/>
    <w:link w:val="BalloonText"/>
    <w:uiPriority w:val="99"/>
    <w:semiHidden/>
    <w:rsid w:val="008307B8"/>
    <w:rPr>
      <w:rFonts w:ascii="Tahoma" w:hAnsi="Tahoma" w:cs="Tahoma"/>
      <w:sz w:val="16"/>
      <w:szCs w:val="16"/>
      <w:lang w:val="en-US" w:eastAsia="en-US"/>
    </w:rPr>
  </w:style>
  <w:style w:type="paragraph" w:customStyle="1" w:styleId="Default">
    <w:name w:val="Default"/>
    <w:rsid w:val="00477922"/>
    <w:pPr>
      <w:autoSpaceDE w:val="0"/>
      <w:autoSpaceDN w:val="0"/>
      <w:adjustRightInd w:val="0"/>
    </w:pPr>
    <w:rPr>
      <w:rFonts w:ascii="Bookman Old Style" w:hAnsi="Bookman Old Style" w:cs="Bookman Old Style"/>
      <w:color w:val="000000"/>
      <w:sz w:val="24"/>
      <w:szCs w:val="24"/>
    </w:rPr>
  </w:style>
  <w:style w:type="character" w:customStyle="1" w:styleId="BodyTextChar">
    <w:name w:val="Body Text Char"/>
    <w:basedOn w:val="DefaultParagraphFont"/>
    <w:link w:val="BodyText"/>
    <w:rsid w:val="003875A8"/>
    <w:rPr>
      <w:sz w:val="24"/>
      <w:szCs w:val="24"/>
      <w:lang w:val="en-US" w:eastAsia="en-US"/>
    </w:rPr>
  </w:style>
  <w:style w:type="character" w:customStyle="1" w:styleId="Heading1Char">
    <w:name w:val="Heading 1 Char"/>
    <w:aliases w:val="Section Char,Section Heading Char,Article Heading Char,HEADING 1 Char,App1 Char,EASI 1 Char,Hoofdstuk Char,Heading 1-nonum Char"/>
    <w:basedOn w:val="DefaultParagraphFont"/>
    <w:link w:val="Heading1"/>
    <w:rsid w:val="003875A8"/>
    <w:rPr>
      <w:rFonts w:ascii="Arial" w:hAnsi="Arial" w:cs="Arial"/>
      <w:b/>
      <w:bCs/>
      <w:kern w:val="32"/>
      <w:sz w:val="32"/>
      <w:szCs w:val="32"/>
      <w:lang w:val="en-US" w:eastAsia="en-US"/>
    </w:rPr>
  </w:style>
  <w:style w:type="character" w:customStyle="1" w:styleId="BodyText2Char">
    <w:name w:val="Body Text 2 Char"/>
    <w:basedOn w:val="DefaultParagraphFont"/>
    <w:link w:val="BodyText2"/>
    <w:rsid w:val="00920FF5"/>
    <w:rPr>
      <w:rFonts w:ascii="Arial" w:hAnsi="Arial"/>
      <w:sz w:val="44"/>
      <w:lang w:val="en-US" w:eastAsia="en-US"/>
    </w:rPr>
  </w:style>
  <w:style w:type="paragraph" w:styleId="TOC4">
    <w:name w:val="toc 4"/>
    <w:basedOn w:val="Normal"/>
    <w:next w:val="Normal"/>
    <w:autoRedefine/>
    <w:uiPriority w:val="39"/>
    <w:unhideWhenUsed/>
    <w:rsid w:val="00FB473D"/>
    <w:pPr>
      <w:spacing w:after="100" w:line="276" w:lineRule="auto"/>
      <w:ind w:left="660"/>
    </w:pPr>
    <w:rPr>
      <w:rFonts w:ascii="Calibri" w:hAnsi="Calibri"/>
      <w:sz w:val="22"/>
      <w:szCs w:val="22"/>
      <w:lang w:val="en-IN" w:eastAsia="en-IN"/>
    </w:rPr>
  </w:style>
  <w:style w:type="paragraph" w:styleId="TOC5">
    <w:name w:val="toc 5"/>
    <w:basedOn w:val="Normal"/>
    <w:next w:val="Normal"/>
    <w:autoRedefine/>
    <w:uiPriority w:val="39"/>
    <w:unhideWhenUsed/>
    <w:rsid w:val="00FB473D"/>
    <w:pPr>
      <w:spacing w:after="100" w:line="276" w:lineRule="auto"/>
      <w:ind w:left="880"/>
    </w:pPr>
    <w:rPr>
      <w:rFonts w:ascii="Calibri" w:hAnsi="Calibri"/>
      <w:sz w:val="22"/>
      <w:szCs w:val="22"/>
      <w:lang w:val="en-IN" w:eastAsia="en-IN"/>
    </w:rPr>
  </w:style>
  <w:style w:type="paragraph" w:styleId="TOC6">
    <w:name w:val="toc 6"/>
    <w:basedOn w:val="Normal"/>
    <w:next w:val="Normal"/>
    <w:autoRedefine/>
    <w:uiPriority w:val="39"/>
    <w:unhideWhenUsed/>
    <w:rsid w:val="00FB473D"/>
    <w:pPr>
      <w:spacing w:after="100" w:line="276" w:lineRule="auto"/>
      <w:ind w:left="1100"/>
    </w:pPr>
    <w:rPr>
      <w:rFonts w:ascii="Calibri" w:hAnsi="Calibri"/>
      <w:sz w:val="22"/>
      <w:szCs w:val="22"/>
      <w:lang w:val="en-IN" w:eastAsia="en-IN"/>
    </w:rPr>
  </w:style>
  <w:style w:type="paragraph" w:styleId="TOC7">
    <w:name w:val="toc 7"/>
    <w:basedOn w:val="Normal"/>
    <w:next w:val="Normal"/>
    <w:autoRedefine/>
    <w:uiPriority w:val="39"/>
    <w:unhideWhenUsed/>
    <w:rsid w:val="00FB473D"/>
    <w:pPr>
      <w:spacing w:after="100" w:line="276" w:lineRule="auto"/>
      <w:ind w:left="1320"/>
    </w:pPr>
    <w:rPr>
      <w:rFonts w:ascii="Calibri" w:hAnsi="Calibri"/>
      <w:sz w:val="22"/>
      <w:szCs w:val="22"/>
      <w:lang w:val="en-IN" w:eastAsia="en-IN"/>
    </w:rPr>
  </w:style>
  <w:style w:type="paragraph" w:styleId="TOC8">
    <w:name w:val="toc 8"/>
    <w:basedOn w:val="Normal"/>
    <w:next w:val="Normal"/>
    <w:autoRedefine/>
    <w:uiPriority w:val="39"/>
    <w:unhideWhenUsed/>
    <w:rsid w:val="00FB473D"/>
    <w:pPr>
      <w:spacing w:after="100" w:line="276" w:lineRule="auto"/>
      <w:ind w:left="1540"/>
    </w:pPr>
    <w:rPr>
      <w:rFonts w:ascii="Calibri" w:hAnsi="Calibri"/>
      <w:sz w:val="22"/>
      <w:szCs w:val="22"/>
      <w:lang w:val="en-IN" w:eastAsia="en-IN"/>
    </w:rPr>
  </w:style>
  <w:style w:type="paragraph" w:styleId="TOC9">
    <w:name w:val="toc 9"/>
    <w:basedOn w:val="Normal"/>
    <w:next w:val="Normal"/>
    <w:autoRedefine/>
    <w:uiPriority w:val="39"/>
    <w:unhideWhenUsed/>
    <w:rsid w:val="00FB473D"/>
    <w:pPr>
      <w:spacing w:after="100" w:line="276" w:lineRule="auto"/>
      <w:ind w:left="1760"/>
    </w:pPr>
    <w:rPr>
      <w:rFonts w:ascii="Calibri" w:hAnsi="Calibri"/>
      <w:sz w:val="22"/>
      <w:szCs w:val="22"/>
      <w:lang w:val="en-IN" w:eastAsia="en-IN"/>
    </w:rPr>
  </w:style>
  <w:style w:type="character" w:customStyle="1" w:styleId="ListParagraphChar">
    <w:name w:val="List Paragraph Char"/>
    <w:aliases w:val="lp1 Char,List Paragraph1 Char,Bullet List Char,List Paragraph Char Char Char,b1 Char,d_bodyb Char,Bullet Number Char,Num Bullet 1 Char,lp11 Char,List Paragraph11 Char,Use Case List Paragraph Char,Bulletted Char,numbered Char"/>
    <w:basedOn w:val="DefaultParagraphFont"/>
    <w:link w:val="ListParagraph"/>
    <w:uiPriority w:val="34"/>
    <w:qFormat/>
    <w:rsid w:val="007103C1"/>
    <w:rPr>
      <w:rFonts w:ascii="Calibri" w:eastAsia="Calibri" w:hAnsi="Calibri"/>
      <w:sz w:val="22"/>
      <w:szCs w:val="22"/>
    </w:rPr>
  </w:style>
  <w:style w:type="character" w:styleId="CommentReference">
    <w:name w:val="annotation reference"/>
    <w:basedOn w:val="DefaultParagraphFont"/>
    <w:rsid w:val="00D77FDF"/>
    <w:rPr>
      <w:sz w:val="16"/>
      <w:szCs w:val="16"/>
    </w:rPr>
  </w:style>
  <w:style w:type="paragraph" w:styleId="CommentText">
    <w:name w:val="annotation text"/>
    <w:basedOn w:val="Normal"/>
    <w:link w:val="CommentTextChar"/>
    <w:rsid w:val="00D77FDF"/>
    <w:rPr>
      <w:sz w:val="20"/>
      <w:szCs w:val="20"/>
    </w:rPr>
  </w:style>
  <w:style w:type="character" w:customStyle="1" w:styleId="CommentTextChar">
    <w:name w:val="Comment Text Char"/>
    <w:basedOn w:val="DefaultParagraphFont"/>
    <w:link w:val="CommentText"/>
    <w:rsid w:val="00D77FDF"/>
    <w:rPr>
      <w:lang w:val="en-US" w:eastAsia="en-US"/>
    </w:rPr>
  </w:style>
  <w:style w:type="paragraph" w:styleId="CommentSubject">
    <w:name w:val="annotation subject"/>
    <w:basedOn w:val="CommentText"/>
    <w:next w:val="CommentText"/>
    <w:link w:val="CommentSubjectChar"/>
    <w:rsid w:val="00D77FDF"/>
    <w:rPr>
      <w:b/>
      <w:bCs/>
    </w:rPr>
  </w:style>
  <w:style w:type="character" w:customStyle="1" w:styleId="CommentSubjectChar">
    <w:name w:val="Comment Subject Char"/>
    <w:basedOn w:val="CommentTextChar"/>
    <w:link w:val="CommentSubject"/>
    <w:rsid w:val="00D77FDF"/>
    <w:rPr>
      <w:b/>
      <w:bCs/>
      <w:lang w:val="en-US" w:eastAsia="en-US"/>
    </w:rPr>
  </w:style>
  <w:style w:type="paragraph" w:styleId="PlainText">
    <w:name w:val="Plain Text"/>
    <w:basedOn w:val="Normal"/>
    <w:link w:val="PlainTextChar"/>
    <w:uiPriority w:val="99"/>
    <w:unhideWhenUsed/>
    <w:rsid w:val="00B60A4B"/>
    <w:rPr>
      <w:rFonts w:ascii="Calibri" w:eastAsia="Calibri" w:hAnsi="Calibri"/>
      <w:sz w:val="22"/>
      <w:szCs w:val="21"/>
    </w:rPr>
  </w:style>
  <w:style w:type="character" w:customStyle="1" w:styleId="PlainTextChar">
    <w:name w:val="Plain Text Char"/>
    <w:basedOn w:val="DefaultParagraphFont"/>
    <w:link w:val="PlainText"/>
    <w:uiPriority w:val="99"/>
    <w:rsid w:val="00B60A4B"/>
    <w:rPr>
      <w:rFonts w:ascii="Calibri" w:eastAsia="Calibri" w:hAnsi="Calibri" w:cs="Times New Roman"/>
      <w:sz w:val="22"/>
      <w:szCs w:val="21"/>
      <w:lang w:val="en-US" w:eastAsia="en-US"/>
    </w:rPr>
  </w:style>
  <w:style w:type="character" w:customStyle="1" w:styleId="apple-converted-space">
    <w:name w:val="apple-converted-space"/>
    <w:basedOn w:val="DefaultParagraphFont"/>
    <w:rsid w:val="00FB220E"/>
  </w:style>
  <w:style w:type="paragraph" w:styleId="DocumentMap">
    <w:name w:val="Document Map"/>
    <w:basedOn w:val="Normal"/>
    <w:link w:val="DocumentMapChar"/>
    <w:rsid w:val="004D47E6"/>
    <w:rPr>
      <w:rFonts w:ascii="Tahoma" w:hAnsi="Tahoma" w:cs="Tahoma"/>
      <w:sz w:val="16"/>
      <w:szCs w:val="16"/>
    </w:rPr>
  </w:style>
  <w:style w:type="character" w:customStyle="1" w:styleId="DocumentMapChar">
    <w:name w:val="Document Map Char"/>
    <w:basedOn w:val="DefaultParagraphFont"/>
    <w:link w:val="DocumentMap"/>
    <w:rsid w:val="004D47E6"/>
    <w:rPr>
      <w:rFonts w:ascii="Tahoma" w:hAnsi="Tahoma" w:cs="Tahoma"/>
      <w:sz w:val="16"/>
      <w:szCs w:val="16"/>
    </w:rPr>
  </w:style>
  <w:style w:type="paragraph" w:customStyle="1" w:styleId="font5">
    <w:name w:val="font5"/>
    <w:basedOn w:val="Normal"/>
    <w:rsid w:val="00035F47"/>
    <w:pPr>
      <w:spacing w:before="100" w:beforeAutospacing="1" w:after="100" w:afterAutospacing="1"/>
    </w:pPr>
    <w:rPr>
      <w:rFonts w:ascii="Tahoma" w:hAnsi="Tahoma" w:cs="Tahoma"/>
      <w:b/>
      <w:bCs/>
      <w:color w:val="000000"/>
      <w:sz w:val="16"/>
      <w:szCs w:val="16"/>
      <w:lang w:val="en-IN" w:eastAsia="en-IN"/>
    </w:rPr>
  </w:style>
  <w:style w:type="paragraph" w:customStyle="1" w:styleId="xl65">
    <w:name w:val="xl65"/>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20"/>
      <w:szCs w:val="20"/>
      <w:lang w:val="en-IN" w:eastAsia="en-IN"/>
    </w:rPr>
  </w:style>
  <w:style w:type="paragraph" w:customStyle="1" w:styleId="xl66">
    <w:name w:val="xl66"/>
    <w:basedOn w:val="Normal"/>
    <w:rsid w:val="00035F47"/>
    <w:pPr>
      <w:spacing w:before="100" w:beforeAutospacing="1" w:after="100" w:afterAutospacing="1"/>
    </w:pPr>
    <w:rPr>
      <w:rFonts w:ascii="Arial Narrow" w:hAnsi="Arial Narrow"/>
      <w:sz w:val="20"/>
      <w:szCs w:val="20"/>
      <w:lang w:val="en-IN" w:eastAsia="en-IN"/>
    </w:rPr>
  </w:style>
  <w:style w:type="paragraph" w:customStyle="1" w:styleId="xl67">
    <w:name w:val="xl67"/>
    <w:basedOn w:val="Normal"/>
    <w:rsid w:val="00035F47"/>
    <w:pPr>
      <w:spacing w:before="100" w:beforeAutospacing="1" w:after="100" w:afterAutospacing="1"/>
    </w:pPr>
    <w:rPr>
      <w:rFonts w:ascii="Arial Narrow" w:hAnsi="Arial Narrow"/>
      <w:b/>
      <w:bCs/>
      <w:sz w:val="20"/>
      <w:szCs w:val="20"/>
      <w:lang w:val="en-IN" w:eastAsia="en-IN"/>
    </w:rPr>
  </w:style>
  <w:style w:type="paragraph" w:customStyle="1" w:styleId="xl68">
    <w:name w:val="xl6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69">
    <w:name w:val="xl69"/>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0">
    <w:name w:val="xl70"/>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1">
    <w:name w:val="xl71"/>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sz w:val="20"/>
      <w:szCs w:val="20"/>
      <w:lang w:val="en-IN" w:eastAsia="en-IN"/>
    </w:rPr>
  </w:style>
  <w:style w:type="paragraph" w:customStyle="1" w:styleId="xl72">
    <w:name w:val="xl72"/>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0"/>
      <w:szCs w:val="20"/>
      <w:lang w:val="en-IN" w:eastAsia="en-IN"/>
    </w:rPr>
  </w:style>
  <w:style w:type="paragraph" w:customStyle="1" w:styleId="xl73">
    <w:name w:val="xl73"/>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4">
    <w:name w:val="xl74"/>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0"/>
      <w:szCs w:val="20"/>
      <w:lang w:val="en-IN" w:eastAsia="en-IN"/>
    </w:rPr>
  </w:style>
  <w:style w:type="paragraph" w:customStyle="1" w:styleId="xl75">
    <w:name w:val="xl75"/>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6">
    <w:name w:val="xl76"/>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0"/>
      <w:szCs w:val="20"/>
      <w:lang w:val="en-IN" w:eastAsia="en-IN"/>
    </w:rPr>
  </w:style>
  <w:style w:type="paragraph" w:customStyle="1" w:styleId="xl77">
    <w:name w:val="xl77"/>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8">
    <w:name w:val="xl7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9">
    <w:name w:val="xl79"/>
    <w:basedOn w:val="Normal"/>
    <w:rsid w:val="00035F4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Narrow" w:hAnsi="Arial Narrow"/>
      <w:sz w:val="20"/>
      <w:szCs w:val="20"/>
      <w:lang w:val="en-IN" w:eastAsia="en-IN"/>
    </w:rPr>
  </w:style>
  <w:style w:type="paragraph" w:customStyle="1" w:styleId="xl80">
    <w:name w:val="xl80"/>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sz w:val="20"/>
      <w:szCs w:val="20"/>
      <w:lang w:val="en-IN" w:eastAsia="en-IN"/>
    </w:rPr>
  </w:style>
  <w:style w:type="paragraph" w:customStyle="1" w:styleId="xl81">
    <w:name w:val="xl81"/>
    <w:basedOn w:val="Normal"/>
    <w:rsid w:val="00035F4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sz w:val="20"/>
      <w:szCs w:val="20"/>
      <w:lang w:val="en-IN" w:eastAsia="en-IN"/>
    </w:rPr>
  </w:style>
  <w:style w:type="paragraph" w:customStyle="1" w:styleId="xl82">
    <w:name w:val="xl82"/>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3">
    <w:name w:val="xl83"/>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4">
    <w:name w:val="xl84"/>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5">
    <w:name w:val="xl85"/>
    <w:basedOn w:val="Normal"/>
    <w:rsid w:val="00035F4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Narrow" w:hAnsi="Arial Narrow"/>
      <w:sz w:val="20"/>
      <w:szCs w:val="20"/>
      <w:lang w:val="en-IN" w:eastAsia="en-IN"/>
    </w:rPr>
  </w:style>
  <w:style w:type="paragraph" w:customStyle="1" w:styleId="xl86">
    <w:name w:val="xl86"/>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color w:val="000000"/>
      <w:sz w:val="20"/>
      <w:szCs w:val="20"/>
      <w:lang w:val="en-IN" w:eastAsia="en-IN"/>
    </w:rPr>
  </w:style>
  <w:style w:type="paragraph" w:customStyle="1" w:styleId="xl87">
    <w:name w:val="xl87"/>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88">
    <w:name w:val="xl8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89">
    <w:name w:val="xl89"/>
    <w:basedOn w:val="Normal"/>
    <w:rsid w:val="00035F4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sz w:val="20"/>
      <w:szCs w:val="20"/>
      <w:lang w:val="en-IN" w:eastAsia="en-IN"/>
    </w:rPr>
  </w:style>
  <w:style w:type="paragraph" w:customStyle="1" w:styleId="xl90">
    <w:name w:val="xl90"/>
    <w:basedOn w:val="Normal"/>
    <w:rsid w:val="00035F47"/>
    <w:pPr>
      <w:pBdr>
        <w:top w:val="single" w:sz="4" w:space="0" w:color="auto"/>
        <w:left w:val="single" w:sz="4" w:space="0" w:color="auto"/>
        <w:bottom w:val="single" w:sz="4" w:space="0" w:color="auto"/>
        <w:right w:val="single" w:sz="4" w:space="0" w:color="auto"/>
      </w:pBdr>
      <w:shd w:val="clear" w:color="FFFFCC" w:fill="FFFF00"/>
      <w:spacing w:before="100" w:beforeAutospacing="1" w:after="100" w:afterAutospacing="1"/>
      <w:textAlignment w:val="center"/>
    </w:pPr>
    <w:rPr>
      <w:rFonts w:ascii="Arial Narrow" w:hAnsi="Arial Narrow"/>
      <w:sz w:val="20"/>
      <w:szCs w:val="20"/>
      <w:lang w:val="en-IN" w:eastAsia="en-IN"/>
    </w:rPr>
  </w:style>
  <w:style w:type="character" w:customStyle="1" w:styleId="HeaderChar">
    <w:name w:val="Header Char"/>
    <w:basedOn w:val="DefaultParagraphFont"/>
    <w:link w:val="Header"/>
    <w:uiPriority w:val="99"/>
    <w:rsid w:val="00A46448"/>
    <w:rPr>
      <w:sz w:val="24"/>
      <w:szCs w:val="24"/>
      <w:lang w:val="en-US" w:eastAsia="en-US"/>
    </w:rPr>
  </w:style>
  <w:style w:type="character" w:customStyle="1" w:styleId="FooterChar">
    <w:name w:val="Footer Char"/>
    <w:basedOn w:val="DefaultParagraphFont"/>
    <w:link w:val="Footer"/>
    <w:uiPriority w:val="99"/>
    <w:rsid w:val="00A46448"/>
    <w:rPr>
      <w:sz w:val="24"/>
      <w:szCs w:val="24"/>
      <w:lang w:val="en-US" w:eastAsia="en-US"/>
    </w:rPr>
  </w:style>
  <w:style w:type="character" w:customStyle="1" w:styleId="Heading4Char">
    <w:name w:val="Heading 4 Char"/>
    <w:basedOn w:val="DefaultParagraphFont"/>
    <w:link w:val="Heading4"/>
    <w:rsid w:val="00B960B2"/>
    <w:rPr>
      <w:rFonts w:ascii="Calibri" w:hAnsi="Calibri"/>
      <w:b/>
      <w:bCs/>
      <w:sz w:val="28"/>
      <w:szCs w:val="28"/>
      <w:lang w:val="en-GB" w:eastAsia="en-US"/>
    </w:rPr>
  </w:style>
  <w:style w:type="character" w:customStyle="1" w:styleId="Heading5Char">
    <w:name w:val="Heading 5 Char"/>
    <w:basedOn w:val="DefaultParagraphFont"/>
    <w:link w:val="Heading5"/>
    <w:rsid w:val="00B960B2"/>
    <w:rPr>
      <w:rFonts w:ascii="Book Antiqua" w:hAnsi="Book Antiqua"/>
      <w:b/>
      <w:bCs/>
      <w:i/>
      <w:iCs/>
      <w:sz w:val="22"/>
      <w:szCs w:val="22"/>
      <w:lang w:val="en-US" w:eastAsia="en-US"/>
    </w:rPr>
  </w:style>
  <w:style w:type="character" w:customStyle="1" w:styleId="Heading6Char">
    <w:name w:val="Heading 6 Char"/>
    <w:basedOn w:val="DefaultParagraphFont"/>
    <w:link w:val="Heading6"/>
    <w:rsid w:val="00B960B2"/>
    <w:rPr>
      <w:rFonts w:ascii="Book Antiqua" w:hAnsi="Book Antiqua"/>
      <w:i/>
      <w:iCs/>
      <w:sz w:val="22"/>
      <w:szCs w:val="22"/>
      <w:lang w:val="en-US" w:eastAsia="en-US"/>
    </w:rPr>
  </w:style>
  <w:style w:type="character" w:customStyle="1" w:styleId="Heading7Char">
    <w:name w:val="Heading 7 Char"/>
    <w:basedOn w:val="DefaultParagraphFont"/>
    <w:link w:val="Heading7"/>
    <w:uiPriority w:val="9"/>
    <w:rsid w:val="00B960B2"/>
    <w:rPr>
      <w:rFonts w:ascii="Arial" w:hAnsi="Arial" w:cs="Arial"/>
      <w:lang w:val="en-US" w:eastAsia="en-US"/>
    </w:rPr>
  </w:style>
  <w:style w:type="character" w:customStyle="1" w:styleId="Heading8Char">
    <w:name w:val="Heading 8 Char"/>
    <w:basedOn w:val="DefaultParagraphFont"/>
    <w:link w:val="Heading8"/>
    <w:rsid w:val="00B960B2"/>
    <w:rPr>
      <w:rFonts w:ascii="Arial" w:hAnsi="Arial" w:cs="Arial"/>
      <w:i/>
      <w:iCs/>
      <w:lang w:val="en-US" w:eastAsia="en-US"/>
    </w:rPr>
  </w:style>
  <w:style w:type="character" w:customStyle="1" w:styleId="Heading9Char">
    <w:name w:val="Heading 9 Char"/>
    <w:basedOn w:val="DefaultParagraphFont"/>
    <w:link w:val="Heading9"/>
    <w:rsid w:val="00B960B2"/>
    <w:rPr>
      <w:rFonts w:ascii="Arial" w:hAnsi="Arial" w:cs="Arial"/>
      <w:b/>
      <w:bCs/>
      <w:i/>
      <w:iCs/>
      <w:sz w:val="18"/>
      <w:szCs w:val="18"/>
      <w:lang w:val="en-US" w:eastAsia="en-US"/>
    </w:rPr>
  </w:style>
  <w:style w:type="character" w:customStyle="1" w:styleId="Heading3Char">
    <w:name w:val="Heading 3 Char"/>
    <w:aliases w:val="Minor Char,level3 Char"/>
    <w:basedOn w:val="DefaultParagraphFont"/>
    <w:link w:val="Heading3"/>
    <w:rsid w:val="00B960B2"/>
    <w:rPr>
      <w:rFonts w:ascii="Arial" w:hAnsi="Arial" w:cs="Arial"/>
      <w:b/>
      <w:bCs/>
      <w:sz w:val="26"/>
      <w:szCs w:val="26"/>
      <w:lang w:val="en-US" w:eastAsia="en-US"/>
    </w:rPr>
  </w:style>
  <w:style w:type="paragraph" w:customStyle="1" w:styleId="L-Hed">
    <w:name w:val="L-Hed"/>
    <w:basedOn w:val="Normal"/>
    <w:link w:val="L-HedChar"/>
    <w:qFormat/>
    <w:rsid w:val="00B960B2"/>
    <w:pPr>
      <w:spacing w:before="120" w:after="120" w:line="300" w:lineRule="auto"/>
    </w:pPr>
    <w:rPr>
      <w:rFonts w:ascii="Arial" w:hAnsi="Arial" w:cs="Arial"/>
      <w:b/>
      <w:sz w:val="22"/>
    </w:rPr>
  </w:style>
  <w:style w:type="character" w:customStyle="1" w:styleId="L-HedChar">
    <w:name w:val="L-Hed Char"/>
    <w:basedOn w:val="DefaultParagraphFont"/>
    <w:link w:val="L-Hed"/>
    <w:rsid w:val="00B960B2"/>
    <w:rPr>
      <w:rFonts w:ascii="Arial" w:hAnsi="Arial" w:cs="Arial"/>
      <w:b/>
      <w:sz w:val="22"/>
      <w:szCs w:val="24"/>
      <w:lang w:val="en-US" w:eastAsia="en-US"/>
    </w:rPr>
  </w:style>
  <w:style w:type="paragraph" w:styleId="TOCHeading">
    <w:name w:val="TOC Heading"/>
    <w:basedOn w:val="Heading1"/>
    <w:next w:val="Normal"/>
    <w:uiPriority w:val="39"/>
    <w:unhideWhenUsed/>
    <w:qFormat/>
    <w:rsid w:val="00B960B2"/>
    <w:pPr>
      <w:keepLines/>
      <w:spacing w:before="480" w:after="0" w:line="276" w:lineRule="auto"/>
      <w:outlineLvl w:val="9"/>
    </w:pPr>
    <w:rPr>
      <w:rFonts w:ascii="Cambria" w:hAnsi="Cambria" w:cs="Times New Roman"/>
      <w:color w:val="365F91"/>
      <w:kern w:val="0"/>
      <w:sz w:val="28"/>
      <w:szCs w:val="28"/>
    </w:rPr>
  </w:style>
  <w:style w:type="paragraph" w:styleId="TableofFigures">
    <w:name w:val="table of figures"/>
    <w:basedOn w:val="Normal"/>
    <w:next w:val="Normal"/>
    <w:uiPriority w:val="99"/>
    <w:unhideWhenUsed/>
    <w:rsid w:val="00B960B2"/>
    <w:pPr>
      <w:spacing w:line="300" w:lineRule="auto"/>
      <w:ind w:left="440" w:hanging="440"/>
    </w:pPr>
    <w:rPr>
      <w:rFonts w:ascii="Calibri" w:hAnsi="Calibri"/>
      <w:smallCaps/>
      <w:sz w:val="20"/>
      <w:szCs w:val="20"/>
    </w:rPr>
  </w:style>
  <w:style w:type="paragraph" w:styleId="BodyText3">
    <w:name w:val="Body Text 3"/>
    <w:basedOn w:val="Normal"/>
    <w:link w:val="BodyText3Char"/>
    <w:uiPriority w:val="99"/>
    <w:unhideWhenUsed/>
    <w:rsid w:val="00B960B2"/>
    <w:pPr>
      <w:spacing w:after="120" w:line="300" w:lineRule="auto"/>
      <w:jc w:val="both"/>
    </w:pPr>
    <w:rPr>
      <w:rFonts w:ascii="Arial" w:hAnsi="Arial"/>
      <w:sz w:val="16"/>
      <w:szCs w:val="16"/>
    </w:rPr>
  </w:style>
  <w:style w:type="character" w:customStyle="1" w:styleId="BodyText3Char">
    <w:name w:val="Body Text 3 Char"/>
    <w:basedOn w:val="DefaultParagraphFont"/>
    <w:link w:val="BodyText3"/>
    <w:uiPriority w:val="99"/>
    <w:rsid w:val="00B960B2"/>
    <w:rPr>
      <w:rFonts w:ascii="Arial" w:hAnsi="Arial"/>
      <w:sz w:val="16"/>
      <w:szCs w:val="16"/>
      <w:lang w:val="en-US" w:eastAsia="en-US"/>
    </w:rPr>
  </w:style>
  <w:style w:type="paragraph" w:styleId="Index1">
    <w:name w:val="index 1"/>
    <w:basedOn w:val="Normal"/>
    <w:next w:val="Normal"/>
    <w:autoRedefine/>
    <w:uiPriority w:val="99"/>
    <w:unhideWhenUsed/>
    <w:rsid w:val="00B960B2"/>
    <w:pPr>
      <w:ind w:left="220" w:hanging="220"/>
      <w:jc w:val="both"/>
    </w:pPr>
    <w:rPr>
      <w:rFonts w:ascii="Arial" w:hAnsi="Arial"/>
      <w:sz w:val="22"/>
    </w:rPr>
  </w:style>
  <w:style w:type="paragraph" w:styleId="IndexHeading">
    <w:name w:val="index heading"/>
    <w:basedOn w:val="Normal"/>
    <w:next w:val="Index1"/>
    <w:rsid w:val="00B960B2"/>
    <w:pPr>
      <w:spacing w:line="312" w:lineRule="auto"/>
      <w:jc w:val="both"/>
    </w:pPr>
    <w:rPr>
      <w:sz w:val="22"/>
      <w:szCs w:val="22"/>
      <w:lang w:val="en-GB"/>
    </w:rPr>
  </w:style>
  <w:style w:type="paragraph" w:styleId="Closing">
    <w:name w:val="Closing"/>
    <w:basedOn w:val="Default"/>
    <w:next w:val="Default"/>
    <w:link w:val="ClosingChar"/>
    <w:uiPriority w:val="99"/>
    <w:rsid w:val="00B960B2"/>
    <w:rPr>
      <w:rFonts w:ascii="ELGMPJ+TimesNewRoman,Bold" w:hAnsi="ELGMPJ+TimesNewRoman,Bold" w:cs="Gautami"/>
      <w:color w:val="auto"/>
      <w:lang w:val="en-US" w:eastAsia="en-US" w:bidi="te-IN"/>
    </w:rPr>
  </w:style>
  <w:style w:type="character" w:customStyle="1" w:styleId="ClosingChar">
    <w:name w:val="Closing Char"/>
    <w:basedOn w:val="DefaultParagraphFont"/>
    <w:link w:val="Closing"/>
    <w:uiPriority w:val="99"/>
    <w:rsid w:val="00B960B2"/>
    <w:rPr>
      <w:rFonts w:ascii="ELGMPJ+TimesNewRoman,Bold" w:hAnsi="ELGMPJ+TimesNewRoman,Bold" w:cs="Gautami"/>
      <w:sz w:val="24"/>
      <w:szCs w:val="24"/>
      <w:lang w:val="en-US" w:eastAsia="en-US" w:bidi="te-IN"/>
    </w:rPr>
  </w:style>
  <w:style w:type="paragraph" w:customStyle="1" w:styleId="Style">
    <w:name w:val="Style"/>
    <w:rsid w:val="00B960B2"/>
    <w:pPr>
      <w:widowControl w:val="0"/>
      <w:autoSpaceDE w:val="0"/>
      <w:autoSpaceDN w:val="0"/>
      <w:adjustRightInd w:val="0"/>
    </w:pPr>
    <w:rPr>
      <w:rFonts w:ascii="Arial" w:hAnsi="Arial" w:cs="Arial"/>
      <w:sz w:val="24"/>
      <w:szCs w:val="24"/>
      <w:lang w:val="en-US" w:eastAsia="en-US"/>
    </w:rPr>
  </w:style>
  <w:style w:type="paragraph" w:customStyle="1" w:styleId="Bullet">
    <w:name w:val="Bullet"/>
    <w:basedOn w:val="Normal"/>
    <w:rsid w:val="00B960B2"/>
    <w:pPr>
      <w:tabs>
        <w:tab w:val="num" w:pos="720"/>
      </w:tabs>
      <w:ind w:left="720" w:hanging="360"/>
      <w:jc w:val="both"/>
    </w:pPr>
    <w:rPr>
      <w:rFonts w:ascii="Book Antiqua" w:hAnsi="Book Antiqua"/>
      <w:color w:val="0A043D"/>
      <w:sz w:val="22"/>
      <w:lang w:bidi="te-IN"/>
    </w:rPr>
  </w:style>
  <w:style w:type="character" w:customStyle="1" w:styleId="TitleChar">
    <w:name w:val="Title Char"/>
    <w:basedOn w:val="DefaultParagraphFont"/>
    <w:link w:val="Title"/>
    <w:uiPriority w:val="10"/>
    <w:rsid w:val="00B960B2"/>
    <w:rPr>
      <w:rFonts w:ascii="Arial" w:hAnsi="Arial"/>
      <w:b/>
      <w:kern w:val="28"/>
      <w:sz w:val="32"/>
      <w:lang w:val="en-GB" w:eastAsia="en-US"/>
    </w:rPr>
  </w:style>
  <w:style w:type="character" w:styleId="Emphasis">
    <w:name w:val="Emphasis"/>
    <w:basedOn w:val="DefaultParagraphFont"/>
    <w:qFormat/>
    <w:rsid w:val="00CE0792"/>
    <w:rPr>
      <w:i/>
      <w:iCs/>
    </w:rPr>
  </w:style>
  <w:style w:type="numbering" w:customStyle="1" w:styleId="NoList1">
    <w:name w:val="No List1"/>
    <w:next w:val="NoList"/>
    <w:uiPriority w:val="99"/>
    <w:semiHidden/>
    <w:unhideWhenUsed/>
    <w:rsid w:val="009704AC"/>
  </w:style>
  <w:style w:type="paragraph" w:customStyle="1" w:styleId="xl63">
    <w:name w:val="xl63"/>
    <w:basedOn w:val="Normal"/>
    <w:rsid w:val="009704AC"/>
    <w:pPr>
      <w:pBdr>
        <w:top w:val="single" w:sz="4" w:space="0" w:color="92D050"/>
        <w:left w:val="single" w:sz="4" w:space="0" w:color="92D050"/>
        <w:bottom w:val="single" w:sz="4" w:space="0" w:color="92D050"/>
        <w:right w:val="single" w:sz="4" w:space="0" w:color="92D050"/>
      </w:pBdr>
      <w:spacing w:before="100" w:beforeAutospacing="1" w:after="100" w:afterAutospacing="1"/>
    </w:pPr>
  </w:style>
  <w:style w:type="paragraph" w:customStyle="1" w:styleId="xl64">
    <w:name w:val="xl64"/>
    <w:basedOn w:val="Normal"/>
    <w:rsid w:val="009704AC"/>
    <w:pPr>
      <w:pBdr>
        <w:top w:val="single" w:sz="4" w:space="0" w:color="92D050"/>
        <w:left w:val="single" w:sz="4" w:space="0" w:color="92D050"/>
        <w:bottom w:val="single" w:sz="4" w:space="0" w:color="92D050"/>
        <w:right w:val="single" w:sz="4" w:space="0" w:color="92D050"/>
      </w:pBdr>
      <w:spacing w:before="100" w:beforeAutospacing="1" w:after="100" w:afterAutospacing="1"/>
      <w:jc w:val="center"/>
    </w:pPr>
  </w:style>
  <w:style w:type="paragraph" w:customStyle="1" w:styleId="xl91">
    <w:name w:val="xl91"/>
    <w:basedOn w:val="Normal"/>
    <w:rsid w:val="00803D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homa" w:hAnsi="Thoma"/>
      <w:b/>
      <w:bCs/>
      <w:sz w:val="20"/>
      <w:szCs w:val="20"/>
    </w:rPr>
  </w:style>
  <w:style w:type="paragraph" w:customStyle="1" w:styleId="xl92">
    <w:name w:val="xl92"/>
    <w:basedOn w:val="Normal"/>
    <w:rsid w:val="00803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sz w:val="18"/>
      <w:szCs w:val="18"/>
    </w:rPr>
  </w:style>
  <w:style w:type="paragraph" w:customStyle="1" w:styleId="xl93">
    <w:name w:val="xl93"/>
    <w:basedOn w:val="Normal"/>
    <w:rsid w:val="00803D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8"/>
      <w:szCs w:val="18"/>
    </w:rPr>
  </w:style>
  <w:style w:type="paragraph" w:customStyle="1" w:styleId="xl94">
    <w:name w:val="xl94"/>
    <w:basedOn w:val="Normal"/>
    <w:rsid w:val="00803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Thoma" w:hAnsi="Thoma"/>
      <w:sz w:val="20"/>
      <w:szCs w:val="20"/>
    </w:rPr>
  </w:style>
  <w:style w:type="paragraph" w:customStyle="1" w:styleId="xl95">
    <w:name w:val="xl95"/>
    <w:basedOn w:val="Normal"/>
    <w:rsid w:val="00803DA6"/>
    <w:pPr>
      <w:pBdr>
        <w:top w:val="single" w:sz="4" w:space="0" w:color="auto"/>
        <w:left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96">
    <w:name w:val="xl96"/>
    <w:basedOn w:val="Normal"/>
    <w:rsid w:val="00803DA6"/>
    <w:pPr>
      <w:pBdr>
        <w:left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97">
    <w:name w:val="xl97"/>
    <w:basedOn w:val="Normal"/>
    <w:rsid w:val="00803DA6"/>
    <w:pPr>
      <w:pBdr>
        <w:left w:val="single" w:sz="4" w:space="0" w:color="auto"/>
        <w:bottom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98">
    <w:name w:val="xl98"/>
    <w:basedOn w:val="Normal"/>
    <w:rsid w:val="00803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Thoma" w:hAnsi="Thoma"/>
      <w:sz w:val="20"/>
      <w:szCs w:val="20"/>
    </w:rPr>
  </w:style>
  <w:style w:type="paragraph" w:customStyle="1" w:styleId="xl99">
    <w:name w:val="xl99"/>
    <w:basedOn w:val="Normal"/>
    <w:rsid w:val="00803DA6"/>
    <w:pPr>
      <w:pBdr>
        <w:left w:val="single" w:sz="4" w:space="0" w:color="auto"/>
        <w:bottom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0">
    <w:name w:val="xl100"/>
    <w:basedOn w:val="Normal"/>
    <w:rsid w:val="00803D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1">
    <w:name w:val="xl101"/>
    <w:basedOn w:val="Normal"/>
    <w:rsid w:val="00803DA6"/>
    <w:pPr>
      <w:pBdr>
        <w:top w:val="single" w:sz="4" w:space="0" w:color="auto"/>
        <w:left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2">
    <w:name w:val="xl102"/>
    <w:basedOn w:val="Normal"/>
    <w:rsid w:val="00803DA6"/>
    <w:pPr>
      <w:pBdr>
        <w:top w:val="single" w:sz="4" w:space="0" w:color="auto"/>
        <w:left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3">
    <w:name w:val="xl103"/>
    <w:basedOn w:val="Normal"/>
    <w:rsid w:val="00803DA6"/>
    <w:pPr>
      <w:pBdr>
        <w:left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4">
    <w:name w:val="xl104"/>
    <w:basedOn w:val="Normal"/>
    <w:rsid w:val="00803DA6"/>
    <w:pPr>
      <w:pBdr>
        <w:left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5">
    <w:name w:val="xl105"/>
    <w:basedOn w:val="Normal"/>
    <w:rsid w:val="00803DA6"/>
    <w:pPr>
      <w:pBdr>
        <w:left w:val="single" w:sz="4" w:space="0" w:color="auto"/>
        <w:bottom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6">
    <w:name w:val="xl106"/>
    <w:basedOn w:val="Normal"/>
    <w:rsid w:val="00803D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7">
    <w:name w:val="xl107"/>
    <w:basedOn w:val="Normal"/>
    <w:rsid w:val="00803D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8">
    <w:name w:val="xl108"/>
    <w:basedOn w:val="Normal"/>
    <w:rsid w:val="00803DA6"/>
    <w:pPr>
      <w:spacing w:before="100" w:beforeAutospacing="1" w:after="100" w:afterAutospacing="1"/>
    </w:pPr>
  </w:style>
  <w:style w:type="character" w:styleId="Strong">
    <w:name w:val="Strong"/>
    <w:basedOn w:val="DefaultParagraphFont"/>
    <w:uiPriority w:val="22"/>
    <w:qFormat/>
    <w:rsid w:val="00DD2BAC"/>
    <w:rPr>
      <w:b/>
      <w:bCs/>
    </w:rPr>
  </w:style>
  <w:style w:type="paragraph" w:styleId="Revision">
    <w:name w:val="Revision"/>
    <w:hidden/>
    <w:uiPriority w:val="99"/>
    <w:semiHidden/>
    <w:rsid w:val="00B32DED"/>
    <w:rPr>
      <w:sz w:val="24"/>
      <w:szCs w:val="24"/>
      <w:lang w:val="en-US" w:eastAsia="en-US"/>
    </w:rPr>
  </w:style>
  <w:style w:type="character" w:customStyle="1" w:styleId="ft2">
    <w:name w:val="ft2"/>
    <w:basedOn w:val="DefaultParagraphFont"/>
    <w:rsid w:val="00732C77"/>
  </w:style>
  <w:style w:type="character" w:styleId="UnresolvedMention">
    <w:name w:val="Unresolved Mention"/>
    <w:basedOn w:val="DefaultParagraphFont"/>
    <w:uiPriority w:val="99"/>
    <w:semiHidden/>
    <w:unhideWhenUsed/>
    <w:rsid w:val="00634ED1"/>
    <w:rPr>
      <w:color w:val="605E5C"/>
      <w:shd w:val="clear" w:color="auto" w:fill="E1DFDD"/>
    </w:rPr>
  </w:style>
  <w:style w:type="character" w:customStyle="1" w:styleId="normaltextrun">
    <w:name w:val="normaltextrun"/>
    <w:basedOn w:val="DefaultParagraphFont"/>
    <w:rsid w:val="00816604"/>
  </w:style>
  <w:style w:type="paragraph" w:customStyle="1" w:styleId="TableParagraph">
    <w:name w:val="Table Paragraph"/>
    <w:basedOn w:val="Normal"/>
    <w:uiPriority w:val="1"/>
    <w:qFormat/>
    <w:rsid w:val="00823DE4"/>
    <w:pPr>
      <w:widowControl w:val="0"/>
      <w:autoSpaceDE w:val="0"/>
      <w:autoSpaceDN w:val="0"/>
    </w:pPr>
    <w:rPr>
      <w:rFonts w:ascii="Arial MT" w:eastAsia="Arial MT" w:hAnsi="Arial MT" w:cs="Arial MT"/>
      <w:sz w:val="22"/>
      <w:szCs w:val="22"/>
    </w:rPr>
  </w:style>
  <w:style w:type="table" w:customStyle="1" w:styleId="TableGrid1">
    <w:name w:val="Table Grid1"/>
    <w:basedOn w:val="TableNormal"/>
    <w:next w:val="TableGrid"/>
    <w:uiPriority w:val="39"/>
    <w:rsid w:val="00E12B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450B2C"/>
    <w:rPr>
      <w:rFonts w:ascii="Calibri" w:eastAsiaTheme="minorHAnsi" w:hAnsi="Calibri" w:cs="Calibri"/>
      <w:sz w:val="22"/>
      <w:szCs w:val="22"/>
      <w:lang w:val="en-IN" w:eastAsia="en-IN"/>
    </w:rPr>
  </w:style>
  <w:style w:type="paragraph" w:customStyle="1" w:styleId="xmsolistparagraph">
    <w:name w:val="x_msolistparagraph"/>
    <w:basedOn w:val="Normal"/>
    <w:rsid w:val="00450B2C"/>
    <w:pPr>
      <w:spacing w:after="200" w:line="276" w:lineRule="auto"/>
      <w:ind w:left="720"/>
    </w:pPr>
    <w:rPr>
      <w:rFonts w:ascii="Calibri" w:eastAsiaTheme="minorHAnsi" w:hAnsi="Calibri" w:cs="Calibri"/>
      <w:sz w:val="22"/>
      <w:szCs w:val="22"/>
      <w:lang w:val="en-IN" w:eastAsia="en-IN"/>
    </w:rPr>
  </w:style>
  <w:style w:type="table" w:customStyle="1" w:styleId="TableGrid2">
    <w:name w:val="Table Grid2"/>
    <w:basedOn w:val="TableNormal"/>
    <w:next w:val="TableGrid"/>
    <w:uiPriority w:val="39"/>
    <w:rsid w:val="00C129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unhideWhenUsed/>
    <w:rsid w:val="00833B8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B031D"/>
    <w:rPr>
      <w:rFonts w:ascii="Calibri" w:eastAsia="Calibri" w:hAnsi="Calibri"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148">
      <w:bodyDiv w:val="1"/>
      <w:marLeft w:val="0"/>
      <w:marRight w:val="0"/>
      <w:marTop w:val="0"/>
      <w:marBottom w:val="0"/>
      <w:divBdr>
        <w:top w:val="none" w:sz="0" w:space="0" w:color="auto"/>
        <w:left w:val="none" w:sz="0" w:space="0" w:color="auto"/>
        <w:bottom w:val="none" w:sz="0" w:space="0" w:color="auto"/>
        <w:right w:val="none" w:sz="0" w:space="0" w:color="auto"/>
      </w:divBdr>
    </w:div>
    <w:div w:id="9332615">
      <w:bodyDiv w:val="1"/>
      <w:marLeft w:val="0"/>
      <w:marRight w:val="0"/>
      <w:marTop w:val="0"/>
      <w:marBottom w:val="0"/>
      <w:divBdr>
        <w:top w:val="none" w:sz="0" w:space="0" w:color="auto"/>
        <w:left w:val="none" w:sz="0" w:space="0" w:color="auto"/>
        <w:bottom w:val="none" w:sz="0" w:space="0" w:color="auto"/>
        <w:right w:val="none" w:sz="0" w:space="0" w:color="auto"/>
      </w:divBdr>
    </w:div>
    <w:div w:id="21514271">
      <w:bodyDiv w:val="1"/>
      <w:marLeft w:val="0"/>
      <w:marRight w:val="0"/>
      <w:marTop w:val="0"/>
      <w:marBottom w:val="0"/>
      <w:divBdr>
        <w:top w:val="none" w:sz="0" w:space="0" w:color="auto"/>
        <w:left w:val="none" w:sz="0" w:space="0" w:color="auto"/>
        <w:bottom w:val="none" w:sz="0" w:space="0" w:color="auto"/>
        <w:right w:val="none" w:sz="0" w:space="0" w:color="auto"/>
      </w:divBdr>
    </w:div>
    <w:div w:id="23404361">
      <w:bodyDiv w:val="1"/>
      <w:marLeft w:val="0"/>
      <w:marRight w:val="0"/>
      <w:marTop w:val="0"/>
      <w:marBottom w:val="0"/>
      <w:divBdr>
        <w:top w:val="none" w:sz="0" w:space="0" w:color="auto"/>
        <w:left w:val="none" w:sz="0" w:space="0" w:color="auto"/>
        <w:bottom w:val="none" w:sz="0" w:space="0" w:color="auto"/>
        <w:right w:val="none" w:sz="0" w:space="0" w:color="auto"/>
      </w:divBdr>
    </w:div>
    <w:div w:id="27416931">
      <w:bodyDiv w:val="1"/>
      <w:marLeft w:val="0"/>
      <w:marRight w:val="0"/>
      <w:marTop w:val="0"/>
      <w:marBottom w:val="0"/>
      <w:divBdr>
        <w:top w:val="none" w:sz="0" w:space="0" w:color="auto"/>
        <w:left w:val="none" w:sz="0" w:space="0" w:color="auto"/>
        <w:bottom w:val="none" w:sz="0" w:space="0" w:color="auto"/>
        <w:right w:val="none" w:sz="0" w:space="0" w:color="auto"/>
      </w:divBdr>
    </w:div>
    <w:div w:id="67775772">
      <w:bodyDiv w:val="1"/>
      <w:marLeft w:val="0"/>
      <w:marRight w:val="0"/>
      <w:marTop w:val="0"/>
      <w:marBottom w:val="0"/>
      <w:divBdr>
        <w:top w:val="none" w:sz="0" w:space="0" w:color="auto"/>
        <w:left w:val="none" w:sz="0" w:space="0" w:color="auto"/>
        <w:bottom w:val="none" w:sz="0" w:space="0" w:color="auto"/>
        <w:right w:val="none" w:sz="0" w:space="0" w:color="auto"/>
      </w:divBdr>
    </w:div>
    <w:div w:id="82188878">
      <w:bodyDiv w:val="1"/>
      <w:marLeft w:val="0"/>
      <w:marRight w:val="0"/>
      <w:marTop w:val="0"/>
      <w:marBottom w:val="0"/>
      <w:divBdr>
        <w:top w:val="none" w:sz="0" w:space="0" w:color="auto"/>
        <w:left w:val="none" w:sz="0" w:space="0" w:color="auto"/>
        <w:bottom w:val="none" w:sz="0" w:space="0" w:color="auto"/>
        <w:right w:val="none" w:sz="0" w:space="0" w:color="auto"/>
      </w:divBdr>
    </w:div>
    <w:div w:id="85736401">
      <w:bodyDiv w:val="1"/>
      <w:marLeft w:val="0"/>
      <w:marRight w:val="0"/>
      <w:marTop w:val="0"/>
      <w:marBottom w:val="0"/>
      <w:divBdr>
        <w:top w:val="none" w:sz="0" w:space="0" w:color="auto"/>
        <w:left w:val="none" w:sz="0" w:space="0" w:color="auto"/>
        <w:bottom w:val="none" w:sz="0" w:space="0" w:color="auto"/>
        <w:right w:val="none" w:sz="0" w:space="0" w:color="auto"/>
      </w:divBdr>
    </w:div>
    <w:div w:id="104932444">
      <w:bodyDiv w:val="1"/>
      <w:marLeft w:val="0"/>
      <w:marRight w:val="0"/>
      <w:marTop w:val="0"/>
      <w:marBottom w:val="0"/>
      <w:divBdr>
        <w:top w:val="none" w:sz="0" w:space="0" w:color="auto"/>
        <w:left w:val="none" w:sz="0" w:space="0" w:color="auto"/>
        <w:bottom w:val="none" w:sz="0" w:space="0" w:color="auto"/>
        <w:right w:val="none" w:sz="0" w:space="0" w:color="auto"/>
      </w:divBdr>
    </w:div>
    <w:div w:id="114982894">
      <w:bodyDiv w:val="1"/>
      <w:marLeft w:val="0"/>
      <w:marRight w:val="0"/>
      <w:marTop w:val="0"/>
      <w:marBottom w:val="0"/>
      <w:divBdr>
        <w:top w:val="none" w:sz="0" w:space="0" w:color="auto"/>
        <w:left w:val="none" w:sz="0" w:space="0" w:color="auto"/>
        <w:bottom w:val="none" w:sz="0" w:space="0" w:color="auto"/>
        <w:right w:val="none" w:sz="0" w:space="0" w:color="auto"/>
      </w:divBdr>
    </w:div>
    <w:div w:id="123543779">
      <w:bodyDiv w:val="1"/>
      <w:marLeft w:val="0"/>
      <w:marRight w:val="0"/>
      <w:marTop w:val="0"/>
      <w:marBottom w:val="0"/>
      <w:divBdr>
        <w:top w:val="none" w:sz="0" w:space="0" w:color="auto"/>
        <w:left w:val="none" w:sz="0" w:space="0" w:color="auto"/>
        <w:bottom w:val="none" w:sz="0" w:space="0" w:color="auto"/>
        <w:right w:val="none" w:sz="0" w:space="0" w:color="auto"/>
      </w:divBdr>
    </w:div>
    <w:div w:id="124273112">
      <w:bodyDiv w:val="1"/>
      <w:marLeft w:val="0"/>
      <w:marRight w:val="0"/>
      <w:marTop w:val="0"/>
      <w:marBottom w:val="0"/>
      <w:divBdr>
        <w:top w:val="none" w:sz="0" w:space="0" w:color="auto"/>
        <w:left w:val="none" w:sz="0" w:space="0" w:color="auto"/>
        <w:bottom w:val="none" w:sz="0" w:space="0" w:color="auto"/>
        <w:right w:val="none" w:sz="0" w:space="0" w:color="auto"/>
      </w:divBdr>
    </w:div>
    <w:div w:id="171263607">
      <w:bodyDiv w:val="1"/>
      <w:marLeft w:val="0"/>
      <w:marRight w:val="0"/>
      <w:marTop w:val="0"/>
      <w:marBottom w:val="0"/>
      <w:divBdr>
        <w:top w:val="none" w:sz="0" w:space="0" w:color="auto"/>
        <w:left w:val="none" w:sz="0" w:space="0" w:color="auto"/>
        <w:bottom w:val="none" w:sz="0" w:space="0" w:color="auto"/>
        <w:right w:val="none" w:sz="0" w:space="0" w:color="auto"/>
      </w:divBdr>
    </w:div>
    <w:div w:id="208567896">
      <w:bodyDiv w:val="1"/>
      <w:marLeft w:val="0"/>
      <w:marRight w:val="0"/>
      <w:marTop w:val="0"/>
      <w:marBottom w:val="0"/>
      <w:divBdr>
        <w:top w:val="none" w:sz="0" w:space="0" w:color="auto"/>
        <w:left w:val="none" w:sz="0" w:space="0" w:color="auto"/>
        <w:bottom w:val="none" w:sz="0" w:space="0" w:color="auto"/>
        <w:right w:val="none" w:sz="0" w:space="0" w:color="auto"/>
      </w:divBdr>
    </w:div>
    <w:div w:id="209801754">
      <w:bodyDiv w:val="1"/>
      <w:marLeft w:val="0"/>
      <w:marRight w:val="0"/>
      <w:marTop w:val="0"/>
      <w:marBottom w:val="0"/>
      <w:divBdr>
        <w:top w:val="none" w:sz="0" w:space="0" w:color="auto"/>
        <w:left w:val="none" w:sz="0" w:space="0" w:color="auto"/>
        <w:bottom w:val="none" w:sz="0" w:space="0" w:color="auto"/>
        <w:right w:val="none" w:sz="0" w:space="0" w:color="auto"/>
      </w:divBdr>
    </w:div>
    <w:div w:id="217857886">
      <w:bodyDiv w:val="1"/>
      <w:marLeft w:val="0"/>
      <w:marRight w:val="0"/>
      <w:marTop w:val="0"/>
      <w:marBottom w:val="0"/>
      <w:divBdr>
        <w:top w:val="none" w:sz="0" w:space="0" w:color="auto"/>
        <w:left w:val="none" w:sz="0" w:space="0" w:color="auto"/>
        <w:bottom w:val="none" w:sz="0" w:space="0" w:color="auto"/>
        <w:right w:val="none" w:sz="0" w:space="0" w:color="auto"/>
      </w:divBdr>
      <w:divsChild>
        <w:div w:id="2093775457">
          <w:marLeft w:val="0"/>
          <w:marRight w:val="0"/>
          <w:marTop w:val="0"/>
          <w:marBottom w:val="0"/>
          <w:divBdr>
            <w:top w:val="none" w:sz="0" w:space="0" w:color="auto"/>
            <w:left w:val="none" w:sz="0" w:space="0" w:color="auto"/>
            <w:bottom w:val="none" w:sz="0" w:space="0" w:color="auto"/>
            <w:right w:val="none" w:sz="0" w:space="0" w:color="auto"/>
          </w:divBdr>
          <w:divsChild>
            <w:div w:id="379718508">
              <w:marLeft w:val="0"/>
              <w:marRight w:val="0"/>
              <w:marTop w:val="0"/>
              <w:marBottom w:val="0"/>
              <w:divBdr>
                <w:top w:val="none" w:sz="0" w:space="0" w:color="auto"/>
                <w:left w:val="none" w:sz="0" w:space="0" w:color="auto"/>
                <w:bottom w:val="none" w:sz="0" w:space="0" w:color="auto"/>
                <w:right w:val="none" w:sz="0" w:space="0" w:color="auto"/>
              </w:divBdr>
            </w:div>
            <w:div w:id="628511457">
              <w:marLeft w:val="0"/>
              <w:marRight w:val="0"/>
              <w:marTop w:val="0"/>
              <w:marBottom w:val="0"/>
              <w:divBdr>
                <w:top w:val="none" w:sz="0" w:space="0" w:color="auto"/>
                <w:left w:val="none" w:sz="0" w:space="0" w:color="auto"/>
                <w:bottom w:val="none" w:sz="0" w:space="0" w:color="auto"/>
                <w:right w:val="none" w:sz="0" w:space="0" w:color="auto"/>
              </w:divBdr>
            </w:div>
            <w:div w:id="1119186640">
              <w:marLeft w:val="0"/>
              <w:marRight w:val="0"/>
              <w:marTop w:val="0"/>
              <w:marBottom w:val="0"/>
              <w:divBdr>
                <w:top w:val="none" w:sz="0" w:space="0" w:color="auto"/>
                <w:left w:val="none" w:sz="0" w:space="0" w:color="auto"/>
                <w:bottom w:val="none" w:sz="0" w:space="0" w:color="auto"/>
                <w:right w:val="none" w:sz="0" w:space="0" w:color="auto"/>
              </w:divBdr>
            </w:div>
            <w:div w:id="1196381497">
              <w:marLeft w:val="0"/>
              <w:marRight w:val="0"/>
              <w:marTop w:val="0"/>
              <w:marBottom w:val="0"/>
              <w:divBdr>
                <w:top w:val="none" w:sz="0" w:space="0" w:color="auto"/>
                <w:left w:val="none" w:sz="0" w:space="0" w:color="auto"/>
                <w:bottom w:val="none" w:sz="0" w:space="0" w:color="auto"/>
                <w:right w:val="none" w:sz="0" w:space="0" w:color="auto"/>
              </w:divBdr>
            </w:div>
            <w:div w:id="126071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00384">
      <w:bodyDiv w:val="1"/>
      <w:marLeft w:val="0"/>
      <w:marRight w:val="0"/>
      <w:marTop w:val="0"/>
      <w:marBottom w:val="0"/>
      <w:divBdr>
        <w:top w:val="none" w:sz="0" w:space="0" w:color="auto"/>
        <w:left w:val="none" w:sz="0" w:space="0" w:color="auto"/>
        <w:bottom w:val="none" w:sz="0" w:space="0" w:color="auto"/>
        <w:right w:val="none" w:sz="0" w:space="0" w:color="auto"/>
      </w:divBdr>
    </w:div>
    <w:div w:id="233509339">
      <w:bodyDiv w:val="1"/>
      <w:marLeft w:val="0"/>
      <w:marRight w:val="0"/>
      <w:marTop w:val="0"/>
      <w:marBottom w:val="0"/>
      <w:divBdr>
        <w:top w:val="none" w:sz="0" w:space="0" w:color="auto"/>
        <w:left w:val="none" w:sz="0" w:space="0" w:color="auto"/>
        <w:bottom w:val="none" w:sz="0" w:space="0" w:color="auto"/>
        <w:right w:val="none" w:sz="0" w:space="0" w:color="auto"/>
      </w:divBdr>
    </w:div>
    <w:div w:id="237135550">
      <w:bodyDiv w:val="1"/>
      <w:marLeft w:val="0"/>
      <w:marRight w:val="0"/>
      <w:marTop w:val="0"/>
      <w:marBottom w:val="0"/>
      <w:divBdr>
        <w:top w:val="none" w:sz="0" w:space="0" w:color="auto"/>
        <w:left w:val="none" w:sz="0" w:space="0" w:color="auto"/>
        <w:bottom w:val="none" w:sz="0" w:space="0" w:color="auto"/>
        <w:right w:val="none" w:sz="0" w:space="0" w:color="auto"/>
      </w:divBdr>
    </w:div>
    <w:div w:id="254900914">
      <w:bodyDiv w:val="1"/>
      <w:marLeft w:val="0"/>
      <w:marRight w:val="0"/>
      <w:marTop w:val="0"/>
      <w:marBottom w:val="0"/>
      <w:divBdr>
        <w:top w:val="none" w:sz="0" w:space="0" w:color="auto"/>
        <w:left w:val="none" w:sz="0" w:space="0" w:color="auto"/>
        <w:bottom w:val="none" w:sz="0" w:space="0" w:color="auto"/>
        <w:right w:val="none" w:sz="0" w:space="0" w:color="auto"/>
      </w:divBdr>
    </w:div>
    <w:div w:id="259989819">
      <w:bodyDiv w:val="1"/>
      <w:marLeft w:val="0"/>
      <w:marRight w:val="0"/>
      <w:marTop w:val="0"/>
      <w:marBottom w:val="0"/>
      <w:divBdr>
        <w:top w:val="none" w:sz="0" w:space="0" w:color="auto"/>
        <w:left w:val="none" w:sz="0" w:space="0" w:color="auto"/>
        <w:bottom w:val="none" w:sz="0" w:space="0" w:color="auto"/>
        <w:right w:val="none" w:sz="0" w:space="0" w:color="auto"/>
      </w:divBdr>
    </w:div>
    <w:div w:id="290209326">
      <w:bodyDiv w:val="1"/>
      <w:marLeft w:val="0"/>
      <w:marRight w:val="0"/>
      <w:marTop w:val="0"/>
      <w:marBottom w:val="0"/>
      <w:divBdr>
        <w:top w:val="none" w:sz="0" w:space="0" w:color="auto"/>
        <w:left w:val="none" w:sz="0" w:space="0" w:color="auto"/>
        <w:bottom w:val="none" w:sz="0" w:space="0" w:color="auto"/>
        <w:right w:val="none" w:sz="0" w:space="0" w:color="auto"/>
      </w:divBdr>
    </w:div>
    <w:div w:id="298535009">
      <w:bodyDiv w:val="1"/>
      <w:marLeft w:val="0"/>
      <w:marRight w:val="0"/>
      <w:marTop w:val="0"/>
      <w:marBottom w:val="0"/>
      <w:divBdr>
        <w:top w:val="none" w:sz="0" w:space="0" w:color="auto"/>
        <w:left w:val="none" w:sz="0" w:space="0" w:color="auto"/>
        <w:bottom w:val="none" w:sz="0" w:space="0" w:color="auto"/>
        <w:right w:val="none" w:sz="0" w:space="0" w:color="auto"/>
      </w:divBdr>
    </w:div>
    <w:div w:id="299918114">
      <w:bodyDiv w:val="1"/>
      <w:marLeft w:val="0"/>
      <w:marRight w:val="0"/>
      <w:marTop w:val="0"/>
      <w:marBottom w:val="0"/>
      <w:divBdr>
        <w:top w:val="none" w:sz="0" w:space="0" w:color="auto"/>
        <w:left w:val="none" w:sz="0" w:space="0" w:color="auto"/>
        <w:bottom w:val="none" w:sz="0" w:space="0" w:color="auto"/>
        <w:right w:val="none" w:sz="0" w:space="0" w:color="auto"/>
      </w:divBdr>
    </w:div>
    <w:div w:id="314334841">
      <w:bodyDiv w:val="1"/>
      <w:marLeft w:val="0"/>
      <w:marRight w:val="0"/>
      <w:marTop w:val="0"/>
      <w:marBottom w:val="0"/>
      <w:divBdr>
        <w:top w:val="none" w:sz="0" w:space="0" w:color="auto"/>
        <w:left w:val="none" w:sz="0" w:space="0" w:color="auto"/>
        <w:bottom w:val="none" w:sz="0" w:space="0" w:color="auto"/>
        <w:right w:val="none" w:sz="0" w:space="0" w:color="auto"/>
      </w:divBdr>
    </w:div>
    <w:div w:id="325327418">
      <w:bodyDiv w:val="1"/>
      <w:marLeft w:val="0"/>
      <w:marRight w:val="0"/>
      <w:marTop w:val="0"/>
      <w:marBottom w:val="0"/>
      <w:divBdr>
        <w:top w:val="none" w:sz="0" w:space="0" w:color="auto"/>
        <w:left w:val="none" w:sz="0" w:space="0" w:color="auto"/>
        <w:bottom w:val="none" w:sz="0" w:space="0" w:color="auto"/>
        <w:right w:val="none" w:sz="0" w:space="0" w:color="auto"/>
      </w:divBdr>
    </w:div>
    <w:div w:id="329449820">
      <w:bodyDiv w:val="1"/>
      <w:marLeft w:val="0"/>
      <w:marRight w:val="0"/>
      <w:marTop w:val="0"/>
      <w:marBottom w:val="0"/>
      <w:divBdr>
        <w:top w:val="none" w:sz="0" w:space="0" w:color="auto"/>
        <w:left w:val="none" w:sz="0" w:space="0" w:color="auto"/>
        <w:bottom w:val="none" w:sz="0" w:space="0" w:color="auto"/>
        <w:right w:val="none" w:sz="0" w:space="0" w:color="auto"/>
      </w:divBdr>
    </w:div>
    <w:div w:id="331493078">
      <w:bodyDiv w:val="1"/>
      <w:marLeft w:val="0"/>
      <w:marRight w:val="0"/>
      <w:marTop w:val="0"/>
      <w:marBottom w:val="0"/>
      <w:divBdr>
        <w:top w:val="none" w:sz="0" w:space="0" w:color="auto"/>
        <w:left w:val="none" w:sz="0" w:space="0" w:color="auto"/>
        <w:bottom w:val="none" w:sz="0" w:space="0" w:color="auto"/>
        <w:right w:val="none" w:sz="0" w:space="0" w:color="auto"/>
      </w:divBdr>
    </w:div>
    <w:div w:id="338435777">
      <w:bodyDiv w:val="1"/>
      <w:marLeft w:val="0"/>
      <w:marRight w:val="0"/>
      <w:marTop w:val="0"/>
      <w:marBottom w:val="0"/>
      <w:divBdr>
        <w:top w:val="none" w:sz="0" w:space="0" w:color="auto"/>
        <w:left w:val="none" w:sz="0" w:space="0" w:color="auto"/>
        <w:bottom w:val="none" w:sz="0" w:space="0" w:color="auto"/>
        <w:right w:val="none" w:sz="0" w:space="0" w:color="auto"/>
      </w:divBdr>
    </w:div>
    <w:div w:id="340201580">
      <w:bodyDiv w:val="1"/>
      <w:marLeft w:val="0"/>
      <w:marRight w:val="0"/>
      <w:marTop w:val="0"/>
      <w:marBottom w:val="0"/>
      <w:divBdr>
        <w:top w:val="none" w:sz="0" w:space="0" w:color="auto"/>
        <w:left w:val="none" w:sz="0" w:space="0" w:color="auto"/>
        <w:bottom w:val="none" w:sz="0" w:space="0" w:color="auto"/>
        <w:right w:val="none" w:sz="0" w:space="0" w:color="auto"/>
      </w:divBdr>
    </w:div>
    <w:div w:id="341977553">
      <w:bodyDiv w:val="1"/>
      <w:marLeft w:val="0"/>
      <w:marRight w:val="0"/>
      <w:marTop w:val="0"/>
      <w:marBottom w:val="0"/>
      <w:divBdr>
        <w:top w:val="none" w:sz="0" w:space="0" w:color="auto"/>
        <w:left w:val="none" w:sz="0" w:space="0" w:color="auto"/>
        <w:bottom w:val="none" w:sz="0" w:space="0" w:color="auto"/>
        <w:right w:val="none" w:sz="0" w:space="0" w:color="auto"/>
      </w:divBdr>
    </w:div>
    <w:div w:id="349458461">
      <w:bodyDiv w:val="1"/>
      <w:marLeft w:val="0"/>
      <w:marRight w:val="0"/>
      <w:marTop w:val="0"/>
      <w:marBottom w:val="0"/>
      <w:divBdr>
        <w:top w:val="none" w:sz="0" w:space="0" w:color="auto"/>
        <w:left w:val="none" w:sz="0" w:space="0" w:color="auto"/>
        <w:bottom w:val="none" w:sz="0" w:space="0" w:color="auto"/>
        <w:right w:val="none" w:sz="0" w:space="0" w:color="auto"/>
      </w:divBdr>
    </w:div>
    <w:div w:id="379548860">
      <w:bodyDiv w:val="1"/>
      <w:marLeft w:val="0"/>
      <w:marRight w:val="0"/>
      <w:marTop w:val="0"/>
      <w:marBottom w:val="0"/>
      <w:divBdr>
        <w:top w:val="none" w:sz="0" w:space="0" w:color="auto"/>
        <w:left w:val="none" w:sz="0" w:space="0" w:color="auto"/>
        <w:bottom w:val="none" w:sz="0" w:space="0" w:color="auto"/>
        <w:right w:val="none" w:sz="0" w:space="0" w:color="auto"/>
      </w:divBdr>
    </w:div>
    <w:div w:id="380055441">
      <w:bodyDiv w:val="1"/>
      <w:marLeft w:val="0"/>
      <w:marRight w:val="0"/>
      <w:marTop w:val="0"/>
      <w:marBottom w:val="0"/>
      <w:divBdr>
        <w:top w:val="none" w:sz="0" w:space="0" w:color="auto"/>
        <w:left w:val="none" w:sz="0" w:space="0" w:color="auto"/>
        <w:bottom w:val="none" w:sz="0" w:space="0" w:color="auto"/>
        <w:right w:val="none" w:sz="0" w:space="0" w:color="auto"/>
      </w:divBdr>
    </w:div>
    <w:div w:id="387000757">
      <w:bodyDiv w:val="1"/>
      <w:marLeft w:val="0"/>
      <w:marRight w:val="0"/>
      <w:marTop w:val="0"/>
      <w:marBottom w:val="0"/>
      <w:divBdr>
        <w:top w:val="none" w:sz="0" w:space="0" w:color="auto"/>
        <w:left w:val="none" w:sz="0" w:space="0" w:color="auto"/>
        <w:bottom w:val="none" w:sz="0" w:space="0" w:color="auto"/>
        <w:right w:val="none" w:sz="0" w:space="0" w:color="auto"/>
      </w:divBdr>
    </w:div>
    <w:div w:id="393814051">
      <w:bodyDiv w:val="1"/>
      <w:marLeft w:val="0"/>
      <w:marRight w:val="0"/>
      <w:marTop w:val="0"/>
      <w:marBottom w:val="0"/>
      <w:divBdr>
        <w:top w:val="none" w:sz="0" w:space="0" w:color="auto"/>
        <w:left w:val="none" w:sz="0" w:space="0" w:color="auto"/>
        <w:bottom w:val="none" w:sz="0" w:space="0" w:color="auto"/>
        <w:right w:val="none" w:sz="0" w:space="0" w:color="auto"/>
      </w:divBdr>
    </w:div>
    <w:div w:id="408308778">
      <w:bodyDiv w:val="1"/>
      <w:marLeft w:val="0"/>
      <w:marRight w:val="0"/>
      <w:marTop w:val="0"/>
      <w:marBottom w:val="0"/>
      <w:divBdr>
        <w:top w:val="none" w:sz="0" w:space="0" w:color="auto"/>
        <w:left w:val="none" w:sz="0" w:space="0" w:color="auto"/>
        <w:bottom w:val="none" w:sz="0" w:space="0" w:color="auto"/>
        <w:right w:val="none" w:sz="0" w:space="0" w:color="auto"/>
      </w:divBdr>
    </w:div>
    <w:div w:id="410541531">
      <w:bodyDiv w:val="1"/>
      <w:marLeft w:val="0"/>
      <w:marRight w:val="0"/>
      <w:marTop w:val="0"/>
      <w:marBottom w:val="0"/>
      <w:divBdr>
        <w:top w:val="none" w:sz="0" w:space="0" w:color="auto"/>
        <w:left w:val="none" w:sz="0" w:space="0" w:color="auto"/>
        <w:bottom w:val="none" w:sz="0" w:space="0" w:color="auto"/>
        <w:right w:val="none" w:sz="0" w:space="0" w:color="auto"/>
      </w:divBdr>
    </w:div>
    <w:div w:id="410663639">
      <w:bodyDiv w:val="1"/>
      <w:marLeft w:val="0"/>
      <w:marRight w:val="0"/>
      <w:marTop w:val="0"/>
      <w:marBottom w:val="0"/>
      <w:divBdr>
        <w:top w:val="none" w:sz="0" w:space="0" w:color="auto"/>
        <w:left w:val="none" w:sz="0" w:space="0" w:color="auto"/>
        <w:bottom w:val="none" w:sz="0" w:space="0" w:color="auto"/>
        <w:right w:val="none" w:sz="0" w:space="0" w:color="auto"/>
      </w:divBdr>
    </w:div>
    <w:div w:id="413748436">
      <w:bodyDiv w:val="1"/>
      <w:marLeft w:val="0"/>
      <w:marRight w:val="0"/>
      <w:marTop w:val="0"/>
      <w:marBottom w:val="0"/>
      <w:divBdr>
        <w:top w:val="none" w:sz="0" w:space="0" w:color="auto"/>
        <w:left w:val="none" w:sz="0" w:space="0" w:color="auto"/>
        <w:bottom w:val="none" w:sz="0" w:space="0" w:color="auto"/>
        <w:right w:val="none" w:sz="0" w:space="0" w:color="auto"/>
      </w:divBdr>
    </w:div>
    <w:div w:id="414787156">
      <w:bodyDiv w:val="1"/>
      <w:marLeft w:val="0"/>
      <w:marRight w:val="0"/>
      <w:marTop w:val="0"/>
      <w:marBottom w:val="0"/>
      <w:divBdr>
        <w:top w:val="none" w:sz="0" w:space="0" w:color="auto"/>
        <w:left w:val="none" w:sz="0" w:space="0" w:color="auto"/>
        <w:bottom w:val="none" w:sz="0" w:space="0" w:color="auto"/>
        <w:right w:val="none" w:sz="0" w:space="0" w:color="auto"/>
      </w:divBdr>
    </w:div>
    <w:div w:id="423650601">
      <w:bodyDiv w:val="1"/>
      <w:marLeft w:val="0"/>
      <w:marRight w:val="0"/>
      <w:marTop w:val="0"/>
      <w:marBottom w:val="0"/>
      <w:divBdr>
        <w:top w:val="none" w:sz="0" w:space="0" w:color="auto"/>
        <w:left w:val="none" w:sz="0" w:space="0" w:color="auto"/>
        <w:bottom w:val="none" w:sz="0" w:space="0" w:color="auto"/>
        <w:right w:val="none" w:sz="0" w:space="0" w:color="auto"/>
      </w:divBdr>
    </w:div>
    <w:div w:id="432089109">
      <w:bodyDiv w:val="1"/>
      <w:marLeft w:val="0"/>
      <w:marRight w:val="0"/>
      <w:marTop w:val="0"/>
      <w:marBottom w:val="0"/>
      <w:divBdr>
        <w:top w:val="none" w:sz="0" w:space="0" w:color="auto"/>
        <w:left w:val="none" w:sz="0" w:space="0" w:color="auto"/>
        <w:bottom w:val="none" w:sz="0" w:space="0" w:color="auto"/>
        <w:right w:val="none" w:sz="0" w:space="0" w:color="auto"/>
      </w:divBdr>
    </w:div>
    <w:div w:id="435365907">
      <w:bodyDiv w:val="1"/>
      <w:marLeft w:val="0"/>
      <w:marRight w:val="0"/>
      <w:marTop w:val="0"/>
      <w:marBottom w:val="0"/>
      <w:divBdr>
        <w:top w:val="none" w:sz="0" w:space="0" w:color="auto"/>
        <w:left w:val="none" w:sz="0" w:space="0" w:color="auto"/>
        <w:bottom w:val="none" w:sz="0" w:space="0" w:color="auto"/>
        <w:right w:val="none" w:sz="0" w:space="0" w:color="auto"/>
      </w:divBdr>
    </w:div>
    <w:div w:id="460808290">
      <w:bodyDiv w:val="1"/>
      <w:marLeft w:val="0"/>
      <w:marRight w:val="0"/>
      <w:marTop w:val="0"/>
      <w:marBottom w:val="0"/>
      <w:divBdr>
        <w:top w:val="none" w:sz="0" w:space="0" w:color="auto"/>
        <w:left w:val="none" w:sz="0" w:space="0" w:color="auto"/>
        <w:bottom w:val="none" w:sz="0" w:space="0" w:color="auto"/>
        <w:right w:val="none" w:sz="0" w:space="0" w:color="auto"/>
      </w:divBdr>
    </w:div>
    <w:div w:id="473718008">
      <w:bodyDiv w:val="1"/>
      <w:marLeft w:val="0"/>
      <w:marRight w:val="0"/>
      <w:marTop w:val="0"/>
      <w:marBottom w:val="0"/>
      <w:divBdr>
        <w:top w:val="none" w:sz="0" w:space="0" w:color="auto"/>
        <w:left w:val="none" w:sz="0" w:space="0" w:color="auto"/>
        <w:bottom w:val="none" w:sz="0" w:space="0" w:color="auto"/>
        <w:right w:val="none" w:sz="0" w:space="0" w:color="auto"/>
      </w:divBdr>
    </w:div>
    <w:div w:id="479881861">
      <w:bodyDiv w:val="1"/>
      <w:marLeft w:val="0"/>
      <w:marRight w:val="0"/>
      <w:marTop w:val="0"/>
      <w:marBottom w:val="0"/>
      <w:divBdr>
        <w:top w:val="none" w:sz="0" w:space="0" w:color="auto"/>
        <w:left w:val="none" w:sz="0" w:space="0" w:color="auto"/>
        <w:bottom w:val="none" w:sz="0" w:space="0" w:color="auto"/>
        <w:right w:val="none" w:sz="0" w:space="0" w:color="auto"/>
      </w:divBdr>
    </w:div>
    <w:div w:id="502211597">
      <w:bodyDiv w:val="1"/>
      <w:marLeft w:val="0"/>
      <w:marRight w:val="0"/>
      <w:marTop w:val="0"/>
      <w:marBottom w:val="0"/>
      <w:divBdr>
        <w:top w:val="none" w:sz="0" w:space="0" w:color="auto"/>
        <w:left w:val="none" w:sz="0" w:space="0" w:color="auto"/>
        <w:bottom w:val="none" w:sz="0" w:space="0" w:color="auto"/>
        <w:right w:val="none" w:sz="0" w:space="0" w:color="auto"/>
      </w:divBdr>
    </w:div>
    <w:div w:id="506483429">
      <w:bodyDiv w:val="1"/>
      <w:marLeft w:val="0"/>
      <w:marRight w:val="0"/>
      <w:marTop w:val="0"/>
      <w:marBottom w:val="0"/>
      <w:divBdr>
        <w:top w:val="none" w:sz="0" w:space="0" w:color="auto"/>
        <w:left w:val="none" w:sz="0" w:space="0" w:color="auto"/>
        <w:bottom w:val="none" w:sz="0" w:space="0" w:color="auto"/>
        <w:right w:val="none" w:sz="0" w:space="0" w:color="auto"/>
      </w:divBdr>
    </w:div>
    <w:div w:id="510418867">
      <w:bodyDiv w:val="1"/>
      <w:marLeft w:val="0"/>
      <w:marRight w:val="0"/>
      <w:marTop w:val="0"/>
      <w:marBottom w:val="0"/>
      <w:divBdr>
        <w:top w:val="none" w:sz="0" w:space="0" w:color="auto"/>
        <w:left w:val="none" w:sz="0" w:space="0" w:color="auto"/>
        <w:bottom w:val="none" w:sz="0" w:space="0" w:color="auto"/>
        <w:right w:val="none" w:sz="0" w:space="0" w:color="auto"/>
      </w:divBdr>
    </w:div>
    <w:div w:id="515114274">
      <w:bodyDiv w:val="1"/>
      <w:marLeft w:val="0"/>
      <w:marRight w:val="0"/>
      <w:marTop w:val="0"/>
      <w:marBottom w:val="0"/>
      <w:divBdr>
        <w:top w:val="none" w:sz="0" w:space="0" w:color="auto"/>
        <w:left w:val="none" w:sz="0" w:space="0" w:color="auto"/>
        <w:bottom w:val="none" w:sz="0" w:space="0" w:color="auto"/>
        <w:right w:val="none" w:sz="0" w:space="0" w:color="auto"/>
      </w:divBdr>
    </w:div>
    <w:div w:id="521360623">
      <w:bodyDiv w:val="1"/>
      <w:marLeft w:val="0"/>
      <w:marRight w:val="0"/>
      <w:marTop w:val="0"/>
      <w:marBottom w:val="0"/>
      <w:divBdr>
        <w:top w:val="none" w:sz="0" w:space="0" w:color="auto"/>
        <w:left w:val="none" w:sz="0" w:space="0" w:color="auto"/>
        <w:bottom w:val="none" w:sz="0" w:space="0" w:color="auto"/>
        <w:right w:val="none" w:sz="0" w:space="0" w:color="auto"/>
      </w:divBdr>
    </w:div>
    <w:div w:id="528299738">
      <w:bodyDiv w:val="1"/>
      <w:marLeft w:val="0"/>
      <w:marRight w:val="0"/>
      <w:marTop w:val="0"/>
      <w:marBottom w:val="0"/>
      <w:divBdr>
        <w:top w:val="none" w:sz="0" w:space="0" w:color="auto"/>
        <w:left w:val="none" w:sz="0" w:space="0" w:color="auto"/>
        <w:bottom w:val="none" w:sz="0" w:space="0" w:color="auto"/>
        <w:right w:val="none" w:sz="0" w:space="0" w:color="auto"/>
      </w:divBdr>
    </w:div>
    <w:div w:id="533080843">
      <w:bodyDiv w:val="1"/>
      <w:marLeft w:val="0"/>
      <w:marRight w:val="0"/>
      <w:marTop w:val="0"/>
      <w:marBottom w:val="0"/>
      <w:divBdr>
        <w:top w:val="none" w:sz="0" w:space="0" w:color="auto"/>
        <w:left w:val="none" w:sz="0" w:space="0" w:color="auto"/>
        <w:bottom w:val="none" w:sz="0" w:space="0" w:color="auto"/>
        <w:right w:val="none" w:sz="0" w:space="0" w:color="auto"/>
      </w:divBdr>
    </w:div>
    <w:div w:id="536040644">
      <w:bodyDiv w:val="1"/>
      <w:marLeft w:val="0"/>
      <w:marRight w:val="0"/>
      <w:marTop w:val="0"/>
      <w:marBottom w:val="0"/>
      <w:divBdr>
        <w:top w:val="none" w:sz="0" w:space="0" w:color="auto"/>
        <w:left w:val="none" w:sz="0" w:space="0" w:color="auto"/>
        <w:bottom w:val="none" w:sz="0" w:space="0" w:color="auto"/>
        <w:right w:val="none" w:sz="0" w:space="0" w:color="auto"/>
      </w:divBdr>
    </w:div>
    <w:div w:id="543911384">
      <w:bodyDiv w:val="1"/>
      <w:marLeft w:val="0"/>
      <w:marRight w:val="0"/>
      <w:marTop w:val="0"/>
      <w:marBottom w:val="0"/>
      <w:divBdr>
        <w:top w:val="none" w:sz="0" w:space="0" w:color="auto"/>
        <w:left w:val="none" w:sz="0" w:space="0" w:color="auto"/>
        <w:bottom w:val="none" w:sz="0" w:space="0" w:color="auto"/>
        <w:right w:val="none" w:sz="0" w:space="0" w:color="auto"/>
      </w:divBdr>
    </w:div>
    <w:div w:id="551963112">
      <w:bodyDiv w:val="1"/>
      <w:marLeft w:val="0"/>
      <w:marRight w:val="0"/>
      <w:marTop w:val="0"/>
      <w:marBottom w:val="0"/>
      <w:divBdr>
        <w:top w:val="none" w:sz="0" w:space="0" w:color="auto"/>
        <w:left w:val="none" w:sz="0" w:space="0" w:color="auto"/>
        <w:bottom w:val="none" w:sz="0" w:space="0" w:color="auto"/>
        <w:right w:val="none" w:sz="0" w:space="0" w:color="auto"/>
      </w:divBdr>
      <w:divsChild>
        <w:div w:id="372118937">
          <w:marLeft w:val="547"/>
          <w:marRight w:val="0"/>
          <w:marTop w:val="96"/>
          <w:marBottom w:val="0"/>
          <w:divBdr>
            <w:top w:val="none" w:sz="0" w:space="0" w:color="auto"/>
            <w:left w:val="none" w:sz="0" w:space="0" w:color="auto"/>
            <w:bottom w:val="none" w:sz="0" w:space="0" w:color="auto"/>
            <w:right w:val="none" w:sz="0" w:space="0" w:color="auto"/>
          </w:divBdr>
        </w:div>
      </w:divsChild>
    </w:div>
    <w:div w:id="553809179">
      <w:bodyDiv w:val="1"/>
      <w:marLeft w:val="0"/>
      <w:marRight w:val="0"/>
      <w:marTop w:val="0"/>
      <w:marBottom w:val="0"/>
      <w:divBdr>
        <w:top w:val="none" w:sz="0" w:space="0" w:color="auto"/>
        <w:left w:val="none" w:sz="0" w:space="0" w:color="auto"/>
        <w:bottom w:val="none" w:sz="0" w:space="0" w:color="auto"/>
        <w:right w:val="none" w:sz="0" w:space="0" w:color="auto"/>
      </w:divBdr>
    </w:div>
    <w:div w:id="562520947">
      <w:bodyDiv w:val="1"/>
      <w:marLeft w:val="0"/>
      <w:marRight w:val="0"/>
      <w:marTop w:val="0"/>
      <w:marBottom w:val="0"/>
      <w:divBdr>
        <w:top w:val="none" w:sz="0" w:space="0" w:color="auto"/>
        <w:left w:val="none" w:sz="0" w:space="0" w:color="auto"/>
        <w:bottom w:val="none" w:sz="0" w:space="0" w:color="auto"/>
        <w:right w:val="none" w:sz="0" w:space="0" w:color="auto"/>
      </w:divBdr>
    </w:div>
    <w:div w:id="589848508">
      <w:bodyDiv w:val="1"/>
      <w:marLeft w:val="0"/>
      <w:marRight w:val="0"/>
      <w:marTop w:val="0"/>
      <w:marBottom w:val="0"/>
      <w:divBdr>
        <w:top w:val="none" w:sz="0" w:space="0" w:color="auto"/>
        <w:left w:val="none" w:sz="0" w:space="0" w:color="auto"/>
        <w:bottom w:val="none" w:sz="0" w:space="0" w:color="auto"/>
        <w:right w:val="none" w:sz="0" w:space="0" w:color="auto"/>
      </w:divBdr>
    </w:div>
    <w:div w:id="623922596">
      <w:bodyDiv w:val="1"/>
      <w:marLeft w:val="0"/>
      <w:marRight w:val="0"/>
      <w:marTop w:val="0"/>
      <w:marBottom w:val="0"/>
      <w:divBdr>
        <w:top w:val="none" w:sz="0" w:space="0" w:color="auto"/>
        <w:left w:val="none" w:sz="0" w:space="0" w:color="auto"/>
        <w:bottom w:val="none" w:sz="0" w:space="0" w:color="auto"/>
        <w:right w:val="none" w:sz="0" w:space="0" w:color="auto"/>
      </w:divBdr>
    </w:div>
    <w:div w:id="630018463">
      <w:bodyDiv w:val="1"/>
      <w:marLeft w:val="0"/>
      <w:marRight w:val="0"/>
      <w:marTop w:val="0"/>
      <w:marBottom w:val="0"/>
      <w:divBdr>
        <w:top w:val="none" w:sz="0" w:space="0" w:color="auto"/>
        <w:left w:val="none" w:sz="0" w:space="0" w:color="auto"/>
        <w:bottom w:val="none" w:sz="0" w:space="0" w:color="auto"/>
        <w:right w:val="none" w:sz="0" w:space="0" w:color="auto"/>
      </w:divBdr>
    </w:div>
    <w:div w:id="632254250">
      <w:bodyDiv w:val="1"/>
      <w:marLeft w:val="0"/>
      <w:marRight w:val="0"/>
      <w:marTop w:val="0"/>
      <w:marBottom w:val="0"/>
      <w:divBdr>
        <w:top w:val="none" w:sz="0" w:space="0" w:color="auto"/>
        <w:left w:val="none" w:sz="0" w:space="0" w:color="auto"/>
        <w:bottom w:val="none" w:sz="0" w:space="0" w:color="auto"/>
        <w:right w:val="none" w:sz="0" w:space="0" w:color="auto"/>
      </w:divBdr>
    </w:div>
    <w:div w:id="636954627">
      <w:bodyDiv w:val="1"/>
      <w:marLeft w:val="0"/>
      <w:marRight w:val="0"/>
      <w:marTop w:val="0"/>
      <w:marBottom w:val="0"/>
      <w:divBdr>
        <w:top w:val="none" w:sz="0" w:space="0" w:color="auto"/>
        <w:left w:val="none" w:sz="0" w:space="0" w:color="auto"/>
        <w:bottom w:val="none" w:sz="0" w:space="0" w:color="auto"/>
        <w:right w:val="none" w:sz="0" w:space="0" w:color="auto"/>
      </w:divBdr>
    </w:div>
    <w:div w:id="642465912">
      <w:bodyDiv w:val="1"/>
      <w:marLeft w:val="0"/>
      <w:marRight w:val="0"/>
      <w:marTop w:val="0"/>
      <w:marBottom w:val="0"/>
      <w:divBdr>
        <w:top w:val="none" w:sz="0" w:space="0" w:color="auto"/>
        <w:left w:val="none" w:sz="0" w:space="0" w:color="auto"/>
        <w:bottom w:val="none" w:sz="0" w:space="0" w:color="auto"/>
        <w:right w:val="none" w:sz="0" w:space="0" w:color="auto"/>
      </w:divBdr>
    </w:div>
    <w:div w:id="642581371">
      <w:bodyDiv w:val="1"/>
      <w:marLeft w:val="0"/>
      <w:marRight w:val="0"/>
      <w:marTop w:val="0"/>
      <w:marBottom w:val="0"/>
      <w:divBdr>
        <w:top w:val="none" w:sz="0" w:space="0" w:color="auto"/>
        <w:left w:val="none" w:sz="0" w:space="0" w:color="auto"/>
        <w:bottom w:val="none" w:sz="0" w:space="0" w:color="auto"/>
        <w:right w:val="none" w:sz="0" w:space="0" w:color="auto"/>
      </w:divBdr>
    </w:div>
    <w:div w:id="650986804">
      <w:bodyDiv w:val="1"/>
      <w:marLeft w:val="0"/>
      <w:marRight w:val="0"/>
      <w:marTop w:val="0"/>
      <w:marBottom w:val="0"/>
      <w:divBdr>
        <w:top w:val="none" w:sz="0" w:space="0" w:color="auto"/>
        <w:left w:val="none" w:sz="0" w:space="0" w:color="auto"/>
        <w:bottom w:val="none" w:sz="0" w:space="0" w:color="auto"/>
        <w:right w:val="none" w:sz="0" w:space="0" w:color="auto"/>
      </w:divBdr>
    </w:div>
    <w:div w:id="662121876">
      <w:bodyDiv w:val="1"/>
      <w:marLeft w:val="0"/>
      <w:marRight w:val="0"/>
      <w:marTop w:val="0"/>
      <w:marBottom w:val="0"/>
      <w:divBdr>
        <w:top w:val="none" w:sz="0" w:space="0" w:color="auto"/>
        <w:left w:val="none" w:sz="0" w:space="0" w:color="auto"/>
        <w:bottom w:val="none" w:sz="0" w:space="0" w:color="auto"/>
        <w:right w:val="none" w:sz="0" w:space="0" w:color="auto"/>
      </w:divBdr>
      <w:divsChild>
        <w:div w:id="911155437">
          <w:marLeft w:val="547"/>
          <w:marRight w:val="0"/>
          <w:marTop w:val="96"/>
          <w:marBottom w:val="0"/>
          <w:divBdr>
            <w:top w:val="none" w:sz="0" w:space="0" w:color="auto"/>
            <w:left w:val="none" w:sz="0" w:space="0" w:color="auto"/>
            <w:bottom w:val="none" w:sz="0" w:space="0" w:color="auto"/>
            <w:right w:val="none" w:sz="0" w:space="0" w:color="auto"/>
          </w:divBdr>
        </w:div>
      </w:divsChild>
    </w:div>
    <w:div w:id="667486772">
      <w:bodyDiv w:val="1"/>
      <w:marLeft w:val="0"/>
      <w:marRight w:val="0"/>
      <w:marTop w:val="0"/>
      <w:marBottom w:val="0"/>
      <w:divBdr>
        <w:top w:val="none" w:sz="0" w:space="0" w:color="auto"/>
        <w:left w:val="none" w:sz="0" w:space="0" w:color="auto"/>
        <w:bottom w:val="none" w:sz="0" w:space="0" w:color="auto"/>
        <w:right w:val="none" w:sz="0" w:space="0" w:color="auto"/>
      </w:divBdr>
    </w:div>
    <w:div w:id="669260056">
      <w:bodyDiv w:val="1"/>
      <w:marLeft w:val="0"/>
      <w:marRight w:val="0"/>
      <w:marTop w:val="0"/>
      <w:marBottom w:val="0"/>
      <w:divBdr>
        <w:top w:val="none" w:sz="0" w:space="0" w:color="auto"/>
        <w:left w:val="none" w:sz="0" w:space="0" w:color="auto"/>
        <w:bottom w:val="none" w:sz="0" w:space="0" w:color="auto"/>
        <w:right w:val="none" w:sz="0" w:space="0" w:color="auto"/>
      </w:divBdr>
    </w:div>
    <w:div w:id="675769322">
      <w:bodyDiv w:val="1"/>
      <w:marLeft w:val="0"/>
      <w:marRight w:val="0"/>
      <w:marTop w:val="0"/>
      <w:marBottom w:val="0"/>
      <w:divBdr>
        <w:top w:val="none" w:sz="0" w:space="0" w:color="auto"/>
        <w:left w:val="none" w:sz="0" w:space="0" w:color="auto"/>
        <w:bottom w:val="none" w:sz="0" w:space="0" w:color="auto"/>
        <w:right w:val="none" w:sz="0" w:space="0" w:color="auto"/>
      </w:divBdr>
    </w:div>
    <w:div w:id="696664508">
      <w:bodyDiv w:val="1"/>
      <w:marLeft w:val="0"/>
      <w:marRight w:val="0"/>
      <w:marTop w:val="0"/>
      <w:marBottom w:val="0"/>
      <w:divBdr>
        <w:top w:val="none" w:sz="0" w:space="0" w:color="auto"/>
        <w:left w:val="none" w:sz="0" w:space="0" w:color="auto"/>
        <w:bottom w:val="none" w:sz="0" w:space="0" w:color="auto"/>
        <w:right w:val="none" w:sz="0" w:space="0" w:color="auto"/>
      </w:divBdr>
    </w:div>
    <w:div w:id="728309610">
      <w:bodyDiv w:val="1"/>
      <w:marLeft w:val="0"/>
      <w:marRight w:val="0"/>
      <w:marTop w:val="0"/>
      <w:marBottom w:val="0"/>
      <w:divBdr>
        <w:top w:val="none" w:sz="0" w:space="0" w:color="auto"/>
        <w:left w:val="none" w:sz="0" w:space="0" w:color="auto"/>
        <w:bottom w:val="none" w:sz="0" w:space="0" w:color="auto"/>
        <w:right w:val="none" w:sz="0" w:space="0" w:color="auto"/>
      </w:divBdr>
    </w:div>
    <w:div w:id="731999333">
      <w:bodyDiv w:val="1"/>
      <w:marLeft w:val="0"/>
      <w:marRight w:val="0"/>
      <w:marTop w:val="0"/>
      <w:marBottom w:val="0"/>
      <w:divBdr>
        <w:top w:val="none" w:sz="0" w:space="0" w:color="auto"/>
        <w:left w:val="none" w:sz="0" w:space="0" w:color="auto"/>
        <w:bottom w:val="none" w:sz="0" w:space="0" w:color="auto"/>
        <w:right w:val="none" w:sz="0" w:space="0" w:color="auto"/>
      </w:divBdr>
    </w:div>
    <w:div w:id="733048515">
      <w:bodyDiv w:val="1"/>
      <w:marLeft w:val="0"/>
      <w:marRight w:val="0"/>
      <w:marTop w:val="0"/>
      <w:marBottom w:val="0"/>
      <w:divBdr>
        <w:top w:val="none" w:sz="0" w:space="0" w:color="auto"/>
        <w:left w:val="none" w:sz="0" w:space="0" w:color="auto"/>
        <w:bottom w:val="none" w:sz="0" w:space="0" w:color="auto"/>
        <w:right w:val="none" w:sz="0" w:space="0" w:color="auto"/>
      </w:divBdr>
    </w:div>
    <w:div w:id="738022882">
      <w:bodyDiv w:val="1"/>
      <w:marLeft w:val="0"/>
      <w:marRight w:val="0"/>
      <w:marTop w:val="0"/>
      <w:marBottom w:val="0"/>
      <w:divBdr>
        <w:top w:val="none" w:sz="0" w:space="0" w:color="auto"/>
        <w:left w:val="none" w:sz="0" w:space="0" w:color="auto"/>
        <w:bottom w:val="none" w:sz="0" w:space="0" w:color="auto"/>
        <w:right w:val="none" w:sz="0" w:space="0" w:color="auto"/>
      </w:divBdr>
    </w:div>
    <w:div w:id="739984135">
      <w:bodyDiv w:val="1"/>
      <w:marLeft w:val="0"/>
      <w:marRight w:val="0"/>
      <w:marTop w:val="0"/>
      <w:marBottom w:val="0"/>
      <w:divBdr>
        <w:top w:val="none" w:sz="0" w:space="0" w:color="auto"/>
        <w:left w:val="none" w:sz="0" w:space="0" w:color="auto"/>
        <w:bottom w:val="none" w:sz="0" w:space="0" w:color="auto"/>
        <w:right w:val="none" w:sz="0" w:space="0" w:color="auto"/>
      </w:divBdr>
    </w:div>
    <w:div w:id="763380203">
      <w:bodyDiv w:val="1"/>
      <w:marLeft w:val="0"/>
      <w:marRight w:val="0"/>
      <w:marTop w:val="0"/>
      <w:marBottom w:val="0"/>
      <w:divBdr>
        <w:top w:val="none" w:sz="0" w:space="0" w:color="auto"/>
        <w:left w:val="none" w:sz="0" w:space="0" w:color="auto"/>
        <w:bottom w:val="none" w:sz="0" w:space="0" w:color="auto"/>
        <w:right w:val="none" w:sz="0" w:space="0" w:color="auto"/>
      </w:divBdr>
    </w:div>
    <w:div w:id="768082448">
      <w:bodyDiv w:val="1"/>
      <w:marLeft w:val="0"/>
      <w:marRight w:val="0"/>
      <w:marTop w:val="0"/>
      <w:marBottom w:val="0"/>
      <w:divBdr>
        <w:top w:val="none" w:sz="0" w:space="0" w:color="auto"/>
        <w:left w:val="none" w:sz="0" w:space="0" w:color="auto"/>
        <w:bottom w:val="none" w:sz="0" w:space="0" w:color="auto"/>
        <w:right w:val="none" w:sz="0" w:space="0" w:color="auto"/>
      </w:divBdr>
    </w:div>
    <w:div w:id="782726105">
      <w:bodyDiv w:val="1"/>
      <w:marLeft w:val="0"/>
      <w:marRight w:val="0"/>
      <w:marTop w:val="0"/>
      <w:marBottom w:val="0"/>
      <w:divBdr>
        <w:top w:val="none" w:sz="0" w:space="0" w:color="auto"/>
        <w:left w:val="none" w:sz="0" w:space="0" w:color="auto"/>
        <w:bottom w:val="none" w:sz="0" w:space="0" w:color="auto"/>
        <w:right w:val="none" w:sz="0" w:space="0" w:color="auto"/>
      </w:divBdr>
    </w:div>
    <w:div w:id="784270188">
      <w:bodyDiv w:val="1"/>
      <w:marLeft w:val="0"/>
      <w:marRight w:val="0"/>
      <w:marTop w:val="0"/>
      <w:marBottom w:val="0"/>
      <w:divBdr>
        <w:top w:val="none" w:sz="0" w:space="0" w:color="auto"/>
        <w:left w:val="none" w:sz="0" w:space="0" w:color="auto"/>
        <w:bottom w:val="none" w:sz="0" w:space="0" w:color="auto"/>
        <w:right w:val="none" w:sz="0" w:space="0" w:color="auto"/>
      </w:divBdr>
    </w:div>
    <w:div w:id="788207623">
      <w:bodyDiv w:val="1"/>
      <w:marLeft w:val="0"/>
      <w:marRight w:val="0"/>
      <w:marTop w:val="0"/>
      <w:marBottom w:val="0"/>
      <w:divBdr>
        <w:top w:val="none" w:sz="0" w:space="0" w:color="auto"/>
        <w:left w:val="none" w:sz="0" w:space="0" w:color="auto"/>
        <w:bottom w:val="none" w:sz="0" w:space="0" w:color="auto"/>
        <w:right w:val="none" w:sz="0" w:space="0" w:color="auto"/>
      </w:divBdr>
    </w:div>
    <w:div w:id="805854092">
      <w:bodyDiv w:val="1"/>
      <w:marLeft w:val="0"/>
      <w:marRight w:val="0"/>
      <w:marTop w:val="0"/>
      <w:marBottom w:val="0"/>
      <w:divBdr>
        <w:top w:val="none" w:sz="0" w:space="0" w:color="auto"/>
        <w:left w:val="none" w:sz="0" w:space="0" w:color="auto"/>
        <w:bottom w:val="none" w:sz="0" w:space="0" w:color="auto"/>
        <w:right w:val="none" w:sz="0" w:space="0" w:color="auto"/>
      </w:divBdr>
    </w:div>
    <w:div w:id="815997510">
      <w:bodyDiv w:val="1"/>
      <w:marLeft w:val="0"/>
      <w:marRight w:val="0"/>
      <w:marTop w:val="0"/>
      <w:marBottom w:val="0"/>
      <w:divBdr>
        <w:top w:val="none" w:sz="0" w:space="0" w:color="auto"/>
        <w:left w:val="none" w:sz="0" w:space="0" w:color="auto"/>
        <w:bottom w:val="none" w:sz="0" w:space="0" w:color="auto"/>
        <w:right w:val="none" w:sz="0" w:space="0" w:color="auto"/>
      </w:divBdr>
    </w:div>
    <w:div w:id="834226873">
      <w:bodyDiv w:val="1"/>
      <w:marLeft w:val="0"/>
      <w:marRight w:val="0"/>
      <w:marTop w:val="0"/>
      <w:marBottom w:val="0"/>
      <w:divBdr>
        <w:top w:val="none" w:sz="0" w:space="0" w:color="auto"/>
        <w:left w:val="none" w:sz="0" w:space="0" w:color="auto"/>
        <w:bottom w:val="none" w:sz="0" w:space="0" w:color="auto"/>
        <w:right w:val="none" w:sz="0" w:space="0" w:color="auto"/>
      </w:divBdr>
    </w:div>
    <w:div w:id="835681567">
      <w:bodyDiv w:val="1"/>
      <w:marLeft w:val="0"/>
      <w:marRight w:val="0"/>
      <w:marTop w:val="0"/>
      <w:marBottom w:val="0"/>
      <w:divBdr>
        <w:top w:val="none" w:sz="0" w:space="0" w:color="auto"/>
        <w:left w:val="none" w:sz="0" w:space="0" w:color="auto"/>
        <w:bottom w:val="none" w:sz="0" w:space="0" w:color="auto"/>
        <w:right w:val="none" w:sz="0" w:space="0" w:color="auto"/>
      </w:divBdr>
    </w:div>
    <w:div w:id="844978338">
      <w:bodyDiv w:val="1"/>
      <w:marLeft w:val="0"/>
      <w:marRight w:val="0"/>
      <w:marTop w:val="0"/>
      <w:marBottom w:val="0"/>
      <w:divBdr>
        <w:top w:val="none" w:sz="0" w:space="0" w:color="auto"/>
        <w:left w:val="none" w:sz="0" w:space="0" w:color="auto"/>
        <w:bottom w:val="none" w:sz="0" w:space="0" w:color="auto"/>
        <w:right w:val="none" w:sz="0" w:space="0" w:color="auto"/>
      </w:divBdr>
    </w:div>
    <w:div w:id="863858383">
      <w:bodyDiv w:val="1"/>
      <w:marLeft w:val="0"/>
      <w:marRight w:val="0"/>
      <w:marTop w:val="0"/>
      <w:marBottom w:val="0"/>
      <w:divBdr>
        <w:top w:val="none" w:sz="0" w:space="0" w:color="auto"/>
        <w:left w:val="none" w:sz="0" w:space="0" w:color="auto"/>
        <w:bottom w:val="none" w:sz="0" w:space="0" w:color="auto"/>
        <w:right w:val="none" w:sz="0" w:space="0" w:color="auto"/>
      </w:divBdr>
    </w:div>
    <w:div w:id="865095067">
      <w:bodyDiv w:val="1"/>
      <w:marLeft w:val="0"/>
      <w:marRight w:val="0"/>
      <w:marTop w:val="0"/>
      <w:marBottom w:val="0"/>
      <w:divBdr>
        <w:top w:val="none" w:sz="0" w:space="0" w:color="auto"/>
        <w:left w:val="none" w:sz="0" w:space="0" w:color="auto"/>
        <w:bottom w:val="none" w:sz="0" w:space="0" w:color="auto"/>
        <w:right w:val="none" w:sz="0" w:space="0" w:color="auto"/>
      </w:divBdr>
    </w:div>
    <w:div w:id="866794247">
      <w:bodyDiv w:val="1"/>
      <w:marLeft w:val="0"/>
      <w:marRight w:val="0"/>
      <w:marTop w:val="0"/>
      <w:marBottom w:val="0"/>
      <w:divBdr>
        <w:top w:val="none" w:sz="0" w:space="0" w:color="auto"/>
        <w:left w:val="none" w:sz="0" w:space="0" w:color="auto"/>
        <w:bottom w:val="none" w:sz="0" w:space="0" w:color="auto"/>
        <w:right w:val="none" w:sz="0" w:space="0" w:color="auto"/>
      </w:divBdr>
    </w:div>
    <w:div w:id="888568840">
      <w:bodyDiv w:val="1"/>
      <w:marLeft w:val="0"/>
      <w:marRight w:val="0"/>
      <w:marTop w:val="0"/>
      <w:marBottom w:val="0"/>
      <w:divBdr>
        <w:top w:val="none" w:sz="0" w:space="0" w:color="auto"/>
        <w:left w:val="none" w:sz="0" w:space="0" w:color="auto"/>
        <w:bottom w:val="none" w:sz="0" w:space="0" w:color="auto"/>
        <w:right w:val="none" w:sz="0" w:space="0" w:color="auto"/>
      </w:divBdr>
    </w:div>
    <w:div w:id="890845585">
      <w:bodyDiv w:val="1"/>
      <w:marLeft w:val="0"/>
      <w:marRight w:val="0"/>
      <w:marTop w:val="0"/>
      <w:marBottom w:val="0"/>
      <w:divBdr>
        <w:top w:val="none" w:sz="0" w:space="0" w:color="auto"/>
        <w:left w:val="none" w:sz="0" w:space="0" w:color="auto"/>
        <w:bottom w:val="none" w:sz="0" w:space="0" w:color="auto"/>
        <w:right w:val="none" w:sz="0" w:space="0" w:color="auto"/>
      </w:divBdr>
    </w:div>
    <w:div w:id="892235917">
      <w:bodyDiv w:val="1"/>
      <w:marLeft w:val="0"/>
      <w:marRight w:val="0"/>
      <w:marTop w:val="0"/>
      <w:marBottom w:val="0"/>
      <w:divBdr>
        <w:top w:val="none" w:sz="0" w:space="0" w:color="auto"/>
        <w:left w:val="none" w:sz="0" w:space="0" w:color="auto"/>
        <w:bottom w:val="none" w:sz="0" w:space="0" w:color="auto"/>
        <w:right w:val="none" w:sz="0" w:space="0" w:color="auto"/>
      </w:divBdr>
    </w:div>
    <w:div w:id="893277689">
      <w:bodyDiv w:val="1"/>
      <w:marLeft w:val="0"/>
      <w:marRight w:val="0"/>
      <w:marTop w:val="0"/>
      <w:marBottom w:val="0"/>
      <w:divBdr>
        <w:top w:val="none" w:sz="0" w:space="0" w:color="auto"/>
        <w:left w:val="none" w:sz="0" w:space="0" w:color="auto"/>
        <w:bottom w:val="none" w:sz="0" w:space="0" w:color="auto"/>
        <w:right w:val="none" w:sz="0" w:space="0" w:color="auto"/>
      </w:divBdr>
    </w:div>
    <w:div w:id="922837811">
      <w:bodyDiv w:val="1"/>
      <w:marLeft w:val="0"/>
      <w:marRight w:val="0"/>
      <w:marTop w:val="0"/>
      <w:marBottom w:val="0"/>
      <w:divBdr>
        <w:top w:val="none" w:sz="0" w:space="0" w:color="auto"/>
        <w:left w:val="none" w:sz="0" w:space="0" w:color="auto"/>
        <w:bottom w:val="none" w:sz="0" w:space="0" w:color="auto"/>
        <w:right w:val="none" w:sz="0" w:space="0" w:color="auto"/>
      </w:divBdr>
    </w:div>
    <w:div w:id="935480627">
      <w:bodyDiv w:val="1"/>
      <w:marLeft w:val="0"/>
      <w:marRight w:val="0"/>
      <w:marTop w:val="0"/>
      <w:marBottom w:val="0"/>
      <w:divBdr>
        <w:top w:val="none" w:sz="0" w:space="0" w:color="auto"/>
        <w:left w:val="none" w:sz="0" w:space="0" w:color="auto"/>
        <w:bottom w:val="none" w:sz="0" w:space="0" w:color="auto"/>
        <w:right w:val="none" w:sz="0" w:space="0" w:color="auto"/>
      </w:divBdr>
    </w:div>
    <w:div w:id="940262279">
      <w:bodyDiv w:val="1"/>
      <w:marLeft w:val="0"/>
      <w:marRight w:val="0"/>
      <w:marTop w:val="0"/>
      <w:marBottom w:val="0"/>
      <w:divBdr>
        <w:top w:val="none" w:sz="0" w:space="0" w:color="auto"/>
        <w:left w:val="none" w:sz="0" w:space="0" w:color="auto"/>
        <w:bottom w:val="none" w:sz="0" w:space="0" w:color="auto"/>
        <w:right w:val="none" w:sz="0" w:space="0" w:color="auto"/>
      </w:divBdr>
    </w:div>
    <w:div w:id="949355710">
      <w:bodyDiv w:val="1"/>
      <w:marLeft w:val="0"/>
      <w:marRight w:val="0"/>
      <w:marTop w:val="0"/>
      <w:marBottom w:val="0"/>
      <w:divBdr>
        <w:top w:val="none" w:sz="0" w:space="0" w:color="auto"/>
        <w:left w:val="none" w:sz="0" w:space="0" w:color="auto"/>
        <w:bottom w:val="none" w:sz="0" w:space="0" w:color="auto"/>
        <w:right w:val="none" w:sz="0" w:space="0" w:color="auto"/>
      </w:divBdr>
    </w:div>
    <w:div w:id="951864740">
      <w:bodyDiv w:val="1"/>
      <w:marLeft w:val="0"/>
      <w:marRight w:val="0"/>
      <w:marTop w:val="0"/>
      <w:marBottom w:val="0"/>
      <w:divBdr>
        <w:top w:val="none" w:sz="0" w:space="0" w:color="auto"/>
        <w:left w:val="none" w:sz="0" w:space="0" w:color="auto"/>
        <w:bottom w:val="none" w:sz="0" w:space="0" w:color="auto"/>
        <w:right w:val="none" w:sz="0" w:space="0" w:color="auto"/>
      </w:divBdr>
    </w:div>
    <w:div w:id="955453642">
      <w:bodyDiv w:val="1"/>
      <w:marLeft w:val="0"/>
      <w:marRight w:val="0"/>
      <w:marTop w:val="0"/>
      <w:marBottom w:val="0"/>
      <w:divBdr>
        <w:top w:val="none" w:sz="0" w:space="0" w:color="auto"/>
        <w:left w:val="none" w:sz="0" w:space="0" w:color="auto"/>
        <w:bottom w:val="none" w:sz="0" w:space="0" w:color="auto"/>
        <w:right w:val="none" w:sz="0" w:space="0" w:color="auto"/>
      </w:divBdr>
    </w:div>
    <w:div w:id="961879702">
      <w:bodyDiv w:val="1"/>
      <w:marLeft w:val="0"/>
      <w:marRight w:val="0"/>
      <w:marTop w:val="0"/>
      <w:marBottom w:val="0"/>
      <w:divBdr>
        <w:top w:val="none" w:sz="0" w:space="0" w:color="auto"/>
        <w:left w:val="none" w:sz="0" w:space="0" w:color="auto"/>
        <w:bottom w:val="none" w:sz="0" w:space="0" w:color="auto"/>
        <w:right w:val="none" w:sz="0" w:space="0" w:color="auto"/>
      </w:divBdr>
    </w:div>
    <w:div w:id="988559571">
      <w:bodyDiv w:val="1"/>
      <w:marLeft w:val="0"/>
      <w:marRight w:val="0"/>
      <w:marTop w:val="0"/>
      <w:marBottom w:val="0"/>
      <w:divBdr>
        <w:top w:val="none" w:sz="0" w:space="0" w:color="auto"/>
        <w:left w:val="none" w:sz="0" w:space="0" w:color="auto"/>
        <w:bottom w:val="none" w:sz="0" w:space="0" w:color="auto"/>
        <w:right w:val="none" w:sz="0" w:space="0" w:color="auto"/>
      </w:divBdr>
    </w:div>
    <w:div w:id="996422527">
      <w:bodyDiv w:val="1"/>
      <w:marLeft w:val="0"/>
      <w:marRight w:val="0"/>
      <w:marTop w:val="0"/>
      <w:marBottom w:val="0"/>
      <w:divBdr>
        <w:top w:val="none" w:sz="0" w:space="0" w:color="auto"/>
        <w:left w:val="none" w:sz="0" w:space="0" w:color="auto"/>
        <w:bottom w:val="none" w:sz="0" w:space="0" w:color="auto"/>
        <w:right w:val="none" w:sz="0" w:space="0" w:color="auto"/>
      </w:divBdr>
    </w:div>
    <w:div w:id="1031028376">
      <w:bodyDiv w:val="1"/>
      <w:marLeft w:val="0"/>
      <w:marRight w:val="0"/>
      <w:marTop w:val="0"/>
      <w:marBottom w:val="0"/>
      <w:divBdr>
        <w:top w:val="none" w:sz="0" w:space="0" w:color="auto"/>
        <w:left w:val="none" w:sz="0" w:space="0" w:color="auto"/>
        <w:bottom w:val="none" w:sz="0" w:space="0" w:color="auto"/>
        <w:right w:val="none" w:sz="0" w:space="0" w:color="auto"/>
      </w:divBdr>
    </w:div>
    <w:div w:id="1033656105">
      <w:bodyDiv w:val="1"/>
      <w:marLeft w:val="0"/>
      <w:marRight w:val="0"/>
      <w:marTop w:val="0"/>
      <w:marBottom w:val="0"/>
      <w:divBdr>
        <w:top w:val="none" w:sz="0" w:space="0" w:color="auto"/>
        <w:left w:val="none" w:sz="0" w:space="0" w:color="auto"/>
        <w:bottom w:val="none" w:sz="0" w:space="0" w:color="auto"/>
        <w:right w:val="none" w:sz="0" w:space="0" w:color="auto"/>
      </w:divBdr>
    </w:div>
    <w:div w:id="1038579679">
      <w:bodyDiv w:val="1"/>
      <w:marLeft w:val="0"/>
      <w:marRight w:val="0"/>
      <w:marTop w:val="0"/>
      <w:marBottom w:val="0"/>
      <w:divBdr>
        <w:top w:val="none" w:sz="0" w:space="0" w:color="auto"/>
        <w:left w:val="none" w:sz="0" w:space="0" w:color="auto"/>
        <w:bottom w:val="none" w:sz="0" w:space="0" w:color="auto"/>
        <w:right w:val="none" w:sz="0" w:space="0" w:color="auto"/>
      </w:divBdr>
    </w:div>
    <w:div w:id="1077631215">
      <w:bodyDiv w:val="1"/>
      <w:marLeft w:val="0"/>
      <w:marRight w:val="0"/>
      <w:marTop w:val="0"/>
      <w:marBottom w:val="0"/>
      <w:divBdr>
        <w:top w:val="none" w:sz="0" w:space="0" w:color="auto"/>
        <w:left w:val="none" w:sz="0" w:space="0" w:color="auto"/>
        <w:bottom w:val="none" w:sz="0" w:space="0" w:color="auto"/>
        <w:right w:val="none" w:sz="0" w:space="0" w:color="auto"/>
      </w:divBdr>
    </w:div>
    <w:div w:id="1077895742">
      <w:bodyDiv w:val="1"/>
      <w:marLeft w:val="0"/>
      <w:marRight w:val="0"/>
      <w:marTop w:val="0"/>
      <w:marBottom w:val="0"/>
      <w:divBdr>
        <w:top w:val="none" w:sz="0" w:space="0" w:color="auto"/>
        <w:left w:val="none" w:sz="0" w:space="0" w:color="auto"/>
        <w:bottom w:val="none" w:sz="0" w:space="0" w:color="auto"/>
        <w:right w:val="none" w:sz="0" w:space="0" w:color="auto"/>
      </w:divBdr>
    </w:div>
    <w:div w:id="1088379544">
      <w:bodyDiv w:val="1"/>
      <w:marLeft w:val="0"/>
      <w:marRight w:val="0"/>
      <w:marTop w:val="0"/>
      <w:marBottom w:val="0"/>
      <w:divBdr>
        <w:top w:val="none" w:sz="0" w:space="0" w:color="auto"/>
        <w:left w:val="none" w:sz="0" w:space="0" w:color="auto"/>
        <w:bottom w:val="none" w:sz="0" w:space="0" w:color="auto"/>
        <w:right w:val="none" w:sz="0" w:space="0" w:color="auto"/>
      </w:divBdr>
    </w:div>
    <w:div w:id="1091318462">
      <w:bodyDiv w:val="1"/>
      <w:marLeft w:val="0"/>
      <w:marRight w:val="0"/>
      <w:marTop w:val="0"/>
      <w:marBottom w:val="0"/>
      <w:divBdr>
        <w:top w:val="none" w:sz="0" w:space="0" w:color="auto"/>
        <w:left w:val="none" w:sz="0" w:space="0" w:color="auto"/>
        <w:bottom w:val="none" w:sz="0" w:space="0" w:color="auto"/>
        <w:right w:val="none" w:sz="0" w:space="0" w:color="auto"/>
      </w:divBdr>
    </w:div>
    <w:div w:id="1119299182">
      <w:bodyDiv w:val="1"/>
      <w:marLeft w:val="0"/>
      <w:marRight w:val="0"/>
      <w:marTop w:val="0"/>
      <w:marBottom w:val="0"/>
      <w:divBdr>
        <w:top w:val="none" w:sz="0" w:space="0" w:color="auto"/>
        <w:left w:val="none" w:sz="0" w:space="0" w:color="auto"/>
        <w:bottom w:val="none" w:sz="0" w:space="0" w:color="auto"/>
        <w:right w:val="none" w:sz="0" w:space="0" w:color="auto"/>
      </w:divBdr>
    </w:div>
    <w:div w:id="1121072127">
      <w:bodyDiv w:val="1"/>
      <w:marLeft w:val="0"/>
      <w:marRight w:val="0"/>
      <w:marTop w:val="0"/>
      <w:marBottom w:val="0"/>
      <w:divBdr>
        <w:top w:val="none" w:sz="0" w:space="0" w:color="auto"/>
        <w:left w:val="none" w:sz="0" w:space="0" w:color="auto"/>
        <w:bottom w:val="none" w:sz="0" w:space="0" w:color="auto"/>
        <w:right w:val="none" w:sz="0" w:space="0" w:color="auto"/>
      </w:divBdr>
    </w:div>
    <w:div w:id="1123228856">
      <w:bodyDiv w:val="1"/>
      <w:marLeft w:val="0"/>
      <w:marRight w:val="0"/>
      <w:marTop w:val="0"/>
      <w:marBottom w:val="0"/>
      <w:divBdr>
        <w:top w:val="none" w:sz="0" w:space="0" w:color="auto"/>
        <w:left w:val="none" w:sz="0" w:space="0" w:color="auto"/>
        <w:bottom w:val="none" w:sz="0" w:space="0" w:color="auto"/>
        <w:right w:val="none" w:sz="0" w:space="0" w:color="auto"/>
      </w:divBdr>
    </w:div>
    <w:div w:id="1126049007">
      <w:bodyDiv w:val="1"/>
      <w:marLeft w:val="0"/>
      <w:marRight w:val="0"/>
      <w:marTop w:val="0"/>
      <w:marBottom w:val="0"/>
      <w:divBdr>
        <w:top w:val="none" w:sz="0" w:space="0" w:color="auto"/>
        <w:left w:val="none" w:sz="0" w:space="0" w:color="auto"/>
        <w:bottom w:val="none" w:sz="0" w:space="0" w:color="auto"/>
        <w:right w:val="none" w:sz="0" w:space="0" w:color="auto"/>
      </w:divBdr>
    </w:div>
    <w:div w:id="1132359672">
      <w:bodyDiv w:val="1"/>
      <w:marLeft w:val="0"/>
      <w:marRight w:val="0"/>
      <w:marTop w:val="0"/>
      <w:marBottom w:val="0"/>
      <w:divBdr>
        <w:top w:val="none" w:sz="0" w:space="0" w:color="auto"/>
        <w:left w:val="none" w:sz="0" w:space="0" w:color="auto"/>
        <w:bottom w:val="none" w:sz="0" w:space="0" w:color="auto"/>
        <w:right w:val="none" w:sz="0" w:space="0" w:color="auto"/>
      </w:divBdr>
    </w:div>
    <w:div w:id="1137726023">
      <w:bodyDiv w:val="1"/>
      <w:marLeft w:val="0"/>
      <w:marRight w:val="0"/>
      <w:marTop w:val="0"/>
      <w:marBottom w:val="0"/>
      <w:divBdr>
        <w:top w:val="none" w:sz="0" w:space="0" w:color="auto"/>
        <w:left w:val="none" w:sz="0" w:space="0" w:color="auto"/>
        <w:bottom w:val="none" w:sz="0" w:space="0" w:color="auto"/>
        <w:right w:val="none" w:sz="0" w:space="0" w:color="auto"/>
      </w:divBdr>
    </w:div>
    <w:div w:id="1148010601">
      <w:bodyDiv w:val="1"/>
      <w:marLeft w:val="0"/>
      <w:marRight w:val="0"/>
      <w:marTop w:val="0"/>
      <w:marBottom w:val="0"/>
      <w:divBdr>
        <w:top w:val="none" w:sz="0" w:space="0" w:color="auto"/>
        <w:left w:val="none" w:sz="0" w:space="0" w:color="auto"/>
        <w:bottom w:val="none" w:sz="0" w:space="0" w:color="auto"/>
        <w:right w:val="none" w:sz="0" w:space="0" w:color="auto"/>
      </w:divBdr>
    </w:div>
    <w:div w:id="1151825294">
      <w:bodyDiv w:val="1"/>
      <w:marLeft w:val="0"/>
      <w:marRight w:val="0"/>
      <w:marTop w:val="0"/>
      <w:marBottom w:val="0"/>
      <w:divBdr>
        <w:top w:val="none" w:sz="0" w:space="0" w:color="auto"/>
        <w:left w:val="none" w:sz="0" w:space="0" w:color="auto"/>
        <w:bottom w:val="none" w:sz="0" w:space="0" w:color="auto"/>
        <w:right w:val="none" w:sz="0" w:space="0" w:color="auto"/>
      </w:divBdr>
    </w:div>
    <w:div w:id="1152522084">
      <w:bodyDiv w:val="1"/>
      <w:marLeft w:val="0"/>
      <w:marRight w:val="0"/>
      <w:marTop w:val="0"/>
      <w:marBottom w:val="0"/>
      <w:divBdr>
        <w:top w:val="none" w:sz="0" w:space="0" w:color="auto"/>
        <w:left w:val="none" w:sz="0" w:space="0" w:color="auto"/>
        <w:bottom w:val="none" w:sz="0" w:space="0" w:color="auto"/>
        <w:right w:val="none" w:sz="0" w:space="0" w:color="auto"/>
      </w:divBdr>
    </w:div>
    <w:div w:id="1173498444">
      <w:bodyDiv w:val="1"/>
      <w:marLeft w:val="0"/>
      <w:marRight w:val="0"/>
      <w:marTop w:val="0"/>
      <w:marBottom w:val="0"/>
      <w:divBdr>
        <w:top w:val="none" w:sz="0" w:space="0" w:color="auto"/>
        <w:left w:val="none" w:sz="0" w:space="0" w:color="auto"/>
        <w:bottom w:val="none" w:sz="0" w:space="0" w:color="auto"/>
        <w:right w:val="none" w:sz="0" w:space="0" w:color="auto"/>
      </w:divBdr>
    </w:div>
    <w:div w:id="1176654847">
      <w:bodyDiv w:val="1"/>
      <w:marLeft w:val="0"/>
      <w:marRight w:val="0"/>
      <w:marTop w:val="0"/>
      <w:marBottom w:val="0"/>
      <w:divBdr>
        <w:top w:val="none" w:sz="0" w:space="0" w:color="auto"/>
        <w:left w:val="none" w:sz="0" w:space="0" w:color="auto"/>
        <w:bottom w:val="none" w:sz="0" w:space="0" w:color="auto"/>
        <w:right w:val="none" w:sz="0" w:space="0" w:color="auto"/>
      </w:divBdr>
    </w:div>
    <w:div w:id="1188564342">
      <w:bodyDiv w:val="1"/>
      <w:marLeft w:val="0"/>
      <w:marRight w:val="0"/>
      <w:marTop w:val="0"/>
      <w:marBottom w:val="0"/>
      <w:divBdr>
        <w:top w:val="none" w:sz="0" w:space="0" w:color="auto"/>
        <w:left w:val="none" w:sz="0" w:space="0" w:color="auto"/>
        <w:bottom w:val="none" w:sz="0" w:space="0" w:color="auto"/>
        <w:right w:val="none" w:sz="0" w:space="0" w:color="auto"/>
      </w:divBdr>
    </w:div>
    <w:div w:id="1200167763">
      <w:bodyDiv w:val="1"/>
      <w:marLeft w:val="0"/>
      <w:marRight w:val="0"/>
      <w:marTop w:val="0"/>
      <w:marBottom w:val="0"/>
      <w:divBdr>
        <w:top w:val="none" w:sz="0" w:space="0" w:color="auto"/>
        <w:left w:val="none" w:sz="0" w:space="0" w:color="auto"/>
        <w:bottom w:val="none" w:sz="0" w:space="0" w:color="auto"/>
        <w:right w:val="none" w:sz="0" w:space="0" w:color="auto"/>
      </w:divBdr>
    </w:div>
    <w:div w:id="1228108567">
      <w:bodyDiv w:val="1"/>
      <w:marLeft w:val="0"/>
      <w:marRight w:val="0"/>
      <w:marTop w:val="0"/>
      <w:marBottom w:val="0"/>
      <w:divBdr>
        <w:top w:val="none" w:sz="0" w:space="0" w:color="auto"/>
        <w:left w:val="none" w:sz="0" w:space="0" w:color="auto"/>
        <w:bottom w:val="none" w:sz="0" w:space="0" w:color="auto"/>
        <w:right w:val="none" w:sz="0" w:space="0" w:color="auto"/>
      </w:divBdr>
    </w:div>
    <w:div w:id="1232277520">
      <w:bodyDiv w:val="1"/>
      <w:marLeft w:val="0"/>
      <w:marRight w:val="0"/>
      <w:marTop w:val="0"/>
      <w:marBottom w:val="0"/>
      <w:divBdr>
        <w:top w:val="none" w:sz="0" w:space="0" w:color="auto"/>
        <w:left w:val="none" w:sz="0" w:space="0" w:color="auto"/>
        <w:bottom w:val="none" w:sz="0" w:space="0" w:color="auto"/>
        <w:right w:val="none" w:sz="0" w:space="0" w:color="auto"/>
      </w:divBdr>
    </w:div>
    <w:div w:id="1232305657">
      <w:bodyDiv w:val="1"/>
      <w:marLeft w:val="0"/>
      <w:marRight w:val="0"/>
      <w:marTop w:val="0"/>
      <w:marBottom w:val="0"/>
      <w:divBdr>
        <w:top w:val="none" w:sz="0" w:space="0" w:color="auto"/>
        <w:left w:val="none" w:sz="0" w:space="0" w:color="auto"/>
        <w:bottom w:val="none" w:sz="0" w:space="0" w:color="auto"/>
        <w:right w:val="none" w:sz="0" w:space="0" w:color="auto"/>
      </w:divBdr>
    </w:div>
    <w:div w:id="1255240315">
      <w:bodyDiv w:val="1"/>
      <w:marLeft w:val="0"/>
      <w:marRight w:val="0"/>
      <w:marTop w:val="0"/>
      <w:marBottom w:val="0"/>
      <w:divBdr>
        <w:top w:val="none" w:sz="0" w:space="0" w:color="auto"/>
        <w:left w:val="none" w:sz="0" w:space="0" w:color="auto"/>
        <w:bottom w:val="none" w:sz="0" w:space="0" w:color="auto"/>
        <w:right w:val="none" w:sz="0" w:space="0" w:color="auto"/>
      </w:divBdr>
    </w:div>
    <w:div w:id="1257323706">
      <w:bodyDiv w:val="1"/>
      <w:marLeft w:val="0"/>
      <w:marRight w:val="0"/>
      <w:marTop w:val="0"/>
      <w:marBottom w:val="0"/>
      <w:divBdr>
        <w:top w:val="none" w:sz="0" w:space="0" w:color="auto"/>
        <w:left w:val="none" w:sz="0" w:space="0" w:color="auto"/>
        <w:bottom w:val="none" w:sz="0" w:space="0" w:color="auto"/>
        <w:right w:val="none" w:sz="0" w:space="0" w:color="auto"/>
      </w:divBdr>
    </w:div>
    <w:div w:id="1264991972">
      <w:bodyDiv w:val="1"/>
      <w:marLeft w:val="0"/>
      <w:marRight w:val="0"/>
      <w:marTop w:val="0"/>
      <w:marBottom w:val="0"/>
      <w:divBdr>
        <w:top w:val="none" w:sz="0" w:space="0" w:color="auto"/>
        <w:left w:val="none" w:sz="0" w:space="0" w:color="auto"/>
        <w:bottom w:val="none" w:sz="0" w:space="0" w:color="auto"/>
        <w:right w:val="none" w:sz="0" w:space="0" w:color="auto"/>
      </w:divBdr>
    </w:div>
    <w:div w:id="1264993336">
      <w:bodyDiv w:val="1"/>
      <w:marLeft w:val="0"/>
      <w:marRight w:val="0"/>
      <w:marTop w:val="0"/>
      <w:marBottom w:val="0"/>
      <w:divBdr>
        <w:top w:val="none" w:sz="0" w:space="0" w:color="auto"/>
        <w:left w:val="none" w:sz="0" w:space="0" w:color="auto"/>
        <w:bottom w:val="none" w:sz="0" w:space="0" w:color="auto"/>
        <w:right w:val="none" w:sz="0" w:space="0" w:color="auto"/>
      </w:divBdr>
    </w:div>
    <w:div w:id="1266041672">
      <w:bodyDiv w:val="1"/>
      <w:marLeft w:val="0"/>
      <w:marRight w:val="0"/>
      <w:marTop w:val="0"/>
      <w:marBottom w:val="0"/>
      <w:divBdr>
        <w:top w:val="none" w:sz="0" w:space="0" w:color="auto"/>
        <w:left w:val="none" w:sz="0" w:space="0" w:color="auto"/>
        <w:bottom w:val="none" w:sz="0" w:space="0" w:color="auto"/>
        <w:right w:val="none" w:sz="0" w:space="0" w:color="auto"/>
      </w:divBdr>
    </w:div>
    <w:div w:id="1290091900">
      <w:bodyDiv w:val="1"/>
      <w:marLeft w:val="0"/>
      <w:marRight w:val="0"/>
      <w:marTop w:val="0"/>
      <w:marBottom w:val="0"/>
      <w:divBdr>
        <w:top w:val="none" w:sz="0" w:space="0" w:color="auto"/>
        <w:left w:val="none" w:sz="0" w:space="0" w:color="auto"/>
        <w:bottom w:val="none" w:sz="0" w:space="0" w:color="auto"/>
        <w:right w:val="none" w:sz="0" w:space="0" w:color="auto"/>
      </w:divBdr>
      <w:divsChild>
        <w:div w:id="1140537373">
          <w:marLeft w:val="547"/>
          <w:marRight w:val="0"/>
          <w:marTop w:val="96"/>
          <w:marBottom w:val="0"/>
          <w:divBdr>
            <w:top w:val="none" w:sz="0" w:space="0" w:color="auto"/>
            <w:left w:val="none" w:sz="0" w:space="0" w:color="auto"/>
            <w:bottom w:val="none" w:sz="0" w:space="0" w:color="auto"/>
            <w:right w:val="none" w:sz="0" w:space="0" w:color="auto"/>
          </w:divBdr>
        </w:div>
      </w:divsChild>
    </w:div>
    <w:div w:id="1299991985">
      <w:bodyDiv w:val="1"/>
      <w:marLeft w:val="0"/>
      <w:marRight w:val="0"/>
      <w:marTop w:val="0"/>
      <w:marBottom w:val="0"/>
      <w:divBdr>
        <w:top w:val="none" w:sz="0" w:space="0" w:color="auto"/>
        <w:left w:val="none" w:sz="0" w:space="0" w:color="auto"/>
        <w:bottom w:val="none" w:sz="0" w:space="0" w:color="auto"/>
        <w:right w:val="none" w:sz="0" w:space="0" w:color="auto"/>
      </w:divBdr>
    </w:div>
    <w:div w:id="1313176290">
      <w:bodyDiv w:val="1"/>
      <w:marLeft w:val="0"/>
      <w:marRight w:val="0"/>
      <w:marTop w:val="0"/>
      <w:marBottom w:val="0"/>
      <w:divBdr>
        <w:top w:val="none" w:sz="0" w:space="0" w:color="auto"/>
        <w:left w:val="none" w:sz="0" w:space="0" w:color="auto"/>
        <w:bottom w:val="none" w:sz="0" w:space="0" w:color="auto"/>
        <w:right w:val="none" w:sz="0" w:space="0" w:color="auto"/>
      </w:divBdr>
    </w:div>
    <w:div w:id="1323925388">
      <w:bodyDiv w:val="1"/>
      <w:marLeft w:val="0"/>
      <w:marRight w:val="0"/>
      <w:marTop w:val="0"/>
      <w:marBottom w:val="0"/>
      <w:divBdr>
        <w:top w:val="none" w:sz="0" w:space="0" w:color="auto"/>
        <w:left w:val="none" w:sz="0" w:space="0" w:color="auto"/>
        <w:bottom w:val="none" w:sz="0" w:space="0" w:color="auto"/>
        <w:right w:val="none" w:sz="0" w:space="0" w:color="auto"/>
      </w:divBdr>
    </w:div>
    <w:div w:id="1326008488">
      <w:bodyDiv w:val="1"/>
      <w:marLeft w:val="0"/>
      <w:marRight w:val="0"/>
      <w:marTop w:val="0"/>
      <w:marBottom w:val="0"/>
      <w:divBdr>
        <w:top w:val="none" w:sz="0" w:space="0" w:color="auto"/>
        <w:left w:val="none" w:sz="0" w:space="0" w:color="auto"/>
        <w:bottom w:val="none" w:sz="0" w:space="0" w:color="auto"/>
        <w:right w:val="none" w:sz="0" w:space="0" w:color="auto"/>
      </w:divBdr>
      <w:divsChild>
        <w:div w:id="732972472">
          <w:marLeft w:val="547"/>
          <w:marRight w:val="0"/>
          <w:marTop w:val="96"/>
          <w:marBottom w:val="0"/>
          <w:divBdr>
            <w:top w:val="none" w:sz="0" w:space="0" w:color="auto"/>
            <w:left w:val="none" w:sz="0" w:space="0" w:color="auto"/>
            <w:bottom w:val="none" w:sz="0" w:space="0" w:color="auto"/>
            <w:right w:val="none" w:sz="0" w:space="0" w:color="auto"/>
          </w:divBdr>
        </w:div>
      </w:divsChild>
    </w:div>
    <w:div w:id="1339430772">
      <w:bodyDiv w:val="1"/>
      <w:marLeft w:val="0"/>
      <w:marRight w:val="0"/>
      <w:marTop w:val="0"/>
      <w:marBottom w:val="0"/>
      <w:divBdr>
        <w:top w:val="none" w:sz="0" w:space="0" w:color="auto"/>
        <w:left w:val="none" w:sz="0" w:space="0" w:color="auto"/>
        <w:bottom w:val="none" w:sz="0" w:space="0" w:color="auto"/>
        <w:right w:val="none" w:sz="0" w:space="0" w:color="auto"/>
      </w:divBdr>
    </w:div>
    <w:div w:id="1344431002">
      <w:bodyDiv w:val="1"/>
      <w:marLeft w:val="0"/>
      <w:marRight w:val="0"/>
      <w:marTop w:val="0"/>
      <w:marBottom w:val="0"/>
      <w:divBdr>
        <w:top w:val="none" w:sz="0" w:space="0" w:color="auto"/>
        <w:left w:val="none" w:sz="0" w:space="0" w:color="auto"/>
        <w:bottom w:val="none" w:sz="0" w:space="0" w:color="auto"/>
        <w:right w:val="none" w:sz="0" w:space="0" w:color="auto"/>
      </w:divBdr>
    </w:div>
    <w:div w:id="1357537944">
      <w:bodyDiv w:val="1"/>
      <w:marLeft w:val="0"/>
      <w:marRight w:val="0"/>
      <w:marTop w:val="0"/>
      <w:marBottom w:val="0"/>
      <w:divBdr>
        <w:top w:val="none" w:sz="0" w:space="0" w:color="auto"/>
        <w:left w:val="none" w:sz="0" w:space="0" w:color="auto"/>
        <w:bottom w:val="none" w:sz="0" w:space="0" w:color="auto"/>
        <w:right w:val="none" w:sz="0" w:space="0" w:color="auto"/>
      </w:divBdr>
    </w:div>
    <w:div w:id="1361514976">
      <w:bodyDiv w:val="1"/>
      <w:marLeft w:val="0"/>
      <w:marRight w:val="0"/>
      <w:marTop w:val="0"/>
      <w:marBottom w:val="0"/>
      <w:divBdr>
        <w:top w:val="none" w:sz="0" w:space="0" w:color="auto"/>
        <w:left w:val="none" w:sz="0" w:space="0" w:color="auto"/>
        <w:bottom w:val="none" w:sz="0" w:space="0" w:color="auto"/>
        <w:right w:val="none" w:sz="0" w:space="0" w:color="auto"/>
      </w:divBdr>
    </w:div>
    <w:div w:id="1379889855">
      <w:bodyDiv w:val="1"/>
      <w:marLeft w:val="0"/>
      <w:marRight w:val="0"/>
      <w:marTop w:val="0"/>
      <w:marBottom w:val="0"/>
      <w:divBdr>
        <w:top w:val="none" w:sz="0" w:space="0" w:color="auto"/>
        <w:left w:val="none" w:sz="0" w:space="0" w:color="auto"/>
        <w:bottom w:val="none" w:sz="0" w:space="0" w:color="auto"/>
        <w:right w:val="none" w:sz="0" w:space="0" w:color="auto"/>
      </w:divBdr>
    </w:div>
    <w:div w:id="1382750609">
      <w:bodyDiv w:val="1"/>
      <w:marLeft w:val="0"/>
      <w:marRight w:val="0"/>
      <w:marTop w:val="0"/>
      <w:marBottom w:val="0"/>
      <w:divBdr>
        <w:top w:val="none" w:sz="0" w:space="0" w:color="auto"/>
        <w:left w:val="none" w:sz="0" w:space="0" w:color="auto"/>
        <w:bottom w:val="none" w:sz="0" w:space="0" w:color="auto"/>
        <w:right w:val="none" w:sz="0" w:space="0" w:color="auto"/>
      </w:divBdr>
    </w:div>
    <w:div w:id="1388145859">
      <w:bodyDiv w:val="1"/>
      <w:marLeft w:val="0"/>
      <w:marRight w:val="0"/>
      <w:marTop w:val="0"/>
      <w:marBottom w:val="0"/>
      <w:divBdr>
        <w:top w:val="none" w:sz="0" w:space="0" w:color="auto"/>
        <w:left w:val="none" w:sz="0" w:space="0" w:color="auto"/>
        <w:bottom w:val="none" w:sz="0" w:space="0" w:color="auto"/>
        <w:right w:val="none" w:sz="0" w:space="0" w:color="auto"/>
      </w:divBdr>
    </w:div>
    <w:div w:id="1394699330">
      <w:bodyDiv w:val="1"/>
      <w:marLeft w:val="0"/>
      <w:marRight w:val="0"/>
      <w:marTop w:val="0"/>
      <w:marBottom w:val="0"/>
      <w:divBdr>
        <w:top w:val="none" w:sz="0" w:space="0" w:color="auto"/>
        <w:left w:val="none" w:sz="0" w:space="0" w:color="auto"/>
        <w:bottom w:val="none" w:sz="0" w:space="0" w:color="auto"/>
        <w:right w:val="none" w:sz="0" w:space="0" w:color="auto"/>
      </w:divBdr>
    </w:div>
    <w:div w:id="1396851903">
      <w:bodyDiv w:val="1"/>
      <w:marLeft w:val="0"/>
      <w:marRight w:val="0"/>
      <w:marTop w:val="0"/>
      <w:marBottom w:val="0"/>
      <w:divBdr>
        <w:top w:val="none" w:sz="0" w:space="0" w:color="auto"/>
        <w:left w:val="none" w:sz="0" w:space="0" w:color="auto"/>
        <w:bottom w:val="none" w:sz="0" w:space="0" w:color="auto"/>
        <w:right w:val="none" w:sz="0" w:space="0" w:color="auto"/>
      </w:divBdr>
    </w:div>
    <w:div w:id="1431926934">
      <w:bodyDiv w:val="1"/>
      <w:marLeft w:val="0"/>
      <w:marRight w:val="0"/>
      <w:marTop w:val="0"/>
      <w:marBottom w:val="0"/>
      <w:divBdr>
        <w:top w:val="none" w:sz="0" w:space="0" w:color="auto"/>
        <w:left w:val="none" w:sz="0" w:space="0" w:color="auto"/>
        <w:bottom w:val="none" w:sz="0" w:space="0" w:color="auto"/>
        <w:right w:val="none" w:sz="0" w:space="0" w:color="auto"/>
      </w:divBdr>
    </w:div>
    <w:div w:id="1433819510">
      <w:bodyDiv w:val="1"/>
      <w:marLeft w:val="0"/>
      <w:marRight w:val="0"/>
      <w:marTop w:val="0"/>
      <w:marBottom w:val="0"/>
      <w:divBdr>
        <w:top w:val="none" w:sz="0" w:space="0" w:color="auto"/>
        <w:left w:val="none" w:sz="0" w:space="0" w:color="auto"/>
        <w:bottom w:val="none" w:sz="0" w:space="0" w:color="auto"/>
        <w:right w:val="none" w:sz="0" w:space="0" w:color="auto"/>
      </w:divBdr>
      <w:divsChild>
        <w:div w:id="23412950">
          <w:marLeft w:val="0"/>
          <w:marRight w:val="0"/>
          <w:marTop w:val="0"/>
          <w:marBottom w:val="0"/>
          <w:divBdr>
            <w:top w:val="none" w:sz="0" w:space="0" w:color="auto"/>
            <w:left w:val="none" w:sz="0" w:space="0" w:color="auto"/>
            <w:bottom w:val="none" w:sz="0" w:space="0" w:color="auto"/>
            <w:right w:val="none" w:sz="0" w:space="0" w:color="auto"/>
          </w:divBdr>
        </w:div>
        <w:div w:id="166865334">
          <w:marLeft w:val="0"/>
          <w:marRight w:val="0"/>
          <w:marTop w:val="0"/>
          <w:marBottom w:val="0"/>
          <w:divBdr>
            <w:top w:val="none" w:sz="0" w:space="0" w:color="auto"/>
            <w:left w:val="none" w:sz="0" w:space="0" w:color="auto"/>
            <w:bottom w:val="none" w:sz="0" w:space="0" w:color="auto"/>
            <w:right w:val="none" w:sz="0" w:space="0" w:color="auto"/>
          </w:divBdr>
        </w:div>
        <w:div w:id="338241624">
          <w:marLeft w:val="0"/>
          <w:marRight w:val="0"/>
          <w:marTop w:val="0"/>
          <w:marBottom w:val="0"/>
          <w:divBdr>
            <w:top w:val="none" w:sz="0" w:space="0" w:color="auto"/>
            <w:left w:val="none" w:sz="0" w:space="0" w:color="auto"/>
            <w:bottom w:val="none" w:sz="0" w:space="0" w:color="auto"/>
            <w:right w:val="none" w:sz="0" w:space="0" w:color="auto"/>
          </w:divBdr>
        </w:div>
        <w:div w:id="521668450">
          <w:marLeft w:val="0"/>
          <w:marRight w:val="0"/>
          <w:marTop w:val="0"/>
          <w:marBottom w:val="0"/>
          <w:divBdr>
            <w:top w:val="none" w:sz="0" w:space="0" w:color="auto"/>
            <w:left w:val="none" w:sz="0" w:space="0" w:color="auto"/>
            <w:bottom w:val="none" w:sz="0" w:space="0" w:color="auto"/>
            <w:right w:val="none" w:sz="0" w:space="0" w:color="auto"/>
          </w:divBdr>
        </w:div>
        <w:div w:id="528643722">
          <w:marLeft w:val="0"/>
          <w:marRight w:val="0"/>
          <w:marTop w:val="0"/>
          <w:marBottom w:val="0"/>
          <w:divBdr>
            <w:top w:val="none" w:sz="0" w:space="0" w:color="auto"/>
            <w:left w:val="none" w:sz="0" w:space="0" w:color="auto"/>
            <w:bottom w:val="none" w:sz="0" w:space="0" w:color="auto"/>
            <w:right w:val="none" w:sz="0" w:space="0" w:color="auto"/>
          </w:divBdr>
        </w:div>
        <w:div w:id="535505961">
          <w:marLeft w:val="0"/>
          <w:marRight w:val="0"/>
          <w:marTop w:val="0"/>
          <w:marBottom w:val="0"/>
          <w:divBdr>
            <w:top w:val="none" w:sz="0" w:space="0" w:color="auto"/>
            <w:left w:val="none" w:sz="0" w:space="0" w:color="auto"/>
            <w:bottom w:val="none" w:sz="0" w:space="0" w:color="auto"/>
            <w:right w:val="none" w:sz="0" w:space="0" w:color="auto"/>
          </w:divBdr>
        </w:div>
        <w:div w:id="666253466">
          <w:marLeft w:val="0"/>
          <w:marRight w:val="0"/>
          <w:marTop w:val="0"/>
          <w:marBottom w:val="0"/>
          <w:divBdr>
            <w:top w:val="none" w:sz="0" w:space="0" w:color="auto"/>
            <w:left w:val="none" w:sz="0" w:space="0" w:color="auto"/>
            <w:bottom w:val="none" w:sz="0" w:space="0" w:color="auto"/>
            <w:right w:val="none" w:sz="0" w:space="0" w:color="auto"/>
          </w:divBdr>
        </w:div>
        <w:div w:id="733771943">
          <w:marLeft w:val="0"/>
          <w:marRight w:val="0"/>
          <w:marTop w:val="0"/>
          <w:marBottom w:val="0"/>
          <w:divBdr>
            <w:top w:val="none" w:sz="0" w:space="0" w:color="auto"/>
            <w:left w:val="none" w:sz="0" w:space="0" w:color="auto"/>
            <w:bottom w:val="none" w:sz="0" w:space="0" w:color="auto"/>
            <w:right w:val="none" w:sz="0" w:space="0" w:color="auto"/>
          </w:divBdr>
        </w:div>
        <w:div w:id="877937431">
          <w:marLeft w:val="0"/>
          <w:marRight w:val="0"/>
          <w:marTop w:val="0"/>
          <w:marBottom w:val="0"/>
          <w:divBdr>
            <w:top w:val="none" w:sz="0" w:space="0" w:color="auto"/>
            <w:left w:val="none" w:sz="0" w:space="0" w:color="auto"/>
            <w:bottom w:val="none" w:sz="0" w:space="0" w:color="auto"/>
            <w:right w:val="none" w:sz="0" w:space="0" w:color="auto"/>
          </w:divBdr>
        </w:div>
        <w:div w:id="1052197436">
          <w:marLeft w:val="0"/>
          <w:marRight w:val="0"/>
          <w:marTop w:val="0"/>
          <w:marBottom w:val="0"/>
          <w:divBdr>
            <w:top w:val="none" w:sz="0" w:space="0" w:color="auto"/>
            <w:left w:val="none" w:sz="0" w:space="0" w:color="auto"/>
            <w:bottom w:val="none" w:sz="0" w:space="0" w:color="auto"/>
            <w:right w:val="none" w:sz="0" w:space="0" w:color="auto"/>
          </w:divBdr>
        </w:div>
        <w:div w:id="1101878419">
          <w:marLeft w:val="0"/>
          <w:marRight w:val="0"/>
          <w:marTop w:val="0"/>
          <w:marBottom w:val="0"/>
          <w:divBdr>
            <w:top w:val="none" w:sz="0" w:space="0" w:color="auto"/>
            <w:left w:val="none" w:sz="0" w:space="0" w:color="auto"/>
            <w:bottom w:val="none" w:sz="0" w:space="0" w:color="auto"/>
            <w:right w:val="none" w:sz="0" w:space="0" w:color="auto"/>
          </w:divBdr>
          <w:divsChild>
            <w:div w:id="551429681">
              <w:marLeft w:val="0"/>
              <w:marRight w:val="0"/>
              <w:marTop w:val="0"/>
              <w:marBottom w:val="0"/>
              <w:divBdr>
                <w:top w:val="none" w:sz="0" w:space="0" w:color="auto"/>
                <w:left w:val="none" w:sz="0" w:space="0" w:color="auto"/>
                <w:bottom w:val="none" w:sz="0" w:space="0" w:color="auto"/>
                <w:right w:val="none" w:sz="0" w:space="0" w:color="auto"/>
              </w:divBdr>
              <w:divsChild>
                <w:div w:id="47775999">
                  <w:marLeft w:val="0"/>
                  <w:marRight w:val="0"/>
                  <w:marTop w:val="0"/>
                  <w:marBottom w:val="0"/>
                  <w:divBdr>
                    <w:top w:val="none" w:sz="0" w:space="0" w:color="auto"/>
                    <w:left w:val="none" w:sz="0" w:space="0" w:color="auto"/>
                    <w:bottom w:val="none" w:sz="0" w:space="0" w:color="auto"/>
                    <w:right w:val="none" w:sz="0" w:space="0" w:color="auto"/>
                  </w:divBdr>
                </w:div>
                <w:div w:id="69279175">
                  <w:marLeft w:val="0"/>
                  <w:marRight w:val="0"/>
                  <w:marTop w:val="0"/>
                  <w:marBottom w:val="0"/>
                  <w:divBdr>
                    <w:top w:val="none" w:sz="0" w:space="0" w:color="auto"/>
                    <w:left w:val="none" w:sz="0" w:space="0" w:color="auto"/>
                    <w:bottom w:val="none" w:sz="0" w:space="0" w:color="auto"/>
                    <w:right w:val="none" w:sz="0" w:space="0" w:color="auto"/>
                  </w:divBdr>
                </w:div>
                <w:div w:id="81489064">
                  <w:marLeft w:val="0"/>
                  <w:marRight w:val="0"/>
                  <w:marTop w:val="0"/>
                  <w:marBottom w:val="0"/>
                  <w:divBdr>
                    <w:top w:val="none" w:sz="0" w:space="0" w:color="auto"/>
                    <w:left w:val="none" w:sz="0" w:space="0" w:color="auto"/>
                    <w:bottom w:val="none" w:sz="0" w:space="0" w:color="auto"/>
                    <w:right w:val="none" w:sz="0" w:space="0" w:color="auto"/>
                  </w:divBdr>
                </w:div>
                <w:div w:id="104084213">
                  <w:marLeft w:val="0"/>
                  <w:marRight w:val="0"/>
                  <w:marTop w:val="0"/>
                  <w:marBottom w:val="0"/>
                  <w:divBdr>
                    <w:top w:val="none" w:sz="0" w:space="0" w:color="auto"/>
                    <w:left w:val="none" w:sz="0" w:space="0" w:color="auto"/>
                    <w:bottom w:val="none" w:sz="0" w:space="0" w:color="auto"/>
                    <w:right w:val="none" w:sz="0" w:space="0" w:color="auto"/>
                  </w:divBdr>
                </w:div>
                <w:div w:id="160584752">
                  <w:marLeft w:val="0"/>
                  <w:marRight w:val="0"/>
                  <w:marTop w:val="0"/>
                  <w:marBottom w:val="0"/>
                  <w:divBdr>
                    <w:top w:val="none" w:sz="0" w:space="0" w:color="auto"/>
                    <w:left w:val="none" w:sz="0" w:space="0" w:color="auto"/>
                    <w:bottom w:val="none" w:sz="0" w:space="0" w:color="auto"/>
                    <w:right w:val="none" w:sz="0" w:space="0" w:color="auto"/>
                  </w:divBdr>
                </w:div>
                <w:div w:id="228618419">
                  <w:marLeft w:val="0"/>
                  <w:marRight w:val="0"/>
                  <w:marTop w:val="0"/>
                  <w:marBottom w:val="0"/>
                  <w:divBdr>
                    <w:top w:val="none" w:sz="0" w:space="0" w:color="auto"/>
                    <w:left w:val="none" w:sz="0" w:space="0" w:color="auto"/>
                    <w:bottom w:val="none" w:sz="0" w:space="0" w:color="auto"/>
                    <w:right w:val="none" w:sz="0" w:space="0" w:color="auto"/>
                  </w:divBdr>
                </w:div>
                <w:div w:id="246229542">
                  <w:marLeft w:val="0"/>
                  <w:marRight w:val="0"/>
                  <w:marTop w:val="0"/>
                  <w:marBottom w:val="0"/>
                  <w:divBdr>
                    <w:top w:val="none" w:sz="0" w:space="0" w:color="auto"/>
                    <w:left w:val="none" w:sz="0" w:space="0" w:color="auto"/>
                    <w:bottom w:val="none" w:sz="0" w:space="0" w:color="auto"/>
                    <w:right w:val="none" w:sz="0" w:space="0" w:color="auto"/>
                  </w:divBdr>
                </w:div>
                <w:div w:id="408506120">
                  <w:marLeft w:val="0"/>
                  <w:marRight w:val="0"/>
                  <w:marTop w:val="0"/>
                  <w:marBottom w:val="0"/>
                  <w:divBdr>
                    <w:top w:val="none" w:sz="0" w:space="0" w:color="auto"/>
                    <w:left w:val="none" w:sz="0" w:space="0" w:color="auto"/>
                    <w:bottom w:val="none" w:sz="0" w:space="0" w:color="auto"/>
                    <w:right w:val="none" w:sz="0" w:space="0" w:color="auto"/>
                  </w:divBdr>
                </w:div>
                <w:div w:id="685980632">
                  <w:marLeft w:val="0"/>
                  <w:marRight w:val="0"/>
                  <w:marTop w:val="0"/>
                  <w:marBottom w:val="0"/>
                  <w:divBdr>
                    <w:top w:val="none" w:sz="0" w:space="0" w:color="auto"/>
                    <w:left w:val="none" w:sz="0" w:space="0" w:color="auto"/>
                    <w:bottom w:val="none" w:sz="0" w:space="0" w:color="auto"/>
                    <w:right w:val="none" w:sz="0" w:space="0" w:color="auto"/>
                  </w:divBdr>
                </w:div>
                <w:div w:id="735276228">
                  <w:marLeft w:val="0"/>
                  <w:marRight w:val="0"/>
                  <w:marTop w:val="0"/>
                  <w:marBottom w:val="0"/>
                  <w:divBdr>
                    <w:top w:val="none" w:sz="0" w:space="0" w:color="auto"/>
                    <w:left w:val="none" w:sz="0" w:space="0" w:color="auto"/>
                    <w:bottom w:val="none" w:sz="0" w:space="0" w:color="auto"/>
                    <w:right w:val="none" w:sz="0" w:space="0" w:color="auto"/>
                  </w:divBdr>
                </w:div>
                <w:div w:id="846208745">
                  <w:marLeft w:val="0"/>
                  <w:marRight w:val="0"/>
                  <w:marTop w:val="0"/>
                  <w:marBottom w:val="0"/>
                  <w:divBdr>
                    <w:top w:val="none" w:sz="0" w:space="0" w:color="auto"/>
                    <w:left w:val="none" w:sz="0" w:space="0" w:color="auto"/>
                    <w:bottom w:val="none" w:sz="0" w:space="0" w:color="auto"/>
                    <w:right w:val="none" w:sz="0" w:space="0" w:color="auto"/>
                  </w:divBdr>
                </w:div>
                <w:div w:id="972712677">
                  <w:marLeft w:val="0"/>
                  <w:marRight w:val="0"/>
                  <w:marTop w:val="0"/>
                  <w:marBottom w:val="0"/>
                  <w:divBdr>
                    <w:top w:val="none" w:sz="0" w:space="0" w:color="auto"/>
                    <w:left w:val="none" w:sz="0" w:space="0" w:color="auto"/>
                    <w:bottom w:val="none" w:sz="0" w:space="0" w:color="auto"/>
                    <w:right w:val="none" w:sz="0" w:space="0" w:color="auto"/>
                  </w:divBdr>
                </w:div>
                <w:div w:id="1108692924">
                  <w:marLeft w:val="0"/>
                  <w:marRight w:val="0"/>
                  <w:marTop w:val="0"/>
                  <w:marBottom w:val="0"/>
                  <w:divBdr>
                    <w:top w:val="none" w:sz="0" w:space="0" w:color="auto"/>
                    <w:left w:val="none" w:sz="0" w:space="0" w:color="auto"/>
                    <w:bottom w:val="none" w:sz="0" w:space="0" w:color="auto"/>
                    <w:right w:val="none" w:sz="0" w:space="0" w:color="auto"/>
                  </w:divBdr>
                </w:div>
                <w:div w:id="1240863888">
                  <w:marLeft w:val="0"/>
                  <w:marRight w:val="0"/>
                  <w:marTop w:val="0"/>
                  <w:marBottom w:val="0"/>
                  <w:divBdr>
                    <w:top w:val="none" w:sz="0" w:space="0" w:color="auto"/>
                    <w:left w:val="none" w:sz="0" w:space="0" w:color="auto"/>
                    <w:bottom w:val="none" w:sz="0" w:space="0" w:color="auto"/>
                    <w:right w:val="none" w:sz="0" w:space="0" w:color="auto"/>
                  </w:divBdr>
                </w:div>
                <w:div w:id="1568568888">
                  <w:marLeft w:val="0"/>
                  <w:marRight w:val="0"/>
                  <w:marTop w:val="0"/>
                  <w:marBottom w:val="0"/>
                  <w:divBdr>
                    <w:top w:val="none" w:sz="0" w:space="0" w:color="auto"/>
                    <w:left w:val="none" w:sz="0" w:space="0" w:color="auto"/>
                    <w:bottom w:val="none" w:sz="0" w:space="0" w:color="auto"/>
                    <w:right w:val="none" w:sz="0" w:space="0" w:color="auto"/>
                  </w:divBdr>
                </w:div>
                <w:div w:id="1573848701">
                  <w:marLeft w:val="0"/>
                  <w:marRight w:val="0"/>
                  <w:marTop w:val="0"/>
                  <w:marBottom w:val="0"/>
                  <w:divBdr>
                    <w:top w:val="none" w:sz="0" w:space="0" w:color="auto"/>
                    <w:left w:val="none" w:sz="0" w:space="0" w:color="auto"/>
                    <w:bottom w:val="none" w:sz="0" w:space="0" w:color="auto"/>
                    <w:right w:val="none" w:sz="0" w:space="0" w:color="auto"/>
                  </w:divBdr>
                </w:div>
                <w:div w:id="1601260356">
                  <w:marLeft w:val="0"/>
                  <w:marRight w:val="0"/>
                  <w:marTop w:val="0"/>
                  <w:marBottom w:val="0"/>
                  <w:divBdr>
                    <w:top w:val="none" w:sz="0" w:space="0" w:color="auto"/>
                    <w:left w:val="none" w:sz="0" w:space="0" w:color="auto"/>
                    <w:bottom w:val="none" w:sz="0" w:space="0" w:color="auto"/>
                    <w:right w:val="none" w:sz="0" w:space="0" w:color="auto"/>
                  </w:divBdr>
                </w:div>
                <w:div w:id="1790272621">
                  <w:marLeft w:val="0"/>
                  <w:marRight w:val="0"/>
                  <w:marTop w:val="0"/>
                  <w:marBottom w:val="0"/>
                  <w:divBdr>
                    <w:top w:val="none" w:sz="0" w:space="0" w:color="auto"/>
                    <w:left w:val="none" w:sz="0" w:space="0" w:color="auto"/>
                    <w:bottom w:val="none" w:sz="0" w:space="0" w:color="auto"/>
                    <w:right w:val="none" w:sz="0" w:space="0" w:color="auto"/>
                  </w:divBdr>
                </w:div>
                <w:div w:id="1816946702">
                  <w:marLeft w:val="0"/>
                  <w:marRight w:val="0"/>
                  <w:marTop w:val="0"/>
                  <w:marBottom w:val="0"/>
                  <w:divBdr>
                    <w:top w:val="none" w:sz="0" w:space="0" w:color="auto"/>
                    <w:left w:val="none" w:sz="0" w:space="0" w:color="auto"/>
                    <w:bottom w:val="none" w:sz="0" w:space="0" w:color="auto"/>
                    <w:right w:val="none" w:sz="0" w:space="0" w:color="auto"/>
                  </w:divBdr>
                </w:div>
                <w:div w:id="1834369520">
                  <w:marLeft w:val="0"/>
                  <w:marRight w:val="0"/>
                  <w:marTop w:val="0"/>
                  <w:marBottom w:val="0"/>
                  <w:divBdr>
                    <w:top w:val="none" w:sz="0" w:space="0" w:color="auto"/>
                    <w:left w:val="none" w:sz="0" w:space="0" w:color="auto"/>
                    <w:bottom w:val="none" w:sz="0" w:space="0" w:color="auto"/>
                    <w:right w:val="none" w:sz="0" w:space="0" w:color="auto"/>
                  </w:divBdr>
                </w:div>
                <w:div w:id="1910653948">
                  <w:marLeft w:val="0"/>
                  <w:marRight w:val="0"/>
                  <w:marTop w:val="0"/>
                  <w:marBottom w:val="0"/>
                  <w:divBdr>
                    <w:top w:val="none" w:sz="0" w:space="0" w:color="auto"/>
                    <w:left w:val="none" w:sz="0" w:space="0" w:color="auto"/>
                    <w:bottom w:val="none" w:sz="0" w:space="0" w:color="auto"/>
                    <w:right w:val="none" w:sz="0" w:space="0" w:color="auto"/>
                  </w:divBdr>
                </w:div>
                <w:div w:id="1960410681">
                  <w:marLeft w:val="0"/>
                  <w:marRight w:val="0"/>
                  <w:marTop w:val="0"/>
                  <w:marBottom w:val="0"/>
                  <w:divBdr>
                    <w:top w:val="none" w:sz="0" w:space="0" w:color="auto"/>
                    <w:left w:val="none" w:sz="0" w:space="0" w:color="auto"/>
                    <w:bottom w:val="none" w:sz="0" w:space="0" w:color="auto"/>
                    <w:right w:val="none" w:sz="0" w:space="0" w:color="auto"/>
                  </w:divBdr>
                </w:div>
                <w:div w:id="1998149311">
                  <w:marLeft w:val="0"/>
                  <w:marRight w:val="0"/>
                  <w:marTop w:val="0"/>
                  <w:marBottom w:val="0"/>
                  <w:divBdr>
                    <w:top w:val="none" w:sz="0" w:space="0" w:color="auto"/>
                    <w:left w:val="none" w:sz="0" w:space="0" w:color="auto"/>
                    <w:bottom w:val="none" w:sz="0" w:space="0" w:color="auto"/>
                    <w:right w:val="none" w:sz="0" w:space="0" w:color="auto"/>
                  </w:divBdr>
                </w:div>
                <w:div w:id="211655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940358">
          <w:marLeft w:val="0"/>
          <w:marRight w:val="0"/>
          <w:marTop w:val="0"/>
          <w:marBottom w:val="0"/>
          <w:divBdr>
            <w:top w:val="none" w:sz="0" w:space="0" w:color="auto"/>
            <w:left w:val="none" w:sz="0" w:space="0" w:color="auto"/>
            <w:bottom w:val="none" w:sz="0" w:space="0" w:color="auto"/>
            <w:right w:val="none" w:sz="0" w:space="0" w:color="auto"/>
          </w:divBdr>
        </w:div>
        <w:div w:id="1157260125">
          <w:marLeft w:val="0"/>
          <w:marRight w:val="0"/>
          <w:marTop w:val="0"/>
          <w:marBottom w:val="0"/>
          <w:divBdr>
            <w:top w:val="none" w:sz="0" w:space="0" w:color="auto"/>
            <w:left w:val="none" w:sz="0" w:space="0" w:color="auto"/>
            <w:bottom w:val="none" w:sz="0" w:space="0" w:color="auto"/>
            <w:right w:val="none" w:sz="0" w:space="0" w:color="auto"/>
          </w:divBdr>
        </w:div>
        <w:div w:id="1285893192">
          <w:marLeft w:val="0"/>
          <w:marRight w:val="0"/>
          <w:marTop w:val="0"/>
          <w:marBottom w:val="0"/>
          <w:divBdr>
            <w:top w:val="none" w:sz="0" w:space="0" w:color="auto"/>
            <w:left w:val="none" w:sz="0" w:space="0" w:color="auto"/>
            <w:bottom w:val="none" w:sz="0" w:space="0" w:color="auto"/>
            <w:right w:val="none" w:sz="0" w:space="0" w:color="auto"/>
          </w:divBdr>
        </w:div>
        <w:div w:id="1309869991">
          <w:marLeft w:val="0"/>
          <w:marRight w:val="0"/>
          <w:marTop w:val="0"/>
          <w:marBottom w:val="0"/>
          <w:divBdr>
            <w:top w:val="none" w:sz="0" w:space="0" w:color="auto"/>
            <w:left w:val="none" w:sz="0" w:space="0" w:color="auto"/>
            <w:bottom w:val="none" w:sz="0" w:space="0" w:color="auto"/>
            <w:right w:val="none" w:sz="0" w:space="0" w:color="auto"/>
          </w:divBdr>
        </w:div>
        <w:div w:id="1336807693">
          <w:marLeft w:val="0"/>
          <w:marRight w:val="0"/>
          <w:marTop w:val="0"/>
          <w:marBottom w:val="0"/>
          <w:divBdr>
            <w:top w:val="none" w:sz="0" w:space="0" w:color="auto"/>
            <w:left w:val="none" w:sz="0" w:space="0" w:color="auto"/>
            <w:bottom w:val="none" w:sz="0" w:space="0" w:color="auto"/>
            <w:right w:val="none" w:sz="0" w:space="0" w:color="auto"/>
          </w:divBdr>
        </w:div>
        <w:div w:id="1408918761">
          <w:marLeft w:val="0"/>
          <w:marRight w:val="0"/>
          <w:marTop w:val="0"/>
          <w:marBottom w:val="0"/>
          <w:divBdr>
            <w:top w:val="none" w:sz="0" w:space="0" w:color="auto"/>
            <w:left w:val="none" w:sz="0" w:space="0" w:color="auto"/>
            <w:bottom w:val="none" w:sz="0" w:space="0" w:color="auto"/>
            <w:right w:val="none" w:sz="0" w:space="0" w:color="auto"/>
          </w:divBdr>
        </w:div>
        <w:div w:id="1501694478">
          <w:marLeft w:val="0"/>
          <w:marRight w:val="0"/>
          <w:marTop w:val="0"/>
          <w:marBottom w:val="0"/>
          <w:divBdr>
            <w:top w:val="none" w:sz="0" w:space="0" w:color="auto"/>
            <w:left w:val="none" w:sz="0" w:space="0" w:color="auto"/>
            <w:bottom w:val="none" w:sz="0" w:space="0" w:color="auto"/>
            <w:right w:val="none" w:sz="0" w:space="0" w:color="auto"/>
          </w:divBdr>
        </w:div>
        <w:div w:id="1533615655">
          <w:marLeft w:val="0"/>
          <w:marRight w:val="0"/>
          <w:marTop w:val="0"/>
          <w:marBottom w:val="0"/>
          <w:divBdr>
            <w:top w:val="none" w:sz="0" w:space="0" w:color="auto"/>
            <w:left w:val="none" w:sz="0" w:space="0" w:color="auto"/>
            <w:bottom w:val="none" w:sz="0" w:space="0" w:color="auto"/>
            <w:right w:val="none" w:sz="0" w:space="0" w:color="auto"/>
          </w:divBdr>
        </w:div>
        <w:div w:id="1623421475">
          <w:marLeft w:val="0"/>
          <w:marRight w:val="0"/>
          <w:marTop w:val="0"/>
          <w:marBottom w:val="0"/>
          <w:divBdr>
            <w:top w:val="none" w:sz="0" w:space="0" w:color="auto"/>
            <w:left w:val="none" w:sz="0" w:space="0" w:color="auto"/>
            <w:bottom w:val="none" w:sz="0" w:space="0" w:color="auto"/>
            <w:right w:val="none" w:sz="0" w:space="0" w:color="auto"/>
          </w:divBdr>
        </w:div>
        <w:div w:id="1747073145">
          <w:marLeft w:val="0"/>
          <w:marRight w:val="0"/>
          <w:marTop w:val="0"/>
          <w:marBottom w:val="0"/>
          <w:divBdr>
            <w:top w:val="none" w:sz="0" w:space="0" w:color="auto"/>
            <w:left w:val="none" w:sz="0" w:space="0" w:color="auto"/>
            <w:bottom w:val="none" w:sz="0" w:space="0" w:color="auto"/>
            <w:right w:val="none" w:sz="0" w:space="0" w:color="auto"/>
          </w:divBdr>
        </w:div>
        <w:div w:id="1768504073">
          <w:marLeft w:val="0"/>
          <w:marRight w:val="0"/>
          <w:marTop w:val="0"/>
          <w:marBottom w:val="0"/>
          <w:divBdr>
            <w:top w:val="none" w:sz="0" w:space="0" w:color="auto"/>
            <w:left w:val="none" w:sz="0" w:space="0" w:color="auto"/>
            <w:bottom w:val="none" w:sz="0" w:space="0" w:color="auto"/>
            <w:right w:val="none" w:sz="0" w:space="0" w:color="auto"/>
          </w:divBdr>
        </w:div>
        <w:div w:id="1930504797">
          <w:marLeft w:val="0"/>
          <w:marRight w:val="0"/>
          <w:marTop w:val="0"/>
          <w:marBottom w:val="0"/>
          <w:divBdr>
            <w:top w:val="none" w:sz="0" w:space="0" w:color="auto"/>
            <w:left w:val="none" w:sz="0" w:space="0" w:color="auto"/>
            <w:bottom w:val="none" w:sz="0" w:space="0" w:color="auto"/>
            <w:right w:val="none" w:sz="0" w:space="0" w:color="auto"/>
          </w:divBdr>
        </w:div>
      </w:divsChild>
    </w:div>
    <w:div w:id="1439569691">
      <w:bodyDiv w:val="1"/>
      <w:marLeft w:val="0"/>
      <w:marRight w:val="0"/>
      <w:marTop w:val="0"/>
      <w:marBottom w:val="0"/>
      <w:divBdr>
        <w:top w:val="none" w:sz="0" w:space="0" w:color="auto"/>
        <w:left w:val="none" w:sz="0" w:space="0" w:color="auto"/>
        <w:bottom w:val="none" w:sz="0" w:space="0" w:color="auto"/>
        <w:right w:val="none" w:sz="0" w:space="0" w:color="auto"/>
      </w:divBdr>
    </w:div>
    <w:div w:id="1446386833">
      <w:bodyDiv w:val="1"/>
      <w:marLeft w:val="0"/>
      <w:marRight w:val="0"/>
      <w:marTop w:val="0"/>
      <w:marBottom w:val="0"/>
      <w:divBdr>
        <w:top w:val="none" w:sz="0" w:space="0" w:color="auto"/>
        <w:left w:val="none" w:sz="0" w:space="0" w:color="auto"/>
        <w:bottom w:val="none" w:sz="0" w:space="0" w:color="auto"/>
        <w:right w:val="none" w:sz="0" w:space="0" w:color="auto"/>
      </w:divBdr>
      <w:divsChild>
        <w:div w:id="442967612">
          <w:marLeft w:val="547"/>
          <w:marRight w:val="0"/>
          <w:marTop w:val="96"/>
          <w:marBottom w:val="0"/>
          <w:divBdr>
            <w:top w:val="none" w:sz="0" w:space="0" w:color="auto"/>
            <w:left w:val="none" w:sz="0" w:space="0" w:color="auto"/>
            <w:bottom w:val="none" w:sz="0" w:space="0" w:color="auto"/>
            <w:right w:val="none" w:sz="0" w:space="0" w:color="auto"/>
          </w:divBdr>
        </w:div>
      </w:divsChild>
    </w:div>
    <w:div w:id="1452438056">
      <w:bodyDiv w:val="1"/>
      <w:marLeft w:val="0"/>
      <w:marRight w:val="0"/>
      <w:marTop w:val="0"/>
      <w:marBottom w:val="0"/>
      <w:divBdr>
        <w:top w:val="none" w:sz="0" w:space="0" w:color="auto"/>
        <w:left w:val="none" w:sz="0" w:space="0" w:color="auto"/>
        <w:bottom w:val="none" w:sz="0" w:space="0" w:color="auto"/>
        <w:right w:val="none" w:sz="0" w:space="0" w:color="auto"/>
      </w:divBdr>
      <w:divsChild>
        <w:div w:id="257296669">
          <w:marLeft w:val="547"/>
          <w:marRight w:val="0"/>
          <w:marTop w:val="0"/>
          <w:marBottom w:val="0"/>
          <w:divBdr>
            <w:top w:val="none" w:sz="0" w:space="0" w:color="auto"/>
            <w:left w:val="none" w:sz="0" w:space="0" w:color="auto"/>
            <w:bottom w:val="none" w:sz="0" w:space="0" w:color="auto"/>
            <w:right w:val="none" w:sz="0" w:space="0" w:color="auto"/>
          </w:divBdr>
        </w:div>
        <w:div w:id="1321811877">
          <w:marLeft w:val="547"/>
          <w:marRight w:val="0"/>
          <w:marTop w:val="0"/>
          <w:marBottom w:val="0"/>
          <w:divBdr>
            <w:top w:val="none" w:sz="0" w:space="0" w:color="auto"/>
            <w:left w:val="none" w:sz="0" w:space="0" w:color="auto"/>
            <w:bottom w:val="none" w:sz="0" w:space="0" w:color="auto"/>
            <w:right w:val="none" w:sz="0" w:space="0" w:color="auto"/>
          </w:divBdr>
        </w:div>
        <w:div w:id="496313355">
          <w:marLeft w:val="547"/>
          <w:marRight w:val="0"/>
          <w:marTop w:val="0"/>
          <w:marBottom w:val="0"/>
          <w:divBdr>
            <w:top w:val="none" w:sz="0" w:space="0" w:color="auto"/>
            <w:left w:val="none" w:sz="0" w:space="0" w:color="auto"/>
            <w:bottom w:val="none" w:sz="0" w:space="0" w:color="auto"/>
            <w:right w:val="none" w:sz="0" w:space="0" w:color="auto"/>
          </w:divBdr>
        </w:div>
        <w:div w:id="1471829021">
          <w:marLeft w:val="547"/>
          <w:marRight w:val="0"/>
          <w:marTop w:val="0"/>
          <w:marBottom w:val="0"/>
          <w:divBdr>
            <w:top w:val="none" w:sz="0" w:space="0" w:color="auto"/>
            <w:left w:val="none" w:sz="0" w:space="0" w:color="auto"/>
            <w:bottom w:val="none" w:sz="0" w:space="0" w:color="auto"/>
            <w:right w:val="none" w:sz="0" w:space="0" w:color="auto"/>
          </w:divBdr>
        </w:div>
        <w:div w:id="378287440">
          <w:marLeft w:val="547"/>
          <w:marRight w:val="0"/>
          <w:marTop w:val="0"/>
          <w:marBottom w:val="0"/>
          <w:divBdr>
            <w:top w:val="none" w:sz="0" w:space="0" w:color="auto"/>
            <w:left w:val="none" w:sz="0" w:space="0" w:color="auto"/>
            <w:bottom w:val="none" w:sz="0" w:space="0" w:color="auto"/>
            <w:right w:val="none" w:sz="0" w:space="0" w:color="auto"/>
          </w:divBdr>
        </w:div>
        <w:div w:id="166335754">
          <w:marLeft w:val="547"/>
          <w:marRight w:val="0"/>
          <w:marTop w:val="0"/>
          <w:marBottom w:val="0"/>
          <w:divBdr>
            <w:top w:val="none" w:sz="0" w:space="0" w:color="auto"/>
            <w:left w:val="none" w:sz="0" w:space="0" w:color="auto"/>
            <w:bottom w:val="none" w:sz="0" w:space="0" w:color="auto"/>
            <w:right w:val="none" w:sz="0" w:space="0" w:color="auto"/>
          </w:divBdr>
        </w:div>
        <w:div w:id="1492527607">
          <w:marLeft w:val="547"/>
          <w:marRight w:val="0"/>
          <w:marTop w:val="0"/>
          <w:marBottom w:val="0"/>
          <w:divBdr>
            <w:top w:val="none" w:sz="0" w:space="0" w:color="auto"/>
            <w:left w:val="none" w:sz="0" w:space="0" w:color="auto"/>
            <w:bottom w:val="none" w:sz="0" w:space="0" w:color="auto"/>
            <w:right w:val="none" w:sz="0" w:space="0" w:color="auto"/>
          </w:divBdr>
        </w:div>
        <w:div w:id="667291941">
          <w:marLeft w:val="547"/>
          <w:marRight w:val="0"/>
          <w:marTop w:val="0"/>
          <w:marBottom w:val="0"/>
          <w:divBdr>
            <w:top w:val="none" w:sz="0" w:space="0" w:color="auto"/>
            <w:left w:val="none" w:sz="0" w:space="0" w:color="auto"/>
            <w:bottom w:val="none" w:sz="0" w:space="0" w:color="auto"/>
            <w:right w:val="none" w:sz="0" w:space="0" w:color="auto"/>
          </w:divBdr>
        </w:div>
        <w:div w:id="1382094435">
          <w:marLeft w:val="547"/>
          <w:marRight w:val="0"/>
          <w:marTop w:val="0"/>
          <w:marBottom w:val="0"/>
          <w:divBdr>
            <w:top w:val="none" w:sz="0" w:space="0" w:color="auto"/>
            <w:left w:val="none" w:sz="0" w:space="0" w:color="auto"/>
            <w:bottom w:val="none" w:sz="0" w:space="0" w:color="auto"/>
            <w:right w:val="none" w:sz="0" w:space="0" w:color="auto"/>
          </w:divBdr>
        </w:div>
        <w:div w:id="1567522797">
          <w:marLeft w:val="547"/>
          <w:marRight w:val="0"/>
          <w:marTop w:val="0"/>
          <w:marBottom w:val="0"/>
          <w:divBdr>
            <w:top w:val="none" w:sz="0" w:space="0" w:color="auto"/>
            <w:left w:val="none" w:sz="0" w:space="0" w:color="auto"/>
            <w:bottom w:val="none" w:sz="0" w:space="0" w:color="auto"/>
            <w:right w:val="none" w:sz="0" w:space="0" w:color="auto"/>
          </w:divBdr>
        </w:div>
        <w:div w:id="1630548891">
          <w:marLeft w:val="547"/>
          <w:marRight w:val="0"/>
          <w:marTop w:val="0"/>
          <w:marBottom w:val="0"/>
          <w:divBdr>
            <w:top w:val="none" w:sz="0" w:space="0" w:color="auto"/>
            <w:left w:val="none" w:sz="0" w:space="0" w:color="auto"/>
            <w:bottom w:val="none" w:sz="0" w:space="0" w:color="auto"/>
            <w:right w:val="none" w:sz="0" w:space="0" w:color="auto"/>
          </w:divBdr>
        </w:div>
        <w:div w:id="2014599767">
          <w:marLeft w:val="547"/>
          <w:marRight w:val="0"/>
          <w:marTop w:val="0"/>
          <w:marBottom w:val="0"/>
          <w:divBdr>
            <w:top w:val="none" w:sz="0" w:space="0" w:color="auto"/>
            <w:left w:val="none" w:sz="0" w:space="0" w:color="auto"/>
            <w:bottom w:val="none" w:sz="0" w:space="0" w:color="auto"/>
            <w:right w:val="none" w:sz="0" w:space="0" w:color="auto"/>
          </w:divBdr>
        </w:div>
        <w:div w:id="979187174">
          <w:marLeft w:val="547"/>
          <w:marRight w:val="0"/>
          <w:marTop w:val="0"/>
          <w:marBottom w:val="0"/>
          <w:divBdr>
            <w:top w:val="none" w:sz="0" w:space="0" w:color="auto"/>
            <w:left w:val="none" w:sz="0" w:space="0" w:color="auto"/>
            <w:bottom w:val="none" w:sz="0" w:space="0" w:color="auto"/>
            <w:right w:val="none" w:sz="0" w:space="0" w:color="auto"/>
          </w:divBdr>
        </w:div>
        <w:div w:id="1384982297">
          <w:marLeft w:val="547"/>
          <w:marRight w:val="0"/>
          <w:marTop w:val="0"/>
          <w:marBottom w:val="0"/>
          <w:divBdr>
            <w:top w:val="none" w:sz="0" w:space="0" w:color="auto"/>
            <w:left w:val="none" w:sz="0" w:space="0" w:color="auto"/>
            <w:bottom w:val="none" w:sz="0" w:space="0" w:color="auto"/>
            <w:right w:val="none" w:sz="0" w:space="0" w:color="auto"/>
          </w:divBdr>
        </w:div>
        <w:div w:id="317391773">
          <w:marLeft w:val="547"/>
          <w:marRight w:val="0"/>
          <w:marTop w:val="0"/>
          <w:marBottom w:val="0"/>
          <w:divBdr>
            <w:top w:val="none" w:sz="0" w:space="0" w:color="auto"/>
            <w:left w:val="none" w:sz="0" w:space="0" w:color="auto"/>
            <w:bottom w:val="none" w:sz="0" w:space="0" w:color="auto"/>
            <w:right w:val="none" w:sz="0" w:space="0" w:color="auto"/>
          </w:divBdr>
        </w:div>
        <w:div w:id="1724476512">
          <w:marLeft w:val="547"/>
          <w:marRight w:val="0"/>
          <w:marTop w:val="0"/>
          <w:marBottom w:val="0"/>
          <w:divBdr>
            <w:top w:val="none" w:sz="0" w:space="0" w:color="auto"/>
            <w:left w:val="none" w:sz="0" w:space="0" w:color="auto"/>
            <w:bottom w:val="none" w:sz="0" w:space="0" w:color="auto"/>
            <w:right w:val="none" w:sz="0" w:space="0" w:color="auto"/>
          </w:divBdr>
        </w:div>
        <w:div w:id="478838292">
          <w:marLeft w:val="547"/>
          <w:marRight w:val="0"/>
          <w:marTop w:val="0"/>
          <w:marBottom w:val="0"/>
          <w:divBdr>
            <w:top w:val="none" w:sz="0" w:space="0" w:color="auto"/>
            <w:left w:val="none" w:sz="0" w:space="0" w:color="auto"/>
            <w:bottom w:val="none" w:sz="0" w:space="0" w:color="auto"/>
            <w:right w:val="none" w:sz="0" w:space="0" w:color="auto"/>
          </w:divBdr>
        </w:div>
        <w:div w:id="554850609">
          <w:marLeft w:val="547"/>
          <w:marRight w:val="0"/>
          <w:marTop w:val="0"/>
          <w:marBottom w:val="0"/>
          <w:divBdr>
            <w:top w:val="none" w:sz="0" w:space="0" w:color="auto"/>
            <w:left w:val="none" w:sz="0" w:space="0" w:color="auto"/>
            <w:bottom w:val="none" w:sz="0" w:space="0" w:color="auto"/>
            <w:right w:val="none" w:sz="0" w:space="0" w:color="auto"/>
          </w:divBdr>
        </w:div>
        <w:div w:id="648556889">
          <w:marLeft w:val="547"/>
          <w:marRight w:val="0"/>
          <w:marTop w:val="0"/>
          <w:marBottom w:val="0"/>
          <w:divBdr>
            <w:top w:val="none" w:sz="0" w:space="0" w:color="auto"/>
            <w:left w:val="none" w:sz="0" w:space="0" w:color="auto"/>
            <w:bottom w:val="none" w:sz="0" w:space="0" w:color="auto"/>
            <w:right w:val="none" w:sz="0" w:space="0" w:color="auto"/>
          </w:divBdr>
        </w:div>
        <w:div w:id="975840515">
          <w:marLeft w:val="547"/>
          <w:marRight w:val="0"/>
          <w:marTop w:val="0"/>
          <w:marBottom w:val="0"/>
          <w:divBdr>
            <w:top w:val="none" w:sz="0" w:space="0" w:color="auto"/>
            <w:left w:val="none" w:sz="0" w:space="0" w:color="auto"/>
            <w:bottom w:val="none" w:sz="0" w:space="0" w:color="auto"/>
            <w:right w:val="none" w:sz="0" w:space="0" w:color="auto"/>
          </w:divBdr>
        </w:div>
        <w:div w:id="1587610374">
          <w:marLeft w:val="547"/>
          <w:marRight w:val="0"/>
          <w:marTop w:val="0"/>
          <w:marBottom w:val="0"/>
          <w:divBdr>
            <w:top w:val="none" w:sz="0" w:space="0" w:color="auto"/>
            <w:left w:val="none" w:sz="0" w:space="0" w:color="auto"/>
            <w:bottom w:val="none" w:sz="0" w:space="0" w:color="auto"/>
            <w:right w:val="none" w:sz="0" w:space="0" w:color="auto"/>
          </w:divBdr>
        </w:div>
        <w:div w:id="1801485632">
          <w:marLeft w:val="547"/>
          <w:marRight w:val="0"/>
          <w:marTop w:val="0"/>
          <w:marBottom w:val="0"/>
          <w:divBdr>
            <w:top w:val="none" w:sz="0" w:space="0" w:color="auto"/>
            <w:left w:val="none" w:sz="0" w:space="0" w:color="auto"/>
            <w:bottom w:val="none" w:sz="0" w:space="0" w:color="auto"/>
            <w:right w:val="none" w:sz="0" w:space="0" w:color="auto"/>
          </w:divBdr>
        </w:div>
        <w:div w:id="982855396">
          <w:marLeft w:val="547"/>
          <w:marRight w:val="0"/>
          <w:marTop w:val="0"/>
          <w:marBottom w:val="0"/>
          <w:divBdr>
            <w:top w:val="none" w:sz="0" w:space="0" w:color="auto"/>
            <w:left w:val="none" w:sz="0" w:space="0" w:color="auto"/>
            <w:bottom w:val="none" w:sz="0" w:space="0" w:color="auto"/>
            <w:right w:val="none" w:sz="0" w:space="0" w:color="auto"/>
          </w:divBdr>
        </w:div>
        <w:div w:id="2108383144">
          <w:marLeft w:val="547"/>
          <w:marRight w:val="0"/>
          <w:marTop w:val="0"/>
          <w:marBottom w:val="0"/>
          <w:divBdr>
            <w:top w:val="none" w:sz="0" w:space="0" w:color="auto"/>
            <w:left w:val="none" w:sz="0" w:space="0" w:color="auto"/>
            <w:bottom w:val="none" w:sz="0" w:space="0" w:color="auto"/>
            <w:right w:val="none" w:sz="0" w:space="0" w:color="auto"/>
          </w:divBdr>
        </w:div>
        <w:div w:id="433288065">
          <w:marLeft w:val="547"/>
          <w:marRight w:val="0"/>
          <w:marTop w:val="0"/>
          <w:marBottom w:val="0"/>
          <w:divBdr>
            <w:top w:val="none" w:sz="0" w:space="0" w:color="auto"/>
            <w:left w:val="none" w:sz="0" w:space="0" w:color="auto"/>
            <w:bottom w:val="none" w:sz="0" w:space="0" w:color="auto"/>
            <w:right w:val="none" w:sz="0" w:space="0" w:color="auto"/>
          </w:divBdr>
        </w:div>
      </w:divsChild>
    </w:div>
    <w:div w:id="1457673012">
      <w:bodyDiv w:val="1"/>
      <w:marLeft w:val="0"/>
      <w:marRight w:val="0"/>
      <w:marTop w:val="0"/>
      <w:marBottom w:val="0"/>
      <w:divBdr>
        <w:top w:val="none" w:sz="0" w:space="0" w:color="auto"/>
        <w:left w:val="none" w:sz="0" w:space="0" w:color="auto"/>
        <w:bottom w:val="none" w:sz="0" w:space="0" w:color="auto"/>
        <w:right w:val="none" w:sz="0" w:space="0" w:color="auto"/>
      </w:divBdr>
    </w:div>
    <w:div w:id="1509056263">
      <w:bodyDiv w:val="1"/>
      <w:marLeft w:val="0"/>
      <w:marRight w:val="0"/>
      <w:marTop w:val="0"/>
      <w:marBottom w:val="0"/>
      <w:divBdr>
        <w:top w:val="none" w:sz="0" w:space="0" w:color="auto"/>
        <w:left w:val="none" w:sz="0" w:space="0" w:color="auto"/>
        <w:bottom w:val="none" w:sz="0" w:space="0" w:color="auto"/>
        <w:right w:val="none" w:sz="0" w:space="0" w:color="auto"/>
      </w:divBdr>
    </w:div>
    <w:div w:id="1523325631">
      <w:bodyDiv w:val="1"/>
      <w:marLeft w:val="0"/>
      <w:marRight w:val="0"/>
      <w:marTop w:val="0"/>
      <w:marBottom w:val="0"/>
      <w:divBdr>
        <w:top w:val="none" w:sz="0" w:space="0" w:color="auto"/>
        <w:left w:val="none" w:sz="0" w:space="0" w:color="auto"/>
        <w:bottom w:val="none" w:sz="0" w:space="0" w:color="auto"/>
        <w:right w:val="none" w:sz="0" w:space="0" w:color="auto"/>
      </w:divBdr>
    </w:div>
    <w:div w:id="1533610900">
      <w:bodyDiv w:val="1"/>
      <w:marLeft w:val="0"/>
      <w:marRight w:val="0"/>
      <w:marTop w:val="0"/>
      <w:marBottom w:val="0"/>
      <w:divBdr>
        <w:top w:val="none" w:sz="0" w:space="0" w:color="auto"/>
        <w:left w:val="none" w:sz="0" w:space="0" w:color="auto"/>
        <w:bottom w:val="none" w:sz="0" w:space="0" w:color="auto"/>
        <w:right w:val="none" w:sz="0" w:space="0" w:color="auto"/>
      </w:divBdr>
    </w:div>
    <w:div w:id="1539050888">
      <w:bodyDiv w:val="1"/>
      <w:marLeft w:val="0"/>
      <w:marRight w:val="0"/>
      <w:marTop w:val="0"/>
      <w:marBottom w:val="0"/>
      <w:divBdr>
        <w:top w:val="none" w:sz="0" w:space="0" w:color="auto"/>
        <w:left w:val="none" w:sz="0" w:space="0" w:color="auto"/>
        <w:bottom w:val="none" w:sz="0" w:space="0" w:color="auto"/>
        <w:right w:val="none" w:sz="0" w:space="0" w:color="auto"/>
      </w:divBdr>
    </w:div>
    <w:div w:id="1550219894">
      <w:bodyDiv w:val="1"/>
      <w:marLeft w:val="0"/>
      <w:marRight w:val="0"/>
      <w:marTop w:val="0"/>
      <w:marBottom w:val="0"/>
      <w:divBdr>
        <w:top w:val="none" w:sz="0" w:space="0" w:color="auto"/>
        <w:left w:val="none" w:sz="0" w:space="0" w:color="auto"/>
        <w:bottom w:val="none" w:sz="0" w:space="0" w:color="auto"/>
        <w:right w:val="none" w:sz="0" w:space="0" w:color="auto"/>
      </w:divBdr>
    </w:div>
    <w:div w:id="1556043825">
      <w:bodyDiv w:val="1"/>
      <w:marLeft w:val="0"/>
      <w:marRight w:val="0"/>
      <w:marTop w:val="0"/>
      <w:marBottom w:val="0"/>
      <w:divBdr>
        <w:top w:val="none" w:sz="0" w:space="0" w:color="auto"/>
        <w:left w:val="none" w:sz="0" w:space="0" w:color="auto"/>
        <w:bottom w:val="none" w:sz="0" w:space="0" w:color="auto"/>
        <w:right w:val="none" w:sz="0" w:space="0" w:color="auto"/>
      </w:divBdr>
    </w:div>
    <w:div w:id="1567377636">
      <w:bodyDiv w:val="1"/>
      <w:marLeft w:val="0"/>
      <w:marRight w:val="0"/>
      <w:marTop w:val="0"/>
      <w:marBottom w:val="0"/>
      <w:divBdr>
        <w:top w:val="none" w:sz="0" w:space="0" w:color="auto"/>
        <w:left w:val="none" w:sz="0" w:space="0" w:color="auto"/>
        <w:bottom w:val="none" w:sz="0" w:space="0" w:color="auto"/>
        <w:right w:val="none" w:sz="0" w:space="0" w:color="auto"/>
      </w:divBdr>
    </w:div>
    <w:div w:id="1588031468">
      <w:bodyDiv w:val="1"/>
      <w:marLeft w:val="0"/>
      <w:marRight w:val="0"/>
      <w:marTop w:val="0"/>
      <w:marBottom w:val="0"/>
      <w:divBdr>
        <w:top w:val="none" w:sz="0" w:space="0" w:color="auto"/>
        <w:left w:val="none" w:sz="0" w:space="0" w:color="auto"/>
        <w:bottom w:val="none" w:sz="0" w:space="0" w:color="auto"/>
        <w:right w:val="none" w:sz="0" w:space="0" w:color="auto"/>
      </w:divBdr>
    </w:div>
    <w:div w:id="1629624441">
      <w:bodyDiv w:val="1"/>
      <w:marLeft w:val="0"/>
      <w:marRight w:val="0"/>
      <w:marTop w:val="0"/>
      <w:marBottom w:val="0"/>
      <w:divBdr>
        <w:top w:val="none" w:sz="0" w:space="0" w:color="auto"/>
        <w:left w:val="none" w:sz="0" w:space="0" w:color="auto"/>
        <w:bottom w:val="none" w:sz="0" w:space="0" w:color="auto"/>
        <w:right w:val="none" w:sz="0" w:space="0" w:color="auto"/>
      </w:divBdr>
    </w:div>
    <w:div w:id="1636520716">
      <w:bodyDiv w:val="1"/>
      <w:marLeft w:val="0"/>
      <w:marRight w:val="0"/>
      <w:marTop w:val="0"/>
      <w:marBottom w:val="0"/>
      <w:divBdr>
        <w:top w:val="none" w:sz="0" w:space="0" w:color="auto"/>
        <w:left w:val="none" w:sz="0" w:space="0" w:color="auto"/>
        <w:bottom w:val="none" w:sz="0" w:space="0" w:color="auto"/>
        <w:right w:val="none" w:sz="0" w:space="0" w:color="auto"/>
      </w:divBdr>
    </w:div>
    <w:div w:id="1643122329">
      <w:bodyDiv w:val="1"/>
      <w:marLeft w:val="0"/>
      <w:marRight w:val="0"/>
      <w:marTop w:val="0"/>
      <w:marBottom w:val="0"/>
      <w:divBdr>
        <w:top w:val="none" w:sz="0" w:space="0" w:color="auto"/>
        <w:left w:val="none" w:sz="0" w:space="0" w:color="auto"/>
        <w:bottom w:val="none" w:sz="0" w:space="0" w:color="auto"/>
        <w:right w:val="none" w:sz="0" w:space="0" w:color="auto"/>
      </w:divBdr>
    </w:div>
    <w:div w:id="1677416556">
      <w:bodyDiv w:val="1"/>
      <w:marLeft w:val="0"/>
      <w:marRight w:val="0"/>
      <w:marTop w:val="0"/>
      <w:marBottom w:val="0"/>
      <w:divBdr>
        <w:top w:val="none" w:sz="0" w:space="0" w:color="auto"/>
        <w:left w:val="none" w:sz="0" w:space="0" w:color="auto"/>
        <w:bottom w:val="none" w:sz="0" w:space="0" w:color="auto"/>
        <w:right w:val="none" w:sz="0" w:space="0" w:color="auto"/>
      </w:divBdr>
    </w:div>
    <w:div w:id="1679846882">
      <w:bodyDiv w:val="1"/>
      <w:marLeft w:val="0"/>
      <w:marRight w:val="0"/>
      <w:marTop w:val="0"/>
      <w:marBottom w:val="0"/>
      <w:divBdr>
        <w:top w:val="none" w:sz="0" w:space="0" w:color="auto"/>
        <w:left w:val="none" w:sz="0" w:space="0" w:color="auto"/>
        <w:bottom w:val="none" w:sz="0" w:space="0" w:color="auto"/>
        <w:right w:val="none" w:sz="0" w:space="0" w:color="auto"/>
      </w:divBdr>
    </w:div>
    <w:div w:id="1700659856">
      <w:bodyDiv w:val="1"/>
      <w:marLeft w:val="0"/>
      <w:marRight w:val="0"/>
      <w:marTop w:val="0"/>
      <w:marBottom w:val="0"/>
      <w:divBdr>
        <w:top w:val="none" w:sz="0" w:space="0" w:color="auto"/>
        <w:left w:val="none" w:sz="0" w:space="0" w:color="auto"/>
        <w:bottom w:val="none" w:sz="0" w:space="0" w:color="auto"/>
        <w:right w:val="none" w:sz="0" w:space="0" w:color="auto"/>
      </w:divBdr>
    </w:div>
    <w:div w:id="1702970659">
      <w:bodyDiv w:val="1"/>
      <w:marLeft w:val="0"/>
      <w:marRight w:val="0"/>
      <w:marTop w:val="0"/>
      <w:marBottom w:val="0"/>
      <w:divBdr>
        <w:top w:val="none" w:sz="0" w:space="0" w:color="auto"/>
        <w:left w:val="none" w:sz="0" w:space="0" w:color="auto"/>
        <w:bottom w:val="none" w:sz="0" w:space="0" w:color="auto"/>
        <w:right w:val="none" w:sz="0" w:space="0" w:color="auto"/>
      </w:divBdr>
    </w:div>
    <w:div w:id="1713577138">
      <w:bodyDiv w:val="1"/>
      <w:marLeft w:val="0"/>
      <w:marRight w:val="0"/>
      <w:marTop w:val="0"/>
      <w:marBottom w:val="0"/>
      <w:divBdr>
        <w:top w:val="none" w:sz="0" w:space="0" w:color="auto"/>
        <w:left w:val="none" w:sz="0" w:space="0" w:color="auto"/>
        <w:bottom w:val="none" w:sz="0" w:space="0" w:color="auto"/>
        <w:right w:val="none" w:sz="0" w:space="0" w:color="auto"/>
      </w:divBdr>
    </w:div>
    <w:div w:id="1718092377">
      <w:bodyDiv w:val="1"/>
      <w:marLeft w:val="0"/>
      <w:marRight w:val="0"/>
      <w:marTop w:val="0"/>
      <w:marBottom w:val="0"/>
      <w:divBdr>
        <w:top w:val="none" w:sz="0" w:space="0" w:color="auto"/>
        <w:left w:val="none" w:sz="0" w:space="0" w:color="auto"/>
        <w:bottom w:val="none" w:sz="0" w:space="0" w:color="auto"/>
        <w:right w:val="none" w:sz="0" w:space="0" w:color="auto"/>
      </w:divBdr>
    </w:div>
    <w:div w:id="1730155148">
      <w:bodyDiv w:val="1"/>
      <w:marLeft w:val="0"/>
      <w:marRight w:val="0"/>
      <w:marTop w:val="0"/>
      <w:marBottom w:val="0"/>
      <w:divBdr>
        <w:top w:val="none" w:sz="0" w:space="0" w:color="auto"/>
        <w:left w:val="none" w:sz="0" w:space="0" w:color="auto"/>
        <w:bottom w:val="none" w:sz="0" w:space="0" w:color="auto"/>
        <w:right w:val="none" w:sz="0" w:space="0" w:color="auto"/>
      </w:divBdr>
    </w:div>
    <w:div w:id="1746685375">
      <w:bodyDiv w:val="1"/>
      <w:marLeft w:val="0"/>
      <w:marRight w:val="0"/>
      <w:marTop w:val="0"/>
      <w:marBottom w:val="0"/>
      <w:divBdr>
        <w:top w:val="none" w:sz="0" w:space="0" w:color="auto"/>
        <w:left w:val="none" w:sz="0" w:space="0" w:color="auto"/>
        <w:bottom w:val="none" w:sz="0" w:space="0" w:color="auto"/>
        <w:right w:val="none" w:sz="0" w:space="0" w:color="auto"/>
      </w:divBdr>
    </w:div>
    <w:div w:id="1761832433">
      <w:bodyDiv w:val="1"/>
      <w:marLeft w:val="0"/>
      <w:marRight w:val="0"/>
      <w:marTop w:val="0"/>
      <w:marBottom w:val="0"/>
      <w:divBdr>
        <w:top w:val="none" w:sz="0" w:space="0" w:color="auto"/>
        <w:left w:val="none" w:sz="0" w:space="0" w:color="auto"/>
        <w:bottom w:val="none" w:sz="0" w:space="0" w:color="auto"/>
        <w:right w:val="none" w:sz="0" w:space="0" w:color="auto"/>
      </w:divBdr>
    </w:div>
    <w:div w:id="1781678423">
      <w:bodyDiv w:val="1"/>
      <w:marLeft w:val="0"/>
      <w:marRight w:val="0"/>
      <w:marTop w:val="0"/>
      <w:marBottom w:val="0"/>
      <w:divBdr>
        <w:top w:val="none" w:sz="0" w:space="0" w:color="auto"/>
        <w:left w:val="none" w:sz="0" w:space="0" w:color="auto"/>
        <w:bottom w:val="none" w:sz="0" w:space="0" w:color="auto"/>
        <w:right w:val="none" w:sz="0" w:space="0" w:color="auto"/>
      </w:divBdr>
    </w:div>
    <w:div w:id="1782215318">
      <w:bodyDiv w:val="1"/>
      <w:marLeft w:val="0"/>
      <w:marRight w:val="0"/>
      <w:marTop w:val="0"/>
      <w:marBottom w:val="0"/>
      <w:divBdr>
        <w:top w:val="none" w:sz="0" w:space="0" w:color="auto"/>
        <w:left w:val="none" w:sz="0" w:space="0" w:color="auto"/>
        <w:bottom w:val="none" w:sz="0" w:space="0" w:color="auto"/>
        <w:right w:val="none" w:sz="0" w:space="0" w:color="auto"/>
      </w:divBdr>
    </w:div>
    <w:div w:id="1788815780">
      <w:bodyDiv w:val="1"/>
      <w:marLeft w:val="0"/>
      <w:marRight w:val="0"/>
      <w:marTop w:val="0"/>
      <w:marBottom w:val="0"/>
      <w:divBdr>
        <w:top w:val="none" w:sz="0" w:space="0" w:color="auto"/>
        <w:left w:val="none" w:sz="0" w:space="0" w:color="auto"/>
        <w:bottom w:val="none" w:sz="0" w:space="0" w:color="auto"/>
        <w:right w:val="none" w:sz="0" w:space="0" w:color="auto"/>
      </w:divBdr>
    </w:div>
    <w:div w:id="1796093075">
      <w:bodyDiv w:val="1"/>
      <w:marLeft w:val="0"/>
      <w:marRight w:val="0"/>
      <w:marTop w:val="0"/>
      <w:marBottom w:val="0"/>
      <w:divBdr>
        <w:top w:val="none" w:sz="0" w:space="0" w:color="auto"/>
        <w:left w:val="none" w:sz="0" w:space="0" w:color="auto"/>
        <w:bottom w:val="none" w:sz="0" w:space="0" w:color="auto"/>
        <w:right w:val="none" w:sz="0" w:space="0" w:color="auto"/>
      </w:divBdr>
    </w:div>
    <w:div w:id="1808038534">
      <w:bodyDiv w:val="1"/>
      <w:marLeft w:val="0"/>
      <w:marRight w:val="0"/>
      <w:marTop w:val="0"/>
      <w:marBottom w:val="0"/>
      <w:divBdr>
        <w:top w:val="none" w:sz="0" w:space="0" w:color="auto"/>
        <w:left w:val="none" w:sz="0" w:space="0" w:color="auto"/>
        <w:bottom w:val="none" w:sz="0" w:space="0" w:color="auto"/>
        <w:right w:val="none" w:sz="0" w:space="0" w:color="auto"/>
      </w:divBdr>
    </w:div>
    <w:div w:id="1812943221">
      <w:bodyDiv w:val="1"/>
      <w:marLeft w:val="0"/>
      <w:marRight w:val="0"/>
      <w:marTop w:val="0"/>
      <w:marBottom w:val="0"/>
      <w:divBdr>
        <w:top w:val="none" w:sz="0" w:space="0" w:color="auto"/>
        <w:left w:val="none" w:sz="0" w:space="0" w:color="auto"/>
        <w:bottom w:val="none" w:sz="0" w:space="0" w:color="auto"/>
        <w:right w:val="none" w:sz="0" w:space="0" w:color="auto"/>
      </w:divBdr>
    </w:div>
    <w:div w:id="1818644490">
      <w:bodyDiv w:val="1"/>
      <w:marLeft w:val="0"/>
      <w:marRight w:val="0"/>
      <w:marTop w:val="0"/>
      <w:marBottom w:val="0"/>
      <w:divBdr>
        <w:top w:val="none" w:sz="0" w:space="0" w:color="auto"/>
        <w:left w:val="none" w:sz="0" w:space="0" w:color="auto"/>
        <w:bottom w:val="none" w:sz="0" w:space="0" w:color="auto"/>
        <w:right w:val="none" w:sz="0" w:space="0" w:color="auto"/>
      </w:divBdr>
    </w:div>
    <w:div w:id="1830098572">
      <w:bodyDiv w:val="1"/>
      <w:marLeft w:val="0"/>
      <w:marRight w:val="0"/>
      <w:marTop w:val="0"/>
      <w:marBottom w:val="0"/>
      <w:divBdr>
        <w:top w:val="none" w:sz="0" w:space="0" w:color="auto"/>
        <w:left w:val="none" w:sz="0" w:space="0" w:color="auto"/>
        <w:bottom w:val="none" w:sz="0" w:space="0" w:color="auto"/>
        <w:right w:val="none" w:sz="0" w:space="0" w:color="auto"/>
      </w:divBdr>
    </w:div>
    <w:div w:id="1836340155">
      <w:bodyDiv w:val="1"/>
      <w:marLeft w:val="0"/>
      <w:marRight w:val="0"/>
      <w:marTop w:val="0"/>
      <w:marBottom w:val="0"/>
      <w:divBdr>
        <w:top w:val="none" w:sz="0" w:space="0" w:color="auto"/>
        <w:left w:val="none" w:sz="0" w:space="0" w:color="auto"/>
        <w:bottom w:val="none" w:sz="0" w:space="0" w:color="auto"/>
        <w:right w:val="none" w:sz="0" w:space="0" w:color="auto"/>
      </w:divBdr>
    </w:div>
    <w:div w:id="1837380791">
      <w:bodyDiv w:val="1"/>
      <w:marLeft w:val="0"/>
      <w:marRight w:val="0"/>
      <w:marTop w:val="0"/>
      <w:marBottom w:val="0"/>
      <w:divBdr>
        <w:top w:val="none" w:sz="0" w:space="0" w:color="auto"/>
        <w:left w:val="none" w:sz="0" w:space="0" w:color="auto"/>
        <w:bottom w:val="none" w:sz="0" w:space="0" w:color="auto"/>
        <w:right w:val="none" w:sz="0" w:space="0" w:color="auto"/>
      </w:divBdr>
    </w:div>
    <w:div w:id="1842351864">
      <w:bodyDiv w:val="1"/>
      <w:marLeft w:val="0"/>
      <w:marRight w:val="0"/>
      <w:marTop w:val="0"/>
      <w:marBottom w:val="0"/>
      <w:divBdr>
        <w:top w:val="none" w:sz="0" w:space="0" w:color="auto"/>
        <w:left w:val="none" w:sz="0" w:space="0" w:color="auto"/>
        <w:bottom w:val="none" w:sz="0" w:space="0" w:color="auto"/>
        <w:right w:val="none" w:sz="0" w:space="0" w:color="auto"/>
      </w:divBdr>
    </w:div>
    <w:div w:id="1844279756">
      <w:bodyDiv w:val="1"/>
      <w:marLeft w:val="0"/>
      <w:marRight w:val="0"/>
      <w:marTop w:val="0"/>
      <w:marBottom w:val="0"/>
      <w:divBdr>
        <w:top w:val="none" w:sz="0" w:space="0" w:color="auto"/>
        <w:left w:val="none" w:sz="0" w:space="0" w:color="auto"/>
        <w:bottom w:val="none" w:sz="0" w:space="0" w:color="auto"/>
        <w:right w:val="none" w:sz="0" w:space="0" w:color="auto"/>
      </w:divBdr>
    </w:div>
    <w:div w:id="1871798076">
      <w:bodyDiv w:val="1"/>
      <w:marLeft w:val="0"/>
      <w:marRight w:val="0"/>
      <w:marTop w:val="0"/>
      <w:marBottom w:val="0"/>
      <w:divBdr>
        <w:top w:val="none" w:sz="0" w:space="0" w:color="auto"/>
        <w:left w:val="none" w:sz="0" w:space="0" w:color="auto"/>
        <w:bottom w:val="none" w:sz="0" w:space="0" w:color="auto"/>
        <w:right w:val="none" w:sz="0" w:space="0" w:color="auto"/>
      </w:divBdr>
    </w:div>
    <w:div w:id="1887794197">
      <w:bodyDiv w:val="1"/>
      <w:marLeft w:val="0"/>
      <w:marRight w:val="0"/>
      <w:marTop w:val="0"/>
      <w:marBottom w:val="0"/>
      <w:divBdr>
        <w:top w:val="none" w:sz="0" w:space="0" w:color="auto"/>
        <w:left w:val="none" w:sz="0" w:space="0" w:color="auto"/>
        <w:bottom w:val="none" w:sz="0" w:space="0" w:color="auto"/>
        <w:right w:val="none" w:sz="0" w:space="0" w:color="auto"/>
      </w:divBdr>
    </w:div>
    <w:div w:id="1890845811">
      <w:bodyDiv w:val="1"/>
      <w:marLeft w:val="0"/>
      <w:marRight w:val="0"/>
      <w:marTop w:val="0"/>
      <w:marBottom w:val="0"/>
      <w:divBdr>
        <w:top w:val="none" w:sz="0" w:space="0" w:color="auto"/>
        <w:left w:val="none" w:sz="0" w:space="0" w:color="auto"/>
        <w:bottom w:val="none" w:sz="0" w:space="0" w:color="auto"/>
        <w:right w:val="none" w:sz="0" w:space="0" w:color="auto"/>
      </w:divBdr>
    </w:div>
    <w:div w:id="1893687115">
      <w:bodyDiv w:val="1"/>
      <w:marLeft w:val="0"/>
      <w:marRight w:val="0"/>
      <w:marTop w:val="0"/>
      <w:marBottom w:val="0"/>
      <w:divBdr>
        <w:top w:val="none" w:sz="0" w:space="0" w:color="auto"/>
        <w:left w:val="none" w:sz="0" w:space="0" w:color="auto"/>
        <w:bottom w:val="none" w:sz="0" w:space="0" w:color="auto"/>
        <w:right w:val="none" w:sz="0" w:space="0" w:color="auto"/>
      </w:divBdr>
    </w:div>
    <w:div w:id="1894580707">
      <w:bodyDiv w:val="1"/>
      <w:marLeft w:val="0"/>
      <w:marRight w:val="0"/>
      <w:marTop w:val="0"/>
      <w:marBottom w:val="0"/>
      <w:divBdr>
        <w:top w:val="none" w:sz="0" w:space="0" w:color="auto"/>
        <w:left w:val="none" w:sz="0" w:space="0" w:color="auto"/>
        <w:bottom w:val="none" w:sz="0" w:space="0" w:color="auto"/>
        <w:right w:val="none" w:sz="0" w:space="0" w:color="auto"/>
      </w:divBdr>
    </w:div>
    <w:div w:id="1924604484">
      <w:bodyDiv w:val="1"/>
      <w:marLeft w:val="0"/>
      <w:marRight w:val="0"/>
      <w:marTop w:val="0"/>
      <w:marBottom w:val="0"/>
      <w:divBdr>
        <w:top w:val="none" w:sz="0" w:space="0" w:color="auto"/>
        <w:left w:val="none" w:sz="0" w:space="0" w:color="auto"/>
        <w:bottom w:val="none" w:sz="0" w:space="0" w:color="auto"/>
        <w:right w:val="none" w:sz="0" w:space="0" w:color="auto"/>
      </w:divBdr>
    </w:div>
    <w:div w:id="1925718141">
      <w:bodyDiv w:val="1"/>
      <w:marLeft w:val="0"/>
      <w:marRight w:val="0"/>
      <w:marTop w:val="0"/>
      <w:marBottom w:val="0"/>
      <w:divBdr>
        <w:top w:val="none" w:sz="0" w:space="0" w:color="auto"/>
        <w:left w:val="none" w:sz="0" w:space="0" w:color="auto"/>
        <w:bottom w:val="none" w:sz="0" w:space="0" w:color="auto"/>
        <w:right w:val="none" w:sz="0" w:space="0" w:color="auto"/>
      </w:divBdr>
    </w:div>
    <w:div w:id="1962762833">
      <w:bodyDiv w:val="1"/>
      <w:marLeft w:val="0"/>
      <w:marRight w:val="0"/>
      <w:marTop w:val="0"/>
      <w:marBottom w:val="0"/>
      <w:divBdr>
        <w:top w:val="none" w:sz="0" w:space="0" w:color="auto"/>
        <w:left w:val="none" w:sz="0" w:space="0" w:color="auto"/>
        <w:bottom w:val="none" w:sz="0" w:space="0" w:color="auto"/>
        <w:right w:val="none" w:sz="0" w:space="0" w:color="auto"/>
      </w:divBdr>
    </w:div>
    <w:div w:id="1983196553">
      <w:bodyDiv w:val="1"/>
      <w:marLeft w:val="0"/>
      <w:marRight w:val="0"/>
      <w:marTop w:val="0"/>
      <w:marBottom w:val="0"/>
      <w:divBdr>
        <w:top w:val="none" w:sz="0" w:space="0" w:color="auto"/>
        <w:left w:val="none" w:sz="0" w:space="0" w:color="auto"/>
        <w:bottom w:val="none" w:sz="0" w:space="0" w:color="auto"/>
        <w:right w:val="none" w:sz="0" w:space="0" w:color="auto"/>
      </w:divBdr>
    </w:div>
    <w:div w:id="1992902333">
      <w:bodyDiv w:val="1"/>
      <w:marLeft w:val="0"/>
      <w:marRight w:val="0"/>
      <w:marTop w:val="0"/>
      <w:marBottom w:val="0"/>
      <w:divBdr>
        <w:top w:val="none" w:sz="0" w:space="0" w:color="auto"/>
        <w:left w:val="none" w:sz="0" w:space="0" w:color="auto"/>
        <w:bottom w:val="none" w:sz="0" w:space="0" w:color="auto"/>
        <w:right w:val="none" w:sz="0" w:space="0" w:color="auto"/>
      </w:divBdr>
    </w:div>
    <w:div w:id="2008902727">
      <w:bodyDiv w:val="1"/>
      <w:marLeft w:val="0"/>
      <w:marRight w:val="0"/>
      <w:marTop w:val="0"/>
      <w:marBottom w:val="0"/>
      <w:divBdr>
        <w:top w:val="none" w:sz="0" w:space="0" w:color="auto"/>
        <w:left w:val="none" w:sz="0" w:space="0" w:color="auto"/>
        <w:bottom w:val="none" w:sz="0" w:space="0" w:color="auto"/>
        <w:right w:val="none" w:sz="0" w:space="0" w:color="auto"/>
      </w:divBdr>
    </w:div>
    <w:div w:id="2020888224">
      <w:bodyDiv w:val="1"/>
      <w:marLeft w:val="0"/>
      <w:marRight w:val="0"/>
      <w:marTop w:val="0"/>
      <w:marBottom w:val="0"/>
      <w:divBdr>
        <w:top w:val="none" w:sz="0" w:space="0" w:color="auto"/>
        <w:left w:val="none" w:sz="0" w:space="0" w:color="auto"/>
        <w:bottom w:val="none" w:sz="0" w:space="0" w:color="auto"/>
        <w:right w:val="none" w:sz="0" w:space="0" w:color="auto"/>
      </w:divBdr>
    </w:div>
    <w:div w:id="2021279109">
      <w:bodyDiv w:val="1"/>
      <w:marLeft w:val="0"/>
      <w:marRight w:val="0"/>
      <w:marTop w:val="0"/>
      <w:marBottom w:val="0"/>
      <w:divBdr>
        <w:top w:val="none" w:sz="0" w:space="0" w:color="auto"/>
        <w:left w:val="none" w:sz="0" w:space="0" w:color="auto"/>
        <w:bottom w:val="none" w:sz="0" w:space="0" w:color="auto"/>
        <w:right w:val="none" w:sz="0" w:space="0" w:color="auto"/>
      </w:divBdr>
    </w:div>
    <w:div w:id="2051344861">
      <w:bodyDiv w:val="1"/>
      <w:marLeft w:val="0"/>
      <w:marRight w:val="0"/>
      <w:marTop w:val="0"/>
      <w:marBottom w:val="0"/>
      <w:divBdr>
        <w:top w:val="none" w:sz="0" w:space="0" w:color="auto"/>
        <w:left w:val="none" w:sz="0" w:space="0" w:color="auto"/>
        <w:bottom w:val="none" w:sz="0" w:space="0" w:color="auto"/>
        <w:right w:val="none" w:sz="0" w:space="0" w:color="auto"/>
      </w:divBdr>
    </w:div>
    <w:div w:id="2051684094">
      <w:bodyDiv w:val="1"/>
      <w:marLeft w:val="0"/>
      <w:marRight w:val="0"/>
      <w:marTop w:val="0"/>
      <w:marBottom w:val="0"/>
      <w:divBdr>
        <w:top w:val="none" w:sz="0" w:space="0" w:color="auto"/>
        <w:left w:val="none" w:sz="0" w:space="0" w:color="auto"/>
        <w:bottom w:val="none" w:sz="0" w:space="0" w:color="auto"/>
        <w:right w:val="none" w:sz="0" w:space="0" w:color="auto"/>
      </w:divBdr>
    </w:div>
    <w:div w:id="2056586212">
      <w:bodyDiv w:val="1"/>
      <w:marLeft w:val="0"/>
      <w:marRight w:val="0"/>
      <w:marTop w:val="0"/>
      <w:marBottom w:val="0"/>
      <w:divBdr>
        <w:top w:val="none" w:sz="0" w:space="0" w:color="auto"/>
        <w:left w:val="none" w:sz="0" w:space="0" w:color="auto"/>
        <w:bottom w:val="none" w:sz="0" w:space="0" w:color="auto"/>
        <w:right w:val="none" w:sz="0" w:space="0" w:color="auto"/>
      </w:divBdr>
    </w:div>
    <w:div w:id="2067288992">
      <w:bodyDiv w:val="1"/>
      <w:marLeft w:val="0"/>
      <w:marRight w:val="0"/>
      <w:marTop w:val="0"/>
      <w:marBottom w:val="0"/>
      <w:divBdr>
        <w:top w:val="none" w:sz="0" w:space="0" w:color="auto"/>
        <w:left w:val="none" w:sz="0" w:space="0" w:color="auto"/>
        <w:bottom w:val="none" w:sz="0" w:space="0" w:color="auto"/>
        <w:right w:val="none" w:sz="0" w:space="0" w:color="auto"/>
      </w:divBdr>
    </w:div>
    <w:div w:id="2070766748">
      <w:bodyDiv w:val="1"/>
      <w:marLeft w:val="0"/>
      <w:marRight w:val="0"/>
      <w:marTop w:val="0"/>
      <w:marBottom w:val="0"/>
      <w:divBdr>
        <w:top w:val="none" w:sz="0" w:space="0" w:color="auto"/>
        <w:left w:val="none" w:sz="0" w:space="0" w:color="auto"/>
        <w:bottom w:val="none" w:sz="0" w:space="0" w:color="auto"/>
        <w:right w:val="none" w:sz="0" w:space="0" w:color="auto"/>
      </w:divBdr>
    </w:div>
    <w:div w:id="2073231436">
      <w:bodyDiv w:val="1"/>
      <w:marLeft w:val="0"/>
      <w:marRight w:val="0"/>
      <w:marTop w:val="0"/>
      <w:marBottom w:val="0"/>
      <w:divBdr>
        <w:top w:val="none" w:sz="0" w:space="0" w:color="auto"/>
        <w:left w:val="none" w:sz="0" w:space="0" w:color="auto"/>
        <w:bottom w:val="none" w:sz="0" w:space="0" w:color="auto"/>
        <w:right w:val="none" w:sz="0" w:space="0" w:color="auto"/>
      </w:divBdr>
    </w:div>
    <w:div w:id="2080012148">
      <w:bodyDiv w:val="1"/>
      <w:marLeft w:val="0"/>
      <w:marRight w:val="0"/>
      <w:marTop w:val="0"/>
      <w:marBottom w:val="0"/>
      <w:divBdr>
        <w:top w:val="none" w:sz="0" w:space="0" w:color="auto"/>
        <w:left w:val="none" w:sz="0" w:space="0" w:color="auto"/>
        <w:bottom w:val="none" w:sz="0" w:space="0" w:color="auto"/>
        <w:right w:val="none" w:sz="0" w:space="0" w:color="auto"/>
      </w:divBdr>
    </w:div>
    <w:div w:id="2083866684">
      <w:bodyDiv w:val="1"/>
      <w:marLeft w:val="0"/>
      <w:marRight w:val="0"/>
      <w:marTop w:val="0"/>
      <w:marBottom w:val="0"/>
      <w:divBdr>
        <w:top w:val="none" w:sz="0" w:space="0" w:color="auto"/>
        <w:left w:val="none" w:sz="0" w:space="0" w:color="auto"/>
        <w:bottom w:val="none" w:sz="0" w:space="0" w:color="auto"/>
        <w:right w:val="none" w:sz="0" w:space="0" w:color="auto"/>
      </w:divBdr>
    </w:div>
    <w:div w:id="2090691099">
      <w:bodyDiv w:val="1"/>
      <w:marLeft w:val="0"/>
      <w:marRight w:val="0"/>
      <w:marTop w:val="0"/>
      <w:marBottom w:val="0"/>
      <w:divBdr>
        <w:top w:val="none" w:sz="0" w:space="0" w:color="auto"/>
        <w:left w:val="none" w:sz="0" w:space="0" w:color="auto"/>
        <w:bottom w:val="none" w:sz="0" w:space="0" w:color="auto"/>
        <w:right w:val="none" w:sz="0" w:space="0" w:color="auto"/>
      </w:divBdr>
    </w:div>
    <w:div w:id="2098286723">
      <w:bodyDiv w:val="1"/>
      <w:marLeft w:val="0"/>
      <w:marRight w:val="0"/>
      <w:marTop w:val="0"/>
      <w:marBottom w:val="0"/>
      <w:divBdr>
        <w:top w:val="none" w:sz="0" w:space="0" w:color="auto"/>
        <w:left w:val="none" w:sz="0" w:space="0" w:color="auto"/>
        <w:bottom w:val="none" w:sz="0" w:space="0" w:color="auto"/>
        <w:right w:val="none" w:sz="0" w:space="0" w:color="auto"/>
      </w:divBdr>
      <w:divsChild>
        <w:div w:id="1995794456">
          <w:marLeft w:val="547"/>
          <w:marRight w:val="0"/>
          <w:marTop w:val="96"/>
          <w:marBottom w:val="0"/>
          <w:divBdr>
            <w:top w:val="none" w:sz="0" w:space="0" w:color="auto"/>
            <w:left w:val="none" w:sz="0" w:space="0" w:color="auto"/>
            <w:bottom w:val="none" w:sz="0" w:space="0" w:color="auto"/>
            <w:right w:val="none" w:sz="0" w:space="0" w:color="auto"/>
          </w:divBdr>
        </w:div>
      </w:divsChild>
    </w:div>
    <w:div w:id="2100562112">
      <w:bodyDiv w:val="1"/>
      <w:marLeft w:val="0"/>
      <w:marRight w:val="0"/>
      <w:marTop w:val="0"/>
      <w:marBottom w:val="0"/>
      <w:divBdr>
        <w:top w:val="none" w:sz="0" w:space="0" w:color="auto"/>
        <w:left w:val="none" w:sz="0" w:space="0" w:color="auto"/>
        <w:bottom w:val="none" w:sz="0" w:space="0" w:color="auto"/>
        <w:right w:val="none" w:sz="0" w:space="0" w:color="auto"/>
      </w:divBdr>
    </w:div>
    <w:div w:id="2101363563">
      <w:bodyDiv w:val="1"/>
      <w:marLeft w:val="0"/>
      <w:marRight w:val="0"/>
      <w:marTop w:val="0"/>
      <w:marBottom w:val="0"/>
      <w:divBdr>
        <w:top w:val="none" w:sz="0" w:space="0" w:color="auto"/>
        <w:left w:val="none" w:sz="0" w:space="0" w:color="auto"/>
        <w:bottom w:val="none" w:sz="0" w:space="0" w:color="auto"/>
        <w:right w:val="none" w:sz="0" w:space="0" w:color="auto"/>
      </w:divBdr>
    </w:div>
    <w:div w:id="2104567506">
      <w:bodyDiv w:val="1"/>
      <w:marLeft w:val="0"/>
      <w:marRight w:val="0"/>
      <w:marTop w:val="0"/>
      <w:marBottom w:val="0"/>
      <w:divBdr>
        <w:top w:val="none" w:sz="0" w:space="0" w:color="auto"/>
        <w:left w:val="none" w:sz="0" w:space="0" w:color="auto"/>
        <w:bottom w:val="none" w:sz="0" w:space="0" w:color="auto"/>
        <w:right w:val="none" w:sz="0" w:space="0" w:color="auto"/>
      </w:divBdr>
    </w:div>
    <w:div w:id="2113889249">
      <w:bodyDiv w:val="1"/>
      <w:marLeft w:val="0"/>
      <w:marRight w:val="0"/>
      <w:marTop w:val="0"/>
      <w:marBottom w:val="0"/>
      <w:divBdr>
        <w:top w:val="none" w:sz="0" w:space="0" w:color="auto"/>
        <w:left w:val="none" w:sz="0" w:space="0" w:color="auto"/>
        <w:bottom w:val="none" w:sz="0" w:space="0" w:color="auto"/>
        <w:right w:val="none" w:sz="0" w:space="0" w:color="auto"/>
      </w:divBdr>
    </w:div>
    <w:div w:id="2121291336">
      <w:bodyDiv w:val="1"/>
      <w:marLeft w:val="0"/>
      <w:marRight w:val="0"/>
      <w:marTop w:val="0"/>
      <w:marBottom w:val="0"/>
      <w:divBdr>
        <w:top w:val="none" w:sz="0" w:space="0" w:color="auto"/>
        <w:left w:val="none" w:sz="0" w:space="0" w:color="auto"/>
        <w:bottom w:val="none" w:sz="0" w:space="0" w:color="auto"/>
        <w:right w:val="none" w:sz="0" w:space="0" w:color="auto"/>
      </w:divBdr>
    </w:div>
    <w:div w:id="2123382741">
      <w:bodyDiv w:val="1"/>
      <w:marLeft w:val="0"/>
      <w:marRight w:val="0"/>
      <w:marTop w:val="0"/>
      <w:marBottom w:val="0"/>
      <w:divBdr>
        <w:top w:val="none" w:sz="0" w:space="0" w:color="auto"/>
        <w:left w:val="none" w:sz="0" w:space="0" w:color="auto"/>
        <w:bottom w:val="none" w:sz="0" w:space="0" w:color="auto"/>
        <w:right w:val="none" w:sz="0" w:space="0" w:color="auto"/>
      </w:divBdr>
    </w:div>
    <w:div w:id="213209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0f06d2330c684ae6" Type="http://schemas.microsoft.com/office/2019/09/relationships/intelligence" Target="intelligenc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15a6e0d-a6d3-4cd3-b965-fdb27d6c66c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695B054817CC43B4543E4ED364C33A" ma:contentTypeVersion="18" ma:contentTypeDescription="Create a new document." ma:contentTypeScope="" ma:versionID="1dd75e1654f117bffb989952411b8c23">
  <xsd:schema xmlns:xsd="http://www.w3.org/2001/XMLSchema" xmlns:xs="http://www.w3.org/2001/XMLSchema" xmlns:p="http://schemas.microsoft.com/office/2006/metadata/properties" xmlns:ns3="115a6e0d-a6d3-4cd3-b965-fdb27d6c66c3" xmlns:ns4="a471eee1-5afe-4605-a7e1-85a80c306664" targetNamespace="http://schemas.microsoft.com/office/2006/metadata/properties" ma:root="true" ma:fieldsID="9d6d12b441ee19fb25a5b368d650f7e1" ns3:_="" ns4:_="">
    <xsd:import namespace="115a6e0d-a6d3-4cd3-b965-fdb27d6c66c3"/>
    <xsd:import namespace="a471eee1-5afe-4605-a7e1-85a80c30666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earchProperties" minOccurs="0"/>
                <xsd:element ref="ns3:MediaServiceSystemTag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5a6e0d-a6d3-4cd3-b965-fdb27d6c66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1eee1-5afe-4605-a7e1-85a80c30666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ED6CF-51AE-4DC1-BADA-C89DD76FCD06}">
  <ds:schemaRefs>
    <ds:schemaRef ds:uri="http://www.w3.org/XML/1998/namespace"/>
    <ds:schemaRef ds:uri="115a6e0d-a6d3-4cd3-b965-fdb27d6c66c3"/>
    <ds:schemaRef ds:uri="a471eee1-5afe-4605-a7e1-85a80c306664"/>
    <ds:schemaRef ds:uri="http://purl.org/dc/dcmitype/"/>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BF690292-61CC-425F-85C3-07234DFB7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5a6e0d-a6d3-4cd3-b965-fdb27d6c66c3"/>
    <ds:schemaRef ds:uri="a471eee1-5afe-4605-a7e1-85a80c3066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3E3AD5-8A7A-4484-B0B1-966FE9C93B6C}">
  <ds:schemaRefs>
    <ds:schemaRef ds:uri="http://schemas.microsoft.com/sharepoint/v3/contenttype/forms"/>
  </ds:schemaRefs>
</ds:datastoreItem>
</file>

<file path=customXml/itemProps4.xml><?xml version="1.0" encoding="utf-8"?>
<ds:datastoreItem xmlns:ds="http://schemas.openxmlformats.org/officeDocument/2006/customXml" ds:itemID="{505ED38A-49D2-4FE2-B1F3-D30C79F13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180</Pages>
  <Words>53001</Words>
  <Characters>295139</Characters>
  <Application>Microsoft Office Word</Application>
  <DocSecurity>0</DocSecurity>
  <Lines>2459</Lines>
  <Paragraphs>694</Paragraphs>
  <ScaleCrop>false</ScaleCrop>
  <HeadingPairs>
    <vt:vector size="2" baseType="variant">
      <vt:variant>
        <vt:lpstr>Title</vt:lpstr>
      </vt:variant>
      <vt:variant>
        <vt:i4>1</vt:i4>
      </vt:variant>
    </vt:vector>
  </HeadingPairs>
  <TitlesOfParts>
    <vt:vector size="1" baseType="lpstr">
      <vt:lpstr>1</vt:lpstr>
    </vt:vector>
  </TitlesOfParts>
  <Company>Hewlett-Packard</Company>
  <LinksUpToDate>false</LinksUpToDate>
  <CharactersWithSpaces>347446</CharactersWithSpaces>
  <SharedDoc>false</SharedDoc>
  <HLinks>
    <vt:vector size="324" baseType="variant">
      <vt:variant>
        <vt:i4>1114172</vt:i4>
      </vt:variant>
      <vt:variant>
        <vt:i4>320</vt:i4>
      </vt:variant>
      <vt:variant>
        <vt:i4>0</vt:i4>
      </vt:variant>
      <vt:variant>
        <vt:i4>5</vt:i4>
      </vt:variant>
      <vt:variant>
        <vt:lpwstr/>
      </vt:variant>
      <vt:variant>
        <vt:lpwstr>_Toc214790307</vt:lpwstr>
      </vt:variant>
      <vt:variant>
        <vt:i4>1114172</vt:i4>
      </vt:variant>
      <vt:variant>
        <vt:i4>314</vt:i4>
      </vt:variant>
      <vt:variant>
        <vt:i4>0</vt:i4>
      </vt:variant>
      <vt:variant>
        <vt:i4>5</vt:i4>
      </vt:variant>
      <vt:variant>
        <vt:lpwstr/>
      </vt:variant>
      <vt:variant>
        <vt:lpwstr>_Toc214790306</vt:lpwstr>
      </vt:variant>
      <vt:variant>
        <vt:i4>1114172</vt:i4>
      </vt:variant>
      <vt:variant>
        <vt:i4>308</vt:i4>
      </vt:variant>
      <vt:variant>
        <vt:i4>0</vt:i4>
      </vt:variant>
      <vt:variant>
        <vt:i4>5</vt:i4>
      </vt:variant>
      <vt:variant>
        <vt:lpwstr/>
      </vt:variant>
      <vt:variant>
        <vt:lpwstr>_Toc214790305</vt:lpwstr>
      </vt:variant>
      <vt:variant>
        <vt:i4>1114172</vt:i4>
      </vt:variant>
      <vt:variant>
        <vt:i4>302</vt:i4>
      </vt:variant>
      <vt:variant>
        <vt:i4>0</vt:i4>
      </vt:variant>
      <vt:variant>
        <vt:i4>5</vt:i4>
      </vt:variant>
      <vt:variant>
        <vt:lpwstr/>
      </vt:variant>
      <vt:variant>
        <vt:lpwstr>_Toc214790304</vt:lpwstr>
      </vt:variant>
      <vt:variant>
        <vt:i4>1572925</vt:i4>
      </vt:variant>
      <vt:variant>
        <vt:i4>296</vt:i4>
      </vt:variant>
      <vt:variant>
        <vt:i4>0</vt:i4>
      </vt:variant>
      <vt:variant>
        <vt:i4>5</vt:i4>
      </vt:variant>
      <vt:variant>
        <vt:lpwstr/>
      </vt:variant>
      <vt:variant>
        <vt:lpwstr>_Toc214790298</vt:lpwstr>
      </vt:variant>
      <vt:variant>
        <vt:i4>1572925</vt:i4>
      </vt:variant>
      <vt:variant>
        <vt:i4>290</vt:i4>
      </vt:variant>
      <vt:variant>
        <vt:i4>0</vt:i4>
      </vt:variant>
      <vt:variant>
        <vt:i4>5</vt:i4>
      </vt:variant>
      <vt:variant>
        <vt:lpwstr/>
      </vt:variant>
      <vt:variant>
        <vt:lpwstr>_Toc214790293</vt:lpwstr>
      </vt:variant>
      <vt:variant>
        <vt:i4>1572925</vt:i4>
      </vt:variant>
      <vt:variant>
        <vt:i4>284</vt:i4>
      </vt:variant>
      <vt:variant>
        <vt:i4>0</vt:i4>
      </vt:variant>
      <vt:variant>
        <vt:i4>5</vt:i4>
      </vt:variant>
      <vt:variant>
        <vt:lpwstr/>
      </vt:variant>
      <vt:variant>
        <vt:lpwstr>_Toc214790292</vt:lpwstr>
      </vt:variant>
      <vt:variant>
        <vt:i4>1572925</vt:i4>
      </vt:variant>
      <vt:variant>
        <vt:i4>278</vt:i4>
      </vt:variant>
      <vt:variant>
        <vt:i4>0</vt:i4>
      </vt:variant>
      <vt:variant>
        <vt:i4>5</vt:i4>
      </vt:variant>
      <vt:variant>
        <vt:lpwstr/>
      </vt:variant>
      <vt:variant>
        <vt:lpwstr>_Toc214790291</vt:lpwstr>
      </vt:variant>
      <vt:variant>
        <vt:i4>1572925</vt:i4>
      </vt:variant>
      <vt:variant>
        <vt:i4>272</vt:i4>
      </vt:variant>
      <vt:variant>
        <vt:i4>0</vt:i4>
      </vt:variant>
      <vt:variant>
        <vt:i4>5</vt:i4>
      </vt:variant>
      <vt:variant>
        <vt:lpwstr/>
      </vt:variant>
      <vt:variant>
        <vt:lpwstr>_Toc214790290</vt:lpwstr>
      </vt:variant>
      <vt:variant>
        <vt:i4>1638461</vt:i4>
      </vt:variant>
      <vt:variant>
        <vt:i4>266</vt:i4>
      </vt:variant>
      <vt:variant>
        <vt:i4>0</vt:i4>
      </vt:variant>
      <vt:variant>
        <vt:i4>5</vt:i4>
      </vt:variant>
      <vt:variant>
        <vt:lpwstr/>
      </vt:variant>
      <vt:variant>
        <vt:lpwstr>_Toc214790289</vt:lpwstr>
      </vt:variant>
      <vt:variant>
        <vt:i4>1638461</vt:i4>
      </vt:variant>
      <vt:variant>
        <vt:i4>260</vt:i4>
      </vt:variant>
      <vt:variant>
        <vt:i4>0</vt:i4>
      </vt:variant>
      <vt:variant>
        <vt:i4>5</vt:i4>
      </vt:variant>
      <vt:variant>
        <vt:lpwstr/>
      </vt:variant>
      <vt:variant>
        <vt:lpwstr>_Toc214790288</vt:lpwstr>
      </vt:variant>
      <vt:variant>
        <vt:i4>1638461</vt:i4>
      </vt:variant>
      <vt:variant>
        <vt:i4>254</vt:i4>
      </vt:variant>
      <vt:variant>
        <vt:i4>0</vt:i4>
      </vt:variant>
      <vt:variant>
        <vt:i4>5</vt:i4>
      </vt:variant>
      <vt:variant>
        <vt:lpwstr/>
      </vt:variant>
      <vt:variant>
        <vt:lpwstr>_Toc214790286</vt:lpwstr>
      </vt:variant>
      <vt:variant>
        <vt:i4>1638461</vt:i4>
      </vt:variant>
      <vt:variant>
        <vt:i4>248</vt:i4>
      </vt:variant>
      <vt:variant>
        <vt:i4>0</vt:i4>
      </vt:variant>
      <vt:variant>
        <vt:i4>5</vt:i4>
      </vt:variant>
      <vt:variant>
        <vt:lpwstr/>
      </vt:variant>
      <vt:variant>
        <vt:lpwstr>_Toc214790285</vt:lpwstr>
      </vt:variant>
      <vt:variant>
        <vt:i4>1638461</vt:i4>
      </vt:variant>
      <vt:variant>
        <vt:i4>242</vt:i4>
      </vt:variant>
      <vt:variant>
        <vt:i4>0</vt:i4>
      </vt:variant>
      <vt:variant>
        <vt:i4>5</vt:i4>
      </vt:variant>
      <vt:variant>
        <vt:lpwstr/>
      </vt:variant>
      <vt:variant>
        <vt:lpwstr>_Toc214790284</vt:lpwstr>
      </vt:variant>
      <vt:variant>
        <vt:i4>1638461</vt:i4>
      </vt:variant>
      <vt:variant>
        <vt:i4>236</vt:i4>
      </vt:variant>
      <vt:variant>
        <vt:i4>0</vt:i4>
      </vt:variant>
      <vt:variant>
        <vt:i4>5</vt:i4>
      </vt:variant>
      <vt:variant>
        <vt:lpwstr/>
      </vt:variant>
      <vt:variant>
        <vt:lpwstr>_Toc214790283</vt:lpwstr>
      </vt:variant>
      <vt:variant>
        <vt:i4>1638461</vt:i4>
      </vt:variant>
      <vt:variant>
        <vt:i4>230</vt:i4>
      </vt:variant>
      <vt:variant>
        <vt:i4>0</vt:i4>
      </vt:variant>
      <vt:variant>
        <vt:i4>5</vt:i4>
      </vt:variant>
      <vt:variant>
        <vt:lpwstr/>
      </vt:variant>
      <vt:variant>
        <vt:lpwstr>_Toc214790282</vt:lpwstr>
      </vt:variant>
      <vt:variant>
        <vt:i4>1638461</vt:i4>
      </vt:variant>
      <vt:variant>
        <vt:i4>224</vt:i4>
      </vt:variant>
      <vt:variant>
        <vt:i4>0</vt:i4>
      </vt:variant>
      <vt:variant>
        <vt:i4>5</vt:i4>
      </vt:variant>
      <vt:variant>
        <vt:lpwstr/>
      </vt:variant>
      <vt:variant>
        <vt:lpwstr>_Toc214790281</vt:lpwstr>
      </vt:variant>
      <vt:variant>
        <vt:i4>1638461</vt:i4>
      </vt:variant>
      <vt:variant>
        <vt:i4>218</vt:i4>
      </vt:variant>
      <vt:variant>
        <vt:i4>0</vt:i4>
      </vt:variant>
      <vt:variant>
        <vt:i4>5</vt:i4>
      </vt:variant>
      <vt:variant>
        <vt:lpwstr/>
      </vt:variant>
      <vt:variant>
        <vt:lpwstr>_Toc214790280</vt:lpwstr>
      </vt:variant>
      <vt:variant>
        <vt:i4>1441853</vt:i4>
      </vt:variant>
      <vt:variant>
        <vt:i4>212</vt:i4>
      </vt:variant>
      <vt:variant>
        <vt:i4>0</vt:i4>
      </vt:variant>
      <vt:variant>
        <vt:i4>5</vt:i4>
      </vt:variant>
      <vt:variant>
        <vt:lpwstr/>
      </vt:variant>
      <vt:variant>
        <vt:lpwstr>_Toc214790279</vt:lpwstr>
      </vt:variant>
      <vt:variant>
        <vt:i4>1441853</vt:i4>
      </vt:variant>
      <vt:variant>
        <vt:i4>206</vt:i4>
      </vt:variant>
      <vt:variant>
        <vt:i4>0</vt:i4>
      </vt:variant>
      <vt:variant>
        <vt:i4>5</vt:i4>
      </vt:variant>
      <vt:variant>
        <vt:lpwstr/>
      </vt:variant>
      <vt:variant>
        <vt:lpwstr>_Toc214790278</vt:lpwstr>
      </vt:variant>
      <vt:variant>
        <vt:i4>1441853</vt:i4>
      </vt:variant>
      <vt:variant>
        <vt:i4>200</vt:i4>
      </vt:variant>
      <vt:variant>
        <vt:i4>0</vt:i4>
      </vt:variant>
      <vt:variant>
        <vt:i4>5</vt:i4>
      </vt:variant>
      <vt:variant>
        <vt:lpwstr/>
      </vt:variant>
      <vt:variant>
        <vt:lpwstr>_Toc214790277</vt:lpwstr>
      </vt:variant>
      <vt:variant>
        <vt:i4>1441853</vt:i4>
      </vt:variant>
      <vt:variant>
        <vt:i4>194</vt:i4>
      </vt:variant>
      <vt:variant>
        <vt:i4>0</vt:i4>
      </vt:variant>
      <vt:variant>
        <vt:i4>5</vt:i4>
      </vt:variant>
      <vt:variant>
        <vt:lpwstr/>
      </vt:variant>
      <vt:variant>
        <vt:lpwstr>_Toc214790276</vt:lpwstr>
      </vt:variant>
      <vt:variant>
        <vt:i4>1441853</vt:i4>
      </vt:variant>
      <vt:variant>
        <vt:i4>188</vt:i4>
      </vt:variant>
      <vt:variant>
        <vt:i4>0</vt:i4>
      </vt:variant>
      <vt:variant>
        <vt:i4>5</vt:i4>
      </vt:variant>
      <vt:variant>
        <vt:lpwstr/>
      </vt:variant>
      <vt:variant>
        <vt:lpwstr>_Toc214790275</vt:lpwstr>
      </vt:variant>
      <vt:variant>
        <vt:i4>1441853</vt:i4>
      </vt:variant>
      <vt:variant>
        <vt:i4>182</vt:i4>
      </vt:variant>
      <vt:variant>
        <vt:i4>0</vt:i4>
      </vt:variant>
      <vt:variant>
        <vt:i4>5</vt:i4>
      </vt:variant>
      <vt:variant>
        <vt:lpwstr/>
      </vt:variant>
      <vt:variant>
        <vt:lpwstr>_Toc214790274</vt:lpwstr>
      </vt:variant>
      <vt:variant>
        <vt:i4>1441853</vt:i4>
      </vt:variant>
      <vt:variant>
        <vt:i4>176</vt:i4>
      </vt:variant>
      <vt:variant>
        <vt:i4>0</vt:i4>
      </vt:variant>
      <vt:variant>
        <vt:i4>5</vt:i4>
      </vt:variant>
      <vt:variant>
        <vt:lpwstr/>
      </vt:variant>
      <vt:variant>
        <vt:lpwstr>_Toc214790273</vt:lpwstr>
      </vt:variant>
      <vt:variant>
        <vt:i4>1441853</vt:i4>
      </vt:variant>
      <vt:variant>
        <vt:i4>170</vt:i4>
      </vt:variant>
      <vt:variant>
        <vt:i4>0</vt:i4>
      </vt:variant>
      <vt:variant>
        <vt:i4>5</vt:i4>
      </vt:variant>
      <vt:variant>
        <vt:lpwstr/>
      </vt:variant>
      <vt:variant>
        <vt:lpwstr>_Toc214790272</vt:lpwstr>
      </vt:variant>
      <vt:variant>
        <vt:i4>1441853</vt:i4>
      </vt:variant>
      <vt:variant>
        <vt:i4>164</vt:i4>
      </vt:variant>
      <vt:variant>
        <vt:i4>0</vt:i4>
      </vt:variant>
      <vt:variant>
        <vt:i4>5</vt:i4>
      </vt:variant>
      <vt:variant>
        <vt:lpwstr/>
      </vt:variant>
      <vt:variant>
        <vt:lpwstr>_Toc214790271</vt:lpwstr>
      </vt:variant>
      <vt:variant>
        <vt:i4>1441853</vt:i4>
      </vt:variant>
      <vt:variant>
        <vt:i4>158</vt:i4>
      </vt:variant>
      <vt:variant>
        <vt:i4>0</vt:i4>
      </vt:variant>
      <vt:variant>
        <vt:i4>5</vt:i4>
      </vt:variant>
      <vt:variant>
        <vt:lpwstr/>
      </vt:variant>
      <vt:variant>
        <vt:lpwstr>_Toc214790270</vt:lpwstr>
      </vt:variant>
      <vt:variant>
        <vt:i4>1507389</vt:i4>
      </vt:variant>
      <vt:variant>
        <vt:i4>152</vt:i4>
      </vt:variant>
      <vt:variant>
        <vt:i4>0</vt:i4>
      </vt:variant>
      <vt:variant>
        <vt:i4>5</vt:i4>
      </vt:variant>
      <vt:variant>
        <vt:lpwstr/>
      </vt:variant>
      <vt:variant>
        <vt:lpwstr>_Toc214790269</vt:lpwstr>
      </vt:variant>
      <vt:variant>
        <vt:i4>1507389</vt:i4>
      </vt:variant>
      <vt:variant>
        <vt:i4>146</vt:i4>
      </vt:variant>
      <vt:variant>
        <vt:i4>0</vt:i4>
      </vt:variant>
      <vt:variant>
        <vt:i4>5</vt:i4>
      </vt:variant>
      <vt:variant>
        <vt:lpwstr/>
      </vt:variant>
      <vt:variant>
        <vt:lpwstr>_Toc214790268</vt:lpwstr>
      </vt:variant>
      <vt:variant>
        <vt:i4>1507389</vt:i4>
      </vt:variant>
      <vt:variant>
        <vt:i4>140</vt:i4>
      </vt:variant>
      <vt:variant>
        <vt:i4>0</vt:i4>
      </vt:variant>
      <vt:variant>
        <vt:i4>5</vt:i4>
      </vt:variant>
      <vt:variant>
        <vt:lpwstr/>
      </vt:variant>
      <vt:variant>
        <vt:lpwstr>_Toc214790267</vt:lpwstr>
      </vt:variant>
      <vt:variant>
        <vt:i4>1507389</vt:i4>
      </vt:variant>
      <vt:variant>
        <vt:i4>134</vt:i4>
      </vt:variant>
      <vt:variant>
        <vt:i4>0</vt:i4>
      </vt:variant>
      <vt:variant>
        <vt:i4>5</vt:i4>
      </vt:variant>
      <vt:variant>
        <vt:lpwstr/>
      </vt:variant>
      <vt:variant>
        <vt:lpwstr>_Toc214790266</vt:lpwstr>
      </vt:variant>
      <vt:variant>
        <vt:i4>1507389</vt:i4>
      </vt:variant>
      <vt:variant>
        <vt:i4>128</vt:i4>
      </vt:variant>
      <vt:variant>
        <vt:i4>0</vt:i4>
      </vt:variant>
      <vt:variant>
        <vt:i4>5</vt:i4>
      </vt:variant>
      <vt:variant>
        <vt:lpwstr/>
      </vt:variant>
      <vt:variant>
        <vt:lpwstr>_Toc214790265</vt:lpwstr>
      </vt:variant>
      <vt:variant>
        <vt:i4>1507389</vt:i4>
      </vt:variant>
      <vt:variant>
        <vt:i4>122</vt:i4>
      </vt:variant>
      <vt:variant>
        <vt:i4>0</vt:i4>
      </vt:variant>
      <vt:variant>
        <vt:i4>5</vt:i4>
      </vt:variant>
      <vt:variant>
        <vt:lpwstr/>
      </vt:variant>
      <vt:variant>
        <vt:lpwstr>_Toc214790264</vt:lpwstr>
      </vt:variant>
      <vt:variant>
        <vt:i4>1507389</vt:i4>
      </vt:variant>
      <vt:variant>
        <vt:i4>116</vt:i4>
      </vt:variant>
      <vt:variant>
        <vt:i4>0</vt:i4>
      </vt:variant>
      <vt:variant>
        <vt:i4>5</vt:i4>
      </vt:variant>
      <vt:variant>
        <vt:lpwstr/>
      </vt:variant>
      <vt:variant>
        <vt:lpwstr>_Toc214790263</vt:lpwstr>
      </vt:variant>
      <vt:variant>
        <vt:i4>1507389</vt:i4>
      </vt:variant>
      <vt:variant>
        <vt:i4>110</vt:i4>
      </vt:variant>
      <vt:variant>
        <vt:i4>0</vt:i4>
      </vt:variant>
      <vt:variant>
        <vt:i4>5</vt:i4>
      </vt:variant>
      <vt:variant>
        <vt:lpwstr/>
      </vt:variant>
      <vt:variant>
        <vt:lpwstr>_Toc214790262</vt:lpwstr>
      </vt:variant>
      <vt:variant>
        <vt:i4>1507389</vt:i4>
      </vt:variant>
      <vt:variant>
        <vt:i4>104</vt:i4>
      </vt:variant>
      <vt:variant>
        <vt:i4>0</vt:i4>
      </vt:variant>
      <vt:variant>
        <vt:i4>5</vt:i4>
      </vt:variant>
      <vt:variant>
        <vt:lpwstr/>
      </vt:variant>
      <vt:variant>
        <vt:lpwstr>_Toc214790261</vt:lpwstr>
      </vt:variant>
      <vt:variant>
        <vt:i4>1507389</vt:i4>
      </vt:variant>
      <vt:variant>
        <vt:i4>98</vt:i4>
      </vt:variant>
      <vt:variant>
        <vt:i4>0</vt:i4>
      </vt:variant>
      <vt:variant>
        <vt:i4>5</vt:i4>
      </vt:variant>
      <vt:variant>
        <vt:lpwstr/>
      </vt:variant>
      <vt:variant>
        <vt:lpwstr>_Toc214790260</vt:lpwstr>
      </vt:variant>
      <vt:variant>
        <vt:i4>1310781</vt:i4>
      </vt:variant>
      <vt:variant>
        <vt:i4>92</vt:i4>
      </vt:variant>
      <vt:variant>
        <vt:i4>0</vt:i4>
      </vt:variant>
      <vt:variant>
        <vt:i4>5</vt:i4>
      </vt:variant>
      <vt:variant>
        <vt:lpwstr/>
      </vt:variant>
      <vt:variant>
        <vt:lpwstr>_Toc214790259</vt:lpwstr>
      </vt:variant>
      <vt:variant>
        <vt:i4>1310781</vt:i4>
      </vt:variant>
      <vt:variant>
        <vt:i4>86</vt:i4>
      </vt:variant>
      <vt:variant>
        <vt:i4>0</vt:i4>
      </vt:variant>
      <vt:variant>
        <vt:i4>5</vt:i4>
      </vt:variant>
      <vt:variant>
        <vt:lpwstr/>
      </vt:variant>
      <vt:variant>
        <vt:lpwstr>_Toc214790258</vt:lpwstr>
      </vt:variant>
      <vt:variant>
        <vt:i4>1310781</vt:i4>
      </vt:variant>
      <vt:variant>
        <vt:i4>80</vt:i4>
      </vt:variant>
      <vt:variant>
        <vt:i4>0</vt:i4>
      </vt:variant>
      <vt:variant>
        <vt:i4>5</vt:i4>
      </vt:variant>
      <vt:variant>
        <vt:lpwstr/>
      </vt:variant>
      <vt:variant>
        <vt:lpwstr>_Toc214790257</vt:lpwstr>
      </vt:variant>
      <vt:variant>
        <vt:i4>1310781</vt:i4>
      </vt:variant>
      <vt:variant>
        <vt:i4>74</vt:i4>
      </vt:variant>
      <vt:variant>
        <vt:i4>0</vt:i4>
      </vt:variant>
      <vt:variant>
        <vt:i4>5</vt:i4>
      </vt:variant>
      <vt:variant>
        <vt:lpwstr/>
      </vt:variant>
      <vt:variant>
        <vt:lpwstr>_Toc214790256</vt:lpwstr>
      </vt:variant>
      <vt:variant>
        <vt:i4>1310781</vt:i4>
      </vt:variant>
      <vt:variant>
        <vt:i4>68</vt:i4>
      </vt:variant>
      <vt:variant>
        <vt:i4>0</vt:i4>
      </vt:variant>
      <vt:variant>
        <vt:i4>5</vt:i4>
      </vt:variant>
      <vt:variant>
        <vt:lpwstr/>
      </vt:variant>
      <vt:variant>
        <vt:lpwstr>_Toc214790255</vt:lpwstr>
      </vt:variant>
      <vt:variant>
        <vt:i4>1310781</vt:i4>
      </vt:variant>
      <vt:variant>
        <vt:i4>62</vt:i4>
      </vt:variant>
      <vt:variant>
        <vt:i4>0</vt:i4>
      </vt:variant>
      <vt:variant>
        <vt:i4>5</vt:i4>
      </vt:variant>
      <vt:variant>
        <vt:lpwstr/>
      </vt:variant>
      <vt:variant>
        <vt:lpwstr>_Toc214790254</vt:lpwstr>
      </vt:variant>
      <vt:variant>
        <vt:i4>1310781</vt:i4>
      </vt:variant>
      <vt:variant>
        <vt:i4>56</vt:i4>
      </vt:variant>
      <vt:variant>
        <vt:i4>0</vt:i4>
      </vt:variant>
      <vt:variant>
        <vt:i4>5</vt:i4>
      </vt:variant>
      <vt:variant>
        <vt:lpwstr/>
      </vt:variant>
      <vt:variant>
        <vt:lpwstr>_Toc214790253</vt:lpwstr>
      </vt:variant>
      <vt:variant>
        <vt:i4>1310781</vt:i4>
      </vt:variant>
      <vt:variant>
        <vt:i4>50</vt:i4>
      </vt:variant>
      <vt:variant>
        <vt:i4>0</vt:i4>
      </vt:variant>
      <vt:variant>
        <vt:i4>5</vt:i4>
      </vt:variant>
      <vt:variant>
        <vt:lpwstr/>
      </vt:variant>
      <vt:variant>
        <vt:lpwstr>_Toc214790252</vt:lpwstr>
      </vt:variant>
      <vt:variant>
        <vt:i4>1310781</vt:i4>
      </vt:variant>
      <vt:variant>
        <vt:i4>44</vt:i4>
      </vt:variant>
      <vt:variant>
        <vt:i4>0</vt:i4>
      </vt:variant>
      <vt:variant>
        <vt:i4>5</vt:i4>
      </vt:variant>
      <vt:variant>
        <vt:lpwstr/>
      </vt:variant>
      <vt:variant>
        <vt:lpwstr>_Toc214790251</vt:lpwstr>
      </vt:variant>
      <vt:variant>
        <vt:i4>1310781</vt:i4>
      </vt:variant>
      <vt:variant>
        <vt:i4>38</vt:i4>
      </vt:variant>
      <vt:variant>
        <vt:i4>0</vt:i4>
      </vt:variant>
      <vt:variant>
        <vt:i4>5</vt:i4>
      </vt:variant>
      <vt:variant>
        <vt:lpwstr/>
      </vt:variant>
      <vt:variant>
        <vt:lpwstr>_Toc214790250</vt:lpwstr>
      </vt:variant>
      <vt:variant>
        <vt:i4>1376317</vt:i4>
      </vt:variant>
      <vt:variant>
        <vt:i4>32</vt:i4>
      </vt:variant>
      <vt:variant>
        <vt:i4>0</vt:i4>
      </vt:variant>
      <vt:variant>
        <vt:i4>5</vt:i4>
      </vt:variant>
      <vt:variant>
        <vt:lpwstr/>
      </vt:variant>
      <vt:variant>
        <vt:lpwstr>_Toc214790249</vt:lpwstr>
      </vt:variant>
      <vt:variant>
        <vt:i4>1376317</vt:i4>
      </vt:variant>
      <vt:variant>
        <vt:i4>26</vt:i4>
      </vt:variant>
      <vt:variant>
        <vt:i4>0</vt:i4>
      </vt:variant>
      <vt:variant>
        <vt:i4>5</vt:i4>
      </vt:variant>
      <vt:variant>
        <vt:lpwstr/>
      </vt:variant>
      <vt:variant>
        <vt:lpwstr>_Toc214790248</vt:lpwstr>
      </vt:variant>
      <vt:variant>
        <vt:i4>1376317</vt:i4>
      </vt:variant>
      <vt:variant>
        <vt:i4>20</vt:i4>
      </vt:variant>
      <vt:variant>
        <vt:i4>0</vt:i4>
      </vt:variant>
      <vt:variant>
        <vt:i4>5</vt:i4>
      </vt:variant>
      <vt:variant>
        <vt:lpwstr/>
      </vt:variant>
      <vt:variant>
        <vt:lpwstr>_Toc214790247</vt:lpwstr>
      </vt:variant>
      <vt:variant>
        <vt:i4>1376317</vt:i4>
      </vt:variant>
      <vt:variant>
        <vt:i4>14</vt:i4>
      </vt:variant>
      <vt:variant>
        <vt:i4>0</vt:i4>
      </vt:variant>
      <vt:variant>
        <vt:i4>5</vt:i4>
      </vt:variant>
      <vt:variant>
        <vt:lpwstr/>
      </vt:variant>
      <vt:variant>
        <vt:lpwstr>_Toc214790246</vt:lpwstr>
      </vt:variant>
      <vt:variant>
        <vt:i4>1376317</vt:i4>
      </vt:variant>
      <vt:variant>
        <vt:i4>8</vt:i4>
      </vt:variant>
      <vt:variant>
        <vt:i4>0</vt:i4>
      </vt:variant>
      <vt:variant>
        <vt:i4>5</vt:i4>
      </vt:variant>
      <vt:variant>
        <vt:lpwstr/>
      </vt:variant>
      <vt:variant>
        <vt:lpwstr>_Toc214790245</vt:lpwstr>
      </vt:variant>
      <vt:variant>
        <vt:i4>1376317</vt:i4>
      </vt:variant>
      <vt:variant>
        <vt:i4>2</vt:i4>
      </vt:variant>
      <vt:variant>
        <vt:i4>0</vt:i4>
      </vt:variant>
      <vt:variant>
        <vt:i4>5</vt:i4>
      </vt:variant>
      <vt:variant>
        <vt:lpwstr/>
      </vt:variant>
      <vt:variant>
        <vt:lpwstr>_Toc214790244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Niladri</dc:creator>
  <cp:lastModifiedBy>Akankshaya Panda</cp:lastModifiedBy>
  <cp:revision>43</cp:revision>
  <cp:lastPrinted>2025-11-28T14:02:00Z</cp:lastPrinted>
  <dcterms:created xsi:type="dcterms:W3CDTF">2025-11-27T13:27:00Z</dcterms:created>
  <dcterms:modified xsi:type="dcterms:W3CDTF">2025-11-28T14:02:00Z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0x01010047695B054817CC43B4543E4ED364C33A</vt:lpwstr>
  </property>
</Properties>
</file>